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eastAsia" w:ascii="CESI仿宋-GB2312" w:hAnsi="CESI仿宋-GB2312" w:eastAsia="CESI仿宋-GB2312" w:cs="CESI仿宋-GB2312"/>
          <w:b/>
          <w:bCs/>
          <w:sz w:val="36"/>
          <w:szCs w:val="36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b/>
          <w:bCs/>
          <w:sz w:val="36"/>
          <w:szCs w:val="36"/>
          <w:lang w:val="en-US" w:eastAsia="zh-CN"/>
        </w:rPr>
        <w:t>2024年超长期国债县域医共体医疗设备更新项目</w:t>
      </w:r>
    </w:p>
    <w:p>
      <w:pPr>
        <w:bidi w:val="0"/>
        <w:jc w:val="center"/>
        <w:rPr>
          <w:rFonts w:hint="eastAsia" w:ascii="CESI仿宋-GB2312" w:hAnsi="CESI仿宋-GB2312" w:eastAsia="CESI仿宋-GB2312" w:cs="CESI仿宋-GB2312"/>
          <w:b/>
          <w:bCs/>
          <w:sz w:val="36"/>
          <w:szCs w:val="36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b/>
          <w:bCs/>
          <w:sz w:val="36"/>
          <w:szCs w:val="36"/>
          <w:lang w:val="en-US" w:eastAsia="zh-CN"/>
        </w:rPr>
        <w:t>调研公告（台州市）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根据《中华人民共和国政府采购法》《政府采购货物和服务招标投标管理办法》《财政部关于印发&lt;政府采购需求管理办法&gt;的通知》等规定，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为做好该项目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采购工作，本着“公开、公平、公正”的原则，现公开邀请有意向的供应商前来参加本项目前期市场调研工作。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</w:rPr>
        <w:t>现将有关事项公告如下：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　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Chars="0" w:firstLine="64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采购项目概况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超声类</w:t>
      </w:r>
    </w:p>
    <w:tbl>
      <w:tblPr>
        <w:tblStyle w:val="10"/>
        <w:tblW w:w="0" w:type="auto"/>
        <w:tblInd w:w="1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7"/>
        <w:gridCol w:w="746"/>
        <w:gridCol w:w="497"/>
        <w:gridCol w:w="944"/>
        <w:gridCol w:w="5813"/>
        <w:gridCol w:w="5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项目名称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数量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采购预算（万元）</w:t>
            </w:r>
          </w:p>
        </w:tc>
        <w:tc>
          <w:tcPr>
            <w:tcW w:w="5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项目简要描述</w:t>
            </w:r>
          </w:p>
        </w:tc>
        <w:tc>
          <w:tcPr>
            <w:tcW w:w="5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eastAsia="宋体" w:cs="Times New Roman"/>
                <w:kern w:val="2"/>
                <w:sz w:val="21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2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便携式超声诊断仪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125</w:t>
            </w:r>
          </w:p>
        </w:tc>
        <w:tc>
          <w:tcPr>
            <w:tcW w:w="5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此项目分为两个子类，分别满足：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 w:firstLine="240" w:firstLineChars="10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1.适用于腹部、妇产科、泌尿、浅表组织与小器官、外周血管、心脏、小儿与新生儿、穿刺等全身应用。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 w:firstLine="240" w:firstLineChars="10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2.用于判断消化道粘膜下肿瘤起源与性质。产品形态要求便捷式、一体式。内窥镜超声诊断设备的自有图像显示为高分辨率图像，且可局部放大，呈现更清晰的组织细节。</w:t>
            </w:r>
          </w:p>
        </w:tc>
        <w:tc>
          <w:tcPr>
            <w:tcW w:w="542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distribute"/>
              <w:textAlignment w:val="auto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2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distribute"/>
              <w:textAlignment w:val="auto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2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distribute"/>
              <w:textAlignment w:val="auto"/>
              <w:rPr>
                <w:rFonts w:hint="default" w:ascii="Calibri" w:hAnsi="Calibri" w:eastAsia="宋体" w:cs="Times New Roman"/>
                <w:kern w:val="2"/>
                <w:sz w:val="21"/>
                <w:szCs w:val="21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2"/>
                <w:sz w:val="24"/>
                <w:szCs w:val="24"/>
                <w:lang w:val="en-US" w:eastAsia="zh-CN" w:bidi="ar"/>
              </w:rPr>
              <w:t>本项目为超长期国债项目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超声诊断仪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300</w:t>
            </w:r>
          </w:p>
        </w:tc>
        <w:tc>
          <w:tcPr>
            <w:tcW w:w="5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此项目分为三个子类，分别满足：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 w:firstLine="240" w:firstLineChars="10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1.产品形态要求便捷式。配备高频、心脏、腹部探头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 w:firstLine="240" w:firstLineChars="10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2.妇产超声，具备三维重建功能。配备浅表探头、腹部探头、经阴道3D探头、腹部3D探头。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 w:firstLine="240" w:firstLineChars="10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3.专用心超，配备浅表血管探头、腹部探头、高清心超探头、经胸3D探头。</w:t>
            </w:r>
          </w:p>
        </w:tc>
        <w:tc>
          <w:tcPr>
            <w:tcW w:w="542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彩色超声诊断仪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350</w:t>
            </w:r>
          </w:p>
        </w:tc>
        <w:tc>
          <w:tcPr>
            <w:tcW w:w="5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满足常规腹部、妇产科、浅表、介入、心脏、肌骨、前列腺、肛肠肿瘤应用，全域动态聚焦，图像无焦点显示。配备部、浅表（低频、高频）、腔内探头、心脏探头、双平面探头6把探头。整机保修≥5年，保修期内探头只换不修。标注的使用年限≥10年。</w:t>
            </w:r>
          </w:p>
        </w:tc>
        <w:tc>
          <w:tcPr>
            <w:tcW w:w="542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彩色超声诊断仪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140</w:t>
            </w:r>
          </w:p>
        </w:tc>
        <w:tc>
          <w:tcPr>
            <w:tcW w:w="5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高端高端全身机，配备4探头含工作站、保修大于5年。智能像素优化技术，类造影、超微细血流成像技术，智能多普勒技术，多普勒频谱自动包络、测量与计算，参数由可自由选择。</w:t>
            </w:r>
          </w:p>
        </w:tc>
        <w:tc>
          <w:tcPr>
            <w:tcW w:w="542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</w:p>
    <w:p>
      <w:pPr>
        <w:pStyle w:val="17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放射类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750"/>
        <w:gridCol w:w="461"/>
        <w:gridCol w:w="958"/>
        <w:gridCol w:w="5804"/>
        <w:gridCol w:w="5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64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750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项目名称</w:t>
            </w:r>
          </w:p>
        </w:tc>
        <w:tc>
          <w:tcPr>
            <w:tcW w:w="461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数量</w:t>
            </w:r>
          </w:p>
        </w:tc>
        <w:tc>
          <w:tcPr>
            <w:tcW w:w="95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采购预算（万元）</w:t>
            </w:r>
          </w:p>
        </w:tc>
        <w:tc>
          <w:tcPr>
            <w:tcW w:w="580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项目简要描述</w:t>
            </w:r>
          </w:p>
        </w:tc>
        <w:tc>
          <w:tcPr>
            <w:tcW w:w="542" w:type="dxa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750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DR</w:t>
            </w:r>
          </w:p>
        </w:tc>
        <w:tc>
          <w:tcPr>
            <w:tcW w:w="461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95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300</w:t>
            </w:r>
          </w:p>
        </w:tc>
        <w:tc>
          <w:tcPr>
            <w:tcW w:w="580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吊轨，双轨，双板一键归位，自动升降。要求全脊柱及下肢全长DR摄影全动拼接技术。土建、装修、防护，提供所需防护用品。各种接口费。提供预控评。</w:t>
            </w:r>
          </w:p>
        </w:tc>
        <w:tc>
          <w:tcPr>
            <w:tcW w:w="542" w:type="dxa"/>
            <w:vMerge w:val="restart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both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本项目为超长期国债项目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750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移动式DR</w:t>
            </w:r>
          </w:p>
        </w:tc>
        <w:tc>
          <w:tcPr>
            <w:tcW w:w="461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5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90</w:t>
            </w:r>
          </w:p>
        </w:tc>
        <w:tc>
          <w:tcPr>
            <w:tcW w:w="580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高压发生器功率≥32KW，旋转立柱必须为多节式升降立柱，无线平板探测器≥14×17英寸，保修大于5年，含与医院信息系统对接产生的接口费用。</w:t>
            </w:r>
          </w:p>
        </w:tc>
        <w:tc>
          <w:tcPr>
            <w:tcW w:w="542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750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数字肠胃机</w:t>
            </w:r>
          </w:p>
        </w:tc>
        <w:tc>
          <w:tcPr>
            <w:tcW w:w="461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5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200</w:t>
            </w:r>
          </w:p>
        </w:tc>
        <w:tc>
          <w:tcPr>
            <w:tcW w:w="580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用于各种造影检查及ERCP，具备数字透视、数字点片摄影和数字DR摄影功能也可用于在透视下进行骨折整复，保修大于5年，含与医院信息系统对接产生的接口费用。</w:t>
            </w:r>
          </w:p>
        </w:tc>
        <w:tc>
          <w:tcPr>
            <w:tcW w:w="542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750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数字钼靶机</w:t>
            </w:r>
          </w:p>
        </w:tc>
        <w:tc>
          <w:tcPr>
            <w:tcW w:w="461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5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200</w:t>
            </w:r>
          </w:p>
        </w:tc>
        <w:tc>
          <w:tcPr>
            <w:tcW w:w="580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具备乳腺三维体层乳腺摄影功能，保修大于5年，含与医院信息系统对接产生的接口费用。</w:t>
            </w:r>
          </w:p>
        </w:tc>
        <w:tc>
          <w:tcPr>
            <w:tcW w:w="542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750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螺旋CT</w:t>
            </w:r>
          </w:p>
        </w:tc>
        <w:tc>
          <w:tcPr>
            <w:tcW w:w="461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5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1200</w:t>
            </w:r>
          </w:p>
        </w:tc>
        <w:tc>
          <w:tcPr>
            <w:tcW w:w="580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用途：用于常规临床CT检查，支持心脏冠脉成像、能谱成像；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基本性能要求：探测器排数≥256排，或双源≥2x96排，或双层≥2x128排；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基本配置要求：配备天眼智能定位功能、后处理工作站、AI智能诊断软件；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项目包含产品的供货、安装、调试、搬运、装卸、验收、培训，CT机房装修（含电缆）1间、医用专业显示器2台、射线防护用品（0.5mmPb）2套及PACS接口费</w:t>
            </w: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。</w:t>
            </w:r>
          </w:p>
        </w:tc>
        <w:tc>
          <w:tcPr>
            <w:tcW w:w="542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750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超高端CT</w:t>
            </w:r>
          </w:p>
        </w:tc>
        <w:tc>
          <w:tcPr>
            <w:tcW w:w="461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958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4100</w:t>
            </w:r>
          </w:p>
        </w:tc>
        <w:tc>
          <w:tcPr>
            <w:tcW w:w="580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≥</w:t>
            </w: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256排，高分辨率成像、快速扫描速度、低辐射剂量、冠脉造影等。配备天眼智能定位功能、后处理工作站、AI智能诊断软件</w:t>
            </w:r>
            <w:bookmarkStart w:id="1" w:name="_GoBack"/>
            <w:bookmarkEnd w:id="1"/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。项目包含产品的供货、安装、调试、搬运、装卸、验收、培训，CT机房装修（含电缆）1间、医用专业显示器2台、射线防护用品（0.5mmPb）2套及PACS接口费。</w:t>
            </w:r>
          </w:p>
        </w:tc>
        <w:tc>
          <w:tcPr>
            <w:tcW w:w="542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</w:tbl>
    <w:p>
      <w:pPr>
        <w:pStyle w:val="8"/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240" w:lineRule="exact"/>
        <w:ind w:left="0" w:right="0"/>
        <w:jc w:val="center"/>
        <w:rPr>
          <w:rFonts w:hint="eastAsia" w:ascii="CESI仿宋-GB2312" w:hAnsi="CESI仿宋-GB2312" w:eastAsia="CESI仿宋-GB2312" w:cs="CESI仿宋-GB2312"/>
          <w:i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</w:p>
    <w:p>
      <w:pPr>
        <w:pStyle w:val="17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Chars="20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其他类</w:t>
      </w:r>
    </w:p>
    <w:tbl>
      <w:tblPr>
        <w:tblStyle w:val="10"/>
        <w:tblW w:w="91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3"/>
        <w:gridCol w:w="742"/>
        <w:gridCol w:w="496"/>
        <w:gridCol w:w="946"/>
        <w:gridCol w:w="5815"/>
        <w:gridCol w:w="5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项目名称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数量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采购预算（万元）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项目简要描述</w:t>
            </w:r>
          </w:p>
        </w:tc>
        <w:tc>
          <w:tcPr>
            <w:tcW w:w="554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肠胃镜系统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200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包含5根胃镜（1根检查镜、3根治疗镜、1根放大镜）、5根肠镜（3根检查镜、1根治疗镜、1根双焦点肠镜），1台主机。配备镜柜3个，内镜转运车7个。</w:t>
            </w:r>
          </w:p>
        </w:tc>
        <w:tc>
          <w:tcPr>
            <w:tcW w:w="554" w:type="dxa"/>
            <w:vMerge w:val="restart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both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本项目为超长期国债项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脱水机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用于病理科，一次性脱水能达100个蜡块以上。</w:t>
            </w:r>
          </w:p>
        </w:tc>
        <w:tc>
          <w:tcPr>
            <w:tcW w:w="554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五分类血球分析仪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40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荧光平台的血常规，CRP，SAA。三合一，小孩子末梢血全自动进样。可拓展连接糖化血红蛋白模块，实现全血一管通检测血常规、炎症及糖化血红蛋白。</w:t>
            </w:r>
          </w:p>
        </w:tc>
        <w:tc>
          <w:tcPr>
            <w:tcW w:w="554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脉动真空灭菌器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70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卧式脉动真空灭菌，有效容积1200L，平移开关门，带追溯功能，设计使用寿命15年。</w:t>
            </w:r>
          </w:p>
        </w:tc>
        <w:tc>
          <w:tcPr>
            <w:tcW w:w="554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质谱仪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180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用于（细菌，厌氧菌，真菌，酵母菌，分枝杆菌等）样品的快速鉴定。质谱鉴定的数据库系统必须包含真菌库、分枝杆菌库和曲霉菌库，数据库菌株应涵盖临床医学检验、疾控病原菌、环境微生物、食药微生物等相关领域,且数据库可以实时更新；提供微生物鉴定/药敏解决方案，拓展微生物科室自动化及信息化！质谱和药敏数据同源，避免菌名不一致，同时质谱与药敏数据自动传输，无需手抄；具备完整的真菌解决方案，包括培养基及真菌药敏板卡，覆盖真菌的培养、鉴定、药敏流程；便于科室真菌的全流程处理，更准确完成真菌鉴定及抗真菌药物指导。</w:t>
            </w:r>
          </w:p>
        </w:tc>
        <w:tc>
          <w:tcPr>
            <w:tcW w:w="554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鼻内镜高清手术系统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85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超高清及以上、4K耳内镜0°配2根以上。主机可同时处理两路图像信号，进行标准画面与增强优化画面两幅画面同屏对比显示，至少5种同屏对比。</w:t>
            </w:r>
          </w:p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2种腔镜光谱分析处理模式，可提高对血管的辨识度。主机对于手术画面≥5种优化模式，包括两种光谱技术。</w:t>
            </w:r>
          </w:p>
        </w:tc>
        <w:tc>
          <w:tcPr>
            <w:tcW w:w="554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3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742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全自动血沉分析仪</w:t>
            </w:r>
          </w:p>
        </w:tc>
        <w:tc>
          <w:tcPr>
            <w:tcW w:w="49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46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5815" w:type="dxa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全自动操作，盖帽穿刺吸样。样本位</w:t>
            </w:r>
            <w:r>
              <w:rPr>
                <w:rFonts w:hint="default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≥</w:t>
            </w:r>
            <w:r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60管，具有恒温检测功能，具有内部质控程序，检测结果准确可靠，符合原NCCLS标准，具有检测结果数据外送联网接口，实现自动双向结果传输功能。</w:t>
            </w:r>
          </w:p>
        </w:tc>
        <w:tc>
          <w:tcPr>
            <w:tcW w:w="554" w:type="dxa"/>
            <w:vMerge w:val="continue"/>
            <w:vAlign w:val="center"/>
          </w:tcPr>
          <w:p>
            <w:pPr>
              <w:pStyle w:val="8"/>
              <w:keepNext w:val="0"/>
              <w:keepLines w:val="0"/>
              <w:widowControl/>
              <w:suppressLineNumbers w:val="0"/>
              <w:autoSpaceDE w:val="0"/>
              <w:autoSpaceDN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CESI仿宋-GB2312" w:hAnsi="CESI仿宋-GB2312" w:eastAsia="CESI仿宋-GB2312" w:cs="CESI仿宋-GB2312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</w:tbl>
    <w:p>
      <w:pPr>
        <w:pStyle w:val="8"/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240" w:lineRule="exact"/>
        <w:ind w:left="0" w:right="0"/>
        <w:jc w:val="center"/>
        <w:rPr>
          <w:rFonts w:hint="eastAsia" w:ascii="CESI仿宋-GB2312" w:hAnsi="CESI仿宋-GB2312" w:eastAsia="CESI仿宋-GB2312" w:cs="CESI仿宋-GB2312"/>
          <w:i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</w:pP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481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Arial" w:hAnsi="Arial" w:eastAsia="宋体" w:cs="Arial"/>
          <w:b/>
          <w:bCs/>
          <w:color w:val="auto"/>
          <w:kern w:val="0"/>
          <w:highlight w:val="none"/>
          <w:lang w:eastAsia="zh-CN"/>
        </w:rPr>
        <w:t>　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二、合格报名人的资格要求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符合《中华人民共和国政府采购法》第二十二条规定，即：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（1）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具有独立承担民事责任的能力；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（2）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具有良好的商业信誉和健全的财务会计制度；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（3）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具有履行合同所必需的设备和专业技术能力；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（4）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有依法缴纳税收和社会保障资金的良好记录；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（5）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法律、行政法规规定的其他条件。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参加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此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次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市场调研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 xml:space="preserve">前三年内，投标单位及法人、授权销售代表在经营活动中无重大违法记录。 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满足《中华人民共和国政府采购法》第二十二条规定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投标人未被列入失信被执行人名单、重大税收违法案件当事人名单、政府采购严重违法失信行为记录名单，信用信息以信用中国网站（www.creditchina.gov.cn）、中国政府采购网（www.ccgp.gov.cn）公布为准。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lang w:eastAsia="zh-CN"/>
        </w:rPr>
        <w:t>　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三、报名及资格审核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val="en-US" w:eastAsia="zh-CN" w:bidi="ar-SA"/>
        </w:rPr>
        <w:t>1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eastAsia="zh-CN" w:bidi="ar-SA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报名方式：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现场报名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val="en-US" w:eastAsia="zh-CN" w:bidi="ar-SA"/>
        </w:rPr>
        <w:t>2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eastAsia="zh-CN" w:bidi="ar-SA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val="en-US" w:eastAsia="zh-CN" w:bidi="ar-SA"/>
        </w:rPr>
        <w:t>报名地点：台州市卫生健康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eastAsia="zh-CN" w:bidi="ar-SA"/>
        </w:rPr>
        <w:t>委员会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val="en-US" w:eastAsia="zh-CN" w:bidi="ar-SA"/>
        </w:rPr>
        <w:t>217室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1"/>
          <w:sz w:val="32"/>
          <w:szCs w:val="32"/>
          <w:lang w:eastAsia="zh-CN" w:bidi="ar-SA"/>
        </w:rPr>
        <w:t>（台州市椒江区东海大道608号）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报名截止时间：</w:t>
      </w:r>
      <w:bookmarkStart w:id="0" w:name="B17_招标文件发售起始日期"/>
      <w:bookmarkEnd w:id="0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202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29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日（星期二）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17：00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联系方式：15967021799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（陈先生）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需提交的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报名资料：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（1）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报名表（见附件一）；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（2）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报名产品介绍（可PPT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形式，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不超过5分钟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）；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（3）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产品技术白皮书、完整版技术参数及同档次机型（不少于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款）技术参数对照表、配置清单；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（4）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有效的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营业执照（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复印件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）；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（5）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法人授权代表委托书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被授权人身份证复印件；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284"/>
          <w:tab w:val="left" w:pos="709"/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（6）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医疗器械生产或经营许可证（备案证）、医疗器械注册证、原厂授权书。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　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四、现场调研要求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1.调研会议时间：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另行通知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；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2.供应商须知：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（1）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准备纸质报名资料，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加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盖公章，装订成册，一式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五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份；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（2）在报名现场签到并登记报名信息：供应商名称、联系人、联系方式等；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（3）根据现场工作人员安排，依次分别进入会议现场，向调研组进行产品介绍，产品介绍可采用纸质材料、PPT等多种方式，采用PPT方式的请自备笔记本电脑及数据线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；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（4）市场调研范围：产品行业技术发展、质量性能、市场占比、产品配置、历史成交信息、质保期限、售后服务、出保后维修费用、备品配件价格等。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（5）调研组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将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根据调研内容，与供应商进行产品或行业技术交流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建议供应商邀请产品厂家技术人员共同参与调研会议。</w:t>
      </w: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2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lang w:eastAsia="zh-CN"/>
        </w:rPr>
      </w:pP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642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lang w:eastAsia="zh-CN"/>
        </w:rPr>
      </w:pPr>
    </w:p>
    <w:p>
      <w:pPr>
        <w:pStyle w:val="1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台州市县域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医共体医疗设备更新项目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集中采购工作小组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2024年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</w:t>
      </w:r>
    </w:p>
    <w:p>
      <w:pPr>
        <w:widowControl/>
        <w:shd w:val="clear" w:color="auto" w:fill="FFFFFF"/>
        <w:tabs>
          <w:tab w:val="left" w:pos="284"/>
          <w:tab w:val="left" w:pos="993"/>
        </w:tabs>
        <w:spacing w:line="360" w:lineRule="auto"/>
        <w:jc w:val="both"/>
        <w:rPr>
          <w:rFonts w:hint="eastAsia" w:ascii="宋体" w:hAnsi="宋体" w:eastAsia="宋体" w:cs="Arial"/>
          <w:b w:val="0"/>
          <w:bCs w:val="0"/>
          <w:color w:val="auto"/>
          <w:kern w:val="0"/>
          <w:sz w:val="24"/>
          <w:szCs w:val="24"/>
          <w:highlight w:val="none"/>
          <w:lang w:val="en-US" w:eastAsia="zh-CN"/>
        </w:rPr>
      </w:pPr>
    </w:p>
    <w:p>
      <w:pPr>
        <w:rPr>
          <w:rFonts w:hint="eastAsia" w:ascii="宋体" w:hAnsi="宋体" w:eastAsia="宋体" w:cs="Arial"/>
          <w:b w:val="0"/>
          <w:bCs w:val="0"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Arial"/>
          <w:b w:val="0"/>
          <w:bCs w:val="0"/>
          <w:color w:val="auto"/>
          <w:kern w:val="0"/>
          <w:sz w:val="24"/>
          <w:szCs w:val="24"/>
          <w:highlight w:val="none"/>
          <w:lang w:val="en-US" w:eastAsia="zh-CN"/>
        </w:rPr>
        <w:br w:type="page"/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附件一</w:t>
      </w:r>
      <w:r>
        <w:rPr>
          <w:rFonts w:hint="eastAsia" w:ascii="宋体" w:hAnsi="宋体" w:eastAsia="宋体" w:cs="Arial"/>
          <w:b w:val="0"/>
          <w:bCs w:val="0"/>
          <w:color w:val="auto"/>
          <w:kern w:val="0"/>
          <w:sz w:val="24"/>
          <w:szCs w:val="24"/>
          <w:highlight w:val="none"/>
          <w:lang w:val="en-US" w:eastAsia="zh-CN"/>
        </w:rPr>
        <w:t>：</w:t>
      </w:r>
    </w:p>
    <w:p>
      <w:pPr>
        <w:widowControl/>
        <w:shd w:val="clear" w:color="auto" w:fill="FFFFFF"/>
        <w:tabs>
          <w:tab w:val="left" w:pos="284"/>
          <w:tab w:val="left" w:pos="993"/>
        </w:tabs>
        <w:spacing w:line="360" w:lineRule="auto"/>
        <w:jc w:val="both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highlight w:val="none"/>
          <w:lang w:val="en-US" w:eastAsia="zh-CN"/>
        </w:rPr>
      </w:pPr>
      <w:r>
        <w:rPr>
          <w:rFonts w:hint="eastAsia" w:ascii="宋体" w:hAnsi="宋体" w:eastAsia="宋体" w:cs="Arial"/>
          <w:b w:val="0"/>
          <w:bCs w:val="0"/>
          <w:color w:val="auto"/>
          <w:kern w:val="0"/>
          <w:sz w:val="24"/>
          <w:szCs w:val="24"/>
          <w:highlight w:val="none"/>
          <w:lang w:val="en-US" w:eastAsia="zh-CN"/>
        </w:rPr>
        <w:t xml:space="preserve">                          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highlight w:val="none"/>
          <w:lang w:val="en-US" w:eastAsia="zh-CN"/>
        </w:rPr>
        <w:t xml:space="preserve"> 报名表</w:t>
      </w:r>
    </w:p>
    <w:tbl>
      <w:tblPr>
        <w:tblStyle w:val="10"/>
        <w:tblpPr w:leftFromText="180" w:rightFromText="180" w:vertAnchor="text" w:horzAnchor="page" w:tblpX="1764" w:tblpY="397"/>
        <w:tblOverlap w:val="never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7"/>
        <w:gridCol w:w="1393"/>
        <w:gridCol w:w="1304"/>
        <w:gridCol w:w="1342"/>
        <w:gridCol w:w="1694"/>
        <w:gridCol w:w="1071"/>
        <w:gridCol w:w="13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8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39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134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型号</w:t>
            </w:r>
          </w:p>
        </w:tc>
        <w:tc>
          <w:tcPr>
            <w:tcW w:w="16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07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联系人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897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93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0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42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69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71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19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897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93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0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42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69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71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19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897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93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0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42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69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71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19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897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93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0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42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69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71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19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897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93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0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42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69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71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19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897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93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0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42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69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71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19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97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93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0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42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694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71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19" w:type="dxa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84"/>
                <w:tab w:val="left" w:pos="993"/>
              </w:tabs>
              <w:spacing w:before="0" w:beforeAutospacing="0" w:after="0" w:afterAutospacing="0" w:line="360" w:lineRule="auto"/>
              <w:ind w:left="0" w:right="0"/>
              <w:jc w:val="both"/>
              <w:rPr>
                <w:rFonts w:hint="default" w:ascii="宋体" w:hAnsi="宋体" w:eastAsia="宋体" w:cs="Arial"/>
                <w:b w:val="0"/>
                <w:bCs w:val="0"/>
                <w:color w:val="auto"/>
                <w:kern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</w:tbl>
    <w:p>
      <w:pPr>
        <w:bidi w:val="0"/>
        <w:rPr>
          <w:rFonts w:hint="default"/>
          <w:lang w:val="en-US" w:eastAsia="zh-CN"/>
        </w:rPr>
      </w:pPr>
    </w:p>
    <w:p>
      <w:pPr>
        <w:rPr>
          <w:rFonts w:hint="eastAsia"/>
        </w:rPr>
      </w:pPr>
    </w:p>
    <w:sectPr>
      <w:pgSz w:w="11906" w:h="16838"/>
      <w:pgMar w:top="1440" w:right="1417" w:bottom="1440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86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方正楷体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EC0148"/>
    <w:multiLevelType w:val="singleLevel"/>
    <w:tmpl w:val="8FEC014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B7F1CC9"/>
    <w:multiLevelType w:val="singleLevel"/>
    <w:tmpl w:val="FB7F1CC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false"/>
  <w:bordersDoNotSurroundFooter w:val="fals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zA5MmQ4YTRjOWE5MjMxYzQ1NjNkMmMzMjBjYjI3NTMifQ=="/>
  </w:docVars>
  <w:rsids>
    <w:rsidRoot w:val="00172A27"/>
    <w:rsid w:val="000267CD"/>
    <w:rsid w:val="00044451"/>
    <w:rsid w:val="00063F04"/>
    <w:rsid w:val="000C4AFA"/>
    <w:rsid w:val="000D3F6F"/>
    <w:rsid w:val="000F3709"/>
    <w:rsid w:val="001B0CEF"/>
    <w:rsid w:val="00216E05"/>
    <w:rsid w:val="00235813"/>
    <w:rsid w:val="00354ECE"/>
    <w:rsid w:val="00363E9D"/>
    <w:rsid w:val="003D704C"/>
    <w:rsid w:val="00426FE3"/>
    <w:rsid w:val="00442425"/>
    <w:rsid w:val="00464622"/>
    <w:rsid w:val="00484E5D"/>
    <w:rsid w:val="004A30A1"/>
    <w:rsid w:val="004B27B2"/>
    <w:rsid w:val="004C172B"/>
    <w:rsid w:val="004E3540"/>
    <w:rsid w:val="005715EF"/>
    <w:rsid w:val="005B00E4"/>
    <w:rsid w:val="005B192A"/>
    <w:rsid w:val="00623C4C"/>
    <w:rsid w:val="007764F7"/>
    <w:rsid w:val="007805C7"/>
    <w:rsid w:val="007B133F"/>
    <w:rsid w:val="007D5991"/>
    <w:rsid w:val="0088714D"/>
    <w:rsid w:val="008A0508"/>
    <w:rsid w:val="0093024D"/>
    <w:rsid w:val="009534D8"/>
    <w:rsid w:val="00976851"/>
    <w:rsid w:val="009907DF"/>
    <w:rsid w:val="009944A9"/>
    <w:rsid w:val="009959ED"/>
    <w:rsid w:val="009E37BB"/>
    <w:rsid w:val="009F7306"/>
    <w:rsid w:val="00A02D1A"/>
    <w:rsid w:val="00A62C43"/>
    <w:rsid w:val="00AA6ABD"/>
    <w:rsid w:val="00B019AE"/>
    <w:rsid w:val="00B16688"/>
    <w:rsid w:val="00B7734C"/>
    <w:rsid w:val="00BB1346"/>
    <w:rsid w:val="00BF2408"/>
    <w:rsid w:val="00BF30C2"/>
    <w:rsid w:val="00BF723A"/>
    <w:rsid w:val="00C00C14"/>
    <w:rsid w:val="00C56B91"/>
    <w:rsid w:val="00C6104C"/>
    <w:rsid w:val="00C87D83"/>
    <w:rsid w:val="00CF00B2"/>
    <w:rsid w:val="00D111F7"/>
    <w:rsid w:val="00D359A4"/>
    <w:rsid w:val="00D47D38"/>
    <w:rsid w:val="00D537CB"/>
    <w:rsid w:val="00D91E8C"/>
    <w:rsid w:val="00DE642D"/>
    <w:rsid w:val="00E6544E"/>
    <w:rsid w:val="00EA41C7"/>
    <w:rsid w:val="00F071F4"/>
    <w:rsid w:val="00F43D89"/>
    <w:rsid w:val="00F96056"/>
    <w:rsid w:val="00FF0064"/>
    <w:rsid w:val="00FF5E44"/>
    <w:rsid w:val="0218079B"/>
    <w:rsid w:val="033D06BB"/>
    <w:rsid w:val="033D6479"/>
    <w:rsid w:val="08732C3F"/>
    <w:rsid w:val="08BC0A60"/>
    <w:rsid w:val="0A0929BF"/>
    <w:rsid w:val="0CD07BCD"/>
    <w:rsid w:val="0CF63859"/>
    <w:rsid w:val="0D26265C"/>
    <w:rsid w:val="0F932676"/>
    <w:rsid w:val="10D34B99"/>
    <w:rsid w:val="13D318DC"/>
    <w:rsid w:val="16A94E43"/>
    <w:rsid w:val="16D946A1"/>
    <w:rsid w:val="17620A24"/>
    <w:rsid w:val="18AC334D"/>
    <w:rsid w:val="196A0064"/>
    <w:rsid w:val="197D4D53"/>
    <w:rsid w:val="1BE94CC4"/>
    <w:rsid w:val="1E3E5D2D"/>
    <w:rsid w:val="21B96984"/>
    <w:rsid w:val="22702777"/>
    <w:rsid w:val="255A71DF"/>
    <w:rsid w:val="26A34D8D"/>
    <w:rsid w:val="2A344B9E"/>
    <w:rsid w:val="2CDE46DA"/>
    <w:rsid w:val="2F747B33"/>
    <w:rsid w:val="31D949E4"/>
    <w:rsid w:val="335C4DE8"/>
    <w:rsid w:val="34165BE8"/>
    <w:rsid w:val="3612145D"/>
    <w:rsid w:val="381A45AC"/>
    <w:rsid w:val="3A67174F"/>
    <w:rsid w:val="3B171D3E"/>
    <w:rsid w:val="3CD52179"/>
    <w:rsid w:val="3DF92411"/>
    <w:rsid w:val="3F4F69B8"/>
    <w:rsid w:val="3F7B0026"/>
    <w:rsid w:val="3FFBEAAD"/>
    <w:rsid w:val="3FFF5960"/>
    <w:rsid w:val="414E4BE4"/>
    <w:rsid w:val="417861E8"/>
    <w:rsid w:val="435C5DD2"/>
    <w:rsid w:val="43A478D6"/>
    <w:rsid w:val="44123D3F"/>
    <w:rsid w:val="48AB3752"/>
    <w:rsid w:val="49794CE7"/>
    <w:rsid w:val="498216B5"/>
    <w:rsid w:val="4B1B1390"/>
    <w:rsid w:val="4B9E5D52"/>
    <w:rsid w:val="4CDD5211"/>
    <w:rsid w:val="4D13189E"/>
    <w:rsid w:val="4D137AF0"/>
    <w:rsid w:val="4D173383"/>
    <w:rsid w:val="4F5547ED"/>
    <w:rsid w:val="4F570A63"/>
    <w:rsid w:val="4FC83E5F"/>
    <w:rsid w:val="504F0E3F"/>
    <w:rsid w:val="51586836"/>
    <w:rsid w:val="53271ECE"/>
    <w:rsid w:val="556530F0"/>
    <w:rsid w:val="556C445B"/>
    <w:rsid w:val="57D04B86"/>
    <w:rsid w:val="589F54E3"/>
    <w:rsid w:val="595A6A38"/>
    <w:rsid w:val="5C2B2A54"/>
    <w:rsid w:val="5C563555"/>
    <w:rsid w:val="5CE43082"/>
    <w:rsid w:val="5D1F5BC8"/>
    <w:rsid w:val="5D9F3202"/>
    <w:rsid w:val="5EBE665E"/>
    <w:rsid w:val="5F6B0312"/>
    <w:rsid w:val="61007F33"/>
    <w:rsid w:val="62613EF4"/>
    <w:rsid w:val="64367EA3"/>
    <w:rsid w:val="64823443"/>
    <w:rsid w:val="649410BE"/>
    <w:rsid w:val="649D2A28"/>
    <w:rsid w:val="64EC5BD8"/>
    <w:rsid w:val="65C854C3"/>
    <w:rsid w:val="65F86457"/>
    <w:rsid w:val="67C85410"/>
    <w:rsid w:val="68C238E2"/>
    <w:rsid w:val="6A1D20C9"/>
    <w:rsid w:val="6AB64522"/>
    <w:rsid w:val="6ADF2760"/>
    <w:rsid w:val="6AFFF983"/>
    <w:rsid w:val="6C951579"/>
    <w:rsid w:val="6DB44E3F"/>
    <w:rsid w:val="6DD8026E"/>
    <w:rsid w:val="6EBF7560"/>
    <w:rsid w:val="6EF44D92"/>
    <w:rsid w:val="73AC2EBA"/>
    <w:rsid w:val="73BF701F"/>
    <w:rsid w:val="73F25E3C"/>
    <w:rsid w:val="74A84EEA"/>
    <w:rsid w:val="761738FD"/>
    <w:rsid w:val="76DE1B30"/>
    <w:rsid w:val="779D7930"/>
    <w:rsid w:val="77A44370"/>
    <w:rsid w:val="77C1617B"/>
    <w:rsid w:val="77F76D03"/>
    <w:rsid w:val="7BFB546C"/>
    <w:rsid w:val="7C2E7883"/>
    <w:rsid w:val="7DFBB03D"/>
    <w:rsid w:val="7FDF36DE"/>
    <w:rsid w:val="BBFB16CB"/>
    <w:rsid w:val="CD77ED8F"/>
    <w:rsid w:val="DECF3BEA"/>
    <w:rsid w:val="DFFA14E6"/>
    <w:rsid w:val="EFBDD3FA"/>
    <w:rsid w:val="F5E34DE5"/>
    <w:rsid w:val="F5FF5984"/>
    <w:rsid w:val="FFC7767E"/>
    <w:rsid w:val="FFEEB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7" w:semiHidden="0" w:name="heading 1"/>
    <w:lsdException w:qFormat="1" w:uiPriority="9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7"/>
    <w:pPr>
      <w:keepNext/>
      <w:jc w:val="center"/>
      <w:outlineLvl w:val="0"/>
    </w:pPr>
    <w:rPr>
      <w:b/>
      <w:bCs/>
      <w:sz w:val="24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5"/>
    <w:link w:val="19"/>
    <w:unhideWhenUsed/>
    <w:qFormat/>
    <w:uiPriority w:val="0"/>
    <w:pPr>
      <w:spacing w:after="120"/>
    </w:pPr>
    <w:rPr>
      <w:rFonts w:ascii="Calibri" w:hAnsi="Calibri"/>
      <w:sz w:val="28"/>
      <w:szCs w:val="24"/>
    </w:rPr>
  </w:style>
  <w:style w:type="paragraph" w:styleId="5">
    <w:name w:val="Body Text First Indent"/>
    <w:basedOn w:val="4"/>
    <w:link w:val="20"/>
    <w:semiHidden/>
    <w:unhideWhenUsed/>
    <w:qFormat/>
    <w:uiPriority w:val="99"/>
    <w:pPr>
      <w:ind w:firstLine="420" w:firstLineChars="100"/>
    </w:pPr>
    <w:rPr>
      <w:rFonts w:asciiTheme="minorHAnsi" w:hAnsiTheme="minorHAnsi"/>
      <w:sz w:val="21"/>
      <w:szCs w:val="22"/>
    </w:rPr>
  </w:style>
  <w:style w:type="paragraph" w:styleId="6">
    <w:name w:val="footer"/>
    <w:basedOn w:val="1"/>
    <w:link w:val="15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10">
    <w:name w:val="Table Grid"/>
    <w:basedOn w:val="9"/>
    <w:qFormat/>
    <w:uiPriority w:val="5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character" w:styleId="12">
    <w:name w:val="Strong"/>
    <w:basedOn w:val="11"/>
    <w:qFormat/>
    <w:uiPriority w:val="22"/>
    <w:rPr>
      <w:rFonts w:hint="default" w:ascii="Arial" w:hAnsi="Arial" w:cs="Arial"/>
      <w:b/>
      <w:bCs/>
      <w:sz w:val="24"/>
      <w:szCs w:val="24"/>
    </w:rPr>
  </w:style>
  <w:style w:type="character" w:styleId="13">
    <w:name w:val="Hyperlink"/>
    <w:basedOn w:val="11"/>
    <w:unhideWhenUsed/>
    <w:qFormat/>
    <w:uiPriority w:val="99"/>
    <w:rPr>
      <w:color w:val="333333"/>
      <w:u w:val="none"/>
    </w:rPr>
  </w:style>
  <w:style w:type="character" w:customStyle="1" w:styleId="14">
    <w:name w:val="页眉 Char"/>
    <w:basedOn w:val="11"/>
    <w:link w:val="7"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11"/>
    <w:link w:val="6"/>
    <w:semiHidden/>
    <w:qFormat/>
    <w:uiPriority w:val="99"/>
    <w:rPr>
      <w:sz w:val="18"/>
      <w:szCs w:val="18"/>
    </w:rPr>
  </w:style>
  <w:style w:type="character" w:customStyle="1" w:styleId="16">
    <w:name w:val="列出段落 Char"/>
    <w:link w:val="17"/>
    <w:qFormat/>
    <w:uiPriority w:val="34"/>
    <w:rPr>
      <w:rFonts w:ascii="Times New Roman" w:hAnsi="Times New Roman" w:cs="Times New Roman"/>
      <w:sz w:val="24"/>
      <w:szCs w:val="24"/>
      <w:lang w:eastAsia="en-US"/>
    </w:rPr>
  </w:style>
  <w:style w:type="paragraph" w:styleId="17">
    <w:name w:val="List Paragraph"/>
    <w:basedOn w:val="1"/>
    <w:link w:val="16"/>
    <w:qFormat/>
    <w:uiPriority w:val="34"/>
    <w:pPr>
      <w:widowControl/>
      <w:ind w:firstLine="420" w:firstLineChars="200"/>
      <w:jc w:val="left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18">
    <w:name w:val="正文文本 Char"/>
    <w:link w:val="4"/>
    <w:qFormat/>
    <w:uiPriority w:val="0"/>
    <w:rPr>
      <w:rFonts w:ascii="Calibri" w:hAnsi="Calibri"/>
      <w:sz w:val="28"/>
      <w:szCs w:val="24"/>
    </w:rPr>
  </w:style>
  <w:style w:type="character" w:customStyle="1" w:styleId="19">
    <w:name w:val="正文文本 Char1"/>
    <w:basedOn w:val="11"/>
    <w:link w:val="4"/>
    <w:semiHidden/>
    <w:qFormat/>
    <w:uiPriority w:val="99"/>
  </w:style>
  <w:style w:type="character" w:customStyle="1" w:styleId="20">
    <w:name w:val="正文首行缩进 Char"/>
    <w:basedOn w:val="19"/>
    <w:link w:val="5"/>
    <w:semiHidden/>
    <w:qFormat/>
    <w:uiPriority w:val="99"/>
  </w:style>
  <w:style w:type="character" w:customStyle="1" w:styleId="21">
    <w:name w:val="font11"/>
    <w:basedOn w:val="1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1367</Words>
  <Characters>1660</Characters>
  <Lines>1</Lines>
  <Paragraphs>1</Paragraphs>
  <TotalTime>1</TotalTime>
  <ScaleCrop>false</ScaleCrop>
  <LinksUpToDate>false</LinksUpToDate>
  <CharactersWithSpaces>1687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2022-07-17T00:39:00Z</dcterms:created>
  <dc:creator>王延春(00192382)</dc:creator>
  <cp:lastModifiedBy>admin</cp:lastModifiedBy>
  <cp:lastPrinted>2024-10-25T00:46:00Z</cp:lastPrinted>
  <dcterms:modified xsi:type="dcterms:W3CDTF">2024-10-25T08:41:04Z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AC798B157A844D05AEF8AB2ACDA20802</vt:lpwstr>
  </property>
</Properties>
</file>