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rPr>
          <w:rFonts w:ascii="宋体" w:hAnsi="宋体" w:cs="宋体"/>
          <w:b/>
          <w:color w:val="auto"/>
          <w:sz w:val="52"/>
          <w:szCs w:val="52"/>
          <w:lang w:val="zh-CN"/>
        </w:rPr>
      </w:pPr>
    </w:p>
    <w:p>
      <w:pPr>
        <w:spacing w:line="240" w:lineRule="auto"/>
        <w:ind w:firstLine="0" w:firstLineChars="0"/>
        <w:jc w:val="center"/>
        <w:rPr>
          <w:rFonts w:ascii="宋体" w:hAnsi="宋体" w:cs="宋体"/>
          <w:b/>
          <w:color w:val="auto"/>
          <w:sz w:val="36"/>
          <w:szCs w:val="36"/>
          <w:lang w:val="zh-CN"/>
        </w:rPr>
      </w:pPr>
      <w:bookmarkStart w:id="0" w:name="_Toc32399"/>
      <w:bookmarkStart w:id="1" w:name="_Toc29473"/>
      <w:bookmarkStart w:id="2" w:name="_Toc15022"/>
    </w:p>
    <w:p>
      <w:pPr>
        <w:pStyle w:val="18"/>
        <w:ind w:left="0" w:leftChars="0" w:firstLine="0" w:firstLineChars="0"/>
        <w:jc w:val="center"/>
        <w:rPr>
          <w:rFonts w:hint="eastAsia"/>
          <w:lang w:val="zh-CN"/>
        </w:rPr>
      </w:pPr>
      <w:bookmarkStart w:id="3" w:name="_Toc15456"/>
      <w:bookmarkStart w:id="4" w:name="_Toc22968"/>
      <w:bookmarkStart w:id="5" w:name="_Toc4828"/>
      <w:bookmarkStart w:id="6" w:name="_Toc27429"/>
      <w:bookmarkStart w:id="7" w:name="_Toc27751"/>
      <w:bookmarkStart w:id="8" w:name="_Toc2899"/>
      <w:bookmarkStart w:id="9" w:name="_Toc9211"/>
      <w:bookmarkStart w:id="10" w:name="_Toc10558"/>
      <w:bookmarkStart w:id="11" w:name="_Toc22519"/>
      <w:r>
        <w:rPr>
          <w:rFonts w:hint="eastAsia" w:hAnsi="宋体" w:cs="宋体"/>
          <w:b/>
          <w:color w:val="auto"/>
          <w:sz w:val="52"/>
          <w:szCs w:val="52"/>
          <w:lang w:val="zh-CN"/>
        </w:rPr>
        <w:t>2023年龙游县老旧小区改造提升工程-阳光小区未来社区布展展陈项目</w:t>
      </w:r>
    </w:p>
    <w:p>
      <w:pPr>
        <w:tabs>
          <w:tab w:val="center" w:pos="4932"/>
          <w:tab w:val="left" w:pos="8491"/>
        </w:tabs>
        <w:spacing w:line="240" w:lineRule="auto"/>
        <w:ind w:firstLine="0" w:firstLineChars="0"/>
        <w:jc w:val="center"/>
        <w:outlineLvl w:val="0"/>
        <w:rPr>
          <w:rFonts w:hint="eastAsia" w:ascii="宋体" w:hAnsi="宋体" w:cs="宋体"/>
          <w:b/>
          <w:color w:val="auto"/>
          <w:sz w:val="44"/>
          <w:szCs w:val="44"/>
          <w:lang w:val="zh-CN"/>
        </w:rPr>
      </w:pPr>
      <w:bookmarkStart w:id="12" w:name="_Toc17236"/>
    </w:p>
    <w:p>
      <w:pPr>
        <w:tabs>
          <w:tab w:val="center" w:pos="4932"/>
          <w:tab w:val="left" w:pos="8491"/>
        </w:tabs>
        <w:spacing w:line="240" w:lineRule="auto"/>
        <w:ind w:firstLine="0" w:firstLineChars="0"/>
        <w:jc w:val="center"/>
        <w:outlineLvl w:val="0"/>
        <w:rPr>
          <w:rFonts w:ascii="宋体" w:hAnsi="宋体" w:cs="宋体"/>
          <w:b/>
          <w:color w:val="auto"/>
          <w:sz w:val="44"/>
          <w:szCs w:val="44"/>
          <w:lang w:val="zh-CN"/>
        </w:rPr>
      </w:pPr>
      <w:r>
        <w:rPr>
          <w:rFonts w:hint="eastAsia" w:ascii="宋体" w:hAnsi="宋体" w:cs="宋体"/>
          <w:b/>
          <w:color w:val="auto"/>
          <w:sz w:val="44"/>
          <w:szCs w:val="44"/>
          <w:lang w:val="zh-CN"/>
        </w:rPr>
        <w:t>项目编号：</w:t>
      </w:r>
      <w:bookmarkEnd w:id="0"/>
      <w:bookmarkEnd w:id="1"/>
      <w:bookmarkEnd w:id="2"/>
      <w:bookmarkEnd w:id="3"/>
      <w:bookmarkEnd w:id="4"/>
      <w:bookmarkEnd w:id="5"/>
      <w:bookmarkEnd w:id="6"/>
      <w:bookmarkEnd w:id="7"/>
      <w:bookmarkEnd w:id="8"/>
      <w:bookmarkEnd w:id="9"/>
      <w:bookmarkEnd w:id="10"/>
      <w:bookmarkEnd w:id="11"/>
      <w:bookmarkEnd w:id="12"/>
      <w:r>
        <w:rPr>
          <w:rFonts w:hint="eastAsia" w:ascii="宋体" w:hAnsi="宋体" w:cs="宋体"/>
          <w:b/>
          <w:color w:val="auto"/>
          <w:sz w:val="44"/>
          <w:szCs w:val="44"/>
          <w:lang w:val="zh-CN"/>
        </w:rPr>
        <w:t>LYCG2024XCX-002</w:t>
      </w:r>
    </w:p>
    <w:p>
      <w:pPr>
        <w:pStyle w:val="16"/>
        <w:ind w:firstLine="0" w:firstLineChars="0"/>
        <w:rPr>
          <w:color w:val="auto"/>
        </w:rPr>
      </w:pPr>
    </w:p>
    <w:p>
      <w:pPr>
        <w:pStyle w:val="40"/>
        <w:ind w:firstLine="0" w:firstLineChars="0"/>
        <w:rPr>
          <w:color w:val="auto"/>
        </w:rPr>
      </w:pPr>
    </w:p>
    <w:p>
      <w:pPr>
        <w:ind w:left="0" w:leftChars="0" w:firstLine="0" w:firstLineChars="0"/>
      </w:pPr>
    </w:p>
    <w:p/>
    <w:p>
      <w:pPr>
        <w:pStyle w:val="2"/>
        <w:numPr>
          <w:ilvl w:val="0"/>
          <w:numId w:val="0"/>
        </w:numPr>
        <w:spacing w:before="312" w:after="312"/>
        <w:rPr>
          <w:b w:val="0"/>
          <w:color w:val="auto"/>
          <w:sz w:val="84"/>
          <w:szCs w:val="84"/>
        </w:rPr>
      </w:pPr>
      <w:bookmarkStart w:id="13" w:name="_Toc16123"/>
      <w:bookmarkStart w:id="14" w:name="_Toc18284"/>
      <w:bookmarkStart w:id="15" w:name="_Toc20415"/>
      <w:bookmarkStart w:id="16" w:name="_Toc29899"/>
      <w:bookmarkStart w:id="17" w:name="_Toc21191"/>
      <w:bookmarkStart w:id="18" w:name="_Toc25432"/>
      <w:bookmarkStart w:id="19" w:name="_Toc3604"/>
      <w:bookmarkStart w:id="20" w:name="_Toc3452"/>
      <w:bookmarkStart w:id="21" w:name="_Toc22509"/>
      <w:bookmarkStart w:id="22" w:name="_Toc16998"/>
      <w:bookmarkStart w:id="23" w:name="_Toc29628"/>
      <w:bookmarkStart w:id="24" w:name="_Toc22836"/>
      <w:bookmarkStart w:id="25" w:name="_Toc316"/>
      <w:bookmarkStart w:id="26" w:name="_Toc7862"/>
      <w:bookmarkStart w:id="27" w:name="_Toc19234"/>
      <w:bookmarkStart w:id="28" w:name="_Toc30029"/>
      <w:bookmarkStart w:id="29" w:name="_Toc24377"/>
      <w:bookmarkStart w:id="30" w:name="_Toc14416"/>
      <w:bookmarkStart w:id="31" w:name="_Toc1315"/>
      <w:bookmarkStart w:id="32" w:name="_Toc9907"/>
      <w:bookmarkStart w:id="33" w:name="_Toc18946"/>
      <w:bookmarkStart w:id="34" w:name="_Toc3353"/>
      <w:bookmarkStart w:id="35" w:name="_Toc2996"/>
      <w:bookmarkStart w:id="36" w:name="_Toc3816"/>
      <w:bookmarkStart w:id="37" w:name="_Toc31437"/>
      <w:bookmarkStart w:id="38" w:name="_Toc13806"/>
      <w:bookmarkStart w:id="39" w:name="_Toc32532"/>
      <w:r>
        <w:rPr>
          <w:color w:val="auto"/>
          <w:sz w:val="84"/>
          <w:szCs w:val="84"/>
        </w:rPr>
        <w:t>公开招标文件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39"/>
        <w:ind w:left="0" w:leftChars="0" w:firstLine="0" w:firstLineChars="0"/>
        <w:jc w:val="both"/>
        <w:outlineLvl w:val="9"/>
      </w:pPr>
    </w:p>
    <w:p/>
    <w:p>
      <w:pPr>
        <w:pStyle w:val="47"/>
      </w:pPr>
    </w:p>
    <w:p/>
    <w:p>
      <w:pPr>
        <w:pStyle w:val="52"/>
        <w:rPr>
          <w:color w:val="auto"/>
          <w:lang w:val="zh-CN"/>
        </w:rPr>
      </w:pPr>
    </w:p>
    <w:p>
      <w:pPr>
        <w:pStyle w:val="52"/>
        <w:rPr>
          <w:color w:val="auto"/>
          <w:lang w:val="zh-CN"/>
        </w:rPr>
      </w:pPr>
    </w:p>
    <w:p>
      <w:pPr>
        <w:adjustRightInd w:val="0"/>
        <w:snapToGrid w:val="0"/>
        <w:spacing w:line="800" w:lineRule="exact"/>
        <w:ind w:firstLine="964" w:firstLineChars="300"/>
        <w:outlineLvl w:val="0"/>
        <w:rPr>
          <w:rFonts w:ascii="宋体" w:hAnsi="宋体"/>
          <w:b/>
          <w:bCs/>
          <w:color w:val="auto"/>
          <w:sz w:val="32"/>
          <w:szCs w:val="32"/>
          <w:lang w:val="zh-CN"/>
        </w:rPr>
      </w:pPr>
      <w:bookmarkStart w:id="40" w:name="_Toc25590"/>
      <w:bookmarkStart w:id="41" w:name="_Toc17773"/>
      <w:bookmarkStart w:id="42" w:name="_Toc5623"/>
      <w:bookmarkStart w:id="43" w:name="_Toc21898"/>
      <w:bookmarkStart w:id="44" w:name="_Toc17343"/>
      <w:bookmarkStart w:id="45" w:name="_Toc21088"/>
      <w:bookmarkStart w:id="46" w:name="_Toc16838"/>
      <w:bookmarkStart w:id="47" w:name="_Toc25950"/>
      <w:bookmarkStart w:id="48" w:name="_Toc19150"/>
      <w:bookmarkStart w:id="49" w:name="_Toc6812"/>
      <w:bookmarkStart w:id="50" w:name="_Toc5870"/>
      <w:bookmarkStart w:id="51" w:name="_Toc10292"/>
      <w:bookmarkStart w:id="52" w:name="_Toc17119"/>
      <w:bookmarkStart w:id="53" w:name="_Toc10073"/>
      <w:bookmarkStart w:id="54" w:name="_Toc13995"/>
      <w:bookmarkStart w:id="55" w:name="_Toc11886"/>
      <w:r>
        <w:rPr>
          <w:rFonts w:hint="eastAsia" w:ascii="宋体" w:hAnsi="宋体"/>
          <w:b/>
          <w:bCs/>
          <w:color w:val="auto"/>
          <w:sz w:val="32"/>
          <w:szCs w:val="32"/>
          <w:lang w:val="zh-CN"/>
        </w:rPr>
        <w:t>采</w:t>
      </w:r>
      <w:r>
        <w:rPr>
          <w:rFonts w:hint="eastAsia" w:ascii="宋体" w:hAnsi="宋体"/>
          <w:b/>
          <w:bCs/>
          <w:color w:val="auto"/>
          <w:sz w:val="32"/>
          <w:szCs w:val="32"/>
        </w:rPr>
        <w:t xml:space="preserve">   </w:t>
      </w:r>
      <w:r>
        <w:rPr>
          <w:rFonts w:hint="eastAsia" w:ascii="宋体" w:hAnsi="宋体"/>
          <w:b/>
          <w:bCs/>
          <w:color w:val="auto"/>
          <w:sz w:val="32"/>
          <w:szCs w:val="32"/>
          <w:lang w:val="zh-CN"/>
        </w:rPr>
        <w:t>购</w:t>
      </w:r>
      <w:r>
        <w:rPr>
          <w:rFonts w:hint="eastAsia" w:ascii="宋体" w:hAnsi="宋体"/>
          <w:b/>
          <w:bCs/>
          <w:color w:val="auto"/>
          <w:sz w:val="32"/>
          <w:szCs w:val="32"/>
        </w:rPr>
        <w:t xml:space="preserve">   </w:t>
      </w:r>
      <w:r>
        <w:rPr>
          <w:rFonts w:hint="eastAsia" w:ascii="宋体" w:hAnsi="宋体"/>
          <w:b/>
          <w:bCs/>
          <w:color w:val="auto"/>
          <w:sz w:val="32"/>
          <w:szCs w:val="32"/>
          <w:lang w:val="zh-CN"/>
        </w:rPr>
        <w:t>人：龙游县城市发展投资有限公司（</w:t>
      </w:r>
      <w:r>
        <w:rPr>
          <w:rFonts w:hint="eastAsia" w:ascii="宋体" w:hAnsi="宋体"/>
          <w:b/>
          <w:bCs/>
          <w:color w:val="auto"/>
          <w:sz w:val="32"/>
          <w:szCs w:val="32"/>
        </w:rPr>
        <w:t>盖章</w:t>
      </w:r>
      <w:r>
        <w:rPr>
          <w:rFonts w:hint="eastAsia" w:ascii="宋体" w:hAnsi="宋体"/>
          <w:b/>
          <w:bCs/>
          <w:color w:val="auto"/>
          <w:sz w:val="32"/>
          <w:szCs w:val="32"/>
          <w:lang w:val="zh-CN"/>
        </w:rPr>
        <w:t>）</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adjustRightInd w:val="0"/>
        <w:snapToGrid w:val="0"/>
        <w:spacing w:line="800" w:lineRule="exact"/>
        <w:ind w:firstLine="964" w:firstLineChars="300"/>
        <w:outlineLvl w:val="0"/>
        <w:rPr>
          <w:rFonts w:ascii="宋体" w:hAnsi="宋体"/>
          <w:b/>
          <w:bCs/>
          <w:color w:val="auto"/>
          <w:sz w:val="44"/>
          <w:szCs w:val="44"/>
          <w:lang w:val="zh-CN"/>
        </w:rPr>
      </w:pPr>
      <w:bookmarkStart w:id="56" w:name="_Toc23740"/>
      <w:bookmarkStart w:id="57" w:name="_Toc8207"/>
      <w:bookmarkStart w:id="58" w:name="_Toc22952"/>
      <w:bookmarkStart w:id="59" w:name="_Toc5468"/>
      <w:bookmarkStart w:id="60" w:name="_Toc6155"/>
      <w:bookmarkStart w:id="61" w:name="_Toc11450"/>
      <w:bookmarkStart w:id="62" w:name="_Toc17743"/>
      <w:bookmarkStart w:id="63" w:name="_Toc13576"/>
      <w:bookmarkStart w:id="64" w:name="_Toc17588"/>
      <w:bookmarkStart w:id="65" w:name="_Toc10453"/>
      <w:bookmarkStart w:id="66" w:name="_Toc28723"/>
      <w:bookmarkStart w:id="67" w:name="_Toc1371"/>
      <w:bookmarkStart w:id="68" w:name="_Toc13318"/>
      <w:bookmarkStart w:id="69" w:name="_Toc32552"/>
      <w:bookmarkStart w:id="70" w:name="_Toc11169"/>
      <w:bookmarkStart w:id="71" w:name="_Toc21860"/>
      <w:bookmarkStart w:id="72" w:name="_Toc11940"/>
      <w:r>
        <w:rPr>
          <w:rFonts w:hint="eastAsia" w:ascii="宋体" w:hAnsi="宋体"/>
          <w:b/>
          <w:bCs/>
          <w:color w:val="auto"/>
          <w:sz w:val="32"/>
          <w:szCs w:val="32"/>
        </w:rPr>
        <w:t>采购</w:t>
      </w:r>
      <w:r>
        <w:rPr>
          <w:rFonts w:hint="eastAsia" w:ascii="宋体" w:hAnsi="宋体"/>
          <w:b/>
          <w:bCs/>
          <w:color w:val="auto"/>
          <w:sz w:val="32"/>
          <w:szCs w:val="32"/>
          <w:lang w:val="zh-CN"/>
        </w:rPr>
        <w:t>代理机构：</w:t>
      </w:r>
      <w:bookmarkEnd w:id="56"/>
      <w:bookmarkEnd w:id="57"/>
      <w:bookmarkEnd w:id="58"/>
      <w:r>
        <w:rPr>
          <w:rFonts w:hint="eastAsia" w:ascii="宋体" w:hAnsi="宋体"/>
          <w:b/>
          <w:bCs/>
          <w:color w:val="auto"/>
          <w:sz w:val="32"/>
          <w:szCs w:val="32"/>
          <w:lang w:val="zh-CN"/>
        </w:rPr>
        <w:t>浙江新诚信工程咨询有限公司（</w:t>
      </w:r>
      <w:r>
        <w:rPr>
          <w:rFonts w:hint="eastAsia" w:ascii="宋体" w:hAnsi="宋体"/>
          <w:b/>
          <w:bCs/>
          <w:color w:val="auto"/>
          <w:sz w:val="32"/>
          <w:szCs w:val="32"/>
        </w:rPr>
        <w:t>盖章</w:t>
      </w:r>
      <w:r>
        <w:rPr>
          <w:rFonts w:hint="eastAsia" w:ascii="宋体" w:hAnsi="宋体"/>
          <w:b/>
          <w:bCs/>
          <w:color w:val="auto"/>
          <w:sz w:val="32"/>
          <w:szCs w:val="32"/>
          <w:lang w:val="zh-CN"/>
        </w:rPr>
        <w:t>）</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8"/>
        <w:ind w:left="0" w:leftChars="0" w:firstLine="0" w:firstLineChars="0"/>
        <w:jc w:val="left"/>
        <w:rPr>
          <w:rFonts w:hint="default" w:hAnsi="宋体"/>
          <w:b/>
          <w:bCs/>
          <w:color w:val="auto"/>
          <w:sz w:val="32"/>
          <w:szCs w:val="32"/>
          <w:lang w:val="zh-CN"/>
        </w:rPr>
      </w:pPr>
    </w:p>
    <w:p>
      <w:pPr>
        <w:pStyle w:val="18"/>
        <w:ind w:left="0" w:leftChars="0" w:firstLine="0" w:firstLineChars="0"/>
        <w:jc w:val="center"/>
        <w:rPr>
          <w:rFonts w:hint="default" w:hAnsi="宋体"/>
          <w:b/>
          <w:bCs/>
          <w:color w:val="auto"/>
          <w:kern w:val="2"/>
          <w:sz w:val="32"/>
          <w:szCs w:val="32"/>
          <w:lang w:val="zh-CN"/>
        </w:rPr>
      </w:pPr>
      <w:r>
        <w:rPr>
          <w:rFonts w:hAnsi="宋体"/>
          <w:b/>
          <w:bCs/>
          <w:color w:val="auto"/>
          <w:kern w:val="2"/>
          <w:sz w:val="32"/>
          <w:szCs w:val="32"/>
          <w:lang w:val="zh-CN"/>
        </w:rPr>
        <w:t>二〇二</w:t>
      </w:r>
      <w:r>
        <w:rPr>
          <w:rFonts w:hint="eastAsia" w:hAnsi="宋体"/>
          <w:b/>
          <w:bCs/>
          <w:color w:val="auto"/>
          <w:kern w:val="2"/>
          <w:sz w:val="32"/>
          <w:szCs w:val="32"/>
          <w:lang w:val="en-US" w:eastAsia="zh-CN"/>
        </w:rPr>
        <w:t>四</w:t>
      </w:r>
      <w:r>
        <w:rPr>
          <w:rFonts w:hAnsi="宋体"/>
          <w:b/>
          <w:bCs/>
          <w:color w:val="auto"/>
          <w:kern w:val="2"/>
          <w:sz w:val="32"/>
          <w:szCs w:val="32"/>
          <w:lang w:val="zh-CN"/>
        </w:rPr>
        <w:t>年</w:t>
      </w:r>
      <w:r>
        <w:rPr>
          <w:rFonts w:hint="eastAsia" w:hAnsi="宋体"/>
          <w:b/>
          <w:bCs/>
          <w:color w:val="auto"/>
          <w:kern w:val="2"/>
          <w:sz w:val="32"/>
          <w:szCs w:val="32"/>
          <w:lang w:val="en-US" w:eastAsia="zh-CN"/>
        </w:rPr>
        <w:t>四</w:t>
      </w:r>
      <w:r>
        <w:rPr>
          <w:rFonts w:hAnsi="宋体"/>
          <w:b/>
          <w:bCs/>
          <w:color w:val="auto"/>
          <w:kern w:val="2"/>
          <w:sz w:val="32"/>
          <w:szCs w:val="32"/>
          <w:lang w:val="zh-CN"/>
        </w:rPr>
        <w:t>月</w:t>
      </w:r>
      <w:bookmarkEnd w:id="54"/>
      <w:bookmarkEnd w:id="55"/>
    </w:p>
    <w:p>
      <w:pPr>
        <w:ind w:firstLine="0" w:firstLineChars="0"/>
        <w:jc w:val="center"/>
        <w:rPr>
          <w:rFonts w:hint="eastAsia" w:ascii="宋体" w:hAnsi="宋体" w:cs="宋体"/>
          <w:b/>
          <w:color w:val="auto"/>
          <w:sz w:val="44"/>
          <w:szCs w:val="44"/>
        </w:rPr>
      </w:pPr>
    </w:p>
    <w:p>
      <w:pPr>
        <w:ind w:firstLine="0" w:firstLineChars="0"/>
        <w:jc w:val="center"/>
        <w:rPr>
          <w:rFonts w:ascii="宋体" w:hAnsi="宋体" w:cs="宋体"/>
          <w:color w:val="auto"/>
        </w:rPr>
      </w:pPr>
      <w:r>
        <w:rPr>
          <w:rFonts w:hint="eastAsia" w:ascii="宋体" w:hAnsi="宋体" w:cs="宋体"/>
          <w:b/>
          <w:color w:val="auto"/>
          <w:sz w:val="44"/>
          <w:szCs w:val="44"/>
        </w:rPr>
        <w:t>目  录</w:t>
      </w:r>
    </w:p>
    <w:sdt>
      <w:sdtPr>
        <w:rPr>
          <w:rFonts w:ascii="宋体" w:hAnsi="宋体" w:eastAsia="宋体" w:cstheme="minorBidi"/>
          <w:kern w:val="2"/>
          <w:sz w:val="21"/>
          <w:szCs w:val="24"/>
          <w:lang w:val="en-US" w:eastAsia="zh-CN" w:bidi="ar-SA"/>
        </w:rPr>
        <w:id w:val="147478848"/>
        <w15:color w:val="DBDBDB"/>
        <w:docPartObj>
          <w:docPartGallery w:val="Table of Contents"/>
          <w:docPartUnique/>
        </w:docPartObj>
      </w:sdtPr>
      <w:sdtEndPr>
        <w:rPr>
          <w:rFonts w:hint="eastAsia" w:ascii="Times New Roman" w:hAnsi="Times New Roman" w:eastAsia="宋体" w:cstheme="minorBidi"/>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0"/>
            <w:tabs>
              <w:tab w:val="right" w:leader="dot" w:pos="9746"/>
            </w:tabs>
            <w:rPr>
              <w:b/>
            </w:rPr>
          </w:pPr>
          <w:r>
            <w:rPr>
              <w:rFonts w:hint="eastAsia"/>
            </w:rPr>
            <w:fldChar w:fldCharType="begin"/>
          </w:r>
          <w:r>
            <w:rPr>
              <w:rFonts w:hint="eastAsia"/>
            </w:rPr>
            <w:instrText xml:space="preserve">TOC \o "1-2" \h \u </w:instrText>
          </w:r>
          <w:r>
            <w:rPr>
              <w:rFonts w:hint="eastAsia"/>
            </w:rPr>
            <w:fldChar w:fldCharType="separate"/>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_Toc19285 </w:instrText>
          </w:r>
          <w:r>
            <w:rPr>
              <w:rFonts w:hint="eastAsia" w:ascii="宋体" w:hAnsi="宋体" w:eastAsia="宋体" w:cs="宋体"/>
              <w:b/>
              <w:sz w:val="24"/>
              <w:szCs w:val="24"/>
            </w:rPr>
            <w:fldChar w:fldCharType="separate"/>
          </w:r>
          <w:r>
            <w:rPr>
              <w:rFonts w:hint="eastAsia" w:ascii="宋体" w:hAnsi="宋体" w:eastAsia="宋体" w:cs="宋体"/>
              <w:b/>
              <w:bCs/>
              <w:sz w:val="24"/>
              <w:szCs w:val="24"/>
            </w:rPr>
            <w:t>第一章 招标公告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_Toc19285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_Toc9506 </w:instrText>
          </w:r>
          <w:r>
            <w:rPr>
              <w:rFonts w:hint="eastAsia" w:ascii="宋体" w:hAnsi="宋体" w:eastAsia="宋体" w:cs="宋体"/>
              <w:b/>
              <w:sz w:val="24"/>
              <w:szCs w:val="24"/>
            </w:rPr>
            <w:fldChar w:fldCharType="separate"/>
          </w:r>
          <w:r>
            <w:rPr>
              <w:rFonts w:hint="eastAsia" w:ascii="宋体" w:hAnsi="宋体" w:eastAsia="宋体" w:cs="宋体"/>
              <w:b/>
              <w:sz w:val="24"/>
              <w:szCs w:val="24"/>
            </w:rPr>
            <w:t xml:space="preserve">第二章 </w:t>
          </w:r>
          <w:r>
            <w:rPr>
              <w:rFonts w:hint="eastAsia" w:ascii="宋体" w:hAnsi="宋体" w:cs="宋体"/>
              <w:b/>
              <w:sz w:val="24"/>
              <w:szCs w:val="24"/>
              <w:lang w:eastAsia="zh-CN"/>
            </w:rPr>
            <w:t>投标人</w:t>
          </w:r>
          <w:r>
            <w:rPr>
              <w:rFonts w:hint="eastAsia" w:ascii="宋体" w:hAnsi="宋体" w:eastAsia="宋体" w:cs="宋体"/>
              <w:b/>
              <w:sz w:val="24"/>
              <w:szCs w:val="24"/>
            </w:rPr>
            <w:t>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_Toc9506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bidi="ar"/>
            </w:rPr>
            <w:t>一、</w:t>
          </w:r>
          <w:r>
            <w:rPr>
              <w:rFonts w:hint="eastAsia" w:ascii="宋体" w:hAnsi="宋体" w:cs="宋体"/>
              <w:bCs w:val="0"/>
              <w:sz w:val="24"/>
              <w:szCs w:val="24"/>
              <w:lang w:eastAsia="zh-CN" w:bidi="ar"/>
            </w:rPr>
            <w:t>投标人</w:t>
          </w:r>
          <w:r>
            <w:rPr>
              <w:rFonts w:hint="eastAsia" w:ascii="宋体" w:hAnsi="宋体" w:eastAsia="宋体" w:cs="宋体"/>
              <w:bCs w:val="0"/>
              <w:sz w:val="24"/>
              <w:szCs w:val="24"/>
              <w:lang w:bidi="ar"/>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_Toc4736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bidi="ar"/>
            </w:rPr>
            <w:t>二、总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_Toc4736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_Toc14887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三、招标文件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_Toc28648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四、投标文件的编制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_Toc28648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_Toc7555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五、投标文件的递交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_Toc7555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_Toc11534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六、投标无效的情形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_Toc26252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val="en-US" w:eastAsia="zh-CN" w:bidi="ar"/>
            </w:rPr>
            <w:t>八</w:t>
          </w:r>
          <w:r>
            <w:rPr>
              <w:rFonts w:hint="eastAsia" w:ascii="宋体" w:hAnsi="宋体" w:eastAsia="宋体" w:cs="宋体"/>
              <w:bCs w:val="0"/>
              <w:sz w:val="24"/>
              <w:szCs w:val="24"/>
              <w:highlight w:val="none"/>
              <w:lang w:bidi="ar"/>
            </w:rPr>
            <w:t>、废标的情形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_Toc26252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_Toc11809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val="en-US" w:eastAsia="zh-CN" w:bidi="ar"/>
            </w:rPr>
            <w:t>九</w:t>
          </w:r>
          <w:r>
            <w:rPr>
              <w:rFonts w:hint="eastAsia" w:ascii="宋体" w:hAnsi="宋体" w:eastAsia="宋体" w:cs="宋体"/>
              <w:bCs w:val="0"/>
              <w:sz w:val="24"/>
              <w:szCs w:val="24"/>
              <w:highlight w:val="none"/>
              <w:lang w:bidi="ar"/>
            </w:rPr>
            <w:t>、开标、评标和定标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_Toc11809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_Toc13797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val="en-US" w:eastAsia="zh-CN" w:bidi="ar"/>
            </w:rPr>
            <w:t>十、</w:t>
          </w:r>
          <w:r>
            <w:rPr>
              <w:rFonts w:hint="eastAsia" w:ascii="宋体" w:hAnsi="宋体" w:eastAsia="宋体" w:cs="宋体"/>
              <w:bCs w:val="0"/>
              <w:sz w:val="24"/>
              <w:szCs w:val="24"/>
              <w:highlight w:val="none"/>
              <w:lang w:bidi="ar"/>
            </w:rPr>
            <w:t>电子投标说明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_Toc13797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_Toc4862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十</w:t>
          </w:r>
          <w:r>
            <w:rPr>
              <w:rFonts w:hint="eastAsia" w:ascii="宋体" w:hAnsi="宋体" w:eastAsia="宋体" w:cs="宋体"/>
              <w:bCs w:val="0"/>
              <w:sz w:val="24"/>
              <w:szCs w:val="24"/>
              <w:highlight w:val="none"/>
              <w:lang w:val="en-US" w:eastAsia="zh-CN" w:bidi="ar"/>
            </w:rPr>
            <w:t>一</w:t>
          </w:r>
          <w:r>
            <w:rPr>
              <w:rFonts w:hint="eastAsia" w:ascii="宋体" w:hAnsi="宋体" w:eastAsia="宋体" w:cs="宋体"/>
              <w:bCs w:val="0"/>
              <w:sz w:val="24"/>
              <w:szCs w:val="24"/>
              <w:highlight w:val="none"/>
              <w:lang w:bidi="ar"/>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_Toc4862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十</w:t>
          </w:r>
          <w:r>
            <w:rPr>
              <w:rFonts w:hint="eastAsia" w:ascii="宋体" w:hAnsi="宋体" w:eastAsia="宋体" w:cs="宋体"/>
              <w:bCs w:val="0"/>
              <w:sz w:val="24"/>
              <w:szCs w:val="24"/>
              <w:highlight w:val="none"/>
              <w:lang w:val="en-US" w:eastAsia="zh-CN" w:bidi="ar"/>
            </w:rPr>
            <w:t>二</w:t>
          </w:r>
          <w:r>
            <w:rPr>
              <w:rFonts w:hint="eastAsia" w:ascii="宋体" w:hAnsi="宋体" w:eastAsia="宋体" w:cs="宋体"/>
              <w:bCs w:val="0"/>
              <w:sz w:val="24"/>
              <w:szCs w:val="24"/>
              <w:highlight w:val="none"/>
              <w:lang w:bidi="ar"/>
            </w:rPr>
            <w:t>、质疑和投诉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_Toc21011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十</w:t>
          </w:r>
          <w:r>
            <w:rPr>
              <w:rFonts w:hint="eastAsia" w:ascii="宋体" w:hAnsi="宋体" w:eastAsia="宋体" w:cs="宋体"/>
              <w:bCs w:val="0"/>
              <w:sz w:val="24"/>
              <w:szCs w:val="24"/>
              <w:highlight w:val="none"/>
              <w:lang w:val="en-US" w:eastAsia="zh-CN" w:bidi="ar"/>
            </w:rPr>
            <w:t>三</w:t>
          </w:r>
          <w:r>
            <w:rPr>
              <w:rFonts w:hint="eastAsia" w:ascii="宋体" w:hAnsi="宋体" w:eastAsia="宋体" w:cs="宋体"/>
              <w:bCs w:val="0"/>
              <w:sz w:val="24"/>
              <w:szCs w:val="24"/>
              <w:highlight w:val="none"/>
              <w:lang w:bidi="ar"/>
            </w:rPr>
            <w:t>、授予合同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_Toc18932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十</w:t>
          </w:r>
          <w:r>
            <w:rPr>
              <w:rFonts w:hint="eastAsia" w:ascii="宋体" w:hAnsi="宋体" w:eastAsia="宋体" w:cs="宋体"/>
              <w:bCs w:val="0"/>
              <w:sz w:val="24"/>
              <w:szCs w:val="24"/>
              <w:highlight w:val="none"/>
              <w:lang w:val="en-US" w:eastAsia="zh-CN" w:bidi="ar"/>
            </w:rPr>
            <w:t>四</w:t>
          </w:r>
          <w:r>
            <w:rPr>
              <w:rFonts w:hint="eastAsia" w:ascii="宋体" w:hAnsi="宋体" w:eastAsia="宋体" w:cs="宋体"/>
              <w:bCs w:val="0"/>
              <w:sz w:val="24"/>
              <w:szCs w:val="24"/>
              <w:highlight w:val="none"/>
              <w:lang w:bidi="ar"/>
            </w:rPr>
            <w:t>、法律责任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_Toc19842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bCs w:val="0"/>
              <w:sz w:val="24"/>
              <w:szCs w:val="24"/>
              <w:highlight w:val="none"/>
              <w:lang w:val="en-US" w:eastAsia="zh-CN"/>
            </w:rPr>
            <w:t>五</w:t>
          </w:r>
          <w:r>
            <w:rPr>
              <w:rFonts w:hint="eastAsia" w:ascii="宋体" w:hAnsi="宋体" w:eastAsia="宋体" w:cs="宋体"/>
              <w:bCs w:val="0"/>
              <w:sz w:val="24"/>
              <w:szCs w:val="24"/>
              <w:highlight w:val="none"/>
            </w:rPr>
            <w:t>、诚信管理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_Toc19842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1"/>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_Toc18631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bidi="ar"/>
            </w:rPr>
            <w:t>十</w:t>
          </w:r>
          <w:r>
            <w:rPr>
              <w:rFonts w:hint="eastAsia" w:ascii="宋体" w:hAnsi="宋体" w:eastAsia="宋体" w:cs="宋体"/>
              <w:bCs w:val="0"/>
              <w:sz w:val="24"/>
              <w:szCs w:val="24"/>
              <w:highlight w:val="none"/>
              <w:lang w:val="en-US" w:eastAsia="zh-CN" w:bidi="ar"/>
            </w:rPr>
            <w:t>六</w:t>
          </w:r>
          <w:r>
            <w:rPr>
              <w:rFonts w:hint="eastAsia" w:ascii="宋体" w:hAnsi="宋体" w:eastAsia="宋体" w:cs="宋体"/>
              <w:bCs w:val="0"/>
              <w:sz w:val="24"/>
              <w:szCs w:val="24"/>
              <w:highlight w:val="none"/>
              <w:lang w:bidi="ar"/>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_Toc18631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_Toc24030 </w:instrText>
          </w:r>
          <w:r>
            <w:rPr>
              <w:rFonts w:hint="eastAsia" w:ascii="宋体" w:hAnsi="宋体" w:eastAsia="宋体" w:cs="宋体"/>
              <w:b/>
              <w:sz w:val="24"/>
              <w:szCs w:val="24"/>
            </w:rPr>
            <w:fldChar w:fldCharType="separate"/>
          </w:r>
          <w:r>
            <w:rPr>
              <w:rFonts w:hint="eastAsia" w:ascii="宋体" w:hAnsi="宋体" w:eastAsia="宋体" w:cs="宋体"/>
              <w:b/>
              <w:sz w:val="24"/>
              <w:szCs w:val="24"/>
              <w:lang w:eastAsia="zh-CN"/>
            </w:rPr>
            <w:t xml:space="preserve">第三章 </w:t>
          </w:r>
          <w:r>
            <w:rPr>
              <w:rFonts w:hint="eastAsia" w:ascii="宋体" w:hAnsi="宋体" w:eastAsia="宋体" w:cs="宋体"/>
              <w:b/>
              <w:sz w:val="24"/>
              <w:szCs w:val="24"/>
              <w:highlight w:val="none"/>
            </w:rPr>
            <w:t>采购内容及要求</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_Toc24030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_Toc4682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rPr>
            <w:t xml:space="preserve">第四章 </w:t>
          </w:r>
          <w:r>
            <w:rPr>
              <w:rFonts w:hint="eastAsia" w:ascii="宋体" w:hAnsi="宋体" w:eastAsia="宋体" w:cs="宋体"/>
              <w:b/>
              <w:sz w:val="24"/>
              <w:szCs w:val="24"/>
              <w:highlight w:val="none"/>
              <w:lang w:val="zh-CN"/>
            </w:rPr>
            <w:t>评标办法及评分标准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_Toc4682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32</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_Toc6829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lang w:val="zh-CN"/>
            </w:rPr>
            <w:t>第五章 合同条款及格式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_Toc6829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38</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0"/>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_Toc13518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none"/>
            </w:rPr>
            <w:t>第六章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_Toc13518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44</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90"/>
            <w:tabs>
              <w:tab w:val="right" w:leader="dot" w:pos="9746"/>
            </w:tabs>
            <w:rPr>
              <w:b/>
            </w:rPr>
          </w:pPr>
        </w:p>
        <w:p>
          <w:pPr>
            <w:bidi w:val="0"/>
            <w:rPr>
              <w:rFonts w:hint="eastAsia"/>
            </w:rPr>
          </w:pPr>
          <w:r>
            <w:rPr>
              <w:rFonts w:hint="eastAsia"/>
              <w:b/>
            </w:rPr>
            <w:fldChar w:fldCharType="end"/>
          </w:r>
        </w:p>
      </w:sdtContent>
    </w:sdt>
    <w:p>
      <w:pPr>
        <w:pStyle w:val="2"/>
        <w:numPr>
          <w:ilvl w:val="0"/>
          <w:numId w:val="0"/>
        </w:numPr>
        <w:spacing w:beforeLines="0" w:afterLines="0" w:line="480" w:lineRule="exact"/>
        <w:rPr>
          <w:rFonts w:hint="eastAsia"/>
          <w:bCs/>
          <w:color w:val="auto"/>
          <w:szCs w:val="36"/>
        </w:rPr>
      </w:pPr>
      <w:bookmarkStart w:id="73" w:name="_Toc19285"/>
    </w:p>
    <w:p>
      <w:pPr>
        <w:pStyle w:val="2"/>
        <w:numPr>
          <w:ilvl w:val="0"/>
          <w:numId w:val="0"/>
        </w:numPr>
        <w:spacing w:beforeLines="0" w:afterLines="0" w:line="480" w:lineRule="exact"/>
        <w:rPr>
          <w:rFonts w:hint="eastAsia"/>
          <w:bCs/>
          <w:color w:val="auto"/>
          <w:szCs w:val="36"/>
        </w:rPr>
      </w:pPr>
    </w:p>
    <w:p>
      <w:pPr>
        <w:pStyle w:val="2"/>
        <w:numPr>
          <w:ilvl w:val="0"/>
          <w:numId w:val="0"/>
        </w:numPr>
        <w:spacing w:beforeLines="0" w:afterLines="0" w:line="480" w:lineRule="exact"/>
        <w:rPr>
          <w:rFonts w:hint="eastAsia"/>
          <w:bCs/>
          <w:color w:val="auto"/>
          <w:szCs w:val="36"/>
        </w:rPr>
      </w:pPr>
    </w:p>
    <w:p>
      <w:pPr>
        <w:bidi w:val="0"/>
        <w:rPr>
          <w:rFonts w:hint="eastAsia"/>
        </w:rPr>
      </w:pPr>
    </w:p>
    <w:p>
      <w:pPr>
        <w:bidi w:val="0"/>
        <w:rPr>
          <w:rFonts w:hint="eastAsia"/>
        </w:rPr>
      </w:pPr>
    </w:p>
    <w:p>
      <w:pPr>
        <w:pStyle w:val="2"/>
        <w:numPr>
          <w:ilvl w:val="0"/>
          <w:numId w:val="0"/>
        </w:numPr>
        <w:spacing w:beforeLines="0" w:afterLines="0" w:line="480" w:lineRule="exact"/>
        <w:rPr>
          <w:color w:val="auto"/>
        </w:rPr>
      </w:pPr>
      <w:r>
        <w:rPr>
          <w:rFonts w:hint="eastAsia"/>
          <w:bCs/>
          <w:color w:val="auto"/>
          <w:szCs w:val="36"/>
        </w:rPr>
        <w:t>第一章 招标公告</w:t>
      </w:r>
      <w:bookmarkEnd w:id="73"/>
    </w:p>
    <w:p>
      <w:pPr>
        <w:numPr>
          <w:ilvl w:val="255"/>
          <w:numId w:val="0"/>
        </w:numPr>
        <w:snapToGrid w:val="0"/>
        <w:spacing w:line="312" w:lineRule="auto"/>
        <w:ind w:firstLine="482" w:firstLineChars="200"/>
        <w:rPr>
          <w:rFonts w:ascii="宋体" w:hAnsi="宋体" w:cs="宋体"/>
          <w:b/>
          <w:bCs/>
          <w:color w:val="auto"/>
        </w:rPr>
      </w:pPr>
      <w:bookmarkStart w:id="74" w:name="_Toc31067"/>
      <w:bookmarkStart w:id="75" w:name="_Toc26629"/>
      <w:bookmarkStart w:id="76" w:name="_Toc6450"/>
      <w:bookmarkStart w:id="77" w:name="_Toc14520"/>
      <w:bookmarkStart w:id="78" w:name="_Toc16052"/>
      <w:bookmarkStart w:id="79" w:name="_Toc30197"/>
      <w:bookmarkStart w:id="80" w:name="_Toc28535"/>
      <w:bookmarkStart w:id="81" w:name="_Toc23139"/>
      <w:bookmarkStart w:id="82" w:name="_Toc29328"/>
      <w:bookmarkStart w:id="83" w:name="_Toc22093"/>
      <w:bookmarkStart w:id="84" w:name="_Toc15323"/>
      <w:bookmarkStart w:id="85" w:name="_Toc15977"/>
      <w:bookmarkStart w:id="86" w:name="_Toc19851"/>
      <w:bookmarkStart w:id="87" w:name="_Toc14390"/>
      <w:bookmarkStart w:id="88" w:name="_Toc3174"/>
      <w:bookmarkStart w:id="89" w:name="_Toc11780"/>
      <w:bookmarkStart w:id="90" w:name="_Toc16976"/>
      <w:bookmarkStart w:id="91" w:name="_Toc5108"/>
      <w:bookmarkStart w:id="92" w:name="_Toc16750"/>
      <w:bookmarkStart w:id="93" w:name="_Toc20476"/>
      <w:bookmarkStart w:id="94" w:name="_Toc28359002"/>
      <w:bookmarkStart w:id="95" w:name="_Toc2153"/>
      <w:bookmarkStart w:id="96" w:name="_Toc28359079"/>
      <w:bookmarkStart w:id="97" w:name="_Toc29696"/>
      <w:bookmarkStart w:id="98" w:name="_Toc24657"/>
      <w:bookmarkStart w:id="99" w:name="_Toc6951"/>
      <w:bookmarkStart w:id="100" w:name="_Toc30645"/>
      <w:bookmarkStart w:id="101" w:name="_Hlk24379207"/>
      <w:bookmarkStart w:id="102" w:name="_Toc12772"/>
      <w:bookmarkStart w:id="103" w:name="_Toc23741"/>
      <w:bookmarkStart w:id="104" w:name="_Toc18103"/>
      <w:bookmarkStart w:id="105" w:name="_Toc26829"/>
      <w:bookmarkStart w:id="106" w:name="_Toc5925"/>
    </w:p>
    <w:p>
      <w:pPr>
        <w:pStyle w:val="19"/>
        <w:keepNext w:val="0"/>
        <w:keepLines w:val="0"/>
        <w:pageBreakBefore w:val="0"/>
        <w:tabs>
          <w:tab w:val="left" w:pos="397"/>
          <w:tab w:val="left" w:pos="420"/>
        </w:tabs>
        <w:kinsoku/>
        <w:wordWrap/>
        <w:overflowPunct/>
        <w:topLinePunct w:val="0"/>
        <w:autoSpaceDE/>
        <w:autoSpaceDN/>
        <w:bidi w:val="0"/>
        <w:spacing w:line="288" w:lineRule="auto"/>
        <w:ind w:firstLine="480"/>
        <w:textAlignment w:val="auto"/>
        <w:rPr>
          <w:rFonts w:ascii="宋体" w:hAnsi="宋体" w:cs="宋体"/>
          <w:color w:val="auto"/>
          <w:lang w:val="zh-CN"/>
        </w:rPr>
      </w:pPr>
      <w:r>
        <w:rPr>
          <w:rFonts w:hint="eastAsia" w:ascii="宋体" w:hAnsi="宋体" w:cs="宋体"/>
          <w:color w:val="auto"/>
          <w:lang w:val="zh-CN"/>
        </w:rPr>
        <w:t>根据《龙游县国有企业采购管理办法》（龙政办发〔2021〕58号）等有关规定，浙江新诚信工程咨询有限公司受龙游县城市发展投资有限公司委托，就</w:t>
      </w:r>
      <w:r>
        <w:rPr>
          <w:rFonts w:hint="eastAsia" w:ascii="宋体" w:hAnsi="宋体" w:cs="宋体"/>
          <w:color w:val="auto"/>
          <w:lang w:eastAsia="zh-CN"/>
        </w:rPr>
        <w:t>2023年龙游县老旧小区改造提升工程-阳光小区未来社区布展展陈项目</w:t>
      </w:r>
      <w:r>
        <w:rPr>
          <w:rFonts w:hint="eastAsia" w:ascii="宋体" w:hAnsi="宋体" w:cs="宋体"/>
          <w:color w:val="auto"/>
          <w:lang w:val="zh-CN"/>
        </w:rPr>
        <w:t>进行公开招标，欢迎符合条件的投标人参加本次采购活动。</w:t>
      </w:r>
    </w:p>
    <w:p>
      <w:pPr>
        <w:keepNext w:val="0"/>
        <w:keepLines w:val="0"/>
        <w:pageBreakBefore w:val="0"/>
        <w:widowControl w:val="0"/>
        <w:numPr>
          <w:ilvl w:val="255"/>
          <w:numId w:val="0"/>
        </w:numPr>
        <w:kinsoku/>
        <w:wordWrap/>
        <w:overflowPunct/>
        <w:topLinePunct w:val="0"/>
        <w:autoSpaceDE/>
        <w:autoSpaceDN/>
        <w:bidi w:val="0"/>
        <w:adjustRightInd/>
        <w:snapToGrid w:val="0"/>
        <w:spacing w:line="288" w:lineRule="auto"/>
        <w:ind w:firstLine="482" w:firstLineChars="200"/>
        <w:textAlignment w:val="auto"/>
        <w:outlineLvl w:val="1"/>
        <w:rPr>
          <w:rFonts w:ascii="宋体" w:hAnsi="宋体" w:cs="宋体"/>
          <w:b/>
          <w:bCs/>
          <w:color w:val="auto"/>
          <w:lang w:val="zh-CN"/>
        </w:rPr>
      </w:pPr>
      <w:bookmarkStart w:id="107" w:name="_Toc18378"/>
      <w:bookmarkStart w:id="108" w:name="_Toc10714"/>
      <w:bookmarkStart w:id="109" w:name="_Toc26312"/>
      <w:r>
        <w:rPr>
          <w:rFonts w:hint="eastAsia" w:ascii="宋体" w:hAnsi="宋体" w:cs="宋体"/>
          <w:b/>
          <w:bCs/>
          <w:color w:val="auto"/>
        </w:rPr>
        <w:t>一、</w:t>
      </w:r>
      <w:r>
        <w:rPr>
          <w:rFonts w:hint="eastAsia" w:ascii="宋体" w:hAnsi="宋体" w:cs="宋体"/>
          <w:b/>
          <w:bCs/>
          <w:color w:val="auto"/>
          <w:lang w:val="zh-CN"/>
        </w:rPr>
        <w:t>项目基本情况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107"/>
      <w:bookmarkEnd w:id="108"/>
      <w:bookmarkEnd w:id="109"/>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lang w:eastAsia="zh-CN"/>
        </w:rPr>
      </w:pPr>
      <w:r>
        <w:rPr>
          <w:rFonts w:hint="eastAsia" w:ascii="宋体" w:hAnsi="宋体" w:cs="宋体"/>
          <w:color w:val="auto"/>
        </w:rPr>
        <w:t>1.项目编号：</w:t>
      </w:r>
      <w:r>
        <w:rPr>
          <w:rFonts w:hint="eastAsia" w:ascii="宋体" w:hAnsi="宋体" w:cs="宋体"/>
          <w:color w:val="auto"/>
          <w:lang w:eastAsia="zh-CN"/>
        </w:rPr>
        <w:t>LYCG2024XCX-002</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cs="宋体"/>
          <w:color w:val="auto"/>
          <w:lang w:eastAsia="zh-CN"/>
        </w:rPr>
      </w:pPr>
      <w:r>
        <w:rPr>
          <w:rFonts w:hint="eastAsia" w:ascii="宋体" w:hAnsi="宋体" w:cs="宋体"/>
          <w:color w:val="auto"/>
        </w:rPr>
        <w:t>2.项目名称：</w:t>
      </w:r>
      <w:r>
        <w:rPr>
          <w:rFonts w:hint="eastAsia" w:ascii="宋体" w:hAnsi="宋体" w:cs="宋体"/>
          <w:color w:val="auto"/>
          <w:lang w:eastAsia="zh-CN"/>
        </w:rPr>
        <w:t>2023年龙游县老旧小区改造提升工程-阳光小区未来社区布展展陈项目</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ascii="宋体" w:hAnsi="宋体" w:cs="宋体"/>
          <w:color w:val="auto"/>
        </w:rPr>
      </w:pPr>
      <w:r>
        <w:rPr>
          <w:rFonts w:hint="eastAsia" w:ascii="宋体" w:hAnsi="宋体" w:cs="宋体"/>
          <w:color w:val="auto"/>
        </w:rPr>
        <w:t>3.采购方式：公开招标</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default" w:ascii="宋体" w:hAnsi="宋体" w:eastAsia="宋体" w:cs="宋体"/>
          <w:color w:val="auto"/>
          <w:lang w:val="en-US" w:eastAsia="zh-CN"/>
        </w:rPr>
      </w:pPr>
      <w:r>
        <w:rPr>
          <w:rFonts w:hint="eastAsia" w:ascii="宋体" w:hAnsi="宋体" w:cs="宋体"/>
          <w:color w:val="auto"/>
        </w:rPr>
        <w:t>4.预算金额（元）</w:t>
      </w:r>
      <w:r>
        <w:rPr>
          <w:rFonts w:hint="eastAsia" w:ascii="宋体" w:hAnsi="宋体" w:cs="宋体"/>
          <w:color w:val="auto"/>
          <w:lang w:eastAsia="zh-CN"/>
        </w:rPr>
        <w:t>：</w:t>
      </w:r>
      <w:r>
        <w:rPr>
          <w:rFonts w:hint="eastAsia" w:ascii="宋体" w:hAnsi="宋体" w:cs="宋体"/>
          <w:color w:val="auto"/>
          <w:lang w:val="en-US" w:eastAsia="zh-CN"/>
        </w:rPr>
        <w:t>2640406元</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lang w:eastAsia="zh-CN"/>
        </w:rPr>
      </w:pPr>
      <w:r>
        <w:rPr>
          <w:rFonts w:hint="eastAsia" w:ascii="宋体" w:hAnsi="宋体" w:cs="宋体"/>
          <w:color w:val="auto"/>
        </w:rPr>
        <w:t>5.最高限价（元）</w:t>
      </w:r>
      <w:r>
        <w:rPr>
          <w:rFonts w:hint="eastAsia" w:ascii="宋体" w:hAnsi="宋体" w:cs="宋体"/>
          <w:color w:val="auto"/>
          <w:lang w:eastAsia="zh-CN"/>
        </w:rPr>
        <w:t>：</w:t>
      </w:r>
      <w:r>
        <w:rPr>
          <w:rFonts w:hint="eastAsia" w:ascii="宋体" w:hAnsi="宋体" w:cs="宋体"/>
          <w:color w:val="auto"/>
          <w:lang w:val="en-US" w:eastAsia="zh-CN"/>
        </w:rPr>
        <w:t>2640406元</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kern w:val="2"/>
          <w:sz w:val="24"/>
          <w:szCs w:val="24"/>
          <w:lang w:val="en-US" w:eastAsia="zh-CN" w:bidi="ar-SA"/>
        </w:rPr>
      </w:pPr>
      <w:bookmarkStart w:id="110" w:name="_Toc25577"/>
      <w:bookmarkStart w:id="111" w:name="_Toc19072"/>
      <w:bookmarkStart w:id="112" w:name="_Toc22029"/>
      <w:bookmarkStart w:id="113" w:name="_Toc11395"/>
      <w:bookmarkStart w:id="114" w:name="_Toc25114"/>
      <w:bookmarkStart w:id="115" w:name="_Toc11832"/>
      <w:bookmarkStart w:id="116" w:name="_Toc16650"/>
      <w:bookmarkStart w:id="117" w:name="_Toc8671"/>
      <w:bookmarkStart w:id="118" w:name="_Toc17737"/>
      <w:bookmarkStart w:id="119" w:name="_Toc8407"/>
      <w:bookmarkStart w:id="120" w:name="_Toc2474"/>
      <w:bookmarkStart w:id="121" w:name="_Toc20050"/>
      <w:bookmarkStart w:id="122" w:name="_Toc14749"/>
      <w:bookmarkStart w:id="123" w:name="_Toc12876"/>
      <w:r>
        <w:rPr>
          <w:rFonts w:hint="eastAsia" w:ascii="宋体" w:hAnsi="宋体" w:eastAsia="宋体" w:cs="宋体"/>
          <w:color w:val="auto"/>
          <w:kern w:val="2"/>
          <w:sz w:val="24"/>
          <w:szCs w:val="24"/>
          <w:lang w:val="en-US" w:eastAsia="zh-CN" w:bidi="ar-SA"/>
        </w:rPr>
        <w:t>6.简要规格描述或项目基本概况介绍、用途：详见招标文件“第三章 采购内容及要求”（包括但不限于标的的名称、数量、简要技术需求或服务要求等）。</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7.合同履行期限：</w:t>
      </w:r>
      <w:r>
        <w:rPr>
          <w:rFonts w:hint="eastAsia" w:ascii="宋体" w:hAnsi="宋体" w:cs="宋体"/>
          <w:color w:val="auto"/>
          <w:kern w:val="2"/>
          <w:sz w:val="24"/>
          <w:szCs w:val="24"/>
          <w:lang w:val="en-US" w:eastAsia="zh-CN" w:bidi="ar-SA"/>
        </w:rPr>
        <w:t>自合同签订生效之日起30天完成设计布展并通过验收。</w:t>
      </w:r>
    </w:p>
    <w:p>
      <w:pPr>
        <w:pStyle w:val="19"/>
        <w:keepNext w:val="0"/>
        <w:keepLines w:val="0"/>
        <w:pageBreakBefore w:val="0"/>
        <w:widowControl w:val="0"/>
        <w:numPr>
          <w:ilvl w:val="255"/>
          <w:numId w:val="0"/>
        </w:numPr>
        <w:tabs>
          <w:tab w:val="left" w:pos="397"/>
          <w:tab w:val="left" w:pos="420"/>
        </w:tabs>
        <w:kinsoku/>
        <w:wordWrap/>
        <w:overflowPunct/>
        <w:topLinePunct w:val="0"/>
        <w:autoSpaceDE/>
        <w:autoSpaceDN/>
        <w:bidi w:val="0"/>
        <w:adjustRightInd/>
        <w:snapToGrid w:val="0"/>
        <w:spacing w:line="288" w:lineRule="auto"/>
        <w:ind w:firstLine="480" w:firstLineChars="200"/>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8.本项目</w:t>
      </w:r>
      <w:r>
        <w:rPr>
          <w:rFonts w:hint="eastAsia" w:ascii="宋体" w:hAnsi="宋体" w:cs="宋体"/>
          <w:color w:val="auto"/>
          <w:kern w:val="2"/>
          <w:sz w:val="24"/>
          <w:szCs w:val="24"/>
          <w:lang w:val="en-US" w:eastAsia="zh-CN" w:bidi="ar-SA"/>
        </w:rPr>
        <w:t>不</w:t>
      </w:r>
      <w:r>
        <w:rPr>
          <w:rFonts w:hint="eastAsia" w:ascii="宋体" w:hAnsi="宋体" w:eastAsia="宋体" w:cs="宋体"/>
          <w:color w:val="auto"/>
          <w:kern w:val="2"/>
          <w:sz w:val="24"/>
          <w:szCs w:val="24"/>
          <w:lang w:val="en-US" w:eastAsia="zh-CN" w:bidi="ar-SA"/>
        </w:rPr>
        <w:t xml:space="preserve">接受联合体投标。 </w:t>
      </w:r>
    </w:p>
    <w:p>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rPr>
      </w:pPr>
      <w:bookmarkStart w:id="124" w:name="_Toc21589"/>
      <w:bookmarkStart w:id="125" w:name="_Toc6127"/>
      <w:bookmarkStart w:id="126" w:name="_Toc6501"/>
      <w:bookmarkStart w:id="127" w:name="_Toc3697"/>
      <w:r>
        <w:rPr>
          <w:rFonts w:hint="eastAsia" w:ascii="宋体" w:hAnsi="宋体" w:cs="宋体"/>
          <w:b/>
          <w:bCs/>
          <w:color w:val="auto"/>
        </w:rPr>
        <w:t>二、申请人的资格要求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keepNext w:val="0"/>
        <w:keepLines w:val="0"/>
        <w:pageBreakBefore w:val="0"/>
        <w:kinsoku/>
        <w:wordWrap/>
        <w:overflowPunct/>
        <w:topLinePunct w:val="0"/>
        <w:autoSpaceDE/>
        <w:autoSpaceDN/>
        <w:bidi w:val="0"/>
        <w:adjustRightInd w:val="0"/>
        <w:snapToGrid w:val="0"/>
        <w:spacing w:line="288" w:lineRule="auto"/>
        <w:ind w:firstLine="480"/>
        <w:textAlignment w:val="auto"/>
        <w:outlineLvl w:val="2"/>
        <w:rPr>
          <w:rFonts w:ascii="宋体" w:hAnsi="宋体" w:cs="宋体"/>
          <w:color w:val="auto"/>
        </w:rPr>
      </w:pPr>
      <w:bookmarkStart w:id="128" w:name="_Toc16689"/>
      <w:bookmarkStart w:id="129" w:name="_Toc17140"/>
      <w:bookmarkStart w:id="130" w:name="_Toc29933"/>
      <w:bookmarkStart w:id="131" w:name="_Toc15990"/>
      <w:bookmarkStart w:id="132" w:name="_Toc11020"/>
      <w:bookmarkStart w:id="133" w:name="_Toc3109"/>
      <w:r>
        <w:rPr>
          <w:rFonts w:hint="eastAsia" w:ascii="宋体" w:hAnsi="宋体" w:cs="宋体"/>
          <w:color w:val="auto"/>
        </w:rPr>
        <w:t>1.</w:t>
      </w:r>
      <w:r>
        <w:rPr>
          <w:rFonts w:hint="eastAsia" w:ascii="宋体" w:hAnsi="宋体" w:cs="宋体"/>
          <w:color w:val="auto"/>
          <w:lang w:eastAsia="zh-CN"/>
        </w:rPr>
        <w:t>满足《龙游县国有企业采购管理办法》（龙政办发〔2021〕58号）第十二条规定</w:t>
      </w:r>
      <w:r>
        <w:rPr>
          <w:rFonts w:hint="eastAsia" w:ascii="宋体" w:hAnsi="宋体" w:cs="宋体"/>
          <w:color w:val="auto"/>
        </w:rPr>
        <w:t>：</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1）具有独立承担民事责任的能力；</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2）具有良好的商业信誉和健全的财务会计制度；</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3）具有履行合同所必需的设备和专业技术能力；</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4）有依法缴纳税收和社会保障资金的良好记录；</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5）参加</w:t>
      </w:r>
      <w:r>
        <w:rPr>
          <w:rFonts w:hint="eastAsia" w:ascii="宋体" w:hAnsi="宋体" w:cs="宋体"/>
          <w:color w:val="auto"/>
          <w:lang w:eastAsia="zh-CN"/>
        </w:rPr>
        <w:t>国企采购活动前三年内</w:t>
      </w:r>
      <w:r>
        <w:rPr>
          <w:rFonts w:hint="eastAsia" w:ascii="宋体" w:hAnsi="宋体" w:cs="宋体"/>
          <w:color w:val="auto"/>
        </w:rPr>
        <w:t>，在经营活动中没有重大违法记录；</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ascii="宋体" w:hAnsi="宋体" w:cs="宋体"/>
          <w:color w:val="auto"/>
        </w:rPr>
      </w:pPr>
      <w:r>
        <w:rPr>
          <w:rFonts w:hint="eastAsia" w:ascii="宋体" w:hAnsi="宋体" w:cs="宋体"/>
          <w:color w:val="auto"/>
        </w:rPr>
        <w:t>6）法律、行政法规规定的其他条件。</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投标人</w:t>
      </w:r>
      <w:r>
        <w:rPr>
          <w:rFonts w:hint="eastAsia" w:ascii="宋体" w:hAnsi="宋体" w:cs="宋体"/>
          <w:color w:val="auto"/>
        </w:rPr>
        <w:t>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rPr>
      </w:pPr>
      <w:r>
        <w:rPr>
          <w:rFonts w:hint="eastAsia" w:ascii="宋体" w:hAnsi="宋体" w:cs="宋体"/>
          <w:color w:val="auto"/>
        </w:rPr>
        <w:t>3.单位负责人为同一人或者存在直接控股、管理关系的不同</w:t>
      </w:r>
      <w:r>
        <w:rPr>
          <w:rFonts w:hint="eastAsia" w:ascii="宋体" w:hAnsi="宋体" w:cs="宋体"/>
          <w:color w:val="auto"/>
          <w:lang w:eastAsia="zh-CN"/>
        </w:rPr>
        <w:t>投标人</w:t>
      </w:r>
      <w:r>
        <w:rPr>
          <w:rFonts w:hint="eastAsia" w:ascii="宋体" w:hAnsi="宋体" w:cs="宋体"/>
          <w:color w:val="auto"/>
        </w:rPr>
        <w:t>，不得参加同一合同项下的采购活动。</w:t>
      </w:r>
    </w:p>
    <w:bookmarkEnd w:id="128"/>
    <w:bookmarkEnd w:id="129"/>
    <w:bookmarkEnd w:id="130"/>
    <w:bookmarkEnd w:id="131"/>
    <w:bookmarkEnd w:id="132"/>
    <w:bookmarkEnd w:id="133"/>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lang w:val="en-US" w:eastAsia="zh-CN"/>
        </w:rPr>
      </w:pPr>
      <w:r>
        <w:rPr>
          <w:rFonts w:hint="eastAsia" w:ascii="宋体" w:hAnsi="宋体" w:cs="宋体"/>
          <w:color w:val="auto"/>
        </w:rPr>
        <w:t>4.落实国企采购政策需满足的资格要求：</w:t>
      </w:r>
      <w:r>
        <w:rPr>
          <w:rFonts w:hint="eastAsia" w:ascii="宋体" w:hAnsi="宋体" w:cs="宋体"/>
          <w:color w:val="auto"/>
          <w:lang w:val="en-US" w:eastAsia="zh-CN"/>
        </w:rPr>
        <w:t>在中华人民共和国境内依法注册的并具有独立有效法人资格的投标人。</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rPr>
      </w:pPr>
      <w:r>
        <w:rPr>
          <w:rFonts w:hint="eastAsia" w:ascii="宋体" w:hAnsi="宋体" w:cs="宋体"/>
          <w:color w:val="auto"/>
        </w:rPr>
        <w:t>5.本项目的特定资格要求：</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rPr>
      </w:pPr>
      <w:r>
        <w:rPr>
          <w:rFonts w:hint="eastAsia" w:ascii="宋体" w:hAnsi="宋体" w:cs="宋体"/>
          <w:color w:val="auto"/>
          <w:lang w:val="en-US" w:eastAsia="zh-CN"/>
        </w:rPr>
        <w:t>5.1投标人</w:t>
      </w:r>
      <w:r>
        <w:rPr>
          <w:rFonts w:hint="eastAsia" w:ascii="宋体" w:hAnsi="宋体" w:cs="宋体"/>
          <w:color w:val="auto"/>
        </w:rPr>
        <w:t>具备建筑</w:t>
      </w:r>
      <w:r>
        <w:rPr>
          <w:rFonts w:hint="eastAsia" w:ascii="宋体" w:hAnsi="宋体" w:cs="宋体"/>
          <w:color w:val="auto"/>
          <w:lang w:eastAsia="zh-CN"/>
        </w:rPr>
        <w:t>装饰工程</w:t>
      </w:r>
      <w:r>
        <w:rPr>
          <w:rFonts w:hint="eastAsia" w:ascii="宋体" w:hAnsi="宋体" w:cs="宋体"/>
          <w:color w:val="auto"/>
        </w:rPr>
        <w:t>专业承包</w:t>
      </w:r>
      <w:r>
        <w:rPr>
          <w:rFonts w:hint="eastAsia" w:ascii="宋体" w:hAnsi="宋体" w:cs="宋体"/>
          <w:color w:val="auto"/>
          <w:lang w:val="en-US" w:eastAsia="zh-CN"/>
        </w:rPr>
        <w:t>贰级及以上资质，并具有安全生产许可证的独立法人；</w:t>
      </w:r>
    </w:p>
    <w:p>
      <w:pPr>
        <w:keepNext w:val="0"/>
        <w:keepLines w:val="0"/>
        <w:pageBreakBefore w:val="0"/>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lang w:eastAsia="zh-CN"/>
        </w:rPr>
      </w:pPr>
      <w:bookmarkStart w:id="134" w:name="_Toc31197"/>
      <w:bookmarkStart w:id="135" w:name="_Toc11147"/>
      <w:bookmarkStart w:id="136" w:name="_Toc5989"/>
      <w:bookmarkStart w:id="137" w:name="_Toc23129"/>
      <w:bookmarkStart w:id="138" w:name="_Toc20064"/>
      <w:bookmarkStart w:id="139" w:name="_Toc21923"/>
      <w:bookmarkStart w:id="140" w:name="_Toc17769"/>
      <w:bookmarkStart w:id="141" w:name="_Toc13512"/>
      <w:bookmarkStart w:id="142" w:name="_Toc26194"/>
      <w:bookmarkStart w:id="143" w:name="_Toc2752"/>
      <w:bookmarkStart w:id="144" w:name="_Toc5447"/>
      <w:bookmarkStart w:id="145" w:name="_Toc32492"/>
      <w:bookmarkStart w:id="146" w:name="_Toc728"/>
      <w:bookmarkStart w:id="147" w:name="_Toc1765"/>
      <w:bookmarkStart w:id="148" w:name="_Toc29791"/>
      <w:bookmarkStart w:id="149" w:name="_Toc20310"/>
      <w:bookmarkStart w:id="150" w:name="_Toc1399"/>
      <w:r>
        <w:rPr>
          <w:rFonts w:hint="eastAsia" w:ascii="宋体" w:hAnsi="宋体" w:cs="宋体"/>
          <w:color w:val="auto"/>
          <w:lang w:val="en-US" w:eastAsia="zh-CN"/>
        </w:rPr>
        <w:t>5.2</w:t>
      </w:r>
      <w:r>
        <w:rPr>
          <w:rFonts w:hint="eastAsia" w:ascii="宋体" w:hAnsi="宋体" w:cs="宋体"/>
          <w:color w:val="auto"/>
        </w:rPr>
        <w:t>项目负责人具备建筑工程注册建造师贰级及以上</w:t>
      </w:r>
      <w:r>
        <w:rPr>
          <w:rFonts w:hint="eastAsia" w:ascii="宋体" w:hAnsi="宋体" w:eastAsia="宋体" w:cs="宋体"/>
          <w:color w:val="auto"/>
          <w:highlight w:val="none"/>
          <w:lang w:val="en-US" w:eastAsia="zh-CN" w:bidi="ar"/>
        </w:rPr>
        <w:t>执业资格</w:t>
      </w:r>
      <w:r>
        <w:rPr>
          <w:rFonts w:hint="eastAsia" w:ascii="宋体" w:hAnsi="宋体" w:cs="宋体"/>
          <w:color w:val="auto"/>
        </w:rPr>
        <w:t>且具备B证，证书在有效期内</w:t>
      </w:r>
      <w:r>
        <w:rPr>
          <w:rFonts w:hint="eastAsia" w:ascii="宋体" w:hAnsi="宋体" w:cs="宋体"/>
          <w:color w:val="auto"/>
          <w:lang w:eastAsia="zh-CN"/>
        </w:rPr>
        <w:t>。</w:t>
      </w:r>
    </w:p>
    <w:p>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rPr>
      </w:pPr>
      <w:bookmarkStart w:id="151" w:name="_Toc309"/>
      <w:r>
        <w:rPr>
          <w:rFonts w:hint="eastAsia" w:ascii="宋体" w:hAnsi="宋体" w:cs="宋体"/>
          <w:b/>
          <w:bCs/>
          <w:color w:val="auto"/>
        </w:rPr>
        <w:t>三、电子评标</w:t>
      </w:r>
      <w:bookmarkEnd w:id="134"/>
      <w:bookmarkEnd w:id="135"/>
      <w:bookmarkEnd w:id="136"/>
      <w:bookmarkEnd w:id="151"/>
    </w:p>
    <w:p>
      <w:pPr>
        <w:keepNext w:val="0"/>
        <w:keepLines w:val="0"/>
        <w:pageBreakBefore w:val="0"/>
        <w:kinsoku/>
        <w:wordWrap/>
        <w:overflowPunct/>
        <w:topLinePunct w:val="0"/>
        <w:autoSpaceDE/>
        <w:autoSpaceDN/>
        <w:bidi w:val="0"/>
        <w:spacing w:line="288" w:lineRule="auto"/>
        <w:ind w:firstLine="480"/>
        <w:textAlignment w:val="auto"/>
        <w:rPr>
          <w:rFonts w:ascii="宋体" w:hAnsi="宋体" w:cs="宋体"/>
          <w:color w:val="auto"/>
        </w:rPr>
      </w:pPr>
      <w:r>
        <w:rPr>
          <w:rFonts w:hint="eastAsia" w:ascii="宋体" w:hAnsi="宋体" w:cs="宋体"/>
          <w:color w:val="auto"/>
        </w:rPr>
        <w:t>本项目实行不见面电子招投标方式。</w:t>
      </w:r>
    </w:p>
    <w:p>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rPr>
      </w:pPr>
      <w:bookmarkStart w:id="152" w:name="_Toc11074"/>
      <w:bookmarkStart w:id="153" w:name="_Toc13910"/>
      <w:bookmarkStart w:id="154" w:name="_Toc17981"/>
      <w:bookmarkStart w:id="155" w:name="_Toc30557"/>
      <w:r>
        <w:rPr>
          <w:rFonts w:hint="eastAsia" w:ascii="宋体" w:hAnsi="宋体" w:cs="宋体"/>
          <w:b/>
          <w:bCs/>
          <w:color w:val="auto"/>
        </w:rPr>
        <w:t>四、招标文件的获取</w:t>
      </w:r>
      <w:bookmarkEnd w:id="152"/>
      <w:bookmarkEnd w:id="153"/>
      <w:bookmarkEnd w:id="154"/>
      <w:bookmarkEnd w:id="155"/>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bookmarkStart w:id="156" w:name="_Toc4243"/>
      <w:bookmarkStart w:id="157" w:name="_Toc19745"/>
      <w:bookmarkStart w:id="158" w:name="_Toc27666"/>
      <w:r>
        <w:rPr>
          <w:rFonts w:hint="eastAsia" w:ascii="宋体" w:hAnsi="宋体" w:cs="宋体"/>
          <w:color w:val="auto"/>
          <w:sz w:val="24"/>
          <w:szCs w:val="24"/>
        </w:rPr>
        <w:t>1.</w:t>
      </w:r>
      <w:r>
        <w:rPr>
          <w:rFonts w:hint="eastAsia" w:ascii="宋体" w:hAnsi="宋体" w:cs="宋体"/>
          <w:color w:val="auto"/>
          <w:sz w:val="24"/>
          <w:szCs w:val="24"/>
          <w:lang w:eastAsia="zh-CN"/>
        </w:rPr>
        <w:t>投标人</w:t>
      </w:r>
      <w:r>
        <w:rPr>
          <w:rFonts w:hint="eastAsia" w:ascii="宋体" w:hAnsi="宋体" w:cs="宋体"/>
          <w:color w:val="auto"/>
          <w:sz w:val="24"/>
          <w:szCs w:val="24"/>
        </w:rPr>
        <w:t xml:space="preserve">按下述要求获取采购文件，如未在“衢州市阳光交易服务平台”系统内完成相关流程，引起投标无效，责任自负。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2.本项目采购文件实行“衢州市阳光交易服务平台”在线申请获取采购文件，不提供纸质版采购文件。</w:t>
      </w:r>
      <w:r>
        <w:rPr>
          <w:rFonts w:hint="eastAsia" w:ascii="宋体" w:hAnsi="宋体" w:cs="宋体"/>
          <w:color w:val="auto"/>
          <w:sz w:val="24"/>
          <w:szCs w:val="24"/>
          <w:lang w:eastAsia="zh-CN"/>
        </w:rPr>
        <w:t>投标人</w:t>
      </w:r>
      <w:r>
        <w:rPr>
          <w:rFonts w:hint="eastAsia" w:ascii="宋体" w:hAnsi="宋体" w:cs="宋体"/>
          <w:color w:val="auto"/>
          <w:sz w:val="24"/>
          <w:szCs w:val="24"/>
        </w:rPr>
        <w:t>获取采购文件前应先办理“衢州市阳光交易服务平台”</w:t>
      </w:r>
      <w:r>
        <w:rPr>
          <w:rFonts w:hint="eastAsia" w:ascii="宋体" w:hAnsi="宋体" w:cs="宋体"/>
          <w:color w:val="auto"/>
          <w:sz w:val="24"/>
          <w:szCs w:val="24"/>
          <w:lang w:eastAsia="zh-CN"/>
        </w:rPr>
        <w:t>投标人</w:t>
      </w:r>
      <w:r>
        <w:rPr>
          <w:rFonts w:hint="eastAsia" w:ascii="宋体" w:hAnsi="宋体" w:cs="宋体"/>
          <w:color w:val="auto"/>
          <w:sz w:val="24"/>
          <w:szCs w:val="24"/>
        </w:rPr>
        <w:t>信息入库备案同时办理介质CA锁。完成介质CA锁办理预计2-3个工作日，建议各</w:t>
      </w:r>
      <w:r>
        <w:rPr>
          <w:rFonts w:hint="eastAsia" w:ascii="宋体" w:hAnsi="宋体" w:cs="宋体"/>
          <w:color w:val="auto"/>
          <w:sz w:val="24"/>
          <w:szCs w:val="24"/>
          <w:lang w:eastAsia="zh-CN"/>
        </w:rPr>
        <w:t>投标人</w:t>
      </w:r>
      <w:r>
        <w:rPr>
          <w:rFonts w:hint="eastAsia" w:ascii="宋体" w:hAnsi="宋体" w:cs="宋体"/>
          <w:color w:val="auto"/>
          <w:sz w:val="24"/>
          <w:szCs w:val="24"/>
        </w:rPr>
        <w:t xml:space="preserve">合理安排办理时间。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3.潜在</w:t>
      </w:r>
      <w:r>
        <w:rPr>
          <w:rFonts w:hint="eastAsia" w:ascii="宋体" w:hAnsi="宋体" w:cs="宋体"/>
          <w:color w:val="auto"/>
          <w:sz w:val="24"/>
          <w:szCs w:val="24"/>
          <w:lang w:eastAsia="zh-CN"/>
        </w:rPr>
        <w:t>投标人</w:t>
      </w:r>
      <w:r>
        <w:rPr>
          <w:rFonts w:hint="eastAsia" w:ascii="宋体" w:hAnsi="宋体" w:cs="宋体"/>
          <w:color w:val="auto"/>
          <w:sz w:val="24"/>
          <w:szCs w:val="24"/>
        </w:rPr>
        <w:t>登录衢州市阳光交易服务平台（https://qzygjy.com/）办理</w:t>
      </w:r>
      <w:r>
        <w:rPr>
          <w:rFonts w:hint="eastAsia" w:ascii="宋体" w:hAnsi="宋体" w:cs="宋体"/>
          <w:color w:val="auto"/>
          <w:sz w:val="24"/>
          <w:szCs w:val="24"/>
          <w:lang w:eastAsia="zh-CN"/>
        </w:rPr>
        <w:t>投标人</w:t>
      </w:r>
      <w:r>
        <w:rPr>
          <w:rFonts w:hint="eastAsia" w:ascii="宋体" w:hAnsi="宋体" w:cs="宋体"/>
          <w:color w:val="auto"/>
          <w:sz w:val="24"/>
          <w:szCs w:val="24"/>
        </w:rPr>
        <w:t xml:space="preserve">信息入库备案事宜，注册成功并公示24小时无异议后入库。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4.未办理企业信息入库的</w:t>
      </w:r>
      <w:r>
        <w:rPr>
          <w:rFonts w:hint="eastAsia" w:ascii="宋体" w:hAnsi="宋体" w:cs="宋体"/>
          <w:color w:val="auto"/>
          <w:sz w:val="24"/>
          <w:szCs w:val="24"/>
          <w:lang w:eastAsia="zh-CN"/>
        </w:rPr>
        <w:t>投标人</w:t>
      </w:r>
      <w:r>
        <w:rPr>
          <w:rFonts w:hint="eastAsia" w:ascii="宋体" w:hAnsi="宋体" w:cs="宋体"/>
          <w:color w:val="auto"/>
          <w:sz w:val="24"/>
          <w:szCs w:val="24"/>
        </w:rPr>
        <w:t>，根据显示界面提示免费注册，填写、上传相关主体信息，带“*”号的必填，填好后“提交”。</w:t>
      </w:r>
      <w:r>
        <w:rPr>
          <w:rFonts w:hint="eastAsia" w:ascii="宋体" w:hAnsi="宋体" w:cs="宋体"/>
          <w:color w:val="auto"/>
          <w:sz w:val="24"/>
          <w:szCs w:val="24"/>
          <w:lang w:eastAsia="zh-CN"/>
        </w:rPr>
        <w:t>投标人</w:t>
      </w:r>
      <w:r>
        <w:rPr>
          <w:rFonts w:hint="eastAsia" w:ascii="宋体" w:hAnsi="宋体" w:cs="宋体"/>
          <w:color w:val="auto"/>
          <w:sz w:val="24"/>
          <w:szCs w:val="24"/>
        </w:rPr>
        <w:t>须提前申领介质CA锁及电子签章，具体操作可参考衢州市阳光交易服务平台交易乙方操作手册。</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2"/>
        <w:rPr>
          <w:rFonts w:hint="eastAsia" w:ascii="宋体" w:hAnsi="宋体" w:cs="宋体"/>
          <w:color w:val="auto"/>
          <w:sz w:val="24"/>
          <w:szCs w:val="24"/>
        </w:rPr>
      </w:pPr>
      <w:r>
        <w:rPr>
          <w:rFonts w:hint="eastAsia" w:ascii="宋体" w:hAnsi="宋体" w:cs="宋体"/>
          <w:color w:val="auto"/>
          <w:sz w:val="24"/>
          <w:szCs w:val="24"/>
        </w:rPr>
        <w:t xml:space="preserve">5.CA办理：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（1）天谷CA：http://www.tseal.cn/tcloud/common.xhtml?projId=307 天谷联系电话：400-087-8198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2"/>
        <w:rPr>
          <w:rFonts w:hint="eastAsia" w:ascii="宋体" w:hAnsi="宋体" w:cs="宋体"/>
          <w:color w:val="auto"/>
          <w:sz w:val="24"/>
          <w:szCs w:val="24"/>
        </w:rPr>
      </w:pPr>
      <w:r>
        <w:rPr>
          <w:rFonts w:hint="eastAsia" w:ascii="宋体" w:hAnsi="宋体" w:cs="宋体"/>
          <w:color w:val="auto"/>
          <w:sz w:val="24"/>
          <w:szCs w:val="24"/>
        </w:rPr>
        <w:t xml:space="preserve">6.采购文件下载：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（1）潜在</w:t>
      </w:r>
      <w:r>
        <w:rPr>
          <w:rFonts w:hint="eastAsia" w:ascii="宋体" w:hAnsi="宋体" w:cs="宋体"/>
          <w:color w:val="auto"/>
          <w:sz w:val="24"/>
          <w:szCs w:val="24"/>
          <w:lang w:eastAsia="zh-CN"/>
        </w:rPr>
        <w:t>投标人</w:t>
      </w:r>
      <w:r>
        <w:rPr>
          <w:rFonts w:hint="eastAsia" w:ascii="宋体" w:hAnsi="宋体" w:cs="宋体"/>
          <w:color w:val="auto"/>
          <w:sz w:val="24"/>
          <w:szCs w:val="24"/>
        </w:rPr>
        <w:t>登录“衢州市阳光交易服务平台”，在线申请获取采购文件(选择采购公告，进入项目</w:t>
      </w:r>
      <w:r>
        <w:rPr>
          <w:rFonts w:hint="eastAsia" w:ascii="宋体" w:hAnsi="宋体" w:cs="宋体"/>
          <w:color w:val="auto"/>
          <w:sz w:val="24"/>
          <w:szCs w:val="24"/>
          <w:lang w:eastAsia="zh-CN"/>
        </w:rPr>
        <w:t>，</w:t>
      </w:r>
      <w:r>
        <w:rPr>
          <w:rFonts w:hint="eastAsia" w:ascii="宋体" w:hAnsi="宋体" w:cs="宋体"/>
          <w:color w:val="auto"/>
          <w:sz w:val="24"/>
          <w:szCs w:val="24"/>
        </w:rPr>
        <w:t xml:space="preserve">选择“交易前阶段”进入项目在获取采购文件菜单中选择项目,选择“交易文件下载”)。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（2）投标文件的解密：</w:t>
      </w:r>
      <w:r>
        <w:rPr>
          <w:rFonts w:hint="eastAsia" w:ascii="宋体" w:hAnsi="宋体" w:cs="宋体"/>
          <w:color w:val="auto"/>
          <w:sz w:val="24"/>
          <w:szCs w:val="24"/>
          <w:lang w:eastAsia="zh-CN"/>
        </w:rPr>
        <w:t>投标人</w:t>
      </w:r>
      <w:r>
        <w:rPr>
          <w:rFonts w:hint="eastAsia" w:ascii="宋体" w:hAnsi="宋体" w:cs="宋体"/>
          <w:color w:val="auto"/>
          <w:sz w:val="24"/>
          <w:szCs w:val="24"/>
        </w:rPr>
        <w:t xml:space="preserve">按照平台提示和采购文件的规定在30分钟内于衢州市阳光交易服务平台不见面开标大厅完成在线解密。 </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（3）具体操作指南：详见衢州市阳光交易服务平台“办事指南</w:t>
      </w:r>
      <w:r>
        <w:rPr>
          <w:rFonts w:hint="eastAsia" w:ascii="宋体" w:hAnsi="宋体" w:cs="宋体"/>
          <w:color w:val="auto"/>
          <w:sz w:val="24"/>
          <w:szCs w:val="24"/>
          <w:lang w:eastAsia="zh-CN"/>
        </w:rPr>
        <w:t>－</w:t>
      </w:r>
      <w:r>
        <w:rPr>
          <w:rFonts w:hint="eastAsia" w:ascii="宋体" w:hAnsi="宋体" w:cs="宋体"/>
          <w:color w:val="auto"/>
          <w:sz w:val="24"/>
          <w:szCs w:val="24"/>
        </w:rPr>
        <w:t>衢州市阳光交易服务平台供应商操作手册”，如遇平台技术问题详询4009980000、0570-3878007。</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2"/>
        <w:rPr>
          <w:rFonts w:hint="eastAsia" w:ascii="宋体" w:hAnsi="宋体" w:cs="宋体"/>
          <w:color w:val="auto"/>
          <w:sz w:val="24"/>
          <w:szCs w:val="24"/>
        </w:rPr>
      </w:pPr>
      <w:r>
        <w:rPr>
          <w:rFonts w:hint="eastAsia" w:ascii="宋体" w:hAnsi="宋体" w:cs="宋体"/>
          <w:color w:val="auto"/>
          <w:sz w:val="24"/>
          <w:szCs w:val="24"/>
        </w:rPr>
        <w:t>7.投标工具</w:t>
      </w:r>
    </w:p>
    <w:p>
      <w:pPr>
        <w:pStyle w:val="96"/>
        <w:keepNext w:val="0"/>
        <w:keepLines w:val="0"/>
        <w:pageBreakBefore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投标文件制作软件（衢州产交版），下载地址：https://download.bqpoint.com/download/downloaddetail.html?SourceFrom=Ztb&amp;ZtbSoftXiaQuCode=112601&amp;ZtbSoftType=tballinclusive。联系方式，新点软件客服电话：4009980000。</w:t>
      </w:r>
    </w:p>
    <w:p>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cs="宋体"/>
          <w:b/>
          <w:bCs/>
          <w:color w:val="auto"/>
        </w:rPr>
      </w:pPr>
      <w:bookmarkStart w:id="159" w:name="_Toc14891"/>
      <w:bookmarkStart w:id="160" w:name="_Toc21676"/>
      <w:r>
        <w:rPr>
          <w:rFonts w:hint="eastAsia" w:ascii="宋体" w:hAnsi="宋体" w:cs="宋体"/>
          <w:b/>
          <w:bCs/>
          <w:color w:val="auto"/>
          <w:lang w:val="en-US" w:eastAsia="zh-CN"/>
        </w:rPr>
        <w:t>五</w:t>
      </w:r>
      <w:r>
        <w:rPr>
          <w:rFonts w:hint="eastAsia" w:ascii="宋体" w:hAnsi="宋体" w:cs="宋体"/>
          <w:b/>
          <w:bCs/>
          <w:color w:val="auto"/>
        </w:rPr>
        <w:t>、解密</w:t>
      </w:r>
      <w:bookmarkEnd w:id="159"/>
      <w:bookmarkEnd w:id="160"/>
    </w:p>
    <w:p>
      <w:pPr>
        <w:pStyle w:val="9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1.投标文件开启时间到后，代理机构（或公证人员）宣布开始解密，30分钟内供应商应完成投标文件的解密。</w:t>
      </w:r>
      <w:r>
        <w:rPr>
          <w:rFonts w:hint="eastAsia" w:ascii="宋体" w:hAnsi="宋体" w:cs="宋体"/>
          <w:color w:val="auto"/>
          <w:sz w:val="24"/>
          <w:szCs w:val="24"/>
          <w:lang w:eastAsia="zh-CN"/>
        </w:rPr>
        <w:t>投标人</w:t>
      </w:r>
      <w:r>
        <w:rPr>
          <w:rFonts w:hint="eastAsia" w:ascii="宋体" w:hAnsi="宋体" w:cs="宋体"/>
          <w:color w:val="auto"/>
          <w:sz w:val="24"/>
          <w:szCs w:val="24"/>
        </w:rPr>
        <w:t>解密方式：</w:t>
      </w:r>
      <w:r>
        <w:rPr>
          <w:rFonts w:hint="eastAsia" w:ascii="宋体" w:hAnsi="宋体" w:cs="宋体"/>
          <w:color w:val="auto"/>
          <w:sz w:val="24"/>
          <w:szCs w:val="24"/>
          <w:lang w:eastAsia="zh-CN"/>
        </w:rPr>
        <w:t>投标人</w:t>
      </w:r>
      <w:r>
        <w:rPr>
          <w:rFonts w:hint="eastAsia" w:ascii="宋体" w:hAnsi="宋体" w:cs="宋体"/>
          <w:color w:val="auto"/>
          <w:sz w:val="24"/>
          <w:szCs w:val="24"/>
        </w:rPr>
        <w:t>自行登录衢州市阳光交易服务平台不见面开标大厅（https://qzygjy.com/BidOpening/bidopeninghallaction/hall/login)——</w:t>
      </w:r>
      <w:r>
        <w:rPr>
          <w:rFonts w:hint="eastAsia" w:ascii="宋体" w:hAnsi="宋体" w:cs="宋体"/>
          <w:color w:val="auto"/>
          <w:sz w:val="24"/>
          <w:szCs w:val="24"/>
          <w:lang w:eastAsia="zh-CN"/>
        </w:rPr>
        <w:t>投标人</w:t>
      </w:r>
      <w:r>
        <w:rPr>
          <w:rFonts w:hint="eastAsia" w:ascii="宋体" w:hAnsi="宋体" w:cs="宋体"/>
          <w:color w:val="auto"/>
          <w:sz w:val="24"/>
          <w:szCs w:val="24"/>
        </w:rPr>
        <w:t>身份——我的项目——选择标段——待代理开启解密后进行解密操作</w:t>
      </w:r>
      <w:r>
        <w:rPr>
          <w:rFonts w:hint="eastAsia" w:ascii="宋体" w:hAnsi="宋体" w:cs="宋体"/>
          <w:color w:val="auto"/>
          <w:sz w:val="24"/>
          <w:szCs w:val="24"/>
          <w:lang w:eastAsia="zh-CN"/>
        </w:rPr>
        <w:t>投标人</w:t>
      </w:r>
      <w:r>
        <w:rPr>
          <w:rFonts w:hint="eastAsia" w:ascii="宋体" w:hAnsi="宋体" w:cs="宋体"/>
          <w:color w:val="auto"/>
          <w:sz w:val="24"/>
          <w:szCs w:val="24"/>
        </w:rPr>
        <w:t>在规定的时间内都已完成解密，则系统自动结束解密；</w:t>
      </w:r>
      <w:r>
        <w:rPr>
          <w:rFonts w:hint="eastAsia" w:ascii="宋体" w:hAnsi="宋体" w:cs="宋体"/>
          <w:color w:val="auto"/>
          <w:sz w:val="24"/>
          <w:szCs w:val="24"/>
          <w:lang w:eastAsia="zh-CN"/>
        </w:rPr>
        <w:t>投标人</w:t>
      </w:r>
      <w:r>
        <w:rPr>
          <w:rFonts w:hint="eastAsia" w:ascii="宋体" w:hAnsi="宋体" w:cs="宋体"/>
          <w:color w:val="auto"/>
          <w:sz w:val="24"/>
          <w:szCs w:val="24"/>
        </w:rPr>
        <w:t>因自身原因未在规定时间内完成解密，则默认自动放弃。</w:t>
      </w:r>
    </w:p>
    <w:p>
      <w:pPr>
        <w:pStyle w:val="9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outlineLvl w:val="2"/>
        <w:rPr>
          <w:rFonts w:hint="eastAsia" w:ascii="宋体" w:hAnsi="宋体" w:cs="宋体"/>
          <w:color w:val="auto"/>
          <w:sz w:val="24"/>
          <w:szCs w:val="24"/>
        </w:rPr>
      </w:pPr>
      <w:r>
        <w:rPr>
          <w:rFonts w:hint="eastAsia" w:ascii="宋体" w:hAnsi="宋体" w:cs="宋体"/>
          <w:color w:val="auto"/>
          <w:sz w:val="24"/>
          <w:szCs w:val="24"/>
        </w:rPr>
        <w:t>2.采购代理机构导入投标文件成功后进入评标流程。</w:t>
      </w:r>
    </w:p>
    <w:p>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jc w:val="left"/>
        <w:textAlignment w:val="auto"/>
        <w:outlineLvl w:val="1"/>
        <w:rPr>
          <w:rFonts w:ascii="宋体" w:hAnsi="宋体" w:cs="宋体"/>
          <w:b/>
          <w:bCs/>
          <w:color w:val="auto"/>
        </w:rPr>
      </w:pPr>
      <w:bookmarkStart w:id="161" w:name="_Toc27184"/>
      <w:r>
        <w:rPr>
          <w:rFonts w:hint="eastAsia" w:ascii="宋体" w:hAnsi="宋体" w:cs="宋体"/>
          <w:b/>
          <w:bCs/>
          <w:color w:val="auto"/>
          <w:lang w:val="en-US" w:eastAsia="zh-CN"/>
        </w:rPr>
        <w:t>六</w:t>
      </w:r>
      <w:r>
        <w:rPr>
          <w:rFonts w:hint="eastAsia" w:ascii="宋体" w:hAnsi="宋体" w:cs="宋体"/>
          <w:b/>
          <w:bCs/>
          <w:color w:val="auto"/>
        </w:rPr>
        <w:t>、投标文件的递交</w:t>
      </w:r>
      <w:bookmarkEnd w:id="156"/>
      <w:bookmarkEnd w:id="157"/>
      <w:bookmarkEnd w:id="158"/>
      <w:bookmarkEnd w:id="161"/>
    </w:p>
    <w:p>
      <w:pPr>
        <w:pStyle w:val="9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1.投标文件递交截止时间（投标截止时间，下同）：</w:t>
      </w:r>
      <w:r>
        <w:rPr>
          <w:rFonts w:hint="eastAsia" w:ascii="宋体" w:hAnsi="宋体" w:cs="宋体"/>
          <w:color w:val="auto"/>
          <w:sz w:val="24"/>
          <w:szCs w:val="24"/>
          <w:lang w:eastAsia="zh-CN"/>
        </w:rPr>
        <w:t>2024</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时30分 00 秒。</w:t>
      </w:r>
    </w:p>
    <w:p>
      <w:pPr>
        <w:pStyle w:val="96"/>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2.投标文件递交方式：电子投标文件采用网上递交的方式，上传至衢州市阳光交易服务平台（https://qzygjy.com/TPBidder/memberLogin?type=13）。</w:t>
      </w:r>
    </w:p>
    <w:p>
      <w:pPr>
        <w:pStyle w:val="9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3.网上开标地点：衢州市阳光交易服务平台不见面开标大厅（网址：https://qzygjy.com/BidOpening/bidopeninghallaction/hall/login）。操作手册见官网首页下载中心。</w:t>
      </w:r>
    </w:p>
    <w:p>
      <w:pPr>
        <w:keepNext w:val="0"/>
        <w:keepLines w:val="0"/>
        <w:pageBreakBefore w:val="0"/>
        <w:kinsoku/>
        <w:wordWrap/>
        <w:overflowPunct/>
        <w:topLinePunct w:val="0"/>
        <w:autoSpaceDE/>
        <w:autoSpaceDN/>
        <w:bidi w:val="0"/>
        <w:adjustRightInd w:val="0"/>
        <w:spacing w:line="288" w:lineRule="auto"/>
        <w:ind w:firstLine="482"/>
        <w:textAlignment w:val="auto"/>
        <w:outlineLvl w:val="1"/>
        <w:rPr>
          <w:rFonts w:ascii="宋体" w:hAnsi="宋体" w:cs="宋体"/>
          <w:b/>
          <w:color w:val="auto"/>
          <w:szCs w:val="21"/>
        </w:rPr>
      </w:pPr>
      <w:bookmarkStart w:id="162" w:name="_Toc10378"/>
      <w:bookmarkStart w:id="163" w:name="_Toc15705"/>
      <w:bookmarkStart w:id="164" w:name="_Toc20733"/>
      <w:bookmarkStart w:id="165" w:name="_Toc30739"/>
      <w:r>
        <w:rPr>
          <w:rFonts w:hint="eastAsia" w:ascii="宋体" w:hAnsi="宋体" w:cs="宋体"/>
          <w:b/>
          <w:color w:val="auto"/>
          <w:szCs w:val="21"/>
          <w:lang w:val="en-US" w:eastAsia="zh-CN"/>
        </w:rPr>
        <w:t>七</w:t>
      </w:r>
      <w:r>
        <w:rPr>
          <w:rFonts w:hint="eastAsia" w:ascii="宋体" w:hAnsi="宋体" w:cs="宋体"/>
          <w:b/>
          <w:color w:val="auto"/>
          <w:szCs w:val="21"/>
        </w:rPr>
        <w:t>、发布公告的媒介</w:t>
      </w:r>
      <w:bookmarkEnd w:id="162"/>
      <w:bookmarkEnd w:id="163"/>
      <w:bookmarkEnd w:id="164"/>
      <w:bookmarkEnd w:id="165"/>
    </w:p>
    <w:p>
      <w:pPr>
        <w:keepNext w:val="0"/>
        <w:keepLines w:val="0"/>
        <w:pageBreakBefore w:val="0"/>
        <w:kinsoku/>
        <w:wordWrap/>
        <w:overflowPunct/>
        <w:topLinePunct w:val="0"/>
        <w:autoSpaceDE/>
        <w:autoSpaceDN/>
        <w:bidi w:val="0"/>
        <w:adjustRightInd w:val="0"/>
        <w:spacing w:line="288" w:lineRule="auto"/>
        <w:ind w:firstLine="480"/>
        <w:textAlignment w:val="auto"/>
        <w:rPr>
          <w:rFonts w:ascii="宋体" w:hAnsi="宋体" w:cs="宋体"/>
          <w:color w:val="auto"/>
          <w:szCs w:val="21"/>
        </w:rPr>
      </w:pPr>
      <w:r>
        <w:rPr>
          <w:rFonts w:hint="eastAsia" w:ascii="宋体" w:hAnsi="宋体" w:cs="宋体"/>
          <w:color w:val="auto"/>
          <w:szCs w:val="21"/>
        </w:rPr>
        <w:t>本招标公告在“衢州市阳光交易服务平台https://qzygjy.com/”“浙江政府采购网https://zfcg.czt.zj.gov.cn/”上发布。</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166" w:name="_Toc3321"/>
      <w:bookmarkStart w:id="167" w:name="_Toc15563"/>
      <w:bookmarkStart w:id="168" w:name="_Toc32256"/>
      <w:bookmarkStart w:id="169" w:name="_Toc21431"/>
      <w:bookmarkStart w:id="170" w:name="_Toc5934"/>
      <w:bookmarkStart w:id="171" w:name="_Toc16995"/>
      <w:bookmarkStart w:id="172" w:name="_Toc6149"/>
      <w:bookmarkStart w:id="173" w:name="_Toc19503"/>
      <w:bookmarkStart w:id="174" w:name="_Toc3728"/>
      <w:bookmarkStart w:id="175" w:name="_Toc2592"/>
      <w:bookmarkStart w:id="176" w:name="_Toc7001"/>
      <w:bookmarkStart w:id="177" w:name="_Toc6741"/>
      <w:bookmarkStart w:id="178" w:name="_Toc615"/>
      <w:bookmarkStart w:id="179" w:name="_Toc31991"/>
      <w:bookmarkStart w:id="180" w:name="_Toc28973"/>
      <w:bookmarkStart w:id="181" w:name="_Toc30620"/>
      <w:bookmarkStart w:id="182" w:name="_Toc15296"/>
      <w:bookmarkStart w:id="183" w:name="_Toc24728"/>
      <w:bookmarkStart w:id="184" w:name="_Toc24482"/>
      <w:bookmarkStart w:id="185" w:name="_Toc9962"/>
      <w:bookmarkStart w:id="186" w:name="_Toc29674"/>
      <w:bookmarkStart w:id="187" w:name="_Toc30034"/>
      <w:bookmarkStart w:id="188" w:name="_Toc18088"/>
      <w:bookmarkStart w:id="189" w:name="_Toc13827"/>
      <w:bookmarkStart w:id="190" w:name="_Toc29452"/>
      <w:bookmarkStart w:id="191" w:name="_Toc9579"/>
      <w:r>
        <w:rPr>
          <w:rFonts w:hint="eastAsia" w:ascii="宋体" w:hAnsi="宋体" w:cs="宋体"/>
          <w:b/>
          <w:bCs/>
          <w:color w:val="auto"/>
          <w:lang w:val="en-US" w:eastAsia="zh-CN"/>
        </w:rPr>
        <w:t>八</w:t>
      </w:r>
      <w:r>
        <w:rPr>
          <w:rFonts w:hint="eastAsia" w:ascii="宋体" w:hAnsi="宋体" w:cs="宋体"/>
          <w:b/>
          <w:bCs/>
          <w:color w:val="auto"/>
          <w:lang w:val="zh-CN"/>
        </w:rPr>
        <w:t>、公告期限</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s="宋体"/>
          <w:color w:val="auto"/>
        </w:rPr>
      </w:pPr>
      <w:r>
        <w:rPr>
          <w:rFonts w:hint="eastAsia" w:ascii="宋体" w:hAnsi="宋体" w:cs="宋体"/>
          <w:color w:val="auto"/>
        </w:rPr>
        <w:t>自本公告发布之日起5个工作日。</w:t>
      </w:r>
    </w:p>
    <w:p>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192" w:name="_Toc9751"/>
      <w:bookmarkStart w:id="193" w:name="_Toc17913"/>
      <w:bookmarkStart w:id="194" w:name="_Toc31633"/>
      <w:bookmarkStart w:id="195" w:name="_Toc3633"/>
      <w:bookmarkStart w:id="196" w:name="_Toc21686"/>
      <w:bookmarkStart w:id="197" w:name="_Toc15440"/>
      <w:bookmarkStart w:id="198" w:name="_Toc20211"/>
      <w:bookmarkStart w:id="199" w:name="_Toc19281"/>
      <w:bookmarkStart w:id="200" w:name="_Toc2589"/>
      <w:bookmarkStart w:id="201" w:name="_Toc31065"/>
      <w:bookmarkStart w:id="202" w:name="_Toc16029"/>
      <w:bookmarkStart w:id="203" w:name="_Toc31887"/>
      <w:bookmarkStart w:id="204" w:name="_Toc14198"/>
      <w:bookmarkStart w:id="205" w:name="_Toc16285"/>
      <w:bookmarkStart w:id="206" w:name="_Toc5254"/>
      <w:bookmarkStart w:id="207" w:name="_Toc21407"/>
      <w:bookmarkStart w:id="208" w:name="_Toc31025"/>
      <w:bookmarkStart w:id="209" w:name="_Toc29902"/>
      <w:bookmarkStart w:id="210" w:name="_Toc12880"/>
      <w:bookmarkStart w:id="211" w:name="_Toc26070"/>
      <w:bookmarkStart w:id="212" w:name="_Toc15789"/>
      <w:bookmarkStart w:id="213" w:name="_Toc12561"/>
      <w:bookmarkStart w:id="214" w:name="_Toc5821"/>
      <w:bookmarkStart w:id="215" w:name="_Toc5521"/>
      <w:bookmarkStart w:id="216" w:name="_Toc1123"/>
      <w:bookmarkStart w:id="217" w:name="_Toc8449"/>
      <w:r>
        <w:rPr>
          <w:rFonts w:hint="eastAsia" w:ascii="宋体" w:hAnsi="宋体" w:cs="宋体"/>
          <w:b/>
          <w:bCs/>
          <w:color w:val="auto"/>
          <w:lang w:val="en-US" w:eastAsia="zh-CN"/>
        </w:rPr>
        <w:t>九</w:t>
      </w:r>
      <w:r>
        <w:rPr>
          <w:rFonts w:hint="eastAsia" w:ascii="宋体" w:hAnsi="宋体" w:cs="宋体"/>
          <w:b/>
          <w:bCs/>
          <w:color w:val="auto"/>
          <w:lang w:val="zh-CN"/>
        </w:rPr>
        <w:t>、其他补充事宜</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olor w:val="auto"/>
        </w:rPr>
      </w:pPr>
      <w:r>
        <w:rPr>
          <w:rFonts w:hint="eastAsia" w:ascii="宋体" w:hAnsi="宋体"/>
          <w:color w:val="auto"/>
          <w:lang w:eastAsia="zh-CN"/>
        </w:rPr>
        <w:t>投标人</w:t>
      </w:r>
      <w:r>
        <w:rPr>
          <w:rFonts w:hint="eastAsia" w:ascii="宋体" w:hAnsi="宋体"/>
          <w:color w:val="auto"/>
        </w:rPr>
        <w:t>对采购人或采购代理机构的质疑答复不满意或者采购人或采购代理机构未在规定时间内作出答复的，可以在答复期满后十五个工作日内向</w:t>
      </w:r>
      <w:r>
        <w:rPr>
          <w:rFonts w:hint="eastAsia" w:ascii="宋体" w:hAnsi="宋体"/>
          <w:bCs/>
          <w:color w:val="auto"/>
          <w:lang w:eastAsia="zh-CN"/>
        </w:rPr>
        <w:t>龙游县城市发展投资有限公司</w:t>
      </w:r>
      <w:r>
        <w:rPr>
          <w:rFonts w:hint="eastAsia" w:ascii="宋体" w:hAnsi="宋体"/>
          <w:bCs/>
          <w:color w:val="auto"/>
        </w:rPr>
        <w:t>投诉（联系人</w:t>
      </w:r>
      <w:r>
        <w:rPr>
          <w:rFonts w:hint="eastAsia" w:ascii="宋体" w:hAnsi="宋体"/>
          <w:bCs/>
          <w:color w:val="auto"/>
          <w:lang w:eastAsia="zh-CN"/>
        </w:rPr>
        <w:t>：</w:t>
      </w:r>
      <w:r>
        <w:rPr>
          <w:rFonts w:hint="eastAsia" w:ascii="宋体" w:hAnsi="宋体"/>
          <w:bCs/>
          <w:lang w:val="en-US" w:eastAsia="zh-CN"/>
        </w:rPr>
        <w:t>丁</w:t>
      </w:r>
      <w:r>
        <w:rPr>
          <w:rFonts w:hint="eastAsia" w:ascii="宋体" w:hAnsi="宋体"/>
          <w:bCs/>
          <w:lang w:eastAsia="zh-CN"/>
        </w:rPr>
        <w:t>先生</w:t>
      </w:r>
      <w:r>
        <w:rPr>
          <w:rFonts w:hint="eastAsia" w:ascii="宋体" w:hAnsi="宋体"/>
          <w:bCs/>
          <w:color w:val="auto"/>
        </w:rPr>
        <w:t>，联系号码：</w:t>
      </w:r>
      <w:r>
        <w:rPr>
          <w:rFonts w:hint="eastAsia" w:ascii="宋体" w:hAnsi="宋体"/>
          <w:bCs/>
          <w:lang w:val="en-US" w:eastAsia="zh-CN"/>
        </w:rPr>
        <w:t>13857039019</w:t>
      </w:r>
      <w:r>
        <w:rPr>
          <w:rFonts w:hint="eastAsia" w:ascii="宋体" w:hAnsi="宋体"/>
          <w:bCs/>
          <w:color w:val="auto"/>
        </w:rPr>
        <w:t>，联系地址：</w:t>
      </w:r>
      <w:r>
        <w:rPr>
          <w:rFonts w:hint="eastAsia" w:ascii="宋体" w:hAnsi="宋体"/>
          <w:color w:val="auto"/>
          <w:lang w:eastAsia="zh-CN"/>
        </w:rPr>
        <w:t>龙游县东华街道湖底叶村</w:t>
      </w:r>
      <w:r>
        <w:rPr>
          <w:rFonts w:hint="eastAsia" w:ascii="宋体" w:hAnsi="宋体"/>
          <w:bCs/>
          <w:color w:val="auto"/>
        </w:rPr>
        <w:t>）</w:t>
      </w:r>
      <w:r>
        <w:rPr>
          <w:rFonts w:hint="eastAsia" w:ascii="宋体" w:hAnsi="宋体"/>
          <w:color w:val="auto"/>
        </w:rPr>
        <w:t>。</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218" w:name="_Toc14901"/>
      <w:bookmarkStart w:id="219" w:name="_Toc26385"/>
      <w:bookmarkStart w:id="220" w:name="_Toc26697"/>
      <w:bookmarkStart w:id="221" w:name="_Toc8106"/>
      <w:bookmarkStart w:id="222" w:name="_Toc900"/>
      <w:bookmarkStart w:id="223" w:name="_Toc7004"/>
      <w:bookmarkStart w:id="224" w:name="_Toc22562"/>
      <w:bookmarkStart w:id="225" w:name="_Toc16069"/>
      <w:bookmarkStart w:id="226" w:name="_Toc23801"/>
      <w:bookmarkStart w:id="227" w:name="_Toc14989"/>
      <w:bookmarkStart w:id="228" w:name="_Toc3570"/>
      <w:bookmarkStart w:id="229" w:name="_Toc14675"/>
      <w:bookmarkStart w:id="230" w:name="_Toc4869"/>
      <w:bookmarkStart w:id="231" w:name="_Toc19515"/>
      <w:bookmarkStart w:id="232" w:name="_Toc3531"/>
      <w:bookmarkStart w:id="233" w:name="_Toc4537"/>
      <w:bookmarkStart w:id="234" w:name="_Toc16125"/>
      <w:bookmarkStart w:id="235" w:name="_Toc30923"/>
      <w:bookmarkStart w:id="236" w:name="_Toc16832"/>
      <w:bookmarkStart w:id="237" w:name="_Toc4375"/>
      <w:bookmarkStart w:id="238" w:name="_Toc12397"/>
      <w:bookmarkStart w:id="239" w:name="_Toc9248"/>
      <w:bookmarkStart w:id="240" w:name="_Toc22164"/>
      <w:bookmarkStart w:id="241" w:name="_Toc7089"/>
      <w:bookmarkStart w:id="242" w:name="_Toc10681"/>
      <w:bookmarkStart w:id="243" w:name="_Toc16934"/>
      <w:r>
        <w:rPr>
          <w:rFonts w:hint="eastAsia" w:ascii="宋体" w:hAnsi="宋体" w:cs="宋体"/>
          <w:b/>
          <w:bCs/>
          <w:color w:val="auto"/>
          <w:lang w:val="en-US" w:eastAsia="zh-CN"/>
        </w:rPr>
        <w:t>十</w:t>
      </w:r>
      <w:r>
        <w:rPr>
          <w:rFonts w:hint="eastAsia" w:ascii="宋体" w:hAnsi="宋体" w:cs="宋体"/>
          <w:b/>
          <w:bCs/>
          <w:color w:val="auto"/>
          <w:lang w:val="zh-CN"/>
        </w:rPr>
        <w:t>、业务咨询</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outlineLvl w:val="2"/>
        <w:rPr>
          <w:rFonts w:hint="eastAsia" w:ascii="宋体" w:hAnsi="宋体" w:eastAsia="宋体"/>
          <w:color w:val="auto"/>
        </w:rPr>
      </w:pPr>
      <w:r>
        <w:rPr>
          <w:rFonts w:hint="eastAsia" w:ascii="宋体" w:hAnsi="宋体" w:eastAsia="宋体"/>
          <w:color w:val="auto"/>
        </w:rPr>
        <w:t>1</w:t>
      </w:r>
      <w:r>
        <w:rPr>
          <w:rFonts w:hint="eastAsia" w:ascii="宋体" w:hAnsi="宋体"/>
          <w:color w:val="auto"/>
          <w:lang w:val="en-US" w:eastAsia="zh-CN"/>
        </w:rPr>
        <w:t>.</w:t>
      </w:r>
      <w:r>
        <w:rPr>
          <w:rFonts w:hint="eastAsia" w:ascii="宋体" w:hAnsi="宋体" w:eastAsia="宋体"/>
          <w:color w:val="auto"/>
        </w:rPr>
        <w:t>采购人信息</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r>
        <w:rPr>
          <w:rFonts w:hint="eastAsia" w:ascii="宋体" w:hAnsi="宋体" w:eastAsia="宋体"/>
          <w:color w:val="auto"/>
        </w:rPr>
        <w:t>名称：</w:t>
      </w:r>
      <w:r>
        <w:rPr>
          <w:rFonts w:hint="eastAsia" w:ascii="宋体" w:hAnsi="宋体"/>
          <w:color w:val="auto"/>
          <w:lang w:eastAsia="zh-CN"/>
        </w:rPr>
        <w:t>龙游县城市发展投资有限公司</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地点：</w:t>
      </w:r>
      <w:r>
        <w:rPr>
          <w:rFonts w:hint="eastAsia" w:ascii="宋体" w:hAnsi="宋体"/>
          <w:color w:val="auto"/>
          <w:lang w:eastAsia="zh-CN"/>
        </w:rPr>
        <w:t>龙游县东华街道湖底叶村</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联系人：</w:t>
      </w:r>
      <w:r>
        <w:rPr>
          <w:rFonts w:hint="eastAsia" w:ascii="宋体" w:hAnsi="宋体"/>
          <w:color w:val="auto"/>
          <w:lang w:eastAsia="zh-CN"/>
        </w:rPr>
        <w:t>石先生</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联系</w:t>
      </w:r>
      <w:r>
        <w:rPr>
          <w:rFonts w:hint="eastAsia" w:ascii="宋体" w:hAnsi="宋体" w:eastAsia="宋体"/>
          <w:color w:val="auto"/>
          <w:lang w:val="en-US" w:eastAsia="zh-CN"/>
        </w:rPr>
        <w:t>方式</w:t>
      </w:r>
      <w:r>
        <w:rPr>
          <w:rFonts w:hint="eastAsia" w:ascii="宋体" w:hAnsi="宋体" w:eastAsia="宋体"/>
          <w:color w:val="auto"/>
        </w:rPr>
        <w:t>：</w:t>
      </w:r>
      <w:r>
        <w:rPr>
          <w:rFonts w:hint="eastAsia" w:ascii="宋体" w:hAnsi="宋体"/>
          <w:color w:val="auto"/>
          <w:lang w:eastAsia="zh-CN"/>
        </w:rPr>
        <w:t>18857002710</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outlineLvl w:val="2"/>
        <w:rPr>
          <w:rFonts w:hint="eastAsia" w:ascii="宋体" w:hAnsi="宋体" w:eastAsia="宋体"/>
          <w:color w:val="auto"/>
        </w:rPr>
      </w:pPr>
      <w:r>
        <w:rPr>
          <w:rFonts w:hint="eastAsia" w:ascii="宋体" w:hAnsi="宋体" w:eastAsia="宋体"/>
          <w:color w:val="auto"/>
        </w:rPr>
        <w:t>2</w:t>
      </w:r>
      <w:r>
        <w:rPr>
          <w:rFonts w:hint="eastAsia" w:ascii="宋体" w:hAnsi="宋体"/>
          <w:color w:val="auto"/>
          <w:lang w:eastAsia="zh-CN"/>
        </w:rPr>
        <w:t>.</w:t>
      </w:r>
      <w:r>
        <w:rPr>
          <w:rFonts w:hint="eastAsia" w:ascii="宋体" w:hAnsi="宋体" w:eastAsia="宋体"/>
          <w:color w:val="auto"/>
        </w:rPr>
        <w:t>采购代理机构名称</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名称：</w:t>
      </w:r>
      <w:r>
        <w:rPr>
          <w:rFonts w:hint="eastAsia" w:ascii="宋体" w:hAnsi="宋体"/>
          <w:color w:val="auto"/>
          <w:lang w:eastAsia="zh-CN"/>
        </w:rPr>
        <w:t>浙江新诚信工程咨询有限公司</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地点：</w:t>
      </w:r>
      <w:r>
        <w:rPr>
          <w:rFonts w:hint="eastAsia" w:ascii="宋体" w:hAnsi="宋体"/>
          <w:color w:val="auto"/>
          <w:lang w:eastAsia="zh-CN"/>
        </w:rPr>
        <w:t>龙游县龙洲街道环河步行街242号313室</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r>
        <w:rPr>
          <w:rFonts w:hint="eastAsia" w:ascii="宋体" w:hAnsi="宋体" w:eastAsia="宋体"/>
          <w:color w:val="auto"/>
        </w:rPr>
        <w:t>联系人：</w:t>
      </w:r>
      <w:r>
        <w:rPr>
          <w:rFonts w:hint="eastAsia" w:ascii="宋体" w:hAnsi="宋体"/>
          <w:color w:val="auto"/>
          <w:lang w:val="en-US" w:eastAsia="zh-CN"/>
        </w:rPr>
        <w:t>唐女士</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default" w:ascii="宋体" w:hAnsi="宋体" w:eastAsia="宋体"/>
          <w:color w:val="auto"/>
          <w:lang w:val="en-US" w:eastAsia="zh-CN"/>
        </w:rPr>
      </w:pPr>
      <w:r>
        <w:rPr>
          <w:rFonts w:hint="eastAsia" w:ascii="宋体" w:hAnsi="宋体" w:eastAsia="宋体"/>
          <w:color w:val="auto"/>
        </w:rPr>
        <w:t>联系方式：</w:t>
      </w:r>
      <w:r>
        <w:rPr>
          <w:rFonts w:hint="eastAsia" w:ascii="宋体" w:hAnsi="宋体"/>
          <w:color w:val="auto"/>
          <w:lang w:val="en-US" w:eastAsia="zh-CN"/>
        </w:rPr>
        <w:t>13357013858</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p>
    <w:p>
      <w:pPr>
        <w:keepNext w:val="0"/>
        <w:keepLines w:val="0"/>
        <w:pageBreakBefore w:val="0"/>
        <w:widowControl/>
        <w:kinsoku/>
        <w:wordWrap/>
        <w:overflowPunct/>
        <w:topLinePunct w:val="0"/>
        <w:autoSpaceDE/>
        <w:autoSpaceDN/>
        <w:bidi w:val="0"/>
        <w:adjustRightInd/>
        <w:spacing w:line="312" w:lineRule="auto"/>
        <w:jc w:val="left"/>
        <w:textAlignment w:val="auto"/>
        <w:outlineLvl w:val="9"/>
        <w:rPr>
          <w:rFonts w:ascii="宋体" w:hAnsi="宋体" w:cs="宋体"/>
          <w:bCs/>
          <w:lang w:val="zh-CN"/>
        </w:rPr>
      </w:pPr>
      <w:r>
        <w:rPr>
          <w:rFonts w:hint="eastAsia" w:ascii="宋体" w:hAnsi="宋体" w:cs="宋体"/>
          <w:bCs/>
        </w:rPr>
        <w:t>3.</w:t>
      </w:r>
      <w:r>
        <w:rPr>
          <w:rFonts w:hint="eastAsia" w:ascii="宋体" w:hAnsi="宋体" w:cs="宋体"/>
          <w:bCs/>
          <w:lang w:val="zh-CN"/>
        </w:rPr>
        <w:t>同级</w:t>
      </w:r>
      <w:r>
        <w:rPr>
          <w:rFonts w:hint="eastAsia" w:ascii="宋体" w:hAnsi="宋体" w:cs="宋体"/>
          <w:bCs/>
        </w:rPr>
        <w:t>国企</w:t>
      </w:r>
      <w:r>
        <w:rPr>
          <w:rFonts w:hint="eastAsia" w:ascii="宋体" w:hAnsi="宋体" w:cs="宋体"/>
          <w:bCs/>
          <w:lang w:val="zh-CN"/>
        </w:rPr>
        <w:t>采购监督管理部门</w:t>
      </w:r>
    </w:p>
    <w:p>
      <w:pPr>
        <w:keepNext w:val="0"/>
        <w:keepLines w:val="0"/>
        <w:pageBreakBefore w:val="0"/>
        <w:widowControl/>
        <w:kinsoku/>
        <w:wordWrap/>
        <w:overflowPunct/>
        <w:topLinePunct w:val="0"/>
        <w:autoSpaceDE/>
        <w:autoSpaceDN/>
        <w:bidi w:val="0"/>
        <w:adjustRightInd/>
        <w:spacing w:line="312" w:lineRule="auto"/>
        <w:ind w:firstLine="480"/>
        <w:jc w:val="left"/>
        <w:textAlignment w:val="auto"/>
        <w:outlineLvl w:val="9"/>
        <w:rPr>
          <w:rFonts w:hint="eastAsia" w:ascii="宋体" w:hAnsi="宋体" w:eastAsia="宋体" w:cs="宋体"/>
          <w:bCs/>
          <w:lang w:eastAsia="zh-CN"/>
        </w:rPr>
      </w:pPr>
      <w:r>
        <w:rPr>
          <w:rFonts w:hint="eastAsia" w:ascii="宋体" w:hAnsi="宋体" w:cs="宋体"/>
          <w:bCs/>
          <w:lang w:val="zh-CN"/>
        </w:rPr>
        <w:t>名称：</w:t>
      </w:r>
      <w:r>
        <w:rPr>
          <w:rFonts w:hint="eastAsia" w:ascii="宋体" w:hAnsi="宋体" w:cs="宋体"/>
          <w:bCs/>
          <w:lang w:eastAsia="zh-CN"/>
        </w:rPr>
        <w:t>龙游县城市发展投资有限公司</w:t>
      </w:r>
    </w:p>
    <w:p>
      <w:pPr>
        <w:keepNext w:val="0"/>
        <w:keepLines w:val="0"/>
        <w:pageBreakBefore w:val="0"/>
        <w:widowControl/>
        <w:kinsoku/>
        <w:wordWrap/>
        <w:overflowPunct/>
        <w:topLinePunct w:val="0"/>
        <w:autoSpaceDE/>
        <w:autoSpaceDN/>
        <w:bidi w:val="0"/>
        <w:adjustRightInd/>
        <w:spacing w:line="312" w:lineRule="auto"/>
        <w:ind w:firstLine="480"/>
        <w:jc w:val="left"/>
        <w:textAlignment w:val="auto"/>
        <w:outlineLvl w:val="9"/>
        <w:rPr>
          <w:rFonts w:hint="eastAsia" w:ascii="宋体" w:hAnsi="宋体" w:eastAsia="宋体" w:cs="宋体"/>
          <w:bCs/>
          <w:lang w:val="zh-CN" w:eastAsia="zh-CN"/>
        </w:rPr>
      </w:pPr>
      <w:r>
        <w:rPr>
          <w:rFonts w:hint="eastAsia" w:ascii="宋体" w:hAnsi="宋体" w:cs="宋体"/>
          <w:bCs/>
          <w:lang w:val="zh-CN"/>
        </w:rPr>
        <w:t>地址：</w:t>
      </w:r>
      <w:r>
        <w:rPr>
          <w:rFonts w:hint="eastAsia" w:ascii="宋体" w:hAnsi="宋体"/>
          <w:color w:val="auto"/>
          <w:lang w:eastAsia="zh-CN"/>
        </w:rPr>
        <w:t>龙游县东华街道湖底叶村</w:t>
      </w:r>
    </w:p>
    <w:p>
      <w:pPr>
        <w:keepNext w:val="0"/>
        <w:keepLines w:val="0"/>
        <w:pageBreakBefore w:val="0"/>
        <w:widowControl/>
        <w:kinsoku/>
        <w:wordWrap/>
        <w:overflowPunct/>
        <w:topLinePunct w:val="0"/>
        <w:autoSpaceDE/>
        <w:autoSpaceDN/>
        <w:bidi w:val="0"/>
        <w:adjustRightInd/>
        <w:spacing w:line="312" w:lineRule="auto"/>
        <w:ind w:firstLine="480"/>
        <w:jc w:val="left"/>
        <w:textAlignment w:val="auto"/>
        <w:outlineLvl w:val="9"/>
        <w:rPr>
          <w:rFonts w:hint="eastAsia" w:ascii="宋体" w:hAnsi="宋体" w:eastAsia="宋体"/>
          <w:bCs/>
          <w:lang w:eastAsia="zh-CN"/>
        </w:rPr>
      </w:pPr>
      <w:r>
        <w:rPr>
          <w:rFonts w:hint="eastAsia" w:ascii="宋体" w:hAnsi="宋体"/>
          <w:bCs/>
          <w:lang w:val="zh-CN"/>
        </w:rPr>
        <w:t>联系人：</w:t>
      </w:r>
      <w:r>
        <w:rPr>
          <w:rFonts w:hint="eastAsia" w:ascii="宋体" w:hAnsi="宋体"/>
          <w:bCs/>
          <w:lang w:val="en-US" w:eastAsia="zh-CN"/>
        </w:rPr>
        <w:t>丁</w:t>
      </w:r>
      <w:r>
        <w:rPr>
          <w:rFonts w:hint="eastAsia" w:ascii="宋体" w:hAnsi="宋体"/>
          <w:bCs/>
          <w:lang w:eastAsia="zh-CN"/>
        </w:rPr>
        <w:t>先生</w:t>
      </w:r>
    </w:p>
    <w:p>
      <w:pPr>
        <w:keepNext w:val="0"/>
        <w:keepLines w:val="0"/>
        <w:pageBreakBefore w:val="0"/>
        <w:widowControl/>
        <w:kinsoku/>
        <w:wordWrap/>
        <w:overflowPunct/>
        <w:topLinePunct w:val="0"/>
        <w:autoSpaceDE/>
        <w:autoSpaceDN/>
        <w:bidi w:val="0"/>
        <w:adjustRightInd/>
        <w:spacing w:line="312" w:lineRule="auto"/>
        <w:ind w:firstLine="480"/>
        <w:jc w:val="left"/>
        <w:textAlignment w:val="auto"/>
        <w:outlineLvl w:val="9"/>
        <w:rPr>
          <w:rFonts w:hint="default" w:ascii="宋体" w:hAnsi="宋体" w:eastAsia="宋体"/>
          <w:bCs/>
          <w:lang w:val="en-US" w:eastAsia="zh-CN"/>
        </w:rPr>
      </w:pPr>
      <w:r>
        <w:rPr>
          <w:rFonts w:hint="eastAsia" w:ascii="宋体" w:hAnsi="宋体"/>
          <w:bCs/>
          <w:lang w:val="zh-CN"/>
        </w:rPr>
        <w:t>监督投诉方式：</w:t>
      </w:r>
      <w:r>
        <w:rPr>
          <w:rFonts w:hint="eastAsia" w:ascii="宋体" w:hAnsi="宋体"/>
          <w:bCs/>
          <w:lang w:val="en-US" w:eastAsia="zh-CN"/>
        </w:rPr>
        <w:t>13857039019</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r>
        <w:rPr>
          <w:rFonts w:hint="eastAsia" w:ascii="宋体" w:hAnsi="宋体" w:eastAsia="宋体"/>
          <w:color w:val="auto"/>
        </w:rPr>
        <w:t xml:space="preserve">         </w:t>
      </w: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p>
    <w:p>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olor w:val="auto"/>
        </w:rPr>
      </w:pPr>
      <w:r>
        <w:rPr>
          <w:rFonts w:hint="eastAsia" w:ascii="宋体" w:hAnsi="宋体" w:eastAsia="宋体"/>
          <w:color w:val="auto"/>
          <w:lang w:eastAsia="zh-CN"/>
        </w:rPr>
        <w:t>2024</w:t>
      </w:r>
      <w:r>
        <w:rPr>
          <w:rFonts w:hint="eastAsia" w:ascii="宋体" w:hAnsi="宋体" w:eastAsia="宋体"/>
          <w:color w:val="auto"/>
        </w:rPr>
        <w:t>年</w:t>
      </w:r>
      <w:r>
        <w:rPr>
          <w:rFonts w:hint="eastAsia" w:ascii="宋体" w:hAnsi="宋体"/>
          <w:color w:val="auto"/>
          <w:lang w:val="en-US" w:eastAsia="zh-CN"/>
        </w:rPr>
        <w:t>4</w:t>
      </w:r>
      <w:r>
        <w:rPr>
          <w:rFonts w:hint="eastAsia" w:ascii="宋体" w:hAnsi="宋体" w:eastAsia="宋体"/>
          <w:color w:val="auto"/>
        </w:rPr>
        <w:t>月</w:t>
      </w:r>
      <w:r>
        <w:rPr>
          <w:rFonts w:hint="eastAsia" w:ascii="宋体" w:hAnsi="宋体"/>
          <w:color w:val="auto"/>
          <w:lang w:val="en-US" w:eastAsia="zh-CN"/>
        </w:rPr>
        <w:t>9</w:t>
      </w:r>
      <w:r>
        <w:rPr>
          <w:rFonts w:hint="eastAsia" w:ascii="宋体" w:hAnsi="宋体" w:eastAsia="宋体"/>
          <w:color w:val="auto"/>
        </w:rPr>
        <w:t>日</w:t>
      </w:r>
    </w:p>
    <w:p>
      <w:pPr>
        <w:pStyle w:val="16"/>
        <w:keepNext w:val="0"/>
        <w:keepLines w:val="0"/>
        <w:pageBreakBefore w:val="0"/>
        <w:kinsoku/>
        <w:wordWrap/>
        <w:overflowPunct/>
        <w:topLinePunct w:val="0"/>
        <w:autoSpaceDE/>
        <w:autoSpaceDN/>
        <w:bidi w:val="0"/>
        <w:spacing w:line="288" w:lineRule="auto"/>
        <w:ind w:firstLine="480"/>
        <w:textAlignment w:val="auto"/>
        <w:rPr>
          <w:rFonts w:ascii="宋体" w:hAnsi="宋体" w:cs="宋体"/>
          <w:color w:val="auto"/>
        </w:rPr>
      </w:pPr>
      <w:r>
        <w:rPr>
          <w:rFonts w:hint="eastAsia" w:ascii="宋体" w:hAnsi="宋体" w:cs="宋体"/>
          <w:bCs w:val="0"/>
          <w:color w:val="auto"/>
        </w:rPr>
        <w:br w:type="page"/>
      </w:r>
      <w:bookmarkStart w:id="244" w:name="_Toc5940"/>
      <w:bookmarkStart w:id="245" w:name="_Toc26049"/>
      <w:bookmarkStart w:id="246" w:name="_Toc12646"/>
      <w:bookmarkStart w:id="247" w:name="_Toc18814"/>
      <w:bookmarkStart w:id="248" w:name="_Toc16230"/>
      <w:bookmarkStart w:id="249" w:name="_Toc24829"/>
    </w:p>
    <w:p>
      <w:pPr>
        <w:pStyle w:val="2"/>
        <w:numPr>
          <w:ilvl w:val="0"/>
          <w:numId w:val="0"/>
        </w:numPr>
        <w:spacing w:beforeLines="0" w:afterLines="0"/>
        <w:rPr>
          <w:rFonts w:ascii="宋体" w:hAnsi="宋体" w:cs="宋体"/>
          <w:color w:val="auto"/>
        </w:rPr>
      </w:pPr>
      <w:bookmarkStart w:id="250" w:name="_Toc27348"/>
      <w:bookmarkStart w:id="251" w:name="_Toc29935"/>
      <w:bookmarkStart w:id="252" w:name="_Toc8894"/>
      <w:bookmarkStart w:id="253" w:name="_Toc30924"/>
      <w:bookmarkStart w:id="254" w:name="_Toc26647"/>
      <w:bookmarkStart w:id="255" w:name="_Toc3207"/>
      <w:bookmarkStart w:id="256" w:name="_Toc3557"/>
      <w:bookmarkStart w:id="257" w:name="_Toc9562"/>
      <w:bookmarkStart w:id="258" w:name="_Toc8830"/>
      <w:bookmarkStart w:id="259" w:name="_Toc2504"/>
      <w:bookmarkStart w:id="260" w:name="_Toc19320"/>
      <w:bookmarkStart w:id="261" w:name="_Toc12587"/>
      <w:bookmarkStart w:id="262" w:name="_Toc3742"/>
      <w:bookmarkStart w:id="263" w:name="_Toc9506"/>
      <w:bookmarkStart w:id="264" w:name="_Toc21210"/>
      <w:bookmarkStart w:id="265" w:name="_Toc6325"/>
      <w:bookmarkStart w:id="266" w:name="_Toc28801"/>
      <w:bookmarkStart w:id="267" w:name="_Toc30570"/>
      <w:bookmarkStart w:id="268" w:name="_Toc21043"/>
      <w:bookmarkStart w:id="269" w:name="_Toc14630"/>
      <w:bookmarkStart w:id="270" w:name="_Toc14948"/>
      <w:bookmarkStart w:id="271" w:name="_Toc29673"/>
      <w:bookmarkStart w:id="272" w:name="_Toc22916"/>
      <w:bookmarkStart w:id="273" w:name="_Toc13762"/>
      <w:bookmarkStart w:id="274" w:name="_Toc9281"/>
      <w:bookmarkStart w:id="275" w:name="_Toc16652"/>
      <w:bookmarkStart w:id="276" w:name="_Toc26017"/>
      <w:bookmarkStart w:id="277" w:name="_Toc20710"/>
      <w:bookmarkStart w:id="278" w:name="_Toc17699"/>
      <w:bookmarkStart w:id="279" w:name="_Toc27038"/>
      <w:bookmarkStart w:id="280" w:name="_Toc24594"/>
      <w:bookmarkStart w:id="281" w:name="_Toc2759"/>
      <w:bookmarkStart w:id="282" w:name="_Toc30817"/>
      <w:bookmarkStart w:id="283" w:name="_Toc7054"/>
      <w:r>
        <w:rPr>
          <w:rFonts w:hint="eastAsia" w:ascii="宋体" w:hAnsi="宋体" w:cs="宋体"/>
          <w:color w:val="auto"/>
        </w:rPr>
        <w:t xml:space="preserve">第二章  </w:t>
      </w:r>
      <w:r>
        <w:rPr>
          <w:rFonts w:hint="eastAsia" w:ascii="宋体" w:hAnsi="宋体" w:cs="宋体"/>
          <w:color w:val="auto"/>
          <w:lang w:eastAsia="zh-CN"/>
        </w:rPr>
        <w:t>投标人</w:t>
      </w:r>
      <w:r>
        <w:rPr>
          <w:rFonts w:hint="eastAsia" w:ascii="宋体" w:hAnsi="宋体" w:cs="宋体"/>
          <w:color w:val="auto"/>
        </w:rPr>
        <w:t>须知</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3"/>
        <w:numPr>
          <w:ilvl w:val="1"/>
          <w:numId w:val="0"/>
        </w:numPr>
        <w:spacing w:beforeLines="0" w:afterLines="0"/>
        <w:rPr>
          <w:rFonts w:ascii="宋体" w:hAnsi="宋体" w:cs="宋体"/>
          <w:b/>
          <w:bCs w:val="0"/>
          <w:color w:val="auto"/>
          <w:lang w:bidi="ar"/>
        </w:rPr>
      </w:pPr>
      <w:bookmarkStart w:id="284" w:name="_Toc22955"/>
      <w:bookmarkStart w:id="285" w:name="_Toc2286"/>
      <w:bookmarkStart w:id="286" w:name="_Toc1709"/>
      <w:bookmarkStart w:id="287" w:name="_Toc1980"/>
      <w:bookmarkStart w:id="288" w:name="_Toc7175"/>
      <w:bookmarkStart w:id="289" w:name="_Toc26033"/>
      <w:bookmarkStart w:id="290" w:name="_Toc14238"/>
      <w:bookmarkStart w:id="291" w:name="_Toc2093"/>
      <w:bookmarkStart w:id="292" w:name="_Toc8017"/>
      <w:bookmarkStart w:id="293" w:name="_Toc18330"/>
      <w:bookmarkStart w:id="294" w:name="_Toc31532"/>
      <w:bookmarkStart w:id="295" w:name="_Toc29109"/>
      <w:bookmarkStart w:id="296" w:name="_Toc29631"/>
      <w:bookmarkStart w:id="297" w:name="_Toc25611"/>
      <w:bookmarkStart w:id="298" w:name="_Toc24970"/>
      <w:bookmarkStart w:id="299" w:name="_Toc18954"/>
      <w:bookmarkStart w:id="300" w:name="_Toc1237"/>
      <w:bookmarkStart w:id="301" w:name="_Toc6943"/>
      <w:bookmarkStart w:id="302" w:name="_Toc25506"/>
      <w:bookmarkStart w:id="303" w:name="_Toc23368"/>
      <w:bookmarkStart w:id="304" w:name="_Toc6862"/>
      <w:bookmarkStart w:id="305" w:name="_Toc28757"/>
      <w:bookmarkStart w:id="306" w:name="_Toc17538"/>
      <w:bookmarkStart w:id="307" w:name="_Toc5445"/>
      <w:bookmarkStart w:id="308" w:name="_Toc1286"/>
      <w:bookmarkStart w:id="309" w:name="_Toc14813"/>
      <w:bookmarkStart w:id="310" w:name="_Toc20037"/>
      <w:bookmarkStart w:id="311" w:name="_Toc9417"/>
      <w:bookmarkStart w:id="312" w:name="_Toc13830"/>
      <w:bookmarkStart w:id="313" w:name="_Toc24474"/>
      <w:bookmarkStart w:id="314" w:name="_Toc16050"/>
      <w:bookmarkStart w:id="315" w:name="_Toc5731"/>
      <w:bookmarkStart w:id="316" w:name="_Toc1898"/>
      <w:bookmarkStart w:id="317" w:name="_Toc22528"/>
      <w:bookmarkStart w:id="318" w:name="_Toc5125"/>
      <w:bookmarkStart w:id="319" w:name="_Toc14335"/>
      <w:bookmarkStart w:id="320" w:name="_Toc10078"/>
      <w:bookmarkStart w:id="321" w:name="_Toc16227"/>
      <w:bookmarkStart w:id="322" w:name="_Toc32497"/>
      <w:bookmarkStart w:id="323" w:name="_Toc27365"/>
      <w:r>
        <w:rPr>
          <w:rFonts w:hint="eastAsia" w:ascii="宋体" w:hAnsi="宋体" w:cs="宋体"/>
          <w:b/>
          <w:bCs w:val="0"/>
          <w:color w:val="auto"/>
          <w:lang w:bidi="ar"/>
        </w:rPr>
        <w:t>一、</w:t>
      </w:r>
      <w:r>
        <w:rPr>
          <w:rFonts w:hint="eastAsia" w:ascii="宋体" w:hAnsi="宋体" w:cs="宋体"/>
          <w:b/>
          <w:bCs w:val="0"/>
          <w:color w:val="auto"/>
          <w:lang w:eastAsia="zh-CN" w:bidi="ar"/>
        </w:rPr>
        <w:t>投标人</w:t>
      </w:r>
      <w:r>
        <w:rPr>
          <w:rFonts w:hint="eastAsia" w:ascii="宋体" w:hAnsi="宋体" w:cs="宋体"/>
          <w:b/>
          <w:bCs w:val="0"/>
          <w:color w:val="auto"/>
          <w:lang w:bidi="ar"/>
        </w:rPr>
        <w:t>须知前附表</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bl>
      <w:tblPr>
        <w:tblStyle w:val="41"/>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bookmarkStart w:id="324" w:name="_Toc361434558"/>
            <w:bookmarkStart w:id="325" w:name="_Toc361434894"/>
            <w:bookmarkStart w:id="326" w:name="_Toc361434798"/>
            <w:bookmarkStart w:id="327" w:name="_Toc361434459"/>
            <w:bookmarkStart w:id="328" w:name="_Toc101321790"/>
            <w:bookmarkStart w:id="329" w:name="_Toc361437144"/>
            <w:bookmarkStart w:id="330" w:name="_Toc22941"/>
            <w:bookmarkStart w:id="331" w:name="_Toc12616"/>
            <w:bookmarkStart w:id="332" w:name="_Toc1125"/>
            <w:bookmarkStart w:id="333" w:name="_Toc17354"/>
            <w:bookmarkStart w:id="334" w:name="_Toc4691"/>
            <w:bookmarkStart w:id="335" w:name="_Toc3888"/>
            <w:bookmarkStart w:id="336" w:name="_Toc452528599"/>
            <w:bookmarkStart w:id="337" w:name="_Toc11475"/>
            <w:bookmarkStart w:id="338" w:name="_Toc16613"/>
            <w:bookmarkStart w:id="339" w:name="_Toc21242"/>
            <w:bookmarkStart w:id="340" w:name="_Toc1265"/>
            <w:bookmarkStart w:id="341" w:name="_Toc7346"/>
            <w:bookmarkStart w:id="342" w:name="_Toc23442"/>
            <w:bookmarkStart w:id="343" w:name="_Toc24118"/>
            <w:bookmarkStart w:id="344" w:name="_Toc7709"/>
            <w:bookmarkStart w:id="345" w:name="_Toc5990"/>
            <w:bookmarkStart w:id="346" w:name="_Toc496962944"/>
            <w:bookmarkStart w:id="347" w:name="_Toc31099"/>
            <w:bookmarkStart w:id="348" w:name="_Toc27407"/>
            <w:bookmarkStart w:id="349" w:name="_Toc3923"/>
            <w:bookmarkStart w:id="350" w:name="_Toc27367"/>
            <w:bookmarkStart w:id="351" w:name="_Toc5481"/>
            <w:bookmarkStart w:id="352" w:name="_Toc6094"/>
            <w:bookmarkStart w:id="353" w:name="_Toc27241"/>
            <w:bookmarkStart w:id="354" w:name="_Toc16257"/>
            <w:bookmarkStart w:id="355" w:name="_Toc11023"/>
            <w:bookmarkStart w:id="356" w:name="_Toc391298955"/>
            <w:bookmarkStart w:id="357" w:name="_Toc17098"/>
            <w:bookmarkStart w:id="358" w:name="_Toc28742"/>
            <w:bookmarkStart w:id="359" w:name="_Toc20312"/>
            <w:bookmarkStart w:id="360" w:name="_Toc12381"/>
            <w:bookmarkStart w:id="361" w:name="_Toc19731"/>
            <w:bookmarkStart w:id="362" w:name="_Toc29625"/>
            <w:bookmarkStart w:id="363" w:name="_Toc11179"/>
            <w:bookmarkStart w:id="364" w:name="_Toc15313"/>
            <w:bookmarkStart w:id="365" w:name="_Toc12403"/>
            <w:bookmarkStart w:id="366" w:name="_Toc24478"/>
            <w:bookmarkStart w:id="367" w:name="_Toc30126"/>
            <w:bookmarkStart w:id="368" w:name="_Toc26063"/>
            <w:bookmarkStart w:id="369" w:name="_Toc19715"/>
            <w:bookmarkStart w:id="370" w:name="_Toc12958"/>
            <w:bookmarkStart w:id="371" w:name="_Toc331"/>
            <w:bookmarkStart w:id="372" w:name="_Toc25730"/>
            <w:bookmarkStart w:id="373" w:name="_Toc22305"/>
            <w:bookmarkStart w:id="374" w:name="_Toc4630"/>
            <w:bookmarkStart w:id="375" w:name="_Toc27406"/>
            <w:r>
              <w:rPr>
                <w:rFonts w:hint="eastAsia" w:ascii="宋体" w:hAnsi="宋体" w:cs="宋体"/>
                <w:color w:val="auto"/>
                <w:highlight w:val="none"/>
              </w:rPr>
              <w:t>序号</w:t>
            </w:r>
          </w:p>
        </w:tc>
        <w:tc>
          <w:tcPr>
            <w:tcW w:w="2013" w:type="dxa"/>
            <w:tcBorders>
              <w:top w:val="thinThickSmallGap" w:color="auto" w:sz="12" w:space="0"/>
            </w:tcBorders>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内  容</w:t>
            </w:r>
          </w:p>
        </w:tc>
        <w:tc>
          <w:tcPr>
            <w:tcW w:w="7202" w:type="dxa"/>
            <w:tcBorders>
              <w:top w:val="thinThickSmallGap" w:color="auto" w:sz="12" w:space="0"/>
            </w:tcBorders>
            <w:vAlign w:val="center"/>
          </w:tcPr>
          <w:p>
            <w:pPr>
              <w:keepNext w:val="0"/>
              <w:keepLines w:val="0"/>
              <w:suppressLineNumbers w:val="0"/>
              <w:tabs>
                <w:tab w:val="left" w:pos="0"/>
              </w:tabs>
              <w:spacing w:before="0" w:beforeAutospacing="0" w:after="0" w:afterAutospacing="0" w:line="240" w:lineRule="auto"/>
              <w:ind w:left="0" w:right="0" w:firstLine="0" w:firstLineChars="0"/>
              <w:rPr>
                <w:rFonts w:hint="default" w:ascii="宋体" w:hAnsi="宋体" w:cs="宋体"/>
                <w:color w:val="auto"/>
                <w:highlight w:val="none"/>
              </w:rPr>
            </w:pPr>
            <w:r>
              <w:rPr>
                <w:rFonts w:hint="eastAsia" w:ascii="宋体" w:hAnsi="宋体" w:cs="宋体"/>
                <w:color w:val="auto"/>
                <w:highlight w:val="none"/>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1</w:t>
            </w:r>
          </w:p>
        </w:tc>
        <w:tc>
          <w:tcPr>
            <w:tcW w:w="2013"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名  称</w:t>
            </w:r>
            <w:r>
              <w:rPr>
                <w:rFonts w:hint="eastAsia" w:ascii="宋体" w:hAnsi="宋体" w:eastAsia="宋体" w:cs="宋体"/>
                <w:color w:val="auto"/>
                <w:highlight w:val="none"/>
                <w:lang w:val="en-US" w:eastAsia="zh-CN"/>
              </w:rPr>
              <w:t>：</w:t>
            </w:r>
            <w:r>
              <w:rPr>
                <w:rFonts w:hint="eastAsia" w:ascii="宋体" w:hAnsi="宋体" w:cs="宋体"/>
                <w:color w:val="auto"/>
                <w:highlight w:val="none"/>
                <w:lang w:val="zh-CN" w:eastAsia="zh-CN"/>
              </w:rPr>
              <w:t>龙游县城市发展投资有限公司</w:t>
            </w:r>
            <w:r>
              <w:rPr>
                <w:rFonts w:hint="eastAsia" w:ascii="宋体" w:hAnsi="宋体" w:eastAsia="宋体" w:cs="宋体"/>
                <w:color w:val="auto"/>
                <w:highlight w:val="none"/>
                <w:lang w:val="zh-CN"/>
              </w:rPr>
              <w:t xml:space="preserve"> </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地</w:t>
            </w:r>
            <w:r>
              <w:rPr>
                <w:rFonts w:hint="eastAsia" w:ascii="宋体" w:hAnsi="宋体" w:cs="宋体"/>
                <w:color w:val="auto"/>
                <w:highlight w:val="none"/>
              </w:rPr>
              <w:t xml:space="preserve">  </w:t>
            </w:r>
            <w:r>
              <w:rPr>
                <w:rFonts w:hint="eastAsia" w:ascii="宋体" w:hAnsi="宋体" w:cs="宋体"/>
                <w:color w:val="auto"/>
                <w:highlight w:val="none"/>
                <w:lang w:val="zh-CN"/>
              </w:rPr>
              <w:t>址</w:t>
            </w:r>
            <w:r>
              <w:rPr>
                <w:rFonts w:hint="eastAsia" w:ascii="宋体" w:hAnsi="宋体" w:eastAsia="宋体" w:cs="宋体"/>
                <w:color w:val="auto"/>
                <w:highlight w:val="none"/>
                <w:lang w:val="zh-CN"/>
              </w:rPr>
              <w:t>：</w:t>
            </w:r>
            <w:r>
              <w:rPr>
                <w:rFonts w:hint="eastAsia" w:ascii="宋体" w:hAnsi="宋体" w:cs="宋体"/>
                <w:color w:val="auto"/>
                <w:highlight w:val="none"/>
                <w:lang w:val="zh-CN"/>
              </w:rPr>
              <w:t>龙游县东华街道湖底叶村</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联系人</w:t>
            </w:r>
            <w:r>
              <w:rPr>
                <w:rFonts w:hint="eastAsia" w:ascii="宋体" w:hAnsi="宋体" w:eastAsia="宋体" w:cs="宋体"/>
                <w:color w:val="auto"/>
                <w:highlight w:val="none"/>
                <w:lang w:val="zh-CN"/>
              </w:rPr>
              <w:t>：</w:t>
            </w:r>
            <w:r>
              <w:rPr>
                <w:rFonts w:hint="eastAsia" w:ascii="宋体" w:hAnsi="宋体" w:cs="宋体"/>
                <w:color w:val="auto"/>
                <w:highlight w:val="none"/>
                <w:lang w:val="zh-CN"/>
              </w:rPr>
              <w:t>石先生</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lang w:val="zh-CN"/>
              </w:rPr>
              <w:t>：</w:t>
            </w:r>
            <w:r>
              <w:rPr>
                <w:rFonts w:hint="eastAsia" w:ascii="宋体" w:hAnsi="宋体" w:cs="宋体"/>
                <w:color w:val="auto"/>
                <w:highlight w:val="none"/>
                <w:lang w:val="zh-CN"/>
              </w:rPr>
              <w:t>18857002710</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采购代理机构</w:t>
            </w:r>
          </w:p>
        </w:tc>
        <w:tc>
          <w:tcPr>
            <w:tcW w:w="7202" w:type="dxa"/>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称：浙江新诚信工程咨询有限公司  </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w:t>
            </w:r>
            <w:r>
              <w:rPr>
                <w:rFonts w:hint="eastAsia" w:ascii="宋体" w:hAnsi="宋体" w:cs="宋体"/>
                <w:color w:val="auto"/>
                <w:highlight w:val="none"/>
              </w:rPr>
              <w:t xml:space="preserve">  </w:t>
            </w:r>
            <w:r>
              <w:rPr>
                <w:rFonts w:hint="eastAsia" w:ascii="宋体" w:hAnsi="宋体" w:cs="宋体"/>
                <w:color w:val="auto"/>
                <w:highlight w:val="none"/>
                <w:lang w:val="zh-CN"/>
              </w:rPr>
              <w:t>址：龙游县龙洲街道环河步行街242号313室</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联系人：唐女士</w:t>
            </w:r>
          </w:p>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联系方式：13357013858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项目名称</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lang w:val="zh-CN"/>
              </w:rPr>
            </w:pPr>
            <w:r>
              <w:rPr>
                <w:rFonts w:hint="eastAsia" w:ascii="宋体" w:hAnsi="宋体" w:cs="宋体"/>
                <w:color w:val="auto"/>
                <w:highlight w:val="none"/>
                <w:lang w:val="zh-CN"/>
              </w:rPr>
              <w:t>2023年龙游县老旧小区改造提升工程-阳光小区未来社区布展展陈项目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4</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预算金额</w:t>
            </w:r>
          </w:p>
        </w:tc>
        <w:tc>
          <w:tcPr>
            <w:tcW w:w="7202" w:type="dxa"/>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en-US"/>
              </w:rPr>
            </w:pPr>
            <w:r>
              <w:rPr>
                <w:rFonts w:hint="eastAsia" w:ascii="宋体" w:hAnsi="宋体" w:cs="宋体"/>
                <w:color w:val="auto"/>
                <w:highlight w:val="none"/>
                <w:lang w:val="en-US" w:eastAsia="zh-CN"/>
              </w:rPr>
              <w:t>2640406元；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5</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最高限价</w:t>
            </w:r>
          </w:p>
        </w:tc>
        <w:tc>
          <w:tcPr>
            <w:tcW w:w="7202" w:type="dxa"/>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en-US" w:eastAsia="zh-CN"/>
              </w:rPr>
              <w:t>2640406元；</w:t>
            </w:r>
            <w:r>
              <w:rPr>
                <w:rFonts w:hint="eastAsia" w:ascii="宋体" w:hAnsi="宋体" w:cs="宋体"/>
                <w:color w:val="auto"/>
                <w:highlight w:val="none"/>
                <w:lang w:val="zh-CN"/>
              </w:rPr>
              <w:t>投标人应按此最高限价并结合企业自身情况及管理经验自主报价，报价不得超过最高限价，否则作为废标处理。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6</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申请人资格要求</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7</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获取招标文件</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8</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投标有效期</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自投标截止之日起90日历天。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9</w:t>
            </w:r>
          </w:p>
        </w:tc>
        <w:tc>
          <w:tcPr>
            <w:tcW w:w="2013"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分包</w:t>
            </w:r>
            <w:r>
              <w:rPr>
                <w:rFonts w:hint="eastAsia" w:ascii="宋体" w:hAnsi="宋体" w:cs="宋体"/>
                <w:color w:val="auto"/>
                <w:highlight w:val="none"/>
              </w:rPr>
              <w:t>与转包</w:t>
            </w:r>
            <w:r>
              <w:rPr>
                <w:rFonts w:hint="eastAsia" w:ascii="宋体" w:hAnsi="宋体" w:cs="宋体"/>
                <w:color w:val="auto"/>
                <w:highlight w:val="none"/>
                <w:lang w:val="zh-CN"/>
              </w:rPr>
              <w:t>情况</w:t>
            </w:r>
          </w:p>
        </w:tc>
        <w:tc>
          <w:tcPr>
            <w:tcW w:w="7202" w:type="dxa"/>
            <w:vAlign w:val="center"/>
          </w:tcPr>
          <w:p>
            <w:pPr>
              <w:pStyle w:val="114"/>
              <w:keepNext w:val="0"/>
              <w:keepLines w:val="0"/>
              <w:suppressLineNumbers w:val="0"/>
              <w:tabs>
                <w:tab w:val="left" w:pos="768"/>
              </w:tabs>
              <w:spacing w:before="0" w:beforeAutospacing="0" w:after="0" w:afterAutospacing="0" w:line="240" w:lineRule="auto"/>
              <w:ind w:left="0" w:right="0" w:firstLine="0" w:firstLineChars="0"/>
              <w:jc w:val="left"/>
              <w:rPr>
                <w:rFonts w:hint="default"/>
                <w:color w:val="auto"/>
                <w:highlight w:val="none"/>
                <w:lang w:val="en-US"/>
              </w:rPr>
            </w:pPr>
            <w:r>
              <w:rPr>
                <w:rFonts w:hint="eastAsia"/>
                <w:color w:val="auto"/>
                <w:highlight w:val="none"/>
                <w:lang w:val="en-US"/>
              </w:rPr>
              <w:t>不允许。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10</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现场勘查</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不组织，投标人可自行勘察。</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11</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资金来源及比例</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国有资金100%。</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12</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答疑会</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不召开。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13</w:t>
            </w:r>
          </w:p>
        </w:tc>
        <w:tc>
          <w:tcPr>
            <w:tcW w:w="2013" w:type="dxa"/>
            <w:vAlign w:val="center"/>
          </w:tcPr>
          <w:p>
            <w:pPr>
              <w:pStyle w:val="6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rPr>
              <w:t>是否接受联合体</w:t>
            </w:r>
          </w:p>
        </w:tc>
        <w:tc>
          <w:tcPr>
            <w:tcW w:w="7202" w:type="dxa"/>
            <w:vAlign w:val="center"/>
          </w:tcPr>
          <w:p>
            <w:pPr>
              <w:pStyle w:val="6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不接受</w:t>
            </w:r>
          </w:p>
          <w:p>
            <w:pPr>
              <w:pStyle w:val="6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hint="eastAsia" w:ascii="宋体" w:hAnsi="宋体" w:cs="宋体"/>
                <w:color w:val="auto"/>
                <w:sz w:val="24"/>
                <w:szCs w:val="24"/>
                <w:highlight w:val="none"/>
                <w:lang w:val="zh-CN"/>
              </w:rPr>
            </w:pP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14</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投标保证金</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不收取。</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15</w:t>
            </w:r>
          </w:p>
        </w:tc>
        <w:tc>
          <w:tcPr>
            <w:tcW w:w="2013"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合同履行期限</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详见 第三章 采购内容及要求。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16</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投标人对招标文件要求澄清的截止时间</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对招标文件有异议的，公告期限内获取招标文件的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应在自收到招标文件之日（获取招标文件之日）起7个工作日内提出，公告期限外获取招标文件的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应在公告期限届满之日起7个工作日内，以书面形式向采购人提出质疑，逾期将不予受理。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17</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采购人澄清的截止时间</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采购人可对已发出的招标文件进行必要的澄清或修改，如澄清或修改的内容可能影响投标文件编制的，采购人应当在投标截止时间至少15日前，在</w:t>
            </w:r>
            <w:r>
              <w:rPr>
                <w:rFonts w:hint="eastAsia" w:ascii="宋体" w:hAnsi="宋体" w:cs="宋体"/>
                <w:color w:val="auto"/>
                <w:highlight w:val="none"/>
              </w:rPr>
              <w:t>招标</w:t>
            </w:r>
            <w:r>
              <w:rPr>
                <w:rFonts w:hint="eastAsia" w:ascii="宋体" w:hAnsi="宋体" w:cs="宋体"/>
                <w:color w:val="auto"/>
                <w:highlight w:val="none"/>
                <w:lang w:val="zh-CN"/>
              </w:rPr>
              <w:t>公告原发布媒体上发布更正公告，更正内容作为招标文件的组成部分；不足15日的，采购人将顺延提交投标文件的截止时间。如澄清或修改的内容不影响投标文件编制的，采购人将不延长提交投标文件的截止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18</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是否采用电子招标投标</w:t>
            </w:r>
          </w:p>
        </w:tc>
        <w:tc>
          <w:tcPr>
            <w:tcW w:w="7202" w:type="dxa"/>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color w:val="auto"/>
                <w:highlight w:val="none"/>
                <w:lang w:val="zh-CN"/>
              </w:rPr>
            </w:pPr>
            <w:r>
              <w:rPr>
                <w:rFonts w:hint="eastAsia" w:ascii="宋体" w:hAnsi="宋体" w:cs="宋体"/>
                <w:color w:val="auto"/>
                <w:highlight w:val="none"/>
                <w:lang w:val="zh-CN"/>
              </w:rPr>
              <w:t>是；本项目实行不见面电子招投标方式。</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19</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构成招标文件的其他材料</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rPr>
              <w:t>补充（答疑、澄清）、修改（</w:t>
            </w:r>
            <w:r>
              <w:rPr>
                <w:rFonts w:hint="eastAsia" w:ascii="宋体" w:hAnsi="宋体" w:cs="宋体"/>
                <w:color w:val="auto"/>
                <w:highlight w:val="none"/>
                <w:lang w:val="zh-CN"/>
              </w:rPr>
              <w:t>更正</w:t>
            </w:r>
            <w:r>
              <w:rPr>
                <w:rFonts w:hint="eastAsia" w:ascii="宋体" w:hAnsi="宋体" w:cs="宋体"/>
                <w:color w:val="auto"/>
                <w:highlight w:val="none"/>
              </w:rPr>
              <w:t>）文件。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20</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投标报价</w:t>
            </w:r>
          </w:p>
        </w:tc>
        <w:tc>
          <w:tcPr>
            <w:tcW w:w="7202" w:type="dxa"/>
            <w:vAlign w:val="center"/>
          </w:tcPr>
          <w:p>
            <w:pPr>
              <w:keepNext w:val="0"/>
              <w:keepLines w:val="0"/>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投标报价是指</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zh-CN" w:eastAsia="zh-CN"/>
              </w:rPr>
              <w:t>在正确地完全履行合同义务后采购人应支付给</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zh-CN" w:eastAsia="zh-CN"/>
              </w:rPr>
              <w:t>所有的价款，</w:t>
            </w:r>
            <w:r>
              <w:rPr>
                <w:rFonts w:hint="eastAsia" w:ascii="宋体" w:hAnsi="宋体" w:eastAsia="宋体" w:cs="宋体"/>
                <w:color w:val="auto"/>
                <w:highlight w:val="none"/>
                <w:lang w:val="en-US" w:eastAsia="zh-CN"/>
              </w:rPr>
              <w:t>包括但不限于：</w:t>
            </w:r>
          </w:p>
          <w:p>
            <w:pPr>
              <w:keepNext w:val="0"/>
              <w:keepLines w:val="0"/>
              <w:numPr>
                <w:ilvl w:val="0"/>
                <w:numId w:val="0"/>
              </w:numPr>
              <w:suppressLineNumbers w:val="0"/>
              <w:spacing w:before="0" w:beforeAutospacing="0" w:after="0" w:afterAutospacing="0" w:line="240" w:lineRule="auto"/>
              <w:ind w:left="0" w:leftChars="0" w:right="0" w:rightChars="0"/>
              <w:jc w:val="left"/>
              <w:rPr>
                <w:rFonts w:hint="default"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①</w:t>
            </w:r>
            <w:r>
              <w:rPr>
                <w:rFonts w:hint="eastAsia" w:ascii="宋体" w:hAnsi="宋体" w:eastAsia="宋体" w:cs="宋体"/>
                <w:color w:val="auto"/>
                <w:highlight w:val="none"/>
                <w:lang w:val="en-US" w:eastAsia="zh-CN"/>
              </w:rPr>
              <w:t>硬装</w:t>
            </w:r>
            <w:r>
              <w:rPr>
                <w:rFonts w:hint="eastAsia" w:ascii="宋体" w:hAnsi="宋体" w:cs="宋体"/>
                <w:color w:val="auto"/>
                <w:highlight w:val="none"/>
                <w:lang w:val="en-US" w:eastAsia="zh-CN"/>
              </w:rPr>
              <w:t>（含装饰工程及安装工程等）</w:t>
            </w:r>
            <w:r>
              <w:rPr>
                <w:rFonts w:hint="eastAsia" w:ascii="宋体" w:hAnsi="宋体" w:eastAsia="宋体" w:cs="宋体"/>
                <w:color w:val="auto"/>
                <w:highlight w:val="none"/>
                <w:lang w:val="en-US" w:eastAsia="zh-CN"/>
              </w:rPr>
              <w:t>包括但不限于装修、水电铺设、临时用水、临时用电、安装费、机械费、安全文明施工费、人工费、安全保护、现场清理、各种社会保险、食宿与交通、器材、消耗材料、管理费用、税费、利润、完成合同所需的一切本身和不可或缺的所有工作开支、政策性文件规定及合同包含的所有风险、责任等各项全部费用并承担一切风险责任。</w:t>
            </w:r>
          </w:p>
          <w:p>
            <w:pPr>
              <w:keepNext w:val="0"/>
              <w:keepLines w:val="0"/>
              <w:numPr>
                <w:ilvl w:val="0"/>
                <w:numId w:val="0"/>
              </w:numPr>
              <w:suppressLineNumbers w:val="0"/>
              <w:spacing w:before="0" w:beforeAutospacing="0" w:after="0" w:afterAutospacing="0" w:line="240" w:lineRule="auto"/>
              <w:ind w:left="0" w:leftChars="0" w:right="0" w:rightChars="0"/>
              <w:jc w:val="left"/>
              <w:rPr>
                <w:rFonts w:hint="default"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②</w:t>
            </w:r>
            <w:r>
              <w:rPr>
                <w:rFonts w:hint="eastAsia" w:ascii="宋体" w:hAnsi="宋体" w:cs="宋体"/>
                <w:color w:val="auto"/>
                <w:spacing w:val="-4"/>
                <w:sz w:val="24"/>
                <w:szCs w:val="24"/>
                <w:lang w:val="en-US" w:eastAsia="zh-CN"/>
              </w:rPr>
              <w:t>软装</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lang w:val="en-US" w:eastAsia="zh-CN"/>
              </w:rPr>
              <w:t>含展陈布展、家器具、文创等</w:t>
            </w:r>
            <w:r>
              <w:rPr>
                <w:rFonts w:hint="eastAsia" w:ascii="宋体" w:hAnsi="宋体" w:cs="宋体"/>
                <w:color w:val="auto"/>
                <w:spacing w:val="-4"/>
                <w:sz w:val="24"/>
                <w:szCs w:val="24"/>
                <w:lang w:eastAsia="zh-CN"/>
              </w:rPr>
              <w:t>）</w:t>
            </w:r>
            <w:r>
              <w:rPr>
                <w:rFonts w:hint="eastAsia" w:ascii="宋体" w:hAnsi="宋体" w:eastAsia="宋体" w:cs="宋体"/>
                <w:color w:val="auto"/>
                <w:highlight w:val="none"/>
                <w:lang w:val="en-US" w:eastAsia="zh-CN"/>
              </w:rPr>
              <w:t>包括但不限于</w:t>
            </w:r>
            <w:r>
              <w:rPr>
                <w:rFonts w:hint="eastAsia"/>
                <w:lang w:eastAsia="zh-CN"/>
              </w:rPr>
              <w:t>深化设计</w:t>
            </w:r>
            <w:r>
              <w:rPr>
                <w:rFonts w:hint="eastAsia" w:ascii="宋体" w:hAnsi="宋体" w:eastAsia="宋体" w:cs="宋体"/>
                <w:color w:val="auto"/>
                <w:highlight w:val="none"/>
                <w:lang w:val="en-US" w:eastAsia="zh-CN"/>
              </w:rPr>
              <w:t>、布展展品购置费、设备购置费及工具、人工费、标准附件、产品标配的备品备件、专用工具、包装、运输、装卸、保险、税金、货到就位及安装、调试、培训、制作、保修、清理、利润、税费</w:t>
            </w:r>
            <w:r>
              <w:rPr>
                <w:rFonts w:hint="eastAsia" w:ascii="宋体" w:hAnsi="宋体" w:eastAsia="宋体" w:cs="宋体"/>
                <w:color w:val="auto"/>
                <w:highlight w:val="none"/>
                <w:lang w:val="zh-CN" w:eastAsia="zh-CN"/>
              </w:rPr>
              <w:t>等一切费用。</w:t>
            </w:r>
          </w:p>
          <w:p>
            <w:pPr>
              <w:keepNext w:val="0"/>
              <w:keepLines w:val="0"/>
              <w:numPr>
                <w:ilvl w:val="0"/>
                <w:numId w:val="0"/>
              </w:numPr>
              <w:suppressLineNumbers w:val="0"/>
              <w:spacing w:before="0" w:beforeAutospacing="0" w:after="0" w:afterAutospacing="0" w:line="240" w:lineRule="auto"/>
              <w:ind w:left="0" w:leftChars="0" w:right="0" w:rightChars="0"/>
              <w:jc w:val="left"/>
              <w:rPr>
                <w:rFonts w:hint="default" w:ascii="宋体" w:hAnsi="宋体" w:cs="宋体"/>
                <w:color w:val="auto"/>
                <w:highlight w:val="none"/>
                <w:lang w:val="zh-CN"/>
              </w:rPr>
            </w:pPr>
            <w:r>
              <w:rPr>
                <w:rFonts w:hint="eastAsia" w:ascii="宋体" w:hAnsi="宋体" w:eastAsia="宋体" w:cs="Times New Roman"/>
                <w:b w:val="0"/>
                <w:bCs w:val="0"/>
                <w:color w:val="auto"/>
                <w:highlight w:val="none"/>
                <w:lang w:val="zh-CN" w:eastAsia="zh-CN"/>
              </w:rPr>
              <w:t>如有漏项，视同已包含在项目报价中，不做调整。投标报价为投标人所能承受的最低、最终报价，投标人不得再要求追加任何费用。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21</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投标报价次数</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本次投标报价为一次，不得更改报价，投标人只有一次报价的机会。投标报价不得有选择性报价和附有条件，且不得高于最高限价。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22</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w:t>
            </w:r>
            <w:r>
              <w:rPr>
                <w:rFonts w:hint="eastAsia" w:ascii="宋体" w:hAnsi="宋体" w:cs="宋体"/>
                <w:color w:val="auto"/>
                <w:highlight w:val="none"/>
              </w:rPr>
              <w:t>份数</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电子投标文件：加密电子投标文件一份，包括资格审查文件、资信技术文件、商务报价文件，按规定上传至衢州市阳光交易服务平台。</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中标人在公示结束后，提供与投标时一致的纸质投标文件</w:t>
            </w:r>
            <w:r>
              <w:rPr>
                <w:rFonts w:hint="eastAsia" w:ascii="宋体" w:hAnsi="宋体" w:cs="宋体"/>
                <w:color w:val="auto"/>
                <w:highlight w:val="none"/>
                <w:lang w:val="en-US" w:eastAsia="zh-CN"/>
              </w:rPr>
              <w:t>3</w:t>
            </w:r>
            <w:r>
              <w:rPr>
                <w:rFonts w:hint="eastAsia" w:ascii="宋体" w:hAnsi="宋体" w:cs="宋体"/>
                <w:color w:val="auto"/>
                <w:highlight w:val="none"/>
                <w:lang w:val="zh-CN"/>
              </w:rPr>
              <w:t>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23</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投标截止时间</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时  间：2024年</w:t>
            </w:r>
            <w:r>
              <w:rPr>
                <w:rFonts w:hint="eastAsia" w:ascii="宋体" w:hAnsi="宋体" w:cs="宋体"/>
                <w:color w:val="auto"/>
                <w:highlight w:val="none"/>
                <w:lang w:val="en-US" w:eastAsia="zh-CN"/>
              </w:rPr>
              <w:t>4</w:t>
            </w:r>
            <w:r>
              <w:rPr>
                <w:rFonts w:hint="eastAsia" w:ascii="宋体" w:hAnsi="宋体" w:cs="宋体"/>
                <w:color w:val="auto"/>
                <w:highlight w:val="none"/>
                <w:lang w:val="zh-CN"/>
              </w:rPr>
              <w:t>月</w:t>
            </w:r>
            <w:r>
              <w:rPr>
                <w:rFonts w:hint="eastAsia" w:ascii="宋体" w:hAnsi="宋体" w:cs="宋体"/>
                <w:color w:val="auto"/>
                <w:highlight w:val="none"/>
                <w:lang w:val="en-US" w:eastAsia="zh-CN"/>
              </w:rPr>
              <w:t>30</w:t>
            </w:r>
            <w:r>
              <w:rPr>
                <w:rFonts w:hint="eastAsia" w:ascii="宋体" w:hAnsi="宋体" w:cs="宋体"/>
                <w:color w:val="auto"/>
                <w:highlight w:val="none"/>
                <w:lang w:val="zh-CN"/>
              </w:rPr>
              <w:t>日</w:t>
            </w:r>
            <w:r>
              <w:rPr>
                <w:rFonts w:hint="eastAsia" w:ascii="宋体" w:hAnsi="宋体" w:cs="宋体"/>
                <w:color w:val="auto"/>
                <w:highlight w:val="none"/>
                <w:lang w:val="en-US" w:eastAsia="zh-CN"/>
              </w:rPr>
              <w:t>09</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0时止。</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24</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开标</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开标时间：同电子投标文件上传截止时间。</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开标地点：衢州市公共资源交易龙游县分中心</w:t>
            </w:r>
            <w:r>
              <w:rPr>
                <w:rFonts w:hint="eastAsia" w:ascii="宋体" w:hAnsi="宋体" w:cs="宋体"/>
                <w:color w:val="auto"/>
                <w:highlight w:val="none"/>
              </w:rPr>
              <w:t>2楼</w:t>
            </w:r>
            <w:r>
              <w:rPr>
                <w:rFonts w:hint="eastAsia" w:ascii="宋体" w:hAnsi="宋体" w:cs="宋体"/>
                <w:color w:val="auto"/>
                <w:highlight w:val="none"/>
                <w:lang w:val="zh-CN"/>
              </w:rPr>
              <w:t>开标室3（龙游县龙翔路原香溢市场西侧）</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开标平台：</w:t>
            </w:r>
            <w:r>
              <w:rPr>
                <w:rFonts w:hint="eastAsia" w:ascii="宋体" w:hAnsi="宋体" w:cs="宋体"/>
                <w:color w:val="auto"/>
                <w:highlight w:val="none"/>
              </w:rPr>
              <w:t>衢州市阳光交易服务平台不见面开标大厅。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25</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递交投标文件的地点</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将由投标文件制作工具制作生成的加密投标文件在投标截止时间前（以上传完成时间为准）上传至衢州市阳光交易服务平台（网址：https://qzygjy.com/)。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26</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投标文件的外包装和密封要求</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电子招投标，无密封要求。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27</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投标文件封面上应载明的信息</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详见第六章</w:t>
            </w:r>
            <w:r>
              <w:rPr>
                <w:rFonts w:hint="eastAsia" w:ascii="宋体" w:hAnsi="宋体" w:cs="宋体"/>
                <w:color w:val="auto"/>
                <w:highlight w:val="none"/>
              </w:rPr>
              <w:t xml:space="preserve"> </w:t>
            </w:r>
            <w:r>
              <w:rPr>
                <w:rFonts w:hint="eastAsia" w:ascii="宋体" w:hAnsi="宋体" w:cs="宋体"/>
                <w:color w:val="auto"/>
                <w:highlight w:val="none"/>
                <w:lang w:val="zh-CN"/>
              </w:rPr>
              <w:t>投标文件格式。</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28</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签字或盖章要求</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投标文件格式文件要求投标人盖章、法定代表人印章的地方，投标人均应使用CA数字证书加盖投标人的单位电子印章、法定代表人个人电子印章。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29</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是否允许提交备选投标方案</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不允许。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30</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是否允许</w:t>
            </w:r>
            <w:r>
              <w:rPr>
                <w:rFonts w:hint="eastAsia" w:ascii="宋体" w:hAnsi="宋体" w:cs="宋体"/>
                <w:color w:val="auto"/>
                <w:highlight w:val="none"/>
              </w:rPr>
              <w:t>采购进口产品</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不允许。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31</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w:t>
            </w:r>
            <w:r>
              <w:rPr>
                <w:rFonts w:hint="eastAsia" w:ascii="宋体" w:hAnsi="宋体" w:eastAsia="宋体" w:cs="宋体"/>
                <w:color w:val="auto"/>
                <w:highlight w:val="none"/>
                <w:lang w:val="en-US" w:eastAsia="zh-CN"/>
              </w:rPr>
              <w:t>样品</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FE"/>
            </w:r>
            <w:r>
              <w:rPr>
                <w:rFonts w:hint="eastAsia" w:ascii="宋体" w:hAnsi="宋体" w:eastAsia="宋体" w:cs="宋体"/>
                <w:color w:val="auto"/>
                <w:highlight w:val="none"/>
                <w:lang w:val="zh-CN"/>
              </w:rPr>
              <w:t>不要求提供</w:t>
            </w:r>
            <w:r>
              <w:rPr>
                <w:rFonts w:hint="eastAsia" w:ascii="宋体" w:hAnsi="宋体" w:cs="宋体"/>
                <w:color w:val="auto"/>
                <w:highlight w:val="none"/>
                <w:lang w:val="zh-CN"/>
              </w:rPr>
              <w:t>；</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A8"/>
            </w:r>
            <w:r>
              <w:rPr>
                <w:rFonts w:hint="eastAsia" w:ascii="宋体" w:hAnsi="宋体" w:eastAsia="宋体" w:cs="宋体"/>
                <w:color w:val="auto"/>
                <w:highlight w:val="none"/>
                <w:lang w:val="zh-CN"/>
              </w:rPr>
              <w:t>要求提供</w:t>
            </w:r>
            <w:r>
              <w:rPr>
                <w:rFonts w:hint="eastAsia" w:ascii="宋体" w:hAnsi="宋体" w:cs="宋体"/>
                <w:color w:val="auto"/>
                <w:highlight w:val="none"/>
                <w:lang w:val="zh-CN"/>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32</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采购方式</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公开招标。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33</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评标委员会的组建</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评标委员会成员构成：共</w:t>
            </w:r>
            <w:r>
              <w:rPr>
                <w:rFonts w:hint="eastAsia" w:ascii="宋体" w:hAnsi="宋体" w:cs="宋体"/>
                <w:color w:val="auto"/>
                <w:highlight w:val="none"/>
                <w:u w:val="single"/>
                <w:lang w:val="zh-CN"/>
              </w:rPr>
              <w:t xml:space="preserve"> 5 </w:t>
            </w:r>
            <w:r>
              <w:rPr>
                <w:rFonts w:hint="eastAsia" w:ascii="宋体" w:hAnsi="宋体" w:cs="宋体"/>
                <w:color w:val="auto"/>
                <w:highlight w:val="none"/>
                <w:lang w:val="zh-CN"/>
              </w:rPr>
              <w:t>人（5人及以上单数），其中采购人代表</w:t>
            </w:r>
            <w:r>
              <w:rPr>
                <w:rFonts w:hint="eastAsia" w:ascii="宋体" w:hAnsi="宋体" w:cs="宋体"/>
                <w:color w:val="auto"/>
                <w:highlight w:val="none"/>
                <w:u w:val="single"/>
                <w:lang w:val="en-US" w:eastAsia="zh-CN"/>
              </w:rPr>
              <w:t>1</w:t>
            </w:r>
            <w:r>
              <w:rPr>
                <w:rFonts w:hint="eastAsia" w:ascii="宋体" w:hAnsi="宋体" w:cs="宋体"/>
                <w:color w:val="auto"/>
                <w:highlight w:val="none"/>
                <w:lang w:val="zh-CN"/>
              </w:rPr>
              <w:t>人，库选专家</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4</w:t>
            </w:r>
            <w:r>
              <w:rPr>
                <w:rFonts w:hint="eastAsia" w:ascii="宋体" w:hAnsi="宋体" w:cs="宋体"/>
                <w:color w:val="auto"/>
                <w:highlight w:val="none"/>
                <w:lang w:val="zh-CN"/>
              </w:rPr>
              <w:t>人。</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评标委员会确定方式：按规定随机选聘。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34</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评审办法</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综合评分法。</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35</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确定中标人</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确定1个中标人，中标结果在衢州市阳光交易服务平台、浙江政府采购网公告，</w:t>
            </w:r>
            <w:r>
              <w:rPr>
                <w:rFonts w:hint="eastAsia" w:ascii="宋体" w:hAnsi="宋体" w:cs="宋体"/>
                <w:color w:val="auto"/>
                <w:highlight w:val="none"/>
              </w:rPr>
              <w:t>中标结果</w:t>
            </w:r>
            <w:r>
              <w:rPr>
                <w:rFonts w:hint="eastAsia" w:ascii="宋体" w:hAnsi="宋体" w:cs="宋体"/>
                <w:color w:val="auto"/>
                <w:highlight w:val="none"/>
                <w:lang w:val="zh-CN"/>
              </w:rPr>
              <w:t>公告期限为1个工作日。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36</w:t>
            </w:r>
          </w:p>
        </w:tc>
        <w:tc>
          <w:tcPr>
            <w:tcW w:w="2013"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履约保证金</w:t>
            </w:r>
          </w:p>
        </w:tc>
        <w:tc>
          <w:tcPr>
            <w:tcW w:w="7202"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cs="宋体"/>
                <w:color w:val="auto"/>
                <w:highlight w:val="none"/>
                <w:lang w:val="zh-CN"/>
              </w:rPr>
              <w:t>1</w:t>
            </w:r>
            <w:r>
              <w:rPr>
                <w:rFonts w:hint="eastAsia" w:ascii="宋体" w:hAnsi="宋体" w:eastAsia="宋体" w:cs="宋体"/>
                <w:color w:val="auto"/>
                <w:highlight w:val="none"/>
                <w:lang w:val="zh-CN"/>
              </w:rPr>
              <w:t>.缴纳金额：</w:t>
            </w:r>
            <w:r>
              <w:rPr>
                <w:rFonts w:hint="eastAsia" w:ascii="宋体" w:hAnsi="宋体" w:eastAsia="宋体" w:cs="宋体"/>
                <w:color w:val="auto"/>
                <w:highlight w:val="none"/>
                <w:lang w:val="en-US" w:eastAsia="zh-CN"/>
              </w:rPr>
              <w:t>合同价的1%</w:t>
            </w:r>
            <w:r>
              <w:rPr>
                <w:rFonts w:hint="eastAsia" w:ascii="宋体" w:hAnsi="宋体" w:eastAsia="宋体" w:cs="宋体"/>
                <w:color w:val="auto"/>
                <w:highlight w:val="none"/>
                <w:lang w:val="zh-CN" w:eastAsia="zh-CN"/>
              </w:rPr>
              <w:t>；</w:t>
            </w:r>
          </w:p>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2.缴纳方式：</w:t>
            </w:r>
            <w:r>
              <w:rPr>
                <w:rFonts w:hint="eastAsia" w:ascii="宋体" w:hAnsi="宋体" w:eastAsia="宋体" w:cs="宋体"/>
                <w:color w:val="auto"/>
                <w:highlight w:val="none"/>
                <w:lang w:val="zh-CN" w:eastAsia="zh-CN"/>
              </w:rPr>
              <w:t xml:space="preserve">银行保函/保险公司保函； </w:t>
            </w:r>
          </w:p>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3.缴纳时间：本项目中标通知书发出后合同签订前缴纳；</w:t>
            </w:r>
          </w:p>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lang w:val="zh-CN"/>
              </w:rPr>
            </w:pPr>
            <w:r>
              <w:rPr>
                <w:rFonts w:hint="eastAsia" w:ascii="宋体" w:hAnsi="宋体" w:eastAsia="宋体" w:cs="宋体"/>
                <w:color w:val="auto"/>
                <w:highlight w:val="none"/>
                <w:lang w:val="zh-CN"/>
              </w:rPr>
              <w:t>4.退还条件：</w:t>
            </w:r>
            <w:r>
              <w:rPr>
                <w:rFonts w:hint="eastAsia" w:ascii="宋体" w:hAnsi="宋体" w:cs="宋体"/>
                <w:color w:val="auto"/>
                <w:highlight w:val="none"/>
                <w:lang w:val="zh-CN"/>
              </w:rPr>
              <w:t>项目验收合格</w:t>
            </w:r>
            <w:r>
              <w:rPr>
                <w:rFonts w:hint="eastAsia" w:ascii="宋体" w:hAnsi="宋体" w:eastAsia="宋体" w:cs="宋体"/>
                <w:color w:val="auto"/>
                <w:highlight w:val="none"/>
                <w:lang w:val="zh-CN"/>
              </w:rPr>
              <w:t>后7个工作日内退还（不计息）。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37</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000000"/>
              </w:rPr>
              <w:t>签字或盖章要求</w:t>
            </w:r>
          </w:p>
        </w:tc>
        <w:tc>
          <w:tcPr>
            <w:tcW w:w="7202" w:type="dxa"/>
            <w:vAlign w:val="center"/>
          </w:tcPr>
          <w:p>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000000"/>
              </w:rPr>
              <w:t>电子签章。采购文件所指的加盖单位公章为电子签章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rPr>
              <w:t>投标文件须按采购文件格式要求，由投标人加盖单位公章和法定代表人或其授权代表印章（或签字）。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rPr>
              <w:t>38</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签订合同时间</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中标通知书发出之日起30日内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rPr>
              <w:t>39</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采购信息发布媒体</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衢州市阳光交易服务平台（https://qzygjy.com/）、浙江省政府采购网（</w:t>
            </w:r>
            <w:r>
              <w:rPr>
                <w:rFonts w:hint="default"/>
                <w:color w:val="auto"/>
                <w:highlight w:val="none"/>
              </w:rPr>
              <w:fldChar w:fldCharType="begin"/>
            </w:r>
            <w:r>
              <w:rPr>
                <w:rFonts w:hint="default"/>
                <w:color w:val="auto"/>
                <w:highlight w:val="none"/>
              </w:rPr>
              <w:instrText xml:space="preserve"> HYPERLINK "http://zfcg.czt.zj.gov.cn/" </w:instrText>
            </w:r>
            <w:r>
              <w:rPr>
                <w:rFonts w:hint="default"/>
                <w:color w:val="auto"/>
                <w:highlight w:val="none"/>
              </w:rPr>
              <w:fldChar w:fldCharType="separate"/>
            </w:r>
            <w:r>
              <w:rPr>
                <w:rFonts w:hint="eastAsia" w:ascii="宋体" w:hAnsi="宋体" w:cs="宋体"/>
                <w:color w:val="auto"/>
                <w:highlight w:val="none"/>
                <w:lang w:val="zh-CN"/>
              </w:rPr>
              <w:t>http://zfcg.czt.zj.gov.cn/</w:t>
            </w:r>
            <w:r>
              <w:rPr>
                <w:rFonts w:hint="eastAsia" w:ascii="宋体" w:hAnsi="宋体" w:cs="宋体"/>
                <w:color w:val="auto"/>
                <w:highlight w:val="none"/>
                <w:lang w:val="zh-CN"/>
              </w:rPr>
              <w:fldChar w:fldCharType="end"/>
            </w:r>
            <w:r>
              <w:rPr>
                <w:rFonts w:hint="eastAsia" w:ascii="宋体" w:hAnsi="宋体" w:cs="宋体"/>
                <w:color w:val="auto"/>
                <w:highlight w:val="none"/>
                <w:lang w:val="zh-CN"/>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rPr>
              <w:t>40</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落实</w:t>
            </w:r>
            <w:r>
              <w:rPr>
                <w:rFonts w:hint="eastAsia" w:ascii="宋体" w:hAnsi="宋体" w:cs="宋体"/>
                <w:color w:val="auto"/>
                <w:highlight w:val="none"/>
              </w:rPr>
              <w:t>国企</w:t>
            </w:r>
            <w:r>
              <w:rPr>
                <w:rFonts w:hint="eastAsia" w:ascii="宋体" w:hAnsi="宋体" w:cs="宋体"/>
                <w:color w:val="auto"/>
                <w:highlight w:val="none"/>
                <w:lang w:val="zh-CN"/>
              </w:rPr>
              <w:t>采购政策需满足的要求</w:t>
            </w:r>
          </w:p>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一、中小企业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根据财政部工信部《关于印发政府采购促进中小企业发展管理办法的通知》财库〔2020〕46号（以下简称本办法）规定，本项目属于非专门面向中小企业采购，对符合本办法规定的小微企业报价给予</w:t>
            </w:r>
            <w:r>
              <w:rPr>
                <w:rFonts w:hint="eastAsia" w:ascii="宋体" w:hAnsi="宋体" w:cs="宋体"/>
                <w:color w:val="auto"/>
                <w:highlight w:val="none"/>
                <w:lang w:val="en-US" w:eastAsia="zh-CN"/>
              </w:rPr>
              <w:t>1</w:t>
            </w:r>
            <w:r>
              <w:rPr>
                <w:rFonts w:hint="eastAsia" w:ascii="宋体" w:hAnsi="宋体" w:cs="宋体"/>
                <w:color w:val="auto"/>
                <w:highlight w:val="none"/>
                <w:lang w:val="zh-CN"/>
              </w:rPr>
              <w:t>0%的扣除，用扣除后的价格参加评审。</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（1）中小企业划分</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符合中小企业划分标准的个体工商户，在政府采购活动中视同中小</w:t>
            </w:r>
            <w:r>
              <w:rPr>
                <w:rFonts w:hint="eastAsia" w:ascii="宋体" w:hAnsi="宋体" w:eastAsia="宋体" w:cs="宋体"/>
                <w:color w:val="auto"/>
                <w:highlight w:val="none"/>
                <w:lang w:val="zh-CN"/>
              </w:rPr>
              <w:t>企业。</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（2）行业划型标准</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1.项目属性：</w:t>
            </w:r>
            <w:r>
              <w:rPr>
                <w:rFonts w:hint="eastAsia" w:ascii="宋体" w:hAnsi="宋体" w:cs="宋体"/>
                <w:color w:val="auto"/>
                <w:highlight w:val="none"/>
                <w:lang w:val="en-US" w:eastAsia="zh-CN"/>
              </w:rPr>
              <w:t>服务</w:t>
            </w:r>
            <w:r>
              <w:rPr>
                <w:rFonts w:hint="eastAsia" w:ascii="宋体" w:hAnsi="宋体" w:cs="宋体"/>
                <w:color w:val="auto"/>
                <w:highlight w:val="none"/>
                <w:lang w:val="zh-CN"/>
              </w:rPr>
              <w:t>类；采购标的对应所属行业：</w:t>
            </w:r>
            <w:r>
              <w:rPr>
                <w:rFonts w:hint="eastAsia" w:ascii="宋体" w:hAnsi="宋体" w:cs="宋体"/>
                <w:color w:val="auto"/>
                <w:highlight w:val="none"/>
                <w:lang w:val="en-US" w:eastAsia="zh-CN"/>
              </w:rPr>
              <w:t>建筑业</w:t>
            </w:r>
            <w:r>
              <w:rPr>
                <w:rFonts w:hint="eastAsia" w:ascii="宋体" w:hAnsi="宋体" w:cs="宋体"/>
                <w:color w:val="auto"/>
                <w:highlight w:val="none"/>
                <w:lang w:val="zh-CN" w:eastAsia="zh-CN"/>
              </w:rPr>
              <w:t>。</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2.中小企业行业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eastAsia="宋体" w:cs="宋体"/>
                <w:color w:val="auto"/>
                <w:highlight w:val="none"/>
                <w:lang w:val="zh-CN"/>
              </w:rPr>
              <w:t>（3）在本项目采购活动中，</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提供的货物或服务符合下列情形的，可享受本办法</w:t>
            </w:r>
            <w:r>
              <w:rPr>
                <w:rFonts w:hint="eastAsia" w:ascii="宋体" w:hAnsi="宋体" w:cs="宋体"/>
                <w:color w:val="auto"/>
                <w:highlight w:val="none"/>
                <w:lang w:val="zh-CN"/>
              </w:rPr>
              <w:t>规定的中小企业扶持政策：</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①货物由中小企业制造，即货物由中小企业生产且使用该中小企业商号或者注册商标，在货物采购项目中，投标人提供的货物既有中小企业制造货物，也有大型企业制造货物的，不享受本办法规定的中小企业扶持政策（本条服务采购项目不适用）。</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②中小企业参加政府采购活动，应当提供《中小企业声明函》。</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（4）不可享受本办法规定的中小企业扶持政策的情形</w:t>
            </w:r>
          </w:p>
          <w:p>
            <w:pPr>
              <w:keepNext w:val="0"/>
              <w:keepLines w:val="0"/>
              <w:suppressLineNumbers w:val="0"/>
              <w:spacing w:before="0" w:beforeAutospacing="0" w:after="0" w:afterAutospacing="0" w:line="240" w:lineRule="auto"/>
              <w:ind w:left="0" w:right="0" w:firstLine="0" w:firstLineChars="0"/>
              <w:jc w:val="left"/>
              <w:rPr>
                <w:rFonts w:hint="default"/>
                <w:color w:val="auto"/>
                <w:highlight w:val="none"/>
              </w:rPr>
            </w:pPr>
            <w:r>
              <w:rPr>
                <w:rFonts w:hint="eastAsia" w:ascii="宋体" w:hAnsi="宋体" w:cs="宋体"/>
                <w:color w:val="auto"/>
                <w:highlight w:val="none"/>
                <w:lang w:val="zh-CN"/>
              </w:rPr>
              <w:t>①未提供《中小企业声明函》，或者提供的《中小企业声明函》不符合相关规定。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②监狱企业、残疾人福利性单位属于小型微型企业的，不重复享受小微企业优惠政策。</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③事业单位和社会团体不属于企业，不享受小微企业扶持政策。</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二、监狱企业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（1）根据财政部、司法部《关于政府采购支持监狱企业发展有关问题的通知》(财库〔2014〕68号)文件精神，监狱企业视同小微企业。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（2）监狱企业应当提供《监狱企业声明函》及由省级以上监狱管理局、戒毒管理局(含新疆生产建设兵团)出具的属于监狱企业的证明文件，否则不予认可。</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三、残疾人福利性单位</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（1）根据财政部 民政部 中国残疾人联合会《关于促进残疾人就业政府采购政策的通知》(财库〔2017〕141号)文件精神，残疾人福利性单位视同小微企业。</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（2）残疾人福利性单位应当提供《残疾人福利性单位声明函》，否则不予认可。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rPr>
              <w:t>41</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投标人质疑</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rPr>
              <w:t>浙江新诚信工程咨询有限公司</w:t>
            </w:r>
            <w:r>
              <w:rPr>
                <w:rFonts w:hint="eastAsia" w:ascii="宋体" w:hAnsi="宋体" w:eastAsia="宋体" w:cs="宋体"/>
                <w:color w:val="auto"/>
                <w:highlight w:val="none"/>
                <w:lang w:val="zh-CN"/>
              </w:rPr>
              <w:t xml:space="preserve">  </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cs="宋体"/>
                <w:color w:val="auto"/>
                <w:highlight w:val="none"/>
                <w:lang w:val="zh-CN"/>
              </w:rPr>
              <w:t>龙游县龙洲街道环河步行街242号313室</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质疑联系人：</w:t>
            </w:r>
            <w:r>
              <w:rPr>
                <w:rFonts w:hint="eastAsia" w:ascii="宋体" w:hAnsi="宋体" w:cs="宋体"/>
                <w:color w:val="auto"/>
                <w:highlight w:val="none"/>
                <w:lang w:val="en-US" w:eastAsia="zh-CN"/>
              </w:rPr>
              <w:t>唐女士</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质疑联系方式：</w:t>
            </w:r>
            <w:r>
              <w:rPr>
                <w:rFonts w:hint="eastAsia" w:ascii="宋体" w:hAnsi="宋体" w:cs="宋体"/>
                <w:color w:val="auto"/>
                <w:highlight w:val="none"/>
                <w:lang w:val="en-US" w:eastAsia="zh-CN"/>
              </w:rPr>
              <w:t>13357013858</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rPr>
            </w:pPr>
            <w:r>
              <w:rPr>
                <w:rFonts w:hint="eastAsia" w:ascii="宋体" w:hAnsi="宋体" w:cs="宋体"/>
                <w:color w:val="auto"/>
                <w:highlight w:val="none"/>
                <w:lang w:val="en-US" w:eastAsia="zh-CN"/>
              </w:rPr>
              <w:t>42</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投标人投诉</w:t>
            </w:r>
          </w:p>
        </w:tc>
        <w:tc>
          <w:tcPr>
            <w:tcW w:w="7202"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名  称</w:t>
            </w:r>
            <w:r>
              <w:rPr>
                <w:rFonts w:hint="eastAsia" w:ascii="宋体" w:hAnsi="宋体" w:cs="宋体"/>
                <w:color w:val="auto"/>
                <w:highlight w:val="none"/>
                <w:lang w:val="en-US" w:eastAsia="zh-CN"/>
              </w:rPr>
              <w:t>：</w:t>
            </w:r>
            <w:r>
              <w:rPr>
                <w:rFonts w:hint="eastAsia" w:ascii="宋体" w:hAnsi="宋体" w:cs="宋体"/>
                <w:color w:val="auto"/>
                <w:highlight w:val="none"/>
                <w:lang w:val="zh-CN" w:eastAsia="zh-CN"/>
              </w:rPr>
              <w:t>龙游县城市发展投资有限公司</w:t>
            </w:r>
            <w:r>
              <w:rPr>
                <w:rFonts w:hint="eastAsia" w:ascii="宋体" w:hAnsi="宋体" w:cs="宋体"/>
                <w:color w:val="auto"/>
                <w:highlight w:val="none"/>
                <w:lang w:val="zh-CN"/>
              </w:rPr>
              <w:t xml:space="preserve"> </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地  址：龙游县东华街道湖底叶村</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eastAsia="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丁</w:t>
            </w:r>
            <w:r>
              <w:rPr>
                <w:rFonts w:hint="eastAsia" w:ascii="宋体" w:hAnsi="宋体" w:cs="宋体"/>
                <w:color w:val="auto"/>
                <w:highlight w:val="none"/>
                <w:lang w:val="zh-CN" w:eastAsia="zh-CN"/>
              </w:rPr>
              <w:t>先生</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监督投诉方式：</w:t>
            </w:r>
            <w:r>
              <w:rPr>
                <w:rFonts w:hint="eastAsia" w:ascii="宋体" w:hAnsi="宋体" w:cs="宋体"/>
                <w:color w:val="auto"/>
                <w:highlight w:val="none"/>
                <w:lang w:val="en-US" w:eastAsia="zh-CN"/>
              </w:rPr>
              <w:t>13857039019</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43</w:t>
            </w:r>
          </w:p>
        </w:tc>
        <w:tc>
          <w:tcPr>
            <w:tcW w:w="201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解释权</w:t>
            </w:r>
          </w:p>
        </w:tc>
        <w:tc>
          <w:tcPr>
            <w:tcW w:w="7202" w:type="dxa"/>
            <w:vAlign w:val="center"/>
          </w:tcPr>
          <w:p>
            <w:pPr>
              <w:keepNext w:val="0"/>
              <w:keepLines w:val="0"/>
              <w:suppressLineNumbers w:val="0"/>
              <w:spacing w:before="0" w:beforeAutospacing="0" w:after="0" w:afterAutospacing="0"/>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本文件的解释权属于采购人</w:t>
            </w:r>
          </w:p>
        </w:tc>
      </w:tr>
    </w:tbl>
    <w:p>
      <w:pPr>
        <w:pStyle w:val="3"/>
        <w:numPr>
          <w:ilvl w:val="1"/>
          <w:numId w:val="0"/>
        </w:numPr>
        <w:spacing w:beforeLines="0" w:afterLines="0"/>
        <w:rPr>
          <w:rFonts w:ascii="宋体" w:hAnsi="宋体" w:cs="宋体"/>
          <w:b/>
          <w:bCs w:val="0"/>
          <w:color w:val="auto"/>
          <w:lang w:bidi="ar"/>
        </w:rPr>
      </w:pPr>
      <w:bookmarkStart w:id="376" w:name="_Toc19328"/>
      <w:bookmarkStart w:id="377" w:name="_Toc5088"/>
      <w:bookmarkStart w:id="378" w:name="_Toc22609"/>
      <w:bookmarkStart w:id="379" w:name="_Toc12264"/>
      <w:bookmarkStart w:id="380" w:name="_Toc8910"/>
      <w:bookmarkStart w:id="381" w:name="_Toc4736"/>
      <w:r>
        <w:rPr>
          <w:rFonts w:hint="eastAsia" w:ascii="宋体" w:hAnsi="宋体" w:cs="宋体"/>
          <w:b/>
          <w:bCs w:val="0"/>
          <w:color w:val="auto"/>
          <w:lang w:bidi="ar"/>
        </w:rPr>
        <w:t>二、</w:t>
      </w:r>
      <w:bookmarkEnd w:id="324"/>
      <w:bookmarkEnd w:id="325"/>
      <w:bookmarkEnd w:id="326"/>
      <w:bookmarkEnd w:id="327"/>
      <w:bookmarkEnd w:id="328"/>
      <w:bookmarkEnd w:id="329"/>
      <w:r>
        <w:rPr>
          <w:rFonts w:hint="eastAsia" w:ascii="宋体" w:hAnsi="宋体" w:cs="宋体"/>
          <w:b/>
          <w:bCs w:val="0"/>
          <w:color w:val="auto"/>
          <w:lang w:bidi="ar"/>
        </w:rPr>
        <w:t>总 则</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76"/>
      <w:bookmarkEnd w:id="377"/>
      <w:bookmarkEnd w:id="378"/>
      <w:bookmarkEnd w:id="379"/>
      <w:bookmarkEnd w:id="380"/>
      <w:bookmarkEnd w:id="381"/>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编制依据</w:t>
      </w:r>
    </w:p>
    <w:p>
      <w:pPr>
        <w:pStyle w:val="37"/>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根据《龙游县国有企业采购管理办法》（龙政办发〔2021〕58号），参照《中华人民共和国政府采购法》《中华人民共和国政府采购法实施条例》以及政府采购有关规定，编制本招标文件。</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定 义</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bCs/>
          <w:snapToGrid w:val="0"/>
          <w:color w:val="auto"/>
        </w:rPr>
        <w:t>采购人，是指本次采购货物或服务的购买单位。</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lang w:eastAsia="zh-CN"/>
        </w:rPr>
        <w:t>投标人</w:t>
      </w:r>
      <w:r>
        <w:rPr>
          <w:rFonts w:hint="eastAsia" w:ascii="宋体" w:hAnsi="宋体" w:cs="宋体"/>
          <w:color w:val="auto"/>
        </w:rPr>
        <w:t>，是指响应招标、参加投标竞争的法人。</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采购代理机构（采购组织机构），是指</w:t>
      </w:r>
      <w:r>
        <w:rPr>
          <w:rFonts w:hint="eastAsia" w:ascii="宋体" w:hAnsi="宋体" w:cs="宋体"/>
          <w:color w:val="auto"/>
          <w:shd w:val="clear" w:color="auto" w:fill="FFFFFF"/>
        </w:rPr>
        <w:t>在采购活动中根据</w:t>
      </w:r>
      <w:r>
        <w:rPr>
          <w:color w:val="auto"/>
        </w:rPr>
        <w:fldChar w:fldCharType="begin"/>
      </w:r>
      <w:r>
        <w:rPr>
          <w:color w:val="auto"/>
        </w:rPr>
        <w:instrText xml:space="preserve"> HYPERLINK "http://www.so.com/s?q=%E9%87%87%E8%B4%AD%E4%BA%BA&amp;ie=utf-8&amp;src=internal_wenda_recommend_textn" \t "https://wenda.so.com/q/_blank" </w:instrText>
      </w:r>
      <w:r>
        <w:rPr>
          <w:color w:val="auto"/>
        </w:rPr>
        <w:fldChar w:fldCharType="separate"/>
      </w:r>
      <w:r>
        <w:rPr>
          <w:rStyle w:val="46"/>
          <w:rFonts w:hint="eastAsia" w:ascii="宋体" w:hAnsi="宋体" w:cs="宋体"/>
          <w:color w:val="auto"/>
          <w:shd w:val="clear" w:color="auto" w:fill="FFFFFF"/>
        </w:rPr>
        <w:t>采购人</w:t>
      </w:r>
      <w:r>
        <w:rPr>
          <w:rStyle w:val="46"/>
          <w:rFonts w:hint="eastAsia" w:ascii="宋体" w:hAnsi="宋体" w:cs="宋体"/>
          <w:color w:val="auto"/>
          <w:shd w:val="clear" w:color="auto" w:fill="FFFFFF"/>
        </w:rPr>
        <w:fldChar w:fldCharType="end"/>
      </w:r>
      <w:r>
        <w:rPr>
          <w:rFonts w:hint="eastAsia" w:ascii="宋体" w:hAnsi="宋体" w:cs="宋体"/>
          <w:color w:val="auto"/>
          <w:shd w:val="clear" w:color="auto" w:fill="FFFFFF"/>
        </w:rPr>
        <w:t>的委托代理采购</w:t>
      </w:r>
      <w:r>
        <w:rPr>
          <w:color w:val="auto"/>
        </w:rPr>
        <w:fldChar w:fldCharType="begin"/>
      </w:r>
      <w:r>
        <w:rPr>
          <w:color w:val="auto"/>
        </w:rPr>
        <w:instrText xml:space="preserve"> HYPERLINK "http://www.so.com/s?q=%E4%BA%8B%E5%AE%9C&amp;ie=utf-8&amp;src=internal_wenda_recommend_textn" \t "https://wenda.so.com/q/_blank" </w:instrText>
      </w:r>
      <w:r>
        <w:rPr>
          <w:color w:val="auto"/>
        </w:rPr>
        <w:fldChar w:fldCharType="separate"/>
      </w:r>
      <w:r>
        <w:rPr>
          <w:rStyle w:val="46"/>
          <w:rFonts w:hint="eastAsia" w:ascii="宋体" w:hAnsi="宋体" w:cs="宋体"/>
          <w:color w:val="auto"/>
          <w:shd w:val="clear" w:color="auto" w:fill="FFFFFF"/>
        </w:rPr>
        <w:t>事宜</w:t>
      </w:r>
      <w:r>
        <w:rPr>
          <w:rStyle w:val="46"/>
          <w:rFonts w:hint="eastAsia" w:ascii="宋体" w:hAnsi="宋体" w:cs="宋体"/>
          <w:color w:val="auto"/>
          <w:shd w:val="clear" w:color="auto" w:fill="FFFFFF"/>
        </w:rPr>
        <w:fldChar w:fldCharType="end"/>
      </w:r>
      <w:r>
        <w:rPr>
          <w:rFonts w:hint="eastAsia" w:ascii="宋体" w:hAnsi="宋体" w:cs="宋体"/>
          <w:color w:val="auto"/>
          <w:shd w:val="clear" w:color="auto" w:fill="FFFFFF"/>
        </w:rPr>
        <w:t>的机构</w:t>
      </w:r>
      <w:r>
        <w:rPr>
          <w:rFonts w:hint="eastAsia" w:ascii="宋体" w:hAnsi="宋体" w:cs="宋体"/>
          <w:color w:val="auto"/>
        </w:rPr>
        <w:t>。</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原件，是指原始件（即：资料生成时的原始形态，包括所加盖的印章、相关人员的签字笔迹等均是原始印痕、印迹和行迹）。</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书面形式，包括文字的打印或复印件、传真、信函、电传、电报、</w:t>
      </w:r>
      <w:r>
        <w:rPr>
          <w:rFonts w:hint="eastAsia" w:ascii="宋体" w:hAnsi="宋体" w:cs="宋体"/>
          <w:color w:val="auto"/>
          <w:shd w:val="clear" w:color="auto" w:fill="FFFFFF"/>
        </w:rPr>
        <w:t>电子邮件、</w:t>
      </w:r>
      <w:r>
        <w:rPr>
          <w:rFonts w:hint="eastAsia" w:ascii="宋体" w:hAnsi="宋体" w:cs="宋体"/>
          <w:color w:val="auto"/>
          <w:lang w:val="zh-CN"/>
        </w:rPr>
        <w:t>衢州市阳光交易服务平台、</w:t>
      </w:r>
      <w:r>
        <w:rPr>
          <w:rFonts w:hint="eastAsia" w:ascii="宋体" w:hAnsi="宋体" w:cs="宋体"/>
          <w:color w:val="auto"/>
        </w:rPr>
        <w:t>浙江政府采购网网站发布的公告</w:t>
      </w:r>
      <w:r>
        <w:rPr>
          <w:rFonts w:hint="eastAsia" w:ascii="宋体" w:hAnsi="宋体" w:cs="宋体"/>
          <w:color w:val="auto"/>
          <w:shd w:val="clear" w:color="auto" w:fill="FFFFFF"/>
        </w:rPr>
        <w:t>等可以有形地表现所载内容的形式。</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bCs/>
          <w:color w:val="auto"/>
          <w:lang w:eastAsia="zh-CN"/>
        </w:rPr>
        <w:t>投标人</w:t>
      </w:r>
      <w:r>
        <w:rPr>
          <w:rFonts w:hint="eastAsia" w:ascii="宋体" w:hAnsi="宋体" w:cs="宋体"/>
          <w:bCs/>
          <w:color w:val="auto"/>
        </w:rPr>
        <w:t>公章，</w:t>
      </w:r>
      <w:r>
        <w:rPr>
          <w:rFonts w:hint="eastAsia" w:ascii="宋体" w:hAnsi="宋体" w:cs="宋体"/>
          <w:color w:val="auto"/>
        </w:rPr>
        <w:t>是指</w:t>
      </w:r>
      <w:r>
        <w:rPr>
          <w:rFonts w:hint="eastAsia" w:ascii="宋体" w:hAnsi="宋体" w:cs="宋体"/>
          <w:color w:val="auto"/>
          <w:lang w:eastAsia="zh-CN"/>
        </w:rPr>
        <w:t>投标人</w:t>
      </w:r>
      <w:r>
        <w:rPr>
          <w:rFonts w:hint="eastAsia" w:ascii="宋体" w:hAnsi="宋体" w:cs="宋体"/>
          <w:color w:val="auto"/>
          <w:shd w:val="clear" w:color="auto" w:fill="FFFFFF"/>
        </w:rPr>
        <w:t>用自己法定主体行为名称制作的签名印章</w:t>
      </w:r>
      <w:r>
        <w:rPr>
          <w:rFonts w:hint="eastAsia" w:ascii="宋体" w:hAnsi="宋体" w:cs="宋体"/>
          <w:color w:val="auto"/>
        </w:rPr>
        <w:t>。</w:t>
      </w:r>
      <w:r>
        <w:rPr>
          <w:rFonts w:hint="eastAsia" w:ascii="宋体" w:hAnsi="宋体" w:cs="宋体"/>
          <w:bCs/>
          <w:color w:val="auto"/>
        </w:rPr>
        <w:t>不得使用专用章（如经济合同章、投标专用章、业务专用章等）或下属单位印章代替。</w:t>
      </w:r>
    </w:p>
    <w:p>
      <w:pPr>
        <w:pStyle w:val="37"/>
        <w:widowControl w:val="0"/>
        <w:numPr>
          <w:ilvl w:val="1"/>
          <w:numId w:val="3"/>
        </w:numPr>
        <w:adjustRightInd w:val="0"/>
        <w:snapToGrid w:val="0"/>
        <w:spacing w:line="312" w:lineRule="auto"/>
        <w:ind w:left="0" w:firstLine="480"/>
        <w:jc w:val="both"/>
        <w:rPr>
          <w:rFonts w:ascii="宋体" w:hAnsi="宋体" w:cs="宋体"/>
          <w:bCs/>
          <w:color w:val="auto"/>
        </w:rPr>
      </w:pPr>
      <w:r>
        <w:rPr>
          <w:rFonts w:hint="eastAsia" w:ascii="宋体" w:hAnsi="宋体" w:cs="宋体"/>
          <w:bCs/>
          <w:color w:val="auto"/>
        </w:rPr>
        <w:t>“▲”是</w:t>
      </w:r>
      <w:r>
        <w:rPr>
          <w:rFonts w:hint="eastAsia" w:ascii="宋体" w:hAnsi="宋体" w:cs="宋体"/>
          <w:bCs/>
          <w:color w:val="auto"/>
          <w:lang w:eastAsia="zh-CN"/>
        </w:rPr>
        <w:t>投标人</w:t>
      </w:r>
      <w:r>
        <w:rPr>
          <w:rFonts w:hint="eastAsia" w:ascii="宋体" w:hAnsi="宋体" w:cs="宋体"/>
          <w:bCs/>
          <w:color w:val="auto"/>
        </w:rPr>
        <w:t>按本招标文件要求必须实质性响应的条款，有任何一项缺失或非实质性响应将取消其投标资格。</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采购方式</w:t>
      </w:r>
    </w:p>
    <w:p>
      <w:pPr>
        <w:pStyle w:val="37"/>
        <w:widowControl w:val="0"/>
        <w:numPr>
          <w:ilvl w:val="1"/>
          <w:numId w:val="3"/>
        </w:numPr>
        <w:adjustRightInd w:val="0"/>
        <w:snapToGrid w:val="0"/>
        <w:spacing w:line="312" w:lineRule="auto"/>
        <w:ind w:left="0" w:firstLine="480"/>
        <w:jc w:val="both"/>
        <w:rPr>
          <w:rFonts w:ascii="宋体" w:hAnsi="宋体" w:cs="宋体"/>
          <w:color w:val="auto"/>
          <w:lang w:val="zh-CN"/>
        </w:rPr>
      </w:pPr>
      <w:r>
        <w:rPr>
          <w:rFonts w:hint="eastAsia" w:ascii="宋体" w:hAnsi="宋体" w:cs="宋体"/>
          <w:color w:val="auto"/>
        </w:rPr>
        <w:t>采购组织形式国企采购委托代理。</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lang w:val="zh-CN"/>
        </w:rPr>
        <w:t>采取</w:t>
      </w:r>
      <w:r>
        <w:rPr>
          <w:rFonts w:hint="eastAsia" w:ascii="宋体" w:hAnsi="宋体" w:cs="宋体"/>
          <w:color w:val="auto"/>
        </w:rPr>
        <w:t>公开招标采购方式。</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合格的</w:t>
      </w:r>
      <w:r>
        <w:rPr>
          <w:rFonts w:hint="eastAsia" w:ascii="宋体" w:hAnsi="宋体" w:cs="宋体"/>
          <w:color w:val="auto"/>
          <w:lang w:eastAsia="zh-CN"/>
        </w:rPr>
        <w:t>投标人</w:t>
      </w:r>
    </w:p>
    <w:p>
      <w:pPr>
        <w:pStyle w:val="37"/>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合格的</w:t>
      </w:r>
      <w:r>
        <w:rPr>
          <w:rFonts w:hint="eastAsia" w:ascii="宋体" w:hAnsi="宋体" w:cs="宋体"/>
          <w:color w:val="auto"/>
          <w:lang w:eastAsia="zh-CN"/>
        </w:rPr>
        <w:t>投标人</w:t>
      </w:r>
      <w:r>
        <w:rPr>
          <w:rFonts w:hint="eastAsia" w:ascii="宋体" w:hAnsi="宋体" w:cs="宋体"/>
          <w:color w:val="auto"/>
        </w:rPr>
        <w:t>应具备以下条件：</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具备法律法规和本采购文件规定的资格条件；</w:t>
      </w:r>
    </w:p>
    <w:p>
      <w:pPr>
        <w:pStyle w:val="37"/>
        <w:widowControl w:val="0"/>
        <w:numPr>
          <w:ilvl w:val="1"/>
          <w:numId w:val="3"/>
        </w:numPr>
        <w:adjustRightInd w:val="0"/>
        <w:snapToGrid w:val="0"/>
        <w:spacing w:line="312" w:lineRule="auto"/>
        <w:ind w:left="0" w:firstLine="464"/>
        <w:jc w:val="both"/>
        <w:rPr>
          <w:rFonts w:ascii="宋体" w:hAnsi="宋体" w:cs="宋体"/>
          <w:color w:val="auto"/>
        </w:rPr>
      </w:pPr>
      <w:r>
        <w:rPr>
          <w:rFonts w:hint="eastAsia" w:ascii="宋体" w:hAnsi="宋体" w:cs="宋体"/>
          <w:color w:val="auto"/>
          <w:spacing w:val="-4"/>
        </w:rPr>
        <w:t>不属于限制参加本项目采购活动的</w:t>
      </w:r>
      <w:r>
        <w:rPr>
          <w:rFonts w:hint="eastAsia" w:ascii="宋体" w:hAnsi="宋体" w:cs="宋体"/>
          <w:color w:val="auto"/>
          <w:spacing w:val="-4"/>
          <w:lang w:eastAsia="zh-CN"/>
        </w:rPr>
        <w:t>投标人</w:t>
      </w:r>
      <w:r>
        <w:rPr>
          <w:rFonts w:hint="eastAsia" w:ascii="宋体" w:hAnsi="宋体" w:cs="宋体"/>
          <w:color w:val="auto"/>
        </w:rPr>
        <w:t>；</w:t>
      </w:r>
    </w:p>
    <w:p>
      <w:pPr>
        <w:pStyle w:val="37"/>
        <w:widowControl w:val="0"/>
        <w:numPr>
          <w:ilvl w:val="1"/>
          <w:numId w:val="3"/>
        </w:numPr>
        <w:adjustRightInd w:val="0"/>
        <w:snapToGrid w:val="0"/>
        <w:spacing w:line="312" w:lineRule="auto"/>
        <w:ind w:left="0" w:firstLine="464"/>
        <w:jc w:val="both"/>
        <w:rPr>
          <w:rFonts w:ascii="宋体" w:hAnsi="宋体" w:cs="宋体"/>
          <w:color w:val="auto"/>
        </w:rPr>
      </w:pPr>
      <w:r>
        <w:rPr>
          <w:rFonts w:hint="eastAsia" w:ascii="宋体" w:hAnsi="宋体" w:cs="宋体"/>
          <w:color w:val="auto"/>
          <w:spacing w:val="-4"/>
        </w:rPr>
        <w:t>按照规定</w:t>
      </w:r>
      <w:r>
        <w:rPr>
          <w:rFonts w:hint="eastAsia" w:ascii="宋体" w:hAnsi="宋体" w:cs="宋体"/>
          <w:color w:val="auto"/>
        </w:rPr>
        <w:t>获取了招标文件，属于实质性参加本次采购活动的</w:t>
      </w:r>
      <w:r>
        <w:rPr>
          <w:rFonts w:hint="eastAsia" w:ascii="宋体" w:hAnsi="宋体" w:cs="宋体"/>
          <w:color w:val="auto"/>
          <w:lang w:eastAsia="zh-CN"/>
        </w:rPr>
        <w:t>投标人</w:t>
      </w:r>
      <w:r>
        <w:rPr>
          <w:rFonts w:hint="eastAsia" w:ascii="宋体" w:hAnsi="宋体" w:cs="宋体"/>
          <w:color w:val="auto"/>
        </w:rPr>
        <w:t>。</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对</w:t>
      </w:r>
      <w:r>
        <w:rPr>
          <w:rFonts w:hint="eastAsia" w:ascii="宋体" w:hAnsi="宋体" w:cs="宋体"/>
          <w:color w:val="auto"/>
          <w:lang w:eastAsia="zh-CN"/>
        </w:rPr>
        <w:t>投标人</w:t>
      </w:r>
      <w:r>
        <w:rPr>
          <w:rFonts w:hint="eastAsia" w:ascii="宋体" w:hAnsi="宋体" w:cs="宋体"/>
          <w:color w:val="auto"/>
        </w:rPr>
        <w:t>的限制</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拒绝不良信用记录的</w:t>
      </w:r>
      <w:r>
        <w:rPr>
          <w:rFonts w:hint="eastAsia" w:ascii="宋体" w:hAnsi="宋体" w:cs="宋体"/>
          <w:color w:val="auto"/>
          <w:lang w:eastAsia="zh-CN"/>
        </w:rPr>
        <w:t>投标人</w:t>
      </w:r>
      <w:r>
        <w:rPr>
          <w:rFonts w:hint="eastAsia" w:ascii="宋体" w:hAnsi="宋体" w:cs="宋体"/>
          <w:color w:val="auto"/>
        </w:rPr>
        <w:t>参加本项目的采购活动。</w:t>
      </w:r>
    </w:p>
    <w:p>
      <w:pPr>
        <w:pStyle w:val="112"/>
        <w:widowControl w:val="0"/>
        <w:numPr>
          <w:ilvl w:val="2"/>
          <w:numId w:val="4"/>
        </w:numPr>
        <w:adjustRightInd w:val="0"/>
        <w:snapToGrid w:val="0"/>
        <w:spacing w:line="312" w:lineRule="auto"/>
        <w:ind w:left="0" w:firstLine="480" w:firstLineChars="200"/>
        <w:jc w:val="both"/>
        <w:rPr>
          <w:rFonts w:ascii="宋体" w:hAnsi="宋体" w:cs="宋体"/>
          <w:color w:val="auto"/>
          <w:sz w:val="24"/>
          <w:szCs w:val="24"/>
          <w:lang w:eastAsia="zh-CN"/>
        </w:rPr>
      </w:pPr>
      <w:r>
        <w:rPr>
          <w:rFonts w:hint="eastAsia" w:ascii="宋体" w:hAnsi="宋体" w:cs="宋体"/>
          <w:color w:val="auto"/>
          <w:sz w:val="24"/>
          <w:szCs w:val="24"/>
        </w:rPr>
        <w:t>不良信用记录</w:t>
      </w:r>
      <w:r>
        <w:rPr>
          <w:rFonts w:hint="eastAsia" w:ascii="宋体" w:hAnsi="宋体" w:cs="宋体"/>
          <w:color w:val="auto"/>
          <w:sz w:val="24"/>
          <w:szCs w:val="24"/>
          <w:lang w:eastAsia="zh-CN"/>
        </w:rPr>
        <w:t>是</w:t>
      </w:r>
      <w:r>
        <w:rPr>
          <w:rFonts w:hint="eastAsia" w:ascii="宋体" w:hAnsi="宋体" w:cs="宋体"/>
          <w:color w:val="auto"/>
          <w:sz w:val="24"/>
          <w:szCs w:val="24"/>
        </w:rPr>
        <w:t>指：</w:t>
      </w:r>
      <w:r>
        <w:rPr>
          <w:rFonts w:hint="eastAsia" w:ascii="宋体" w:hAnsi="宋体" w:cs="宋体"/>
          <w:color w:val="auto"/>
          <w:sz w:val="24"/>
          <w:szCs w:val="24"/>
          <w:lang w:eastAsia="zh-CN"/>
        </w:rPr>
        <w:t>被</w:t>
      </w:r>
      <w:r>
        <w:rPr>
          <w:rFonts w:hint="eastAsia" w:ascii="宋体" w:hAnsi="宋体" w:cs="宋体"/>
          <w:color w:val="auto"/>
          <w:sz w:val="24"/>
          <w:szCs w:val="24"/>
        </w:rPr>
        <w:t>信用中国网站（www.creditchina.gov.cn）</w:t>
      </w:r>
      <w:r>
        <w:rPr>
          <w:rFonts w:hint="eastAsia" w:ascii="宋体" w:hAnsi="宋体" w:cs="宋体"/>
          <w:color w:val="auto"/>
          <w:sz w:val="24"/>
          <w:szCs w:val="24"/>
          <w:shd w:val="clear" w:color="auto" w:fill="FFFFFF"/>
        </w:rPr>
        <w:t>列入失信被执行人、重大税收违法案件当事人名单、政府采购严重违法失信名单</w:t>
      </w:r>
      <w:r>
        <w:rPr>
          <w:rFonts w:hint="eastAsia" w:ascii="宋体" w:hAnsi="宋体" w:cs="宋体"/>
          <w:color w:val="auto"/>
          <w:sz w:val="24"/>
          <w:szCs w:val="24"/>
          <w:shd w:val="clear" w:color="auto" w:fill="FFFFFF"/>
          <w:lang w:eastAsia="zh-CN"/>
        </w:rPr>
        <w:t>的，</w:t>
      </w:r>
      <w:r>
        <w:rPr>
          <w:rFonts w:hint="eastAsia" w:ascii="宋体" w:hAnsi="宋体" w:cs="宋体"/>
          <w:color w:val="auto"/>
          <w:sz w:val="24"/>
          <w:szCs w:val="24"/>
          <w:lang w:eastAsia="zh-CN"/>
        </w:rPr>
        <w:t>被</w:t>
      </w:r>
      <w:r>
        <w:rPr>
          <w:rFonts w:hint="eastAsia" w:ascii="宋体" w:hAnsi="宋体" w:cs="宋体"/>
          <w:color w:val="auto"/>
          <w:sz w:val="24"/>
          <w:szCs w:val="24"/>
        </w:rPr>
        <w:t>中国政府采购网（www.ccgp.gov.cn）</w:t>
      </w:r>
      <w:r>
        <w:rPr>
          <w:rFonts w:hint="eastAsia" w:ascii="宋体" w:hAnsi="宋体" w:cs="宋体"/>
          <w:color w:val="auto"/>
          <w:sz w:val="24"/>
          <w:szCs w:val="24"/>
          <w:shd w:val="clear" w:color="auto" w:fill="FFFFFF"/>
        </w:rPr>
        <w:t>列入政府采购严重违法失信行为</w:t>
      </w:r>
      <w:r>
        <w:rPr>
          <w:rFonts w:hint="eastAsia" w:ascii="宋体" w:hAnsi="宋体" w:cs="宋体"/>
          <w:color w:val="auto"/>
          <w:sz w:val="24"/>
          <w:szCs w:val="24"/>
          <w:shd w:val="clear" w:color="auto" w:fill="FFFFFF"/>
          <w:lang w:eastAsia="zh-CN"/>
        </w:rPr>
        <w:t>信用</w:t>
      </w:r>
      <w:r>
        <w:rPr>
          <w:rFonts w:hint="eastAsia" w:ascii="宋体" w:hAnsi="宋体" w:cs="宋体"/>
          <w:color w:val="auto"/>
          <w:sz w:val="24"/>
          <w:szCs w:val="24"/>
          <w:shd w:val="clear" w:color="auto" w:fill="FFFFFF"/>
        </w:rPr>
        <w:t>记录名单</w:t>
      </w:r>
      <w:r>
        <w:rPr>
          <w:rFonts w:hint="eastAsia" w:ascii="宋体" w:hAnsi="宋体" w:cs="宋体"/>
          <w:color w:val="auto"/>
          <w:sz w:val="24"/>
          <w:szCs w:val="24"/>
        </w:rPr>
        <w:t>且在处罚有效期内的</w:t>
      </w:r>
      <w:r>
        <w:rPr>
          <w:rFonts w:hint="eastAsia" w:ascii="宋体" w:hAnsi="宋体" w:cs="宋体"/>
          <w:color w:val="auto"/>
          <w:sz w:val="24"/>
          <w:szCs w:val="24"/>
          <w:lang w:eastAsia="zh-CN"/>
        </w:rPr>
        <w:t>（投标截止之日追溯三年）</w:t>
      </w: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lang w:eastAsia="zh-CN"/>
        </w:rPr>
        <w:t>被</w:t>
      </w:r>
      <w:r>
        <w:rPr>
          <w:rFonts w:hint="eastAsia" w:ascii="宋体" w:hAnsi="宋体" w:cs="宋体"/>
          <w:color w:val="auto"/>
          <w:sz w:val="24"/>
          <w:szCs w:val="24"/>
        </w:rPr>
        <w:t>浙江政府采购网（zfcg.czt.zj.gov.cn）</w:t>
      </w:r>
      <w:r>
        <w:rPr>
          <w:rFonts w:hint="eastAsia" w:ascii="宋体" w:hAnsi="宋体" w:cs="宋体"/>
          <w:color w:val="auto"/>
          <w:sz w:val="24"/>
          <w:szCs w:val="24"/>
          <w:lang w:eastAsia="zh-CN"/>
        </w:rPr>
        <w:t>—</w:t>
      </w:r>
      <w:r>
        <w:rPr>
          <w:rFonts w:hint="eastAsia" w:ascii="宋体" w:hAnsi="宋体" w:cs="宋体"/>
          <w:color w:val="auto"/>
          <w:sz w:val="24"/>
          <w:szCs w:val="24"/>
        </w:rPr>
        <w:t>曝光台曝光且在处罚有效期内的</w:t>
      </w:r>
      <w:r>
        <w:rPr>
          <w:rFonts w:hint="eastAsia" w:ascii="宋体" w:hAnsi="宋体" w:cs="宋体"/>
          <w:color w:val="auto"/>
          <w:sz w:val="24"/>
          <w:szCs w:val="24"/>
          <w:lang w:eastAsia="zh-CN"/>
        </w:rPr>
        <w:t>（投标截止之日追溯三年）以</w:t>
      </w:r>
      <w:r>
        <w:rPr>
          <w:rFonts w:hint="eastAsia" w:ascii="宋体" w:hAnsi="宋体" w:cs="宋体"/>
          <w:color w:val="auto"/>
          <w:sz w:val="24"/>
          <w:szCs w:val="24"/>
          <w:shd w:val="clear" w:color="auto" w:fill="FFFFFF"/>
        </w:rPr>
        <w:t>及其他不符合</w:t>
      </w:r>
      <w:r>
        <w:rPr>
          <w:rFonts w:hint="eastAsia" w:ascii="宋体" w:hAnsi="宋体" w:cs="宋体"/>
          <w:color w:val="auto"/>
          <w:sz w:val="24"/>
          <w:szCs w:val="24"/>
          <w:shd w:val="clear" w:color="auto" w:fill="FFFFFF"/>
          <w:lang w:eastAsia="zh-CN"/>
        </w:rPr>
        <w:t>《龙游县国有企业采购管理办法》（龙政办发〔2021〕58号）第十二条</w:t>
      </w:r>
      <w:r>
        <w:rPr>
          <w:rFonts w:hint="eastAsia" w:ascii="宋体" w:hAnsi="宋体" w:cs="宋体"/>
          <w:color w:val="auto"/>
          <w:sz w:val="24"/>
          <w:szCs w:val="24"/>
          <w:shd w:val="clear" w:color="auto" w:fill="FFFFFF"/>
        </w:rPr>
        <w:t>条件的</w:t>
      </w:r>
      <w:r>
        <w:rPr>
          <w:rFonts w:hint="eastAsia" w:ascii="宋体" w:hAnsi="宋体" w:cs="宋体"/>
          <w:color w:val="auto"/>
          <w:sz w:val="24"/>
          <w:szCs w:val="24"/>
          <w:shd w:val="clear" w:color="auto" w:fill="FFFFFF"/>
          <w:lang w:eastAsia="zh-CN"/>
        </w:rPr>
        <w:t>供应商。</w:t>
      </w:r>
    </w:p>
    <w:p>
      <w:pPr>
        <w:pStyle w:val="112"/>
        <w:widowControl w:val="0"/>
        <w:numPr>
          <w:ilvl w:val="2"/>
          <w:numId w:val="4"/>
        </w:numPr>
        <w:adjustRightInd w:val="0"/>
        <w:snapToGrid w:val="0"/>
        <w:spacing w:line="312" w:lineRule="auto"/>
        <w:ind w:lef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信用记录</w:t>
      </w:r>
    </w:p>
    <w:p>
      <w:pPr>
        <w:pStyle w:val="37"/>
        <w:widowControl w:val="0"/>
        <w:numPr>
          <w:ilvl w:val="0"/>
          <w:numId w:val="5"/>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信用信息查询。根据《关于在政府采购活动中查询及使用信用记录有关问题的通知》（财库〔2016〕125号）的要求，通过信用中国网站（www.creditchina.gov.cn）、中国政府采购网（www.ccgp.gov.cn）、浙江政府采购网（zfcg.czt.zj.gov.cn）等渠道查询。</w:t>
      </w:r>
    </w:p>
    <w:p>
      <w:pPr>
        <w:pStyle w:val="37"/>
        <w:widowControl w:val="0"/>
        <w:numPr>
          <w:ilvl w:val="0"/>
          <w:numId w:val="5"/>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截止时点。投标截止时间。</w:t>
      </w:r>
    </w:p>
    <w:p>
      <w:pPr>
        <w:pStyle w:val="37"/>
        <w:widowControl w:val="0"/>
        <w:numPr>
          <w:ilvl w:val="0"/>
          <w:numId w:val="5"/>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信用信息查询记录和证据留存的方式。采购代理机构经办人将查询网页打印与其他采购文件一并保存。</w:t>
      </w:r>
    </w:p>
    <w:p>
      <w:pPr>
        <w:pStyle w:val="37"/>
        <w:widowControl w:val="0"/>
        <w:numPr>
          <w:ilvl w:val="0"/>
          <w:numId w:val="5"/>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信用信息的使用规则。被列入失信被执行人、重大税收违法案件当事人名单、国企或政府采购严重违法失信行为记录名单及其他不符合《龙游县国有企业采购管理办法》（龙政办发〔2021〕58号）第十二条条件的供应商，拒绝参与本次采购活动。</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shd w:val="clear" w:color="auto" w:fill="FFFFFF"/>
        </w:rPr>
        <w:t>单位负责人为同一人或者存在直接控股、管理关系的不同供应商，不得参加同一合同项下的采购活动。</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采购活动中，采购人员及相关人员与供应商有下列利害关系之一的，应当回避：</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参加采购活动前3年内与供应商存在劳动关系；</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参加采购活动前3年内担任供应商的董事、监事；</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参加采购活动前3年内是供应商的控股股东或者实际控制人；</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与供应商的法定代表人或者负责人有夫妻、直系血亲、三代以内旁系血亲或者近姻亲关系；</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存在共同直接或间接投资设立子公司、联营企业和合营企业情况；</w:t>
      </w:r>
    </w:p>
    <w:p>
      <w:pPr>
        <w:pStyle w:val="37"/>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与供应商有其他可能影响采购活动公平、公正进行的关系。</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资格审查</w:t>
      </w:r>
    </w:p>
    <w:p>
      <w:pPr>
        <w:pStyle w:val="37"/>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本次</w:t>
      </w:r>
      <w:r>
        <w:rPr>
          <w:rFonts w:hint="eastAsia" w:ascii="宋体" w:hAnsi="宋体" w:cs="宋体"/>
          <w:color w:val="auto"/>
          <w:lang w:val="zh-CN"/>
        </w:rPr>
        <w:t>采取</w:t>
      </w:r>
      <w:r>
        <w:rPr>
          <w:rFonts w:hint="eastAsia" w:ascii="宋体" w:hAnsi="宋体" w:cs="宋体"/>
          <w:color w:val="auto"/>
        </w:rPr>
        <w:t>资格后审，采购组织机构不保证所有报名招标文件的供应商都符合合格供应商资格要求。</w:t>
      </w:r>
    </w:p>
    <w:p>
      <w:pPr>
        <w:pStyle w:val="37"/>
        <w:widowControl w:val="0"/>
        <w:numPr>
          <w:ilvl w:val="0"/>
          <w:numId w:val="3"/>
        </w:numPr>
        <w:adjustRightInd w:val="0"/>
        <w:snapToGrid w:val="0"/>
        <w:spacing w:line="312" w:lineRule="auto"/>
        <w:ind w:left="0" w:firstLine="480"/>
        <w:jc w:val="both"/>
        <w:outlineLvl w:val="2"/>
        <w:rPr>
          <w:rFonts w:ascii="宋体" w:hAnsi="宋体" w:cs="宋体"/>
          <w:bCs/>
          <w:color w:val="auto"/>
        </w:rPr>
      </w:pPr>
      <w:r>
        <w:rPr>
          <w:rFonts w:hint="eastAsia" w:ascii="宋体" w:hAnsi="宋体" w:cs="宋体"/>
          <w:bCs/>
          <w:color w:val="auto"/>
        </w:rPr>
        <w:t>语言文字</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投标文件以及供应商与采购人就有关响应事宜的所有来往函电，均应以中文汉语书写。除签名、盖章、专用名称等特殊情形外，以中文汉语以外的文字表述的投标文件视同未提供。</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外文专用术语应附有中文注释。投标文件及相关往来文件中有外文资料的（如质疑函、进口产品厂商授权书等），资料提供方应当将其翻译为中文，注明翻译人员姓名、工作单位、联系方式等信息，并对译文的完整性、客观性、真实性负责。</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bCs/>
          <w:color w:val="auto"/>
        </w:rPr>
        <w:t>计量单位</w:t>
      </w:r>
    </w:p>
    <w:p>
      <w:pPr>
        <w:pStyle w:val="37"/>
        <w:widowControl w:val="0"/>
        <w:adjustRightInd w:val="0"/>
        <w:snapToGrid w:val="0"/>
        <w:spacing w:line="312" w:lineRule="auto"/>
        <w:ind w:firstLine="480" w:firstLineChars="0"/>
        <w:jc w:val="both"/>
        <w:rPr>
          <w:rFonts w:ascii="宋体" w:hAnsi="宋体" w:cs="宋体"/>
          <w:color w:val="auto"/>
        </w:rPr>
      </w:pPr>
      <w:r>
        <w:rPr>
          <w:rFonts w:hint="eastAsia" w:ascii="宋体" w:hAnsi="宋体" w:cs="宋体"/>
          <w:color w:val="auto"/>
        </w:rPr>
        <w:t>除招标文件另有规定外，计量均应采用中华人民共和国法定计量单位；所有报价一律使用人民币，货币单位为“元”。</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保密</w:t>
      </w:r>
    </w:p>
    <w:p>
      <w:pPr>
        <w:pStyle w:val="37"/>
        <w:widowControl w:val="0"/>
        <w:tabs>
          <w:tab w:val="left" w:pos="0"/>
        </w:tabs>
        <w:adjustRightInd w:val="0"/>
        <w:snapToGrid w:val="0"/>
        <w:spacing w:line="312" w:lineRule="auto"/>
        <w:ind w:firstLine="480"/>
        <w:jc w:val="both"/>
        <w:rPr>
          <w:rFonts w:ascii="宋体" w:hAnsi="宋体" w:cs="宋体"/>
          <w:color w:val="auto"/>
        </w:rPr>
      </w:pPr>
      <w:r>
        <w:rPr>
          <w:rFonts w:hint="eastAsia" w:ascii="宋体" w:hAnsi="宋体" w:cs="宋体"/>
          <w:color w:val="auto"/>
        </w:rPr>
        <w:t>参与招标的当事人应对招标文件和投标文件中的商业和技术等秘密保密，违者应对由此造成的后果承担法律责任。</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投标费用</w:t>
      </w:r>
    </w:p>
    <w:p>
      <w:pPr>
        <w:pStyle w:val="37"/>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不论投标的结果如何，供应商均自行承担所有与参加本次投标有关的费用。</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投标有效期</w:t>
      </w:r>
    </w:p>
    <w:p>
      <w:pPr>
        <w:pStyle w:val="112"/>
        <w:widowControl w:val="0"/>
        <w:numPr>
          <w:ilvl w:val="1"/>
          <w:numId w:val="6"/>
        </w:numPr>
        <w:adjustRightInd w:val="0"/>
        <w:snapToGrid w:val="0"/>
        <w:spacing w:line="312" w:lineRule="auto"/>
        <w:ind w:left="0"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在供应商须知前附表规定的投标有效期内，投标文件以及其补充、承诺等部分均保持有效。</w:t>
      </w:r>
    </w:p>
    <w:p>
      <w:pPr>
        <w:pStyle w:val="112"/>
        <w:widowControl w:val="0"/>
        <w:numPr>
          <w:ilvl w:val="1"/>
          <w:numId w:val="6"/>
        </w:numPr>
        <w:adjustRightInd w:val="0"/>
        <w:snapToGrid w:val="0"/>
        <w:spacing w:line="312" w:lineRule="auto"/>
        <w:ind w:left="0"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在招标文件规定的投标文件有效期满之前，如果出现特殊情况，采购人或者采购代理机构可在投标有效期内要求供应商延长有效期，要求与答复均以书面通知为准并作为招标文件和投标文件的组成部分。</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分包与转包</w:t>
      </w:r>
    </w:p>
    <w:p>
      <w:pPr>
        <w:pStyle w:val="112"/>
        <w:widowControl w:val="0"/>
        <w:tabs>
          <w:tab w:val="left" w:pos="0"/>
        </w:tabs>
        <w:adjustRightInd w:val="0"/>
        <w:snapToGrid w:val="0"/>
        <w:spacing w:line="312" w:lineRule="auto"/>
        <w:ind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不允许。</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lang w:eastAsia="zh-CN"/>
        </w:rPr>
        <w:t>现场勘查</w:t>
      </w:r>
    </w:p>
    <w:p>
      <w:pPr>
        <w:pStyle w:val="37"/>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供应商自行</w:t>
      </w:r>
      <w:r>
        <w:rPr>
          <w:rFonts w:hint="eastAsia" w:ascii="宋体" w:hAnsi="宋体" w:cs="宋体"/>
          <w:color w:val="auto"/>
          <w:lang w:eastAsia="zh-CN"/>
        </w:rPr>
        <w:t>勘查现场</w:t>
      </w:r>
      <w:r>
        <w:rPr>
          <w:rFonts w:hint="eastAsia" w:ascii="宋体" w:hAnsi="宋体" w:cs="宋体"/>
          <w:color w:val="auto"/>
        </w:rPr>
        <w:t>以获取有关编制投标文件和签署合同所涉及现场的资料，但需经采购人允许方可为勘察目的进入采购人的项目现场。不得因</w:t>
      </w:r>
      <w:r>
        <w:rPr>
          <w:rFonts w:hint="eastAsia" w:ascii="宋体" w:hAnsi="宋体" w:cs="宋体"/>
          <w:color w:val="auto"/>
          <w:lang w:eastAsia="zh-CN"/>
        </w:rPr>
        <w:t>勘查现场</w:t>
      </w:r>
      <w:r>
        <w:rPr>
          <w:rFonts w:hint="eastAsia" w:ascii="宋体" w:hAnsi="宋体" w:cs="宋体"/>
          <w:color w:val="auto"/>
        </w:rPr>
        <w:t>而使采购人承担有关的责任和蒙受损失，供应商应承担</w:t>
      </w:r>
      <w:r>
        <w:rPr>
          <w:rFonts w:hint="eastAsia" w:ascii="宋体" w:hAnsi="宋体" w:cs="宋体"/>
          <w:color w:val="auto"/>
          <w:lang w:eastAsia="zh-CN"/>
        </w:rPr>
        <w:t>勘查现场</w:t>
      </w:r>
      <w:r>
        <w:rPr>
          <w:rFonts w:hint="eastAsia" w:ascii="宋体" w:hAnsi="宋体" w:cs="宋体"/>
          <w:color w:val="auto"/>
        </w:rPr>
        <w:t>的责任和风险以及承担</w:t>
      </w:r>
      <w:r>
        <w:rPr>
          <w:rFonts w:hint="eastAsia" w:ascii="宋体" w:hAnsi="宋体" w:cs="宋体"/>
          <w:color w:val="auto"/>
          <w:lang w:eastAsia="zh-CN"/>
        </w:rPr>
        <w:t>勘查现场</w:t>
      </w:r>
      <w:r>
        <w:rPr>
          <w:rFonts w:hint="eastAsia" w:ascii="宋体" w:hAnsi="宋体" w:cs="宋体"/>
          <w:color w:val="auto"/>
        </w:rPr>
        <w:t>所发生的费用。</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知识产权</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供应商应保证在本项目使用的任何产品和服务（包括部分使用）时，不会侵犯第三方</w:t>
      </w:r>
      <w:r>
        <w:rPr>
          <w:rFonts w:hint="eastAsia" w:ascii="宋体" w:hAnsi="宋体" w:cs="宋体"/>
          <w:color w:val="auto"/>
          <w:lang w:eastAsia="zh-CN"/>
        </w:rPr>
        <w:t>的</w:t>
      </w:r>
      <w:r>
        <w:rPr>
          <w:rFonts w:hint="eastAsia" w:ascii="宋体" w:hAnsi="宋体" w:cs="宋体"/>
          <w:color w:val="auto"/>
        </w:rPr>
        <w:t>专利权、商标权</w:t>
      </w:r>
      <w:r>
        <w:rPr>
          <w:rFonts w:hint="eastAsia" w:ascii="宋体" w:hAnsi="宋体" w:cs="宋体"/>
          <w:color w:val="auto"/>
          <w:lang w:eastAsia="zh-CN"/>
        </w:rPr>
        <w:t>或其他</w:t>
      </w:r>
      <w:r>
        <w:rPr>
          <w:rFonts w:hint="eastAsia" w:ascii="宋体" w:hAnsi="宋体" w:cs="宋体"/>
          <w:color w:val="auto"/>
        </w:rPr>
        <w:t>知识产权，否则因此引起的法律和经济纠纷，由供应商按其过错承担所有相关责任。</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供应商为采购人在本项目中定制化的工作成果所涉知识产权归属于采购人。供应商为本项目而使用的工具、软件、系统、代码、文档、图表等知识产权及产权均归属于</w:t>
      </w:r>
      <w:r>
        <w:rPr>
          <w:rFonts w:hint="eastAsia" w:ascii="宋体" w:hAnsi="宋体" w:cs="宋体"/>
          <w:color w:val="auto"/>
          <w:lang w:eastAsia="zh-CN"/>
        </w:rPr>
        <w:t>中标人</w:t>
      </w:r>
      <w:r>
        <w:rPr>
          <w:rFonts w:hint="eastAsia" w:ascii="宋体" w:hAnsi="宋体" w:cs="宋体"/>
          <w:color w:val="auto"/>
        </w:rPr>
        <w:t>或权利人，采购人可为本项目之目的在本合同有效期内非独占、</w:t>
      </w:r>
      <w:r>
        <w:rPr>
          <w:rFonts w:hint="eastAsia" w:ascii="宋体" w:hAnsi="宋体" w:cs="宋体"/>
          <w:color w:val="auto"/>
          <w:lang w:eastAsia="zh-CN"/>
        </w:rPr>
        <w:t>非排他性</w:t>
      </w:r>
      <w:r>
        <w:rPr>
          <w:rFonts w:hint="eastAsia" w:ascii="宋体" w:hAnsi="宋体" w:cs="宋体"/>
          <w:color w:val="auto"/>
        </w:rPr>
        <w:t>使用。</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如采用供应商所不拥有的知识产权，则在投标报价中必须包括合法获取该知识产权的相关费用。</w:t>
      </w:r>
    </w:p>
    <w:p>
      <w:pPr>
        <w:pStyle w:val="37"/>
        <w:widowControl w:val="0"/>
        <w:numPr>
          <w:ilvl w:val="0"/>
          <w:numId w:val="3"/>
        </w:numPr>
        <w:adjustRightInd w:val="0"/>
        <w:snapToGrid w:val="0"/>
        <w:spacing w:line="312" w:lineRule="auto"/>
        <w:ind w:left="0" w:firstLine="480"/>
        <w:jc w:val="both"/>
        <w:outlineLvl w:val="2"/>
        <w:rPr>
          <w:rFonts w:hint="eastAsia" w:ascii="宋体" w:hAnsi="宋体" w:eastAsia="宋体" w:cs="宋体"/>
          <w:color w:val="auto"/>
        </w:rPr>
      </w:pPr>
      <w:r>
        <w:rPr>
          <w:rFonts w:hint="eastAsia" w:ascii="宋体" w:hAnsi="宋体" w:eastAsia="宋体" w:cs="宋体"/>
          <w:color w:val="auto"/>
        </w:rPr>
        <w:t>本项目落实采购优惠政策</w:t>
      </w:r>
    </w:p>
    <w:p>
      <w:pPr>
        <w:pStyle w:val="37"/>
        <w:widowControl w:val="0"/>
        <w:numPr>
          <w:ilvl w:val="1"/>
          <w:numId w:val="3"/>
        </w:numPr>
        <w:adjustRightInd w:val="0"/>
        <w:snapToGrid w:val="0"/>
        <w:spacing w:line="312" w:lineRule="auto"/>
        <w:ind w:left="0" w:firstLine="480"/>
        <w:jc w:val="both"/>
        <w:rPr>
          <w:rFonts w:hint="eastAsia" w:ascii="宋体" w:hAnsi="宋体" w:eastAsia="宋体" w:cs="宋体"/>
          <w:color w:val="auto"/>
        </w:rPr>
      </w:pPr>
      <w:r>
        <w:rPr>
          <w:rFonts w:hint="eastAsia" w:ascii="宋体" w:hAnsi="宋体" w:eastAsia="宋体" w:cs="宋体"/>
          <w:color w:val="auto"/>
        </w:rPr>
        <w:t>中小企业优惠政策</w:t>
      </w:r>
      <w:r>
        <w:rPr>
          <w:rFonts w:hint="eastAsia" w:ascii="宋体" w:hAnsi="宋体" w:eastAsia="宋体" w:cs="宋体"/>
          <w:color w:val="auto"/>
          <w:lang w:eastAsia="zh-CN"/>
        </w:rPr>
        <w:t>：</w:t>
      </w:r>
      <w:r>
        <w:rPr>
          <w:rFonts w:hint="eastAsia" w:ascii="宋体" w:hAnsi="宋体" w:eastAsia="宋体" w:cs="宋体"/>
          <w:color w:val="auto"/>
        </w:rPr>
        <w:t>详见投标人须知前附表第</w:t>
      </w:r>
      <w:r>
        <w:rPr>
          <w:rFonts w:hint="eastAsia" w:ascii="宋体" w:hAnsi="宋体" w:eastAsia="宋体" w:cs="宋体"/>
          <w:color w:val="auto"/>
          <w:lang w:val="en-US" w:eastAsia="zh-CN"/>
        </w:rPr>
        <w:t>40</w:t>
      </w:r>
      <w:r>
        <w:rPr>
          <w:rFonts w:hint="eastAsia" w:ascii="宋体" w:hAnsi="宋体" w:eastAsia="宋体" w:cs="宋体"/>
          <w:color w:val="auto"/>
        </w:rPr>
        <w:t>条。</w:t>
      </w:r>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rPr>
      </w:pPr>
      <w:r>
        <w:rPr>
          <w:rFonts w:hint="eastAsia" w:ascii="宋体" w:hAnsi="宋体" w:cs="宋体"/>
          <w:color w:val="auto"/>
        </w:rPr>
        <w:t>特别说明</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供应商应仔细阅读招标文件的所有内容，按照招标文件的要求提交投标文件，并对所提供的全部资料的真实性承担法律责任。</w:t>
      </w:r>
    </w:p>
    <w:p>
      <w:pPr>
        <w:pStyle w:val="37"/>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pStyle w:val="37"/>
        <w:widowControl w:val="0"/>
        <w:numPr>
          <w:ilvl w:val="1"/>
          <w:numId w:val="3"/>
        </w:numPr>
        <w:adjustRightInd w:val="0"/>
        <w:snapToGrid w:val="0"/>
        <w:spacing w:line="312" w:lineRule="auto"/>
        <w:ind w:left="0" w:firstLine="480"/>
        <w:jc w:val="both"/>
        <w:rPr>
          <w:rFonts w:ascii="宋体" w:hAnsi="宋体" w:cs="宋体"/>
          <w:color w:val="auto"/>
        </w:rPr>
      </w:pPr>
      <w:bookmarkStart w:id="382" w:name="_Toc361434460"/>
      <w:bookmarkStart w:id="383" w:name="_Toc14228"/>
      <w:bookmarkStart w:id="384" w:name="_Toc12781"/>
      <w:bookmarkStart w:id="385" w:name="_Toc361434559"/>
      <w:bookmarkStart w:id="386" w:name="_Toc23248"/>
      <w:bookmarkStart w:id="387" w:name="_Toc14280"/>
      <w:bookmarkStart w:id="388" w:name="_Toc452528600"/>
      <w:bookmarkStart w:id="389" w:name="_Toc361434799"/>
      <w:bookmarkStart w:id="390" w:name="_Toc4362"/>
      <w:bookmarkStart w:id="391" w:name="_Toc361437145"/>
      <w:bookmarkStart w:id="392" w:name="_Toc496962945"/>
      <w:bookmarkStart w:id="393" w:name="_Toc27436"/>
      <w:bookmarkStart w:id="394" w:name="_Toc6035"/>
      <w:bookmarkStart w:id="395" w:name="_Toc101321791"/>
      <w:bookmarkStart w:id="396" w:name="_Toc361434895"/>
      <w:bookmarkStart w:id="397" w:name="_Toc1747"/>
      <w:bookmarkStart w:id="398" w:name="_Toc38"/>
      <w:bookmarkStart w:id="399" w:name="_Toc9389"/>
      <w:bookmarkStart w:id="400" w:name="_Toc28916"/>
      <w:bookmarkStart w:id="401" w:name="_Toc4333"/>
      <w:bookmarkStart w:id="402" w:name="_Toc10567"/>
      <w:r>
        <w:rPr>
          <w:rFonts w:hint="eastAsia" w:ascii="宋体" w:hAnsi="宋体" w:cs="宋体"/>
          <w:color w:val="auto"/>
        </w:rPr>
        <w:t>▲特别说明：</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rPr>
      </w:pPr>
      <w:r>
        <w:rPr>
          <w:rFonts w:hint="eastAsia" w:ascii="宋体" w:hAnsi="宋体" w:cs="宋体"/>
          <w:color w:val="auto"/>
        </w:rPr>
        <w:t>①▲单位负责人为同一人或者存在直接控股、管理关系的不同供应商，不得参加本项目的政府采购活动。</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highlight w:val="none"/>
        </w:rPr>
      </w:pPr>
      <w:r>
        <w:rPr>
          <w:rFonts w:hint="eastAsia" w:ascii="宋体" w:hAnsi="宋体" w:cs="宋体"/>
          <w:color w:val="auto"/>
        </w:rPr>
        <w:t>②▲</w:t>
      </w:r>
      <w:r>
        <w:rPr>
          <w:rFonts w:hint="eastAsia" w:ascii="宋体" w:hAnsi="宋体" w:cs="宋体"/>
          <w:color w:val="auto"/>
          <w:highlight w:val="none"/>
        </w:rPr>
        <w:t>政府采购货物和服务招标投标管理办法（财政部令第87号）第31条规定：使用综合评分法的采购项目，提供相同品牌产品且通过资格审查、符合性审查的不同</w:t>
      </w:r>
      <w:r>
        <w:rPr>
          <w:rFonts w:hint="eastAsia" w:ascii="宋体" w:hAnsi="宋体" w:cs="宋体"/>
          <w:color w:val="auto"/>
          <w:highlight w:val="none"/>
          <w:lang w:eastAsia="zh-CN"/>
        </w:rPr>
        <w:t>供应商</w:t>
      </w:r>
      <w:r>
        <w:rPr>
          <w:rFonts w:hint="eastAsia" w:ascii="宋体" w:hAnsi="宋体" w:cs="宋体"/>
          <w:color w:val="auto"/>
          <w:highlight w:val="none"/>
        </w:rPr>
        <w:t>参加同一合同项下投标的，按一家</w:t>
      </w:r>
      <w:r>
        <w:rPr>
          <w:rFonts w:hint="eastAsia" w:ascii="宋体" w:hAnsi="宋体" w:cs="宋体"/>
          <w:color w:val="auto"/>
          <w:highlight w:val="none"/>
          <w:lang w:eastAsia="zh-CN"/>
        </w:rPr>
        <w:t>供应商</w:t>
      </w:r>
      <w:r>
        <w:rPr>
          <w:rFonts w:hint="eastAsia" w:ascii="宋体" w:hAnsi="宋体" w:cs="宋体"/>
          <w:color w:val="auto"/>
          <w:highlight w:val="none"/>
        </w:rPr>
        <w:t>计算，评审后得分最高的同品牌</w:t>
      </w:r>
      <w:r>
        <w:rPr>
          <w:rFonts w:hint="eastAsia" w:ascii="宋体" w:hAnsi="宋体" w:cs="宋体"/>
          <w:color w:val="auto"/>
          <w:highlight w:val="none"/>
          <w:lang w:eastAsia="zh-CN"/>
        </w:rPr>
        <w:t>供应商</w:t>
      </w:r>
      <w:r>
        <w:rPr>
          <w:rFonts w:hint="eastAsia" w:ascii="宋体" w:hAnsi="宋体" w:cs="宋体"/>
          <w:color w:val="auto"/>
          <w:highlight w:val="none"/>
        </w:rPr>
        <w:t>获得</w:t>
      </w:r>
      <w:r>
        <w:rPr>
          <w:rFonts w:hint="eastAsia" w:ascii="宋体" w:hAnsi="宋体" w:cs="宋体"/>
          <w:color w:val="auto"/>
          <w:highlight w:val="none"/>
          <w:lang w:eastAsia="zh-CN"/>
        </w:rPr>
        <w:t>中标人</w:t>
      </w:r>
      <w:r>
        <w:rPr>
          <w:rFonts w:hint="eastAsia" w:ascii="宋体" w:hAnsi="宋体" w:cs="宋体"/>
          <w:color w:val="auto"/>
          <w:highlight w:val="none"/>
        </w:rPr>
        <w:t>推荐资格；评审得分相同的采取随机抽取方式确定，其他同品牌</w:t>
      </w:r>
      <w:r>
        <w:rPr>
          <w:rFonts w:hint="eastAsia" w:ascii="宋体" w:hAnsi="宋体" w:cs="宋体"/>
          <w:color w:val="auto"/>
          <w:highlight w:val="none"/>
          <w:lang w:eastAsia="zh-CN"/>
        </w:rPr>
        <w:t>供应商</w:t>
      </w:r>
      <w:r>
        <w:rPr>
          <w:rFonts w:hint="eastAsia" w:ascii="宋体" w:hAnsi="宋体" w:cs="宋体"/>
          <w:color w:val="auto"/>
          <w:highlight w:val="none"/>
        </w:rPr>
        <w:t>不作为中标候选人。</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highlight w:val="none"/>
        </w:rPr>
      </w:pPr>
      <w:r>
        <w:rPr>
          <w:rFonts w:hint="eastAsia" w:ascii="宋体" w:hAnsi="宋体" w:cs="宋体"/>
          <w:color w:val="auto"/>
        </w:rPr>
        <w:t>③</w:t>
      </w:r>
      <w:r>
        <w:rPr>
          <w:rFonts w:hint="eastAsia" w:ascii="宋体" w:hAnsi="宋体" w:cs="宋体"/>
          <w:color w:val="auto"/>
          <w:highlight w:val="none"/>
        </w:rPr>
        <w:t>非单一产品采购项目，招标文件中确定核心产品。多家</w:t>
      </w:r>
      <w:r>
        <w:rPr>
          <w:rFonts w:hint="eastAsia" w:ascii="宋体" w:hAnsi="宋体" w:cs="宋体"/>
          <w:color w:val="auto"/>
          <w:highlight w:val="none"/>
          <w:lang w:eastAsia="zh-CN"/>
        </w:rPr>
        <w:t>供应商</w:t>
      </w:r>
      <w:r>
        <w:rPr>
          <w:rFonts w:hint="eastAsia" w:ascii="宋体" w:hAnsi="宋体" w:cs="宋体"/>
          <w:color w:val="auto"/>
          <w:highlight w:val="none"/>
        </w:rPr>
        <w:t>提供的核心产品品牌全部相同的，按前款规定处理。</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highlight w:val="none"/>
        </w:rPr>
      </w:pPr>
      <w:r>
        <w:rPr>
          <w:rFonts w:hint="eastAsia" w:ascii="宋体" w:hAnsi="宋体" w:cs="宋体"/>
          <w:color w:val="auto"/>
          <w:highlight w:val="none"/>
        </w:rPr>
        <w:t>④▲供应商应仔细阅读招标文件的所有内容，按照招标文件的要求提交投标文件，并对所提供的全部资料的真实性承担法律责任。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highlight w:val="none"/>
        </w:rPr>
      </w:pPr>
      <w:r>
        <w:rPr>
          <w:rFonts w:hint="eastAsia" w:ascii="宋体" w:hAnsi="宋体" w:cs="宋体"/>
          <w:color w:val="auto"/>
          <w:highlight w:val="none"/>
        </w:rPr>
        <w:t>⑤▲供应商在投标活动中提供任何虚假材料</w:t>
      </w:r>
      <w:r>
        <w:rPr>
          <w:rFonts w:hint="eastAsia" w:ascii="宋体" w:hAnsi="宋体" w:cs="宋体"/>
          <w:color w:val="auto"/>
          <w:highlight w:val="none"/>
          <w:lang w:eastAsia="zh-CN"/>
        </w:rPr>
        <w:t>，</w:t>
      </w:r>
      <w:r>
        <w:rPr>
          <w:rFonts w:hint="eastAsia" w:ascii="宋体" w:hAnsi="宋体" w:cs="宋体"/>
          <w:color w:val="auto"/>
          <w:highlight w:val="none"/>
        </w:rPr>
        <w:t>其投标无效，并报监管部门查处中标后发现的</w:t>
      </w:r>
      <w:r>
        <w:rPr>
          <w:rFonts w:hint="eastAsia" w:ascii="宋体" w:hAnsi="宋体" w:cs="宋体"/>
          <w:color w:val="auto"/>
          <w:highlight w:val="none"/>
          <w:lang w:eastAsia="zh-CN"/>
        </w:rPr>
        <w:t>，中标人</w:t>
      </w:r>
      <w:r>
        <w:rPr>
          <w:rFonts w:hint="eastAsia" w:ascii="宋体" w:hAnsi="宋体" w:cs="宋体"/>
          <w:color w:val="auto"/>
          <w:highlight w:val="none"/>
        </w:rPr>
        <w:t>须依照《中华人民共和国消费者权益保护法》第49条之规定双倍赔偿采购人，且民事赔偿并不免除违法供应商的行政与刑事责任。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ascii="宋体" w:hAnsi="宋体" w:cs="宋体"/>
          <w:color w:val="auto"/>
          <w:highlight w:val="none"/>
        </w:rPr>
      </w:pPr>
      <w:r>
        <w:rPr>
          <w:rFonts w:hint="eastAsia" w:ascii="宋体" w:hAnsi="宋体" w:eastAsia="宋体" w:cs="宋体"/>
          <w:color w:val="auto"/>
          <w:highlight w:val="none"/>
        </w:rPr>
        <w:t>⑥</w:t>
      </w:r>
      <w:r>
        <w:rPr>
          <w:rFonts w:hint="eastAsia" w:ascii="宋体" w:hAnsi="宋体" w:cs="宋体"/>
          <w:color w:val="auto"/>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pStyle w:val="3"/>
        <w:numPr>
          <w:ilvl w:val="1"/>
          <w:numId w:val="0"/>
        </w:numPr>
        <w:spacing w:beforeLines="0" w:afterLines="0"/>
        <w:rPr>
          <w:rFonts w:ascii="宋体" w:hAnsi="宋体" w:cs="宋体"/>
          <w:b/>
          <w:bCs w:val="0"/>
          <w:color w:val="auto"/>
          <w:highlight w:val="none"/>
          <w:lang w:bidi="ar"/>
        </w:rPr>
      </w:pPr>
      <w:bookmarkStart w:id="403" w:name="_Toc32436"/>
      <w:bookmarkStart w:id="404" w:name="_Toc14205"/>
      <w:bookmarkStart w:id="405" w:name="_Toc26184"/>
      <w:bookmarkStart w:id="406" w:name="_Toc23065"/>
      <w:bookmarkStart w:id="407" w:name="_Toc14887"/>
      <w:bookmarkStart w:id="408" w:name="_Toc9060"/>
      <w:r>
        <w:rPr>
          <w:rFonts w:hint="eastAsia" w:ascii="宋体" w:hAnsi="宋体" w:cs="宋体"/>
          <w:b/>
          <w:bCs w:val="0"/>
          <w:color w:val="auto"/>
          <w:highlight w:val="none"/>
          <w:lang w:bidi="ar"/>
        </w:rPr>
        <w:t>三、</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宋体" w:hAnsi="宋体" w:cs="宋体"/>
          <w:b/>
          <w:bCs w:val="0"/>
          <w:color w:val="auto"/>
          <w:highlight w:val="none"/>
          <w:lang w:bidi="ar"/>
        </w:rPr>
        <w:t>招标文件</w:t>
      </w:r>
      <w:bookmarkEnd w:id="397"/>
      <w:bookmarkEnd w:id="398"/>
      <w:bookmarkEnd w:id="399"/>
      <w:bookmarkEnd w:id="400"/>
      <w:bookmarkEnd w:id="401"/>
      <w:bookmarkEnd w:id="402"/>
      <w:bookmarkEnd w:id="403"/>
      <w:bookmarkEnd w:id="404"/>
      <w:bookmarkEnd w:id="405"/>
      <w:bookmarkEnd w:id="406"/>
      <w:bookmarkEnd w:id="407"/>
      <w:bookmarkEnd w:id="408"/>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highlight w:val="none"/>
          <w:lang w:bidi="ar"/>
        </w:rPr>
      </w:pPr>
      <w:r>
        <w:rPr>
          <w:rFonts w:hint="eastAsia" w:ascii="宋体" w:hAnsi="宋体" w:cs="宋体"/>
          <w:color w:val="auto"/>
          <w:highlight w:val="none"/>
          <w:lang w:bidi="ar"/>
        </w:rPr>
        <w:t>招标文件的组成</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招标公告</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投标须知前附表及投标须知</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采购内容及要求</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合同的主要条款</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应提交的有关格式范例</w:t>
      </w:r>
    </w:p>
    <w:p>
      <w:pPr>
        <w:pStyle w:val="37"/>
        <w:numPr>
          <w:ilvl w:val="1"/>
          <w:numId w:val="3"/>
        </w:numPr>
        <w:adjustRightIn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评标办法及开评标程序</w:t>
      </w:r>
      <w:bookmarkStart w:id="409" w:name="_Toc356371435"/>
      <w:bookmarkStart w:id="410" w:name="_Toc16377"/>
      <w:bookmarkStart w:id="411" w:name="_Toc22903"/>
      <w:bookmarkStart w:id="412" w:name="_Toc13569"/>
      <w:bookmarkStart w:id="413" w:name="_Toc9200"/>
      <w:bookmarkStart w:id="414" w:name="_Toc366144032"/>
      <w:bookmarkStart w:id="415" w:name="_Toc11932"/>
      <w:bookmarkStart w:id="416" w:name="_Toc5619"/>
      <w:bookmarkStart w:id="417" w:name="_Toc2522"/>
      <w:bookmarkStart w:id="418" w:name="_Toc31745"/>
      <w:bookmarkStart w:id="419" w:name="_Toc19778"/>
    </w:p>
    <w:p>
      <w:pPr>
        <w:pStyle w:val="37"/>
        <w:widowControl w:val="0"/>
        <w:numPr>
          <w:ilvl w:val="0"/>
          <w:numId w:val="3"/>
        </w:numPr>
        <w:adjustRightInd w:val="0"/>
        <w:snapToGrid w:val="0"/>
        <w:spacing w:line="312" w:lineRule="auto"/>
        <w:ind w:left="0" w:firstLine="480"/>
        <w:jc w:val="both"/>
        <w:outlineLvl w:val="2"/>
        <w:rPr>
          <w:rFonts w:ascii="宋体" w:hAnsi="宋体" w:cs="宋体"/>
          <w:color w:val="auto"/>
          <w:highlight w:val="none"/>
          <w:lang w:bidi="ar"/>
        </w:rPr>
      </w:pPr>
      <w:r>
        <w:rPr>
          <w:rFonts w:hint="eastAsia" w:ascii="宋体" w:hAnsi="宋体" w:cs="宋体"/>
          <w:color w:val="auto"/>
          <w:highlight w:val="none"/>
          <w:lang w:bidi="ar"/>
        </w:rPr>
        <w:t>招标文件的澄清及修改</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任何要求对招标文件进行澄清的供应商，均应按招标公告中规定的时间和通讯地址，以书面形式（如信件、传真等）送达</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，在规定时间内未收到质疑则视为各供应商均对此无异议。</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对规定时间前收到的任何质疑将在</w:t>
      </w:r>
      <w:r>
        <w:rPr>
          <w:rFonts w:hint="eastAsia" w:ascii="宋体" w:hAnsi="宋体" w:cs="宋体"/>
          <w:color w:val="auto"/>
          <w:highlight w:val="none"/>
        </w:rPr>
        <w:t>衢州市阳光交易服务平台（https://qzygjy.com/）</w:t>
      </w:r>
      <w:r>
        <w:rPr>
          <w:rFonts w:hint="eastAsia" w:ascii="宋体" w:hAnsi="宋体" w:cs="宋体"/>
          <w:color w:val="auto"/>
          <w:highlight w:val="none"/>
          <w:lang w:val="zh-CN"/>
        </w:rPr>
        <w:t>、</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）公布澄清，供应商自行到网上查看。无论是采购人根据需要主动对招标文件进行必要的修改或是根据供应商的要求对招标文件</w:t>
      </w:r>
      <w:r>
        <w:rPr>
          <w:rFonts w:hint="eastAsia" w:ascii="宋体" w:hAnsi="宋体" w:cs="宋体"/>
          <w:color w:val="auto"/>
          <w:highlight w:val="none"/>
          <w:lang w:eastAsia="zh-CN" w:bidi="ar"/>
        </w:rPr>
        <w:t>作出</w:t>
      </w:r>
      <w:r>
        <w:rPr>
          <w:rFonts w:hint="eastAsia" w:ascii="宋体" w:hAnsi="宋体" w:cs="宋体"/>
          <w:color w:val="auto"/>
          <w:highlight w:val="none"/>
          <w:lang w:bidi="ar"/>
        </w:rPr>
        <w:t>答复（答复中不包括问题的来源），并视为本招标文件的组成部分。</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因其他紧急情况影响本项目正常招标活动的，</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将于投标截止日期5天前书面通知所有已</w:t>
      </w:r>
      <w:r>
        <w:rPr>
          <w:rFonts w:hint="eastAsia" w:ascii="宋体" w:hAnsi="宋体" w:cs="宋体"/>
          <w:color w:val="auto"/>
          <w:highlight w:val="none"/>
          <w:lang w:val="en-US" w:eastAsia="zh-CN" w:bidi="ar"/>
        </w:rPr>
        <w:t>获取</w:t>
      </w:r>
      <w:r>
        <w:rPr>
          <w:rFonts w:hint="eastAsia" w:ascii="宋体" w:hAnsi="宋体" w:cs="宋体"/>
          <w:color w:val="auto"/>
          <w:highlight w:val="none"/>
          <w:lang w:bidi="ar"/>
        </w:rPr>
        <w:t>的供应商。</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不论采购人向供应商发送的资料文件，还是供应商提出的问题，均通过</w:t>
      </w:r>
      <w:r>
        <w:rPr>
          <w:rFonts w:hint="eastAsia" w:ascii="宋体" w:hAnsi="宋体" w:cs="宋体"/>
          <w:color w:val="auto"/>
          <w:highlight w:val="none"/>
        </w:rPr>
        <w:t>衢州市阳光交易服务平台（https://qzygjy.com/）、</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）发布，任何口头提问及答复一律无效。</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当招标文件、澄清（答疑）纪要内容相互矛盾时，以最后发出的通知（或纪要）或修改文件为准。</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若有必要，采购人将酌情延长递交投标文件的截止日期。</w:t>
      </w:r>
    </w:p>
    <w:p>
      <w:pPr>
        <w:pStyle w:val="3"/>
        <w:numPr>
          <w:ilvl w:val="1"/>
          <w:numId w:val="0"/>
        </w:numPr>
        <w:spacing w:beforeLines="0" w:afterLines="0"/>
        <w:rPr>
          <w:rFonts w:ascii="宋体" w:hAnsi="宋体" w:cs="宋体"/>
          <w:b/>
          <w:bCs w:val="0"/>
          <w:color w:val="auto"/>
          <w:highlight w:val="none"/>
          <w:lang w:bidi="ar"/>
        </w:rPr>
      </w:pPr>
      <w:bookmarkStart w:id="420" w:name="_Toc2313"/>
      <w:bookmarkStart w:id="421" w:name="_Toc1555"/>
      <w:bookmarkStart w:id="422" w:name="_Toc1014"/>
      <w:bookmarkStart w:id="423" w:name="_Toc26168"/>
      <w:bookmarkStart w:id="424" w:name="_Toc18666"/>
      <w:bookmarkStart w:id="425" w:name="_Toc14300"/>
      <w:bookmarkStart w:id="426" w:name="_Toc20129"/>
      <w:bookmarkStart w:id="427" w:name="_Toc7618"/>
      <w:bookmarkStart w:id="428" w:name="_Toc25162"/>
      <w:bookmarkStart w:id="429" w:name="_Toc4773"/>
      <w:bookmarkStart w:id="430" w:name="_Toc28648"/>
      <w:bookmarkStart w:id="431" w:name="_Toc10055"/>
      <w:bookmarkStart w:id="432" w:name="_Toc11019"/>
      <w:bookmarkStart w:id="433" w:name="_Toc24001"/>
      <w:bookmarkStart w:id="434" w:name="_Toc30018"/>
      <w:bookmarkStart w:id="435" w:name="_Toc7917"/>
      <w:bookmarkStart w:id="436" w:name="_Toc16426"/>
      <w:bookmarkStart w:id="437" w:name="_Toc8318"/>
      <w:bookmarkStart w:id="438" w:name="_Toc15778"/>
      <w:bookmarkStart w:id="439" w:name="_Toc20563"/>
      <w:bookmarkStart w:id="440" w:name="_Toc26069"/>
      <w:bookmarkStart w:id="441" w:name="_Toc7119"/>
      <w:bookmarkStart w:id="442" w:name="_Toc21937"/>
      <w:bookmarkStart w:id="443" w:name="_Toc9684"/>
      <w:bookmarkStart w:id="444" w:name="_Toc15023"/>
      <w:bookmarkStart w:id="445" w:name="_Toc69"/>
      <w:bookmarkStart w:id="446" w:name="_Toc12858"/>
      <w:bookmarkStart w:id="447" w:name="_Toc31816"/>
      <w:bookmarkStart w:id="448" w:name="_Toc29403"/>
      <w:bookmarkStart w:id="449" w:name="_Toc27315"/>
      <w:bookmarkStart w:id="450" w:name="_Toc11335"/>
      <w:bookmarkStart w:id="451" w:name="_Toc9649"/>
      <w:bookmarkStart w:id="452" w:name="_Toc26092"/>
      <w:r>
        <w:rPr>
          <w:rFonts w:hint="eastAsia" w:ascii="宋体" w:hAnsi="宋体" w:cs="宋体"/>
          <w:b/>
          <w:bCs w:val="0"/>
          <w:color w:val="auto"/>
          <w:highlight w:val="none"/>
          <w:lang w:bidi="ar"/>
        </w:rPr>
        <w:t>四、投标文件的编制</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37"/>
        <w:numPr>
          <w:ilvl w:val="0"/>
          <w:numId w:val="3"/>
        </w:numPr>
        <w:adjustRightInd w:val="0"/>
        <w:spacing w:line="312" w:lineRule="auto"/>
        <w:ind w:left="0" w:firstLine="480"/>
        <w:jc w:val="both"/>
        <w:outlineLvl w:val="2"/>
        <w:rPr>
          <w:rFonts w:ascii="宋体" w:hAnsi="宋体" w:cs="宋体"/>
          <w:color w:val="auto"/>
          <w:highlight w:val="none"/>
          <w:lang w:bidi="ar"/>
        </w:rPr>
      </w:pPr>
      <w:r>
        <w:rPr>
          <w:rFonts w:hint="eastAsia" w:ascii="宋体" w:hAnsi="宋体" w:cs="宋体"/>
          <w:color w:val="auto"/>
          <w:highlight w:val="none"/>
          <w:lang w:bidi="ar"/>
        </w:rPr>
        <w:t>总体要求</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供应商应仔细阅读招标文件的所有内容，按本文件的要求提供投标文件，并保证所提供的全部资料的真实性和有效性，以使其投标文件对招标文件作出实质性响应，否则，其投标文件可能导致废标处理。</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投标文件及供应商与采购有关的来往通知，函件和文件均应使用中文。</w:t>
      </w:r>
    </w:p>
    <w:p>
      <w:pPr>
        <w:pStyle w:val="37"/>
        <w:numPr>
          <w:ilvl w:val="1"/>
          <w:numId w:val="3"/>
        </w:numPr>
        <w:adjustRightInd w:val="0"/>
        <w:spacing w:line="312" w:lineRule="auto"/>
        <w:ind w:left="0" w:firstLine="480"/>
        <w:jc w:val="both"/>
        <w:rPr>
          <w:rFonts w:ascii="宋体" w:hAnsi="宋体" w:cs="宋体"/>
          <w:color w:val="auto"/>
          <w:highlight w:val="none"/>
          <w:lang w:bidi="ar"/>
        </w:rPr>
      </w:pPr>
      <w:r>
        <w:rPr>
          <w:rFonts w:hint="eastAsia" w:ascii="宋体" w:hAnsi="宋体" w:cs="宋体"/>
          <w:color w:val="auto"/>
          <w:highlight w:val="none"/>
          <w:lang w:bidi="ar"/>
        </w:rPr>
        <w:t>供应商应按本文件中提供的文件格式、内容和要求制作投标文件。投标文件应装订成册。</w:t>
      </w:r>
    </w:p>
    <w:p>
      <w:pPr>
        <w:pStyle w:val="37"/>
        <w:numPr>
          <w:ilvl w:val="0"/>
          <w:numId w:val="3"/>
        </w:numPr>
        <w:adjustRightInd w:val="0"/>
        <w:spacing w:line="312" w:lineRule="auto"/>
        <w:ind w:left="0" w:firstLine="480"/>
        <w:jc w:val="both"/>
        <w:outlineLvl w:val="2"/>
        <w:rPr>
          <w:rFonts w:ascii="宋体" w:hAnsi="宋体" w:cs="宋体"/>
          <w:color w:val="auto"/>
          <w:highlight w:val="none"/>
          <w:lang w:bidi="ar"/>
        </w:rPr>
      </w:pPr>
      <w:r>
        <w:rPr>
          <w:rFonts w:hint="eastAsia" w:ascii="宋体" w:hAnsi="宋体" w:cs="宋体"/>
          <w:color w:val="auto"/>
          <w:highlight w:val="none"/>
          <w:lang w:bidi="ar"/>
        </w:rPr>
        <w:t>投标文件的组成</w:t>
      </w:r>
    </w:p>
    <w:p>
      <w:pPr>
        <w:pStyle w:val="16"/>
        <w:tabs>
          <w:tab w:val="left" w:pos="0"/>
          <w:tab w:val="left" w:pos="993"/>
          <w:tab w:val="left" w:pos="1134"/>
        </w:tabs>
        <w:snapToGrid w:val="0"/>
        <w:spacing w:line="360" w:lineRule="auto"/>
        <w:ind w:firstLine="590" w:firstLineChars="246"/>
        <w:rPr>
          <w:rFonts w:ascii="宋体" w:hAnsi="宋体" w:cs="宋体"/>
          <w:bCs w:val="0"/>
          <w:color w:val="auto"/>
          <w:highlight w:val="none"/>
          <w:lang w:bidi="ar"/>
        </w:rPr>
      </w:pPr>
      <w:r>
        <w:rPr>
          <w:rFonts w:hint="eastAsia" w:ascii="宋体" w:hAnsi="宋体" w:cs="宋体"/>
          <w:bCs w:val="0"/>
          <w:color w:val="auto"/>
          <w:highlight w:val="none"/>
          <w:lang w:bidi="ar"/>
        </w:rPr>
        <w:t>▲投标文件由资格审查文件、资信技术文件和商务报价文件三部分组成，使用CA锁加盖</w:t>
      </w:r>
      <w:r>
        <w:rPr>
          <w:rFonts w:hint="eastAsia" w:ascii="宋体" w:hAnsi="宋体" w:cs="宋体"/>
          <w:bCs w:val="0"/>
          <w:color w:val="auto"/>
          <w:highlight w:val="none"/>
          <w:lang w:eastAsia="zh-CN" w:bidi="ar"/>
        </w:rPr>
        <w:t>投标人</w:t>
      </w:r>
      <w:r>
        <w:rPr>
          <w:rFonts w:hint="eastAsia" w:ascii="宋体" w:hAnsi="宋体" w:cs="宋体"/>
          <w:bCs w:val="0"/>
          <w:color w:val="auto"/>
          <w:highlight w:val="none"/>
          <w:lang w:bidi="ar"/>
        </w:rPr>
        <w:t>电子公章及法定代表人电子签章，用投标工具生成文件格式为“已加密投标文件”的电子投标文件，并将该格式的电子投标文件成功上传至衢州市阳光交易服务平台。</w:t>
      </w:r>
    </w:p>
    <w:p>
      <w:pPr>
        <w:pStyle w:val="37"/>
        <w:numPr>
          <w:ilvl w:val="1"/>
          <w:numId w:val="7"/>
        </w:numPr>
        <w:tabs>
          <w:tab w:val="left" w:pos="171"/>
          <w:tab w:val="clear" w:pos="0"/>
        </w:tabs>
        <w:adjustRightInd w:val="0"/>
        <w:spacing w:line="240" w:lineRule="auto"/>
        <w:ind w:firstLine="482" w:firstLineChars="200"/>
        <w:jc w:val="both"/>
        <w:rPr>
          <w:rFonts w:ascii="宋体" w:hAnsi="宋体" w:cs="宋体"/>
          <w:b/>
          <w:bCs/>
          <w:color w:val="auto"/>
          <w:highlight w:val="none"/>
          <w:lang w:eastAsia="en-US" w:bidi="ar"/>
        </w:rPr>
      </w:pPr>
      <w:bookmarkStart w:id="453" w:name="_Toc677"/>
      <w:r>
        <w:rPr>
          <w:rFonts w:hint="eastAsia" w:ascii="宋体" w:hAnsi="宋体" w:cs="宋体"/>
          <w:b/>
          <w:bCs/>
          <w:color w:val="auto"/>
          <w:highlight w:val="none"/>
          <w:lang w:eastAsia="en-US" w:bidi="ar"/>
        </w:rPr>
        <w:t>资格审查文件</w:t>
      </w:r>
      <w:bookmarkEnd w:id="453"/>
    </w:p>
    <w:p>
      <w:pPr>
        <w:pStyle w:val="37"/>
        <w:numPr>
          <w:ilvl w:val="255"/>
          <w:numId w:val="0"/>
        </w:numPr>
        <w:tabs>
          <w:tab w:val="left" w:pos="171"/>
        </w:tabs>
        <w:spacing w:line="312" w:lineRule="auto"/>
        <w:ind w:firstLine="480" w:firstLineChars="200"/>
        <w:rPr>
          <w:rFonts w:ascii="宋体" w:hAnsi="宋体" w:cs="宋体"/>
          <w:color w:val="auto"/>
          <w:highlight w:val="none"/>
          <w:lang w:eastAsia="en-US" w:bidi="ar"/>
        </w:rPr>
      </w:pPr>
      <w:r>
        <w:rPr>
          <w:rFonts w:hint="eastAsia" w:ascii="宋体" w:hAnsi="宋体" w:cs="宋体"/>
          <w:color w:val="auto"/>
          <w:highlight w:val="none"/>
          <w:lang w:eastAsia="en-US" w:bidi="ar"/>
        </w:rPr>
        <w:t>包括但不限于以下内容：</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bookmarkStart w:id="454" w:name="_Toc500208474"/>
      <w:r>
        <w:rPr>
          <w:rFonts w:hint="eastAsia" w:ascii="宋体" w:hAnsi="宋体" w:eastAsia="宋体" w:cs="宋体"/>
          <w:color w:val="auto"/>
          <w:highlight w:val="none"/>
          <w:lang w:eastAsia="en-US" w:bidi="ar"/>
        </w:rPr>
        <w:t>（1）供应商基本情况表；（格式见附件1）</w:t>
      </w:r>
      <w:r>
        <w:rPr>
          <w:rFonts w:hint="eastAsia" w:ascii="宋体" w:hAnsi="宋体" w:eastAsia="宋体" w:cs="宋体"/>
          <w:color w:val="auto"/>
          <w:highlight w:val="none"/>
          <w:lang w:eastAsia="zh-CN" w:bidi="ar"/>
        </w:rPr>
        <w:t>；</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（2）提供有效《企业</w:t>
      </w:r>
      <w:r>
        <w:rPr>
          <w:rFonts w:hint="eastAsia" w:ascii="宋体" w:hAnsi="宋体" w:eastAsia="宋体" w:cs="宋体"/>
          <w:color w:val="auto"/>
          <w:highlight w:val="none"/>
          <w:lang w:val="en-US" w:eastAsia="zh-CN" w:bidi="ar"/>
        </w:rPr>
        <w:t>法人</w:t>
      </w:r>
      <w:r>
        <w:rPr>
          <w:rFonts w:hint="eastAsia" w:ascii="宋体" w:hAnsi="宋体" w:eastAsia="宋体" w:cs="宋体"/>
          <w:color w:val="auto"/>
          <w:highlight w:val="none"/>
          <w:lang w:eastAsia="en-US" w:bidi="ar"/>
        </w:rPr>
        <w:t>营业执照》副本原件</w:t>
      </w:r>
      <w:r>
        <w:rPr>
          <w:rFonts w:hint="eastAsia" w:ascii="宋体" w:hAnsi="宋体" w:eastAsia="宋体" w:cs="宋体"/>
          <w:color w:val="auto"/>
          <w:highlight w:val="none"/>
          <w:lang w:val="en-US" w:eastAsia="zh-CN" w:bidi="ar"/>
        </w:rPr>
        <w:t>扫描件</w:t>
      </w:r>
      <w:r>
        <w:rPr>
          <w:rFonts w:hint="eastAsia" w:ascii="宋体" w:hAnsi="宋体" w:eastAsia="宋体" w:cs="宋体"/>
          <w:color w:val="auto"/>
          <w:highlight w:val="none"/>
          <w:lang w:eastAsia="en-US" w:bidi="ar"/>
        </w:rPr>
        <w:t xml:space="preserve">加盖公章编入投标文件中； </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（3）符合参加国企采购活动应当具备的一般条件的承诺函；（格式见附件2）</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eastAsia="en-US" w:bidi="ar"/>
        </w:rPr>
        <w:t>）本项目的特定资格要求：</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default" w:ascii="宋体" w:hAnsi="宋体" w:eastAsia="宋体" w:cs="宋体"/>
          <w:color w:val="auto"/>
          <w:highlight w:val="none"/>
          <w:lang w:val="en-US" w:eastAsia="zh-CN" w:bidi="ar"/>
        </w:rPr>
        <w:t>①</w:t>
      </w:r>
      <w:r>
        <w:rPr>
          <w:rFonts w:hint="eastAsia" w:ascii="宋体" w:hAnsi="宋体" w:eastAsia="宋体" w:cs="宋体"/>
          <w:color w:val="auto"/>
          <w:highlight w:val="none"/>
          <w:lang w:val="en-US" w:eastAsia="zh-CN" w:bidi="ar"/>
        </w:rPr>
        <w:t>提供</w:t>
      </w:r>
      <w:r>
        <w:rPr>
          <w:rFonts w:hint="eastAsia" w:ascii="宋体" w:hAnsi="宋体" w:eastAsia="宋体" w:cs="宋体"/>
          <w:color w:val="auto"/>
          <w:highlight w:val="none"/>
          <w:lang w:eastAsia="en-US" w:bidi="ar"/>
        </w:rPr>
        <w:t>有效期内建筑</w:t>
      </w:r>
      <w:r>
        <w:rPr>
          <w:rFonts w:hint="eastAsia" w:ascii="宋体" w:hAnsi="宋体" w:eastAsia="宋体" w:cs="宋体"/>
          <w:color w:val="auto"/>
          <w:highlight w:val="none"/>
          <w:lang w:eastAsia="zh-CN" w:bidi="ar"/>
        </w:rPr>
        <w:t>装饰工程</w:t>
      </w:r>
      <w:r>
        <w:rPr>
          <w:rFonts w:hint="eastAsia" w:ascii="宋体" w:hAnsi="宋体" w:eastAsia="宋体" w:cs="宋体"/>
          <w:color w:val="auto"/>
          <w:highlight w:val="none"/>
          <w:lang w:eastAsia="en-US" w:bidi="ar"/>
        </w:rPr>
        <w:t>专业承包</w:t>
      </w:r>
      <w:r>
        <w:rPr>
          <w:rFonts w:hint="eastAsia" w:ascii="宋体" w:hAnsi="宋体" w:eastAsia="宋体" w:cs="宋体"/>
          <w:color w:val="auto"/>
          <w:highlight w:val="none"/>
          <w:lang w:val="en-US" w:eastAsia="zh-CN" w:bidi="ar"/>
        </w:rPr>
        <w:t>贰级及以上资质证书及安全生产许可证</w:t>
      </w:r>
      <w:r>
        <w:rPr>
          <w:rFonts w:hint="eastAsia" w:ascii="宋体" w:hAnsi="宋体" w:eastAsia="宋体" w:cs="宋体"/>
          <w:color w:val="auto"/>
          <w:highlight w:val="none"/>
          <w:lang w:eastAsia="en-US" w:bidi="ar"/>
        </w:rPr>
        <w:t>原件</w:t>
      </w:r>
      <w:r>
        <w:rPr>
          <w:rFonts w:hint="eastAsia" w:ascii="宋体" w:hAnsi="宋体" w:eastAsia="宋体" w:cs="宋体"/>
          <w:color w:val="auto"/>
          <w:highlight w:val="none"/>
          <w:lang w:val="en-US" w:eastAsia="zh-CN" w:bidi="ar"/>
        </w:rPr>
        <w:t>扫描件；</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zh-CN" w:bidi="ar"/>
        </w:rPr>
      </w:pPr>
      <w:r>
        <w:rPr>
          <w:rFonts w:hint="default" w:ascii="宋体" w:hAnsi="宋体" w:eastAsia="宋体" w:cs="宋体"/>
          <w:color w:val="auto"/>
          <w:highlight w:val="none"/>
          <w:lang w:val="en-US" w:eastAsia="zh-CN" w:bidi="ar"/>
        </w:rPr>
        <w:t>②</w:t>
      </w:r>
      <w:r>
        <w:rPr>
          <w:rFonts w:hint="eastAsia" w:ascii="宋体" w:hAnsi="宋体" w:eastAsia="宋体" w:cs="宋体"/>
          <w:color w:val="auto"/>
          <w:highlight w:val="none"/>
          <w:lang w:val="en-US" w:eastAsia="zh-CN" w:bidi="ar"/>
        </w:rPr>
        <w:t>提供项目负责人</w:t>
      </w:r>
      <w:r>
        <w:rPr>
          <w:rFonts w:hint="eastAsia" w:ascii="宋体" w:hAnsi="宋体" w:eastAsia="宋体" w:cs="宋体"/>
          <w:color w:val="auto"/>
          <w:highlight w:val="none"/>
          <w:lang w:eastAsia="en-US" w:bidi="ar"/>
        </w:rPr>
        <w:t>有效期内</w:t>
      </w:r>
      <w:r>
        <w:rPr>
          <w:rFonts w:hint="eastAsia" w:ascii="宋体" w:hAnsi="宋体" w:eastAsia="宋体" w:cs="宋体"/>
          <w:color w:val="auto"/>
          <w:highlight w:val="none"/>
          <w:lang w:val="en-US" w:eastAsia="zh-CN" w:bidi="ar"/>
        </w:rPr>
        <w:t>的</w:t>
      </w:r>
      <w:r>
        <w:rPr>
          <w:rFonts w:hint="eastAsia" w:ascii="宋体" w:hAnsi="宋体" w:eastAsia="宋体" w:cs="宋体"/>
          <w:color w:val="auto"/>
          <w:highlight w:val="none"/>
          <w:lang w:eastAsia="en-US" w:bidi="ar"/>
        </w:rPr>
        <w:t>建筑工程注册建造师贰</w:t>
      </w:r>
      <w:r>
        <w:rPr>
          <w:rFonts w:hint="eastAsia" w:ascii="宋体" w:hAnsi="宋体" w:eastAsia="宋体" w:cs="宋体"/>
          <w:color w:val="auto"/>
          <w:highlight w:val="none"/>
          <w:lang w:val="en-US" w:eastAsia="en-US" w:bidi="ar"/>
        </w:rPr>
        <w:t>级及以上</w:t>
      </w:r>
      <w:r>
        <w:rPr>
          <w:rFonts w:hint="eastAsia" w:ascii="宋体" w:hAnsi="宋体" w:eastAsia="宋体" w:cs="宋体"/>
          <w:color w:val="auto"/>
          <w:highlight w:val="none"/>
          <w:lang w:val="en-US" w:eastAsia="zh-CN" w:bidi="ar"/>
        </w:rPr>
        <w:t>执业资格证书及</w:t>
      </w:r>
      <w:r>
        <w:rPr>
          <w:rFonts w:hint="eastAsia" w:ascii="宋体" w:hAnsi="宋体" w:eastAsia="宋体" w:cs="宋体"/>
          <w:color w:val="auto"/>
          <w:highlight w:val="none"/>
          <w:lang w:val="en-US" w:eastAsia="en-US" w:bidi="ar"/>
        </w:rPr>
        <w:t>B</w:t>
      </w:r>
      <w:r>
        <w:rPr>
          <w:rFonts w:hint="eastAsia" w:ascii="宋体" w:hAnsi="宋体" w:eastAsia="宋体" w:cs="宋体"/>
          <w:color w:val="auto"/>
          <w:highlight w:val="none"/>
          <w:lang w:eastAsia="en-US" w:bidi="ar"/>
        </w:rPr>
        <w:t>证原件</w:t>
      </w:r>
      <w:r>
        <w:rPr>
          <w:rFonts w:hint="eastAsia" w:ascii="宋体" w:hAnsi="宋体" w:eastAsia="宋体" w:cs="宋体"/>
          <w:color w:val="auto"/>
          <w:highlight w:val="none"/>
          <w:lang w:val="en-US" w:eastAsia="zh-CN" w:bidi="ar"/>
        </w:rPr>
        <w:t>扫描件；</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eastAsia="en-US" w:bidi="ar"/>
        </w:rPr>
        <w:t>）投标函；（格式见附件3）</w:t>
      </w:r>
    </w:p>
    <w:p>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eastAsia="en-US" w:bidi="ar"/>
        </w:rPr>
        <w:t>）法人证明或授权委托书；（格式见附件4）</w:t>
      </w:r>
    </w:p>
    <w:p>
      <w:pPr>
        <w:pStyle w:val="37"/>
        <w:numPr>
          <w:ilvl w:val="255"/>
          <w:numId w:val="0"/>
        </w:numPr>
        <w:tabs>
          <w:tab w:val="left" w:pos="171"/>
        </w:tabs>
        <w:spacing w:line="312" w:lineRule="auto"/>
        <w:ind w:firstLine="482" w:firstLineChars="200"/>
        <w:rPr>
          <w:rFonts w:ascii="宋体" w:hAnsi="宋体" w:cs="宋体"/>
          <w:b/>
          <w:bCs/>
          <w:color w:val="auto"/>
          <w:highlight w:val="none"/>
          <w:lang w:eastAsia="en-US" w:bidi="ar"/>
        </w:rPr>
      </w:pPr>
      <w:r>
        <w:rPr>
          <w:rFonts w:hint="eastAsia" w:ascii="宋体" w:hAnsi="宋体" w:cs="宋体"/>
          <w:b/>
          <w:bCs/>
          <w:color w:val="auto"/>
          <w:highlight w:val="none"/>
          <w:lang w:eastAsia="en-US" w:bidi="ar"/>
        </w:rPr>
        <w:t>▲注：以上资格文件为通过式评审</w:t>
      </w:r>
      <w:r>
        <w:rPr>
          <w:rFonts w:hint="eastAsia" w:ascii="宋体" w:hAnsi="宋体" w:cs="宋体"/>
          <w:b/>
          <w:bCs/>
          <w:color w:val="auto"/>
          <w:highlight w:val="none"/>
          <w:lang w:eastAsia="zh-CN" w:bidi="ar"/>
        </w:rPr>
        <w:t>，</w:t>
      </w:r>
      <w:r>
        <w:rPr>
          <w:rFonts w:hint="eastAsia" w:ascii="宋体" w:hAnsi="宋体" w:cs="宋体"/>
          <w:b/>
          <w:bCs/>
          <w:color w:val="auto"/>
          <w:highlight w:val="none"/>
          <w:lang w:eastAsia="en-US" w:bidi="ar"/>
        </w:rPr>
        <w:t>如有缺少或不符合要求的</w:t>
      </w:r>
      <w:r>
        <w:rPr>
          <w:rFonts w:hint="eastAsia" w:ascii="宋体" w:hAnsi="宋体" w:cs="宋体"/>
          <w:b/>
          <w:bCs/>
          <w:color w:val="auto"/>
          <w:highlight w:val="none"/>
          <w:lang w:eastAsia="zh-CN" w:bidi="ar"/>
        </w:rPr>
        <w:t>，</w:t>
      </w:r>
      <w:r>
        <w:rPr>
          <w:rFonts w:hint="eastAsia" w:ascii="宋体" w:hAnsi="宋体" w:cs="宋体"/>
          <w:b/>
          <w:bCs/>
          <w:color w:val="auto"/>
          <w:highlight w:val="none"/>
          <w:lang w:eastAsia="en-US" w:bidi="ar"/>
        </w:rPr>
        <w:t>则视为资格审查不予通过。</w:t>
      </w:r>
    </w:p>
    <w:p>
      <w:pPr>
        <w:pStyle w:val="37"/>
        <w:numPr>
          <w:ilvl w:val="1"/>
          <w:numId w:val="7"/>
        </w:numPr>
        <w:tabs>
          <w:tab w:val="left" w:pos="171"/>
          <w:tab w:val="clear" w:pos="0"/>
        </w:tabs>
        <w:adjustRightInd w:val="0"/>
        <w:spacing w:line="240" w:lineRule="auto"/>
        <w:ind w:firstLine="482" w:firstLineChars="200"/>
        <w:jc w:val="both"/>
        <w:rPr>
          <w:rFonts w:ascii="宋体" w:hAnsi="宋体" w:cs="宋体"/>
          <w:b/>
          <w:bCs/>
          <w:color w:val="auto"/>
          <w:highlight w:val="none"/>
          <w:lang w:eastAsia="en-US" w:bidi="ar"/>
        </w:rPr>
      </w:pPr>
      <w:r>
        <w:rPr>
          <w:rFonts w:hint="eastAsia" w:ascii="宋体" w:hAnsi="宋体" w:cs="宋体"/>
          <w:b/>
          <w:bCs/>
          <w:color w:val="auto"/>
          <w:highlight w:val="none"/>
          <w:lang w:eastAsia="en-US" w:bidi="ar"/>
        </w:rPr>
        <w:t>资信技术文件</w:t>
      </w:r>
    </w:p>
    <w:p>
      <w:pPr>
        <w:pStyle w:val="23"/>
        <w:spacing w:line="312" w:lineRule="auto"/>
        <w:ind w:firstLine="480"/>
        <w:jc w:val="left"/>
        <w:rPr>
          <w:rFonts w:hAnsi="宋体" w:cs="宋体"/>
          <w:color w:val="auto"/>
          <w:szCs w:val="24"/>
          <w:highlight w:val="none"/>
        </w:rPr>
      </w:pPr>
      <w:r>
        <w:rPr>
          <w:rFonts w:hint="eastAsia" w:hAnsi="宋体" w:cs="宋体"/>
          <w:color w:val="auto"/>
          <w:szCs w:val="24"/>
          <w:highlight w:val="none"/>
        </w:rPr>
        <w:t>包括但不限于以下内容：</w:t>
      </w:r>
    </w:p>
    <w:p>
      <w:pPr>
        <w:pStyle w:val="23"/>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eastAsia="zh-CN"/>
        </w:rPr>
        <w:t>）同类业绩一览表；（格式见附件</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zh-CN" w:eastAsia="zh-CN"/>
        </w:rPr>
        <w:t>）</w:t>
      </w:r>
    </w:p>
    <w:p>
      <w:pPr>
        <w:pStyle w:val="23"/>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en-US" w:eastAsia="zh-CN"/>
        </w:rPr>
        <w:t>（2</w:t>
      </w:r>
      <w:bookmarkStart w:id="455" w:name="_Toc16512"/>
      <w:bookmarkStart w:id="456" w:name="_Toc10577"/>
      <w:bookmarkStart w:id="457" w:name="_Toc29404"/>
      <w:bookmarkStart w:id="458" w:name="_Toc24537"/>
      <w:bookmarkStart w:id="459" w:name="_Toc17884"/>
      <w:r>
        <w:rPr>
          <w:rFonts w:hint="eastAsia" w:ascii="宋体" w:hAnsi="宋体" w:eastAsia="宋体" w:cs="宋体"/>
          <w:color w:val="auto"/>
          <w:szCs w:val="24"/>
          <w:highlight w:val="none"/>
          <w:lang w:val="en-US" w:eastAsia="zh-CN"/>
        </w:rPr>
        <w:t>）拟派</w:t>
      </w:r>
      <w:r>
        <w:rPr>
          <w:rFonts w:hint="eastAsia" w:ascii="宋体" w:hAnsi="宋体" w:eastAsia="宋体" w:cs="宋体"/>
          <w:color w:val="auto"/>
          <w:szCs w:val="24"/>
          <w:highlight w:val="none"/>
          <w:lang w:val="zh-CN" w:eastAsia="zh-CN"/>
        </w:rPr>
        <w:t>项目负责人情况表；（格式见附件</w:t>
      </w:r>
      <w:r>
        <w:rPr>
          <w:rFonts w:hint="eastAsia" w:hAnsi="宋体" w:cs="宋体"/>
          <w:color w:val="auto"/>
          <w:szCs w:val="24"/>
          <w:highlight w:val="none"/>
          <w:lang w:val="en-US" w:eastAsia="zh-CN"/>
        </w:rPr>
        <w:t>6</w:t>
      </w:r>
      <w:r>
        <w:rPr>
          <w:rFonts w:hint="eastAsia" w:ascii="宋体" w:hAnsi="宋体" w:eastAsia="宋体" w:cs="宋体"/>
          <w:color w:val="auto"/>
          <w:szCs w:val="24"/>
          <w:highlight w:val="none"/>
          <w:lang w:val="zh-CN" w:eastAsia="zh-CN"/>
        </w:rPr>
        <w:t>）</w:t>
      </w:r>
    </w:p>
    <w:p>
      <w:pPr>
        <w:pStyle w:val="23"/>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eastAsia="zh-CN"/>
        </w:rPr>
        <w:t>拟投入主要人员一览表；（格式见附件</w:t>
      </w:r>
      <w:r>
        <w:rPr>
          <w:rFonts w:hint="eastAsia" w:hAnsi="宋体" w:cs="宋体"/>
          <w:color w:val="auto"/>
          <w:szCs w:val="24"/>
          <w:highlight w:val="none"/>
          <w:lang w:val="en-US" w:eastAsia="zh-CN"/>
        </w:rPr>
        <w:t>7</w:t>
      </w:r>
      <w:r>
        <w:rPr>
          <w:rFonts w:hint="eastAsia" w:ascii="宋体" w:hAnsi="宋体" w:eastAsia="宋体" w:cs="宋体"/>
          <w:color w:val="auto"/>
          <w:szCs w:val="24"/>
          <w:highlight w:val="none"/>
          <w:lang w:val="zh-CN" w:eastAsia="zh-CN"/>
        </w:rPr>
        <w:t>）</w:t>
      </w:r>
    </w:p>
    <w:p>
      <w:pPr>
        <w:pStyle w:val="23"/>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CN" w:eastAsia="zh-CN"/>
        </w:rPr>
        <w:t>货物清单及规格、技术参数偏离表</w:t>
      </w:r>
      <w:r>
        <w:rPr>
          <w:rFonts w:hint="eastAsia" w:ascii="宋体" w:hAnsi="宋体" w:eastAsia="宋体" w:cs="宋体"/>
          <w:color w:val="auto"/>
          <w:szCs w:val="24"/>
          <w:highlight w:val="none"/>
          <w:lang w:val="en-US" w:eastAsia="zh-CN"/>
        </w:rPr>
        <w:t>；（格式见附件</w:t>
      </w:r>
      <w:r>
        <w:rPr>
          <w:rFonts w:hint="eastAsia"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w:t>
      </w:r>
    </w:p>
    <w:p>
      <w:pPr>
        <w:pStyle w:val="23"/>
        <w:spacing w:line="312" w:lineRule="auto"/>
        <w:ind w:firstLine="480"/>
        <w:jc w:val="left"/>
        <w:rPr>
          <w:rFonts w:hint="eastAsia" w:hAnsi="宋体" w:cs="宋体"/>
          <w:color w:val="auto"/>
          <w:szCs w:val="24"/>
          <w:highlight w:val="none"/>
          <w:lang w:val="en-US" w:eastAsia="zh-CN"/>
        </w:rPr>
      </w:pPr>
      <w:r>
        <w:rPr>
          <w:rFonts w:hint="eastAsia" w:ascii="宋体" w:hAnsi="宋体" w:eastAsia="宋体" w:cs="宋体"/>
          <w:color w:val="auto"/>
          <w:szCs w:val="24"/>
          <w:highlight w:val="none"/>
          <w:lang w:val="en-US" w:eastAsia="zh-CN"/>
        </w:rPr>
        <w:t>（5）商务响应承诺函；（格式见附件</w:t>
      </w:r>
      <w:r>
        <w:rPr>
          <w:rFonts w:hint="eastAsia" w:hAnsi="宋体" w:cs="宋体"/>
          <w:color w:val="auto"/>
          <w:szCs w:val="24"/>
          <w:highlight w:val="none"/>
          <w:lang w:val="en-US" w:eastAsia="zh-CN"/>
        </w:rPr>
        <w:t>9）</w:t>
      </w:r>
    </w:p>
    <w:p>
      <w:pPr>
        <w:pStyle w:val="23"/>
        <w:spacing w:line="312" w:lineRule="auto"/>
        <w:ind w:firstLine="48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（6）</w:t>
      </w:r>
      <w:r>
        <w:rPr>
          <w:rFonts w:hint="eastAsia" w:ascii="宋体" w:hAnsi="宋体" w:eastAsia="宋体" w:cs="宋体"/>
          <w:sz w:val="24"/>
          <w:szCs w:val="24"/>
          <w:highlight w:val="none"/>
          <w:lang w:val="en-US" w:eastAsia="zh-CN"/>
        </w:rPr>
        <w:t>方案深化设计情况</w:t>
      </w:r>
      <w:r>
        <w:rPr>
          <w:rFonts w:hint="eastAsia" w:hAnsi="宋体" w:cs="宋体"/>
          <w:color w:val="auto"/>
          <w:szCs w:val="24"/>
          <w:highlight w:val="none"/>
          <w:lang w:val="en-US" w:eastAsia="zh-CN"/>
        </w:rPr>
        <w:t>；（格式自拟）</w:t>
      </w:r>
    </w:p>
    <w:p>
      <w:pPr>
        <w:pStyle w:val="23"/>
        <w:spacing w:line="312" w:lineRule="auto"/>
        <w:ind w:firstLine="48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（7）</w:t>
      </w:r>
      <w:r>
        <w:rPr>
          <w:rFonts w:hint="eastAsia" w:ascii="宋体" w:hAnsi="宋体" w:eastAsia="宋体" w:cs="宋体"/>
          <w:sz w:val="24"/>
          <w:szCs w:val="24"/>
          <w:highlight w:val="none"/>
          <w:lang w:val="en-US" w:eastAsia="zh-CN"/>
        </w:rPr>
        <w:t>施工重点难点分析</w:t>
      </w:r>
      <w:r>
        <w:rPr>
          <w:rFonts w:hint="eastAsia" w:hAnsi="宋体" w:cs="宋体"/>
          <w:color w:val="auto"/>
          <w:szCs w:val="24"/>
          <w:highlight w:val="none"/>
          <w:lang w:val="en-US" w:eastAsia="zh-CN"/>
        </w:rPr>
        <w:t>；（格式自拟）</w:t>
      </w:r>
    </w:p>
    <w:p>
      <w:pPr>
        <w:pStyle w:val="23"/>
        <w:spacing w:line="312" w:lineRule="auto"/>
        <w:ind w:firstLine="48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（8）</w:t>
      </w:r>
      <w:r>
        <w:rPr>
          <w:rFonts w:hint="eastAsia" w:ascii="宋体" w:hAnsi="宋体" w:eastAsia="宋体" w:cs="宋体"/>
          <w:sz w:val="24"/>
          <w:szCs w:val="24"/>
          <w:highlight w:val="none"/>
          <w:lang w:val="en-US" w:eastAsia="zh-CN"/>
        </w:rPr>
        <w:t>施工方案</w:t>
      </w:r>
      <w:r>
        <w:rPr>
          <w:rFonts w:hint="eastAsia" w:hAnsi="宋体" w:cs="宋体"/>
          <w:color w:val="auto"/>
          <w:szCs w:val="24"/>
          <w:highlight w:val="none"/>
          <w:lang w:val="en-US" w:eastAsia="zh-CN"/>
        </w:rPr>
        <w:t>；（格式自拟）</w:t>
      </w:r>
    </w:p>
    <w:p>
      <w:pPr>
        <w:pStyle w:val="23"/>
        <w:spacing w:line="312" w:lineRule="auto"/>
        <w:ind w:firstLine="48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（9）</w:t>
      </w:r>
      <w:r>
        <w:rPr>
          <w:rFonts w:hint="eastAsia" w:ascii="宋体" w:hAnsi="宋体" w:eastAsia="宋体" w:cs="宋体"/>
          <w:sz w:val="24"/>
          <w:szCs w:val="24"/>
          <w:highlight w:val="none"/>
          <w:lang w:val="en-US" w:eastAsia="zh-CN"/>
        </w:rPr>
        <w:t>施工进度</w:t>
      </w:r>
      <w:r>
        <w:rPr>
          <w:rFonts w:hint="eastAsia" w:hAnsi="宋体" w:cs="宋体"/>
          <w:color w:val="auto"/>
          <w:szCs w:val="24"/>
          <w:highlight w:val="none"/>
          <w:lang w:val="en-US" w:eastAsia="zh-CN"/>
        </w:rPr>
        <w:t>；（格式自拟）</w:t>
      </w:r>
    </w:p>
    <w:p>
      <w:pPr>
        <w:pStyle w:val="23"/>
        <w:spacing w:line="312" w:lineRule="auto"/>
        <w:ind w:firstLine="48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（10）</w:t>
      </w:r>
      <w:r>
        <w:rPr>
          <w:rFonts w:hint="eastAsia" w:ascii="宋体" w:hAnsi="宋体" w:eastAsia="宋体" w:cs="宋体"/>
          <w:sz w:val="24"/>
          <w:szCs w:val="24"/>
          <w:highlight w:val="none"/>
          <w:lang w:val="en-US" w:eastAsia="zh-CN"/>
        </w:rPr>
        <w:t>成品保护的保证措施</w:t>
      </w:r>
      <w:r>
        <w:rPr>
          <w:rFonts w:hint="eastAsia" w:hAnsi="宋体" w:cs="宋体"/>
          <w:color w:val="auto"/>
          <w:szCs w:val="24"/>
          <w:highlight w:val="none"/>
          <w:lang w:val="en-US" w:eastAsia="zh-CN"/>
        </w:rPr>
        <w:t>；（格式自拟）</w:t>
      </w:r>
    </w:p>
    <w:p>
      <w:pPr>
        <w:pStyle w:val="23"/>
        <w:spacing w:line="312" w:lineRule="auto"/>
        <w:ind w:firstLine="48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（11）</w:t>
      </w:r>
      <w:r>
        <w:rPr>
          <w:rFonts w:hint="eastAsia" w:ascii="宋体" w:hAnsi="宋体" w:eastAsia="宋体" w:cs="宋体"/>
          <w:sz w:val="24"/>
          <w:szCs w:val="24"/>
          <w:highlight w:val="none"/>
          <w:lang w:val="en-US" w:eastAsia="zh-CN"/>
        </w:rPr>
        <w:t>降噪措施</w:t>
      </w:r>
      <w:r>
        <w:rPr>
          <w:rFonts w:hint="eastAsia" w:hAnsi="宋体" w:cs="宋体"/>
          <w:color w:val="auto"/>
          <w:szCs w:val="24"/>
          <w:highlight w:val="none"/>
          <w:lang w:val="en-US" w:eastAsia="zh-CN"/>
        </w:rPr>
        <w:t>；（格式自拟）</w:t>
      </w:r>
    </w:p>
    <w:p>
      <w:pPr>
        <w:pStyle w:val="23"/>
        <w:spacing w:line="312" w:lineRule="auto"/>
        <w:ind w:firstLine="480"/>
        <w:jc w:val="left"/>
        <w:rPr>
          <w:rFonts w:hAnsi="宋体" w:cs="宋体"/>
          <w:color w:val="auto"/>
          <w:szCs w:val="24"/>
          <w:highlight w:val="none"/>
        </w:rPr>
      </w:pPr>
      <w:r>
        <w:rPr>
          <w:rFonts w:hint="eastAsia" w:hAnsi="宋体" w:cs="宋体"/>
          <w:color w:val="auto"/>
          <w:szCs w:val="24"/>
          <w:highlight w:val="none"/>
          <w:lang w:val="en-US" w:eastAsia="zh-CN"/>
        </w:rPr>
        <w:t>（12）</w:t>
      </w:r>
      <w:r>
        <w:rPr>
          <w:rFonts w:hint="eastAsia" w:ascii="宋体" w:hAnsi="宋体" w:eastAsia="宋体" w:cs="宋体"/>
          <w:color w:val="auto"/>
          <w:szCs w:val="24"/>
          <w:highlight w:val="none"/>
          <w:lang w:val="en-US" w:eastAsia="zh-CN"/>
        </w:rPr>
        <w:t>其他内容</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根据第四章</w:t>
      </w:r>
      <w:r>
        <w:rPr>
          <w:rFonts w:hint="eastAsia" w:hAnsi="宋体" w:cs="宋体"/>
          <w:color w:val="auto"/>
          <w:szCs w:val="24"/>
          <w:highlight w:val="none"/>
        </w:rPr>
        <w:t>评标办法及评分标准3.综合评分明细表提供其余的相关评分所需资料。</w:t>
      </w:r>
    </w:p>
    <w:bookmarkEnd w:id="455"/>
    <w:bookmarkEnd w:id="456"/>
    <w:bookmarkEnd w:id="457"/>
    <w:bookmarkEnd w:id="458"/>
    <w:bookmarkEnd w:id="459"/>
    <w:p>
      <w:pPr>
        <w:pStyle w:val="37"/>
        <w:numPr>
          <w:ilvl w:val="1"/>
          <w:numId w:val="7"/>
        </w:numPr>
        <w:tabs>
          <w:tab w:val="left" w:pos="171"/>
          <w:tab w:val="clear" w:pos="0"/>
        </w:tabs>
        <w:adjustRightInd w:val="0"/>
        <w:spacing w:line="240" w:lineRule="auto"/>
        <w:ind w:firstLine="482" w:firstLineChars="200"/>
        <w:jc w:val="both"/>
        <w:rPr>
          <w:rFonts w:ascii="宋体" w:hAnsi="宋体" w:cs="宋体"/>
          <w:b/>
          <w:bCs/>
          <w:color w:val="auto"/>
          <w:highlight w:val="none"/>
          <w:lang w:eastAsia="en-US" w:bidi="ar"/>
        </w:rPr>
      </w:pPr>
      <w:bookmarkStart w:id="460" w:name="_Toc25916"/>
      <w:bookmarkStart w:id="461" w:name="_Toc10278"/>
      <w:bookmarkStart w:id="462" w:name="_Toc22013"/>
      <w:r>
        <w:rPr>
          <w:rFonts w:hint="eastAsia" w:ascii="宋体" w:hAnsi="宋体" w:cs="宋体"/>
          <w:b/>
          <w:bCs/>
          <w:color w:val="auto"/>
          <w:highlight w:val="none"/>
          <w:lang w:eastAsia="en-US" w:bidi="ar"/>
        </w:rPr>
        <w:t>商务报价文件</w:t>
      </w:r>
      <w:bookmarkEnd w:id="460"/>
      <w:bookmarkEnd w:id="461"/>
      <w:bookmarkEnd w:id="462"/>
    </w:p>
    <w:p>
      <w:pPr>
        <w:pStyle w:val="23"/>
        <w:spacing w:line="312" w:lineRule="auto"/>
        <w:ind w:firstLine="480"/>
        <w:jc w:val="left"/>
        <w:rPr>
          <w:rFonts w:cs="宋体"/>
          <w:color w:val="auto"/>
          <w:szCs w:val="24"/>
          <w:highlight w:val="none"/>
        </w:rPr>
      </w:pPr>
      <w:r>
        <w:rPr>
          <w:rFonts w:hint="eastAsia" w:cs="宋体"/>
          <w:color w:val="auto"/>
          <w:szCs w:val="24"/>
          <w:highlight w:val="none"/>
        </w:rPr>
        <w:t>包括但不限于以下内容：</w:t>
      </w:r>
    </w:p>
    <w:p>
      <w:pPr>
        <w:pStyle w:val="23"/>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r>
        <w:rPr>
          <w:rFonts w:hint="eastAsia" w:hAnsi="宋体" w:cs="宋体"/>
          <w:color w:val="auto"/>
          <w:highlight w:val="none"/>
          <w:lang w:val="en-US" w:eastAsia="zh-CN"/>
        </w:rPr>
        <w:t>10</w:t>
      </w:r>
      <w:r>
        <w:rPr>
          <w:rFonts w:hint="eastAsia" w:ascii="宋体" w:hAnsi="宋体" w:eastAsia="宋体" w:cs="宋体"/>
          <w:color w:val="auto"/>
          <w:highlight w:val="none"/>
        </w:rPr>
        <w:t>）</w:t>
      </w:r>
    </w:p>
    <w:p>
      <w:pPr>
        <w:pStyle w:val="23"/>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2</w:t>
      </w:r>
      <w:r>
        <w:rPr>
          <w:rFonts w:hint="eastAsia" w:ascii="宋体" w:hAnsi="宋体" w:eastAsia="宋体" w:cs="宋体"/>
          <w:color w:val="auto"/>
          <w:highlight w:val="none"/>
        </w:rPr>
        <w:t>）中小企业、监狱企业、残疾人福利性单位声明函；（格式见附件</w:t>
      </w:r>
      <w:r>
        <w:rPr>
          <w:rFonts w:hint="eastAsia" w:hAnsi="宋体" w:cs="宋体"/>
          <w:color w:val="auto"/>
          <w:highlight w:val="none"/>
          <w:lang w:val="en-US" w:eastAsia="zh-CN"/>
        </w:rPr>
        <w:t>11</w:t>
      </w:r>
      <w:r>
        <w:rPr>
          <w:rFonts w:hint="eastAsia" w:ascii="宋体" w:hAnsi="宋体" w:eastAsia="宋体" w:cs="宋体"/>
          <w:color w:val="auto"/>
          <w:highlight w:val="none"/>
        </w:rPr>
        <w:t>）</w:t>
      </w:r>
    </w:p>
    <w:p>
      <w:pPr>
        <w:pStyle w:val="23"/>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w:t>
      </w:r>
      <w:r>
        <w:rPr>
          <w:rFonts w:hint="eastAsia" w:hAnsi="宋体" w:cs="宋体"/>
          <w:color w:val="auto"/>
          <w:highlight w:val="none"/>
          <w:lang w:eastAsia="zh-CN"/>
        </w:rPr>
        <w:t>投标人</w:t>
      </w:r>
      <w:r>
        <w:rPr>
          <w:rFonts w:hint="eastAsia" w:ascii="宋体" w:hAnsi="宋体" w:eastAsia="宋体" w:cs="宋体"/>
          <w:color w:val="auto"/>
          <w:highlight w:val="none"/>
        </w:rPr>
        <w:t>需要说明的其他文件和说明。</w:t>
      </w:r>
    </w:p>
    <w:bookmarkEnd w:id="454"/>
    <w:p>
      <w:pPr>
        <w:spacing w:line="312" w:lineRule="auto"/>
        <w:ind w:firstLine="482"/>
        <w:rPr>
          <w:rFonts w:ascii="宋体" w:hAnsi="宋体" w:cs="宋体"/>
          <w:b/>
          <w:bCs/>
          <w:color w:val="auto"/>
          <w:highlight w:val="none"/>
          <w:u w:val="single"/>
        </w:rPr>
      </w:pPr>
      <w:r>
        <w:rPr>
          <w:rFonts w:hint="eastAsia" w:ascii="宋体" w:hAnsi="宋体" w:cs="宋体"/>
          <w:b/>
          <w:bCs/>
          <w:color w:val="auto"/>
          <w:highlight w:val="none"/>
          <w:u w:val="single"/>
        </w:rPr>
        <w:t>注：1.以上文件组成投标文件。</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应对招标文件</w:t>
      </w:r>
      <w:r>
        <w:rPr>
          <w:rFonts w:hint="eastAsia" w:ascii="宋体" w:hAnsi="宋体" w:cs="宋体"/>
          <w:b/>
          <w:bCs/>
          <w:color w:val="auto"/>
          <w:highlight w:val="none"/>
          <w:u w:val="single"/>
          <w:lang w:eastAsia="zh-CN"/>
        </w:rPr>
        <w:t>作出</w:t>
      </w:r>
      <w:r>
        <w:rPr>
          <w:rFonts w:hint="eastAsia" w:ascii="宋体" w:hAnsi="宋体" w:cs="宋体"/>
          <w:b/>
          <w:bCs/>
          <w:color w:val="auto"/>
          <w:highlight w:val="none"/>
          <w:u w:val="single"/>
        </w:rPr>
        <w:t>实质性响应，该项内容将作为投标的重要指标。一旦开标后，经审核确定投标资格和技术能力不能响应招标文件要求，则</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即刻被废标或被拒绝进入商务报价阶段。</w:t>
      </w:r>
    </w:p>
    <w:p>
      <w:pPr>
        <w:spacing w:line="312" w:lineRule="auto"/>
        <w:ind w:firstLine="482"/>
        <w:rPr>
          <w:rFonts w:ascii="宋体" w:hAnsi="宋体" w:cs="宋体"/>
          <w:b/>
          <w:bCs/>
          <w:color w:val="auto"/>
          <w:highlight w:val="none"/>
          <w:u w:val="single"/>
        </w:rPr>
      </w:pPr>
      <w:r>
        <w:rPr>
          <w:rFonts w:hint="eastAsia" w:ascii="宋体" w:hAnsi="宋体" w:cs="宋体"/>
          <w:b/>
          <w:bCs/>
          <w:color w:val="auto"/>
          <w:highlight w:val="none"/>
          <w:u w:val="single"/>
        </w:rPr>
        <w:t>2.以上所需的各种证书、证件、证明、执照等证明文件扫描件上应加盖</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的电子公章，否则相应部分不得分。</w:t>
      </w:r>
    </w:p>
    <w:p>
      <w:pPr>
        <w:pStyle w:val="37"/>
        <w:numPr>
          <w:ilvl w:val="0"/>
          <w:numId w:val="8"/>
        </w:numPr>
        <w:adjustRightInd w:val="0"/>
        <w:spacing w:line="312" w:lineRule="auto"/>
        <w:ind w:firstLine="480" w:firstLineChars="200"/>
        <w:jc w:val="both"/>
        <w:outlineLvl w:val="2"/>
        <w:rPr>
          <w:rFonts w:ascii="宋体" w:hAnsi="宋体" w:cs="宋体"/>
          <w:color w:val="auto"/>
          <w:highlight w:val="none"/>
          <w:lang w:bidi="ar"/>
        </w:rPr>
      </w:pPr>
      <w:r>
        <w:rPr>
          <w:rFonts w:hint="eastAsia" w:ascii="宋体" w:hAnsi="宋体" w:cs="宋体"/>
          <w:color w:val="auto"/>
          <w:highlight w:val="none"/>
          <w:lang w:bidi="ar"/>
        </w:rPr>
        <w:t>投标文件的编制</w:t>
      </w:r>
    </w:p>
    <w:p>
      <w:pPr>
        <w:pStyle w:val="37"/>
        <w:numPr>
          <w:ilvl w:val="1"/>
          <w:numId w:val="9"/>
        </w:numPr>
        <w:tabs>
          <w:tab w:val="left" w:pos="171"/>
          <w:tab w:val="clear" w:pos="0"/>
        </w:tabs>
        <w:adjustRightInd w:val="0"/>
        <w:spacing w:line="312" w:lineRule="auto"/>
        <w:ind w:left="0" w:firstLine="480"/>
        <w:rPr>
          <w:rFonts w:ascii="宋体" w:hAnsi="宋体" w:cs="宋体"/>
          <w:color w:val="auto"/>
          <w:highlight w:val="none"/>
          <w:lang w:bidi="ar"/>
        </w:rPr>
      </w:pPr>
      <w:r>
        <w:rPr>
          <w:rFonts w:ascii="宋体" w:hAnsi="宋体" w:cs="宋体"/>
          <w:color w:val="auto"/>
          <w:highlight w:val="none"/>
          <w:lang w:bidi="ar"/>
        </w:rPr>
        <w:t>投标文件应按第六章“投标文件格式”进行编写，如有必要，可以增加附页，作为投标文件的组成部分。其中，投标函在满足招标文件实质性要求的基础上，可以提出比招标文件要求更有利于采购人的承诺。</w:t>
      </w:r>
    </w:p>
    <w:p>
      <w:pPr>
        <w:pStyle w:val="37"/>
        <w:numPr>
          <w:ilvl w:val="1"/>
          <w:numId w:val="9"/>
        </w:numPr>
        <w:tabs>
          <w:tab w:val="left" w:pos="171"/>
          <w:tab w:val="clear" w:pos="0"/>
        </w:tabs>
        <w:adjustRightInd w:val="0"/>
        <w:spacing w:line="312" w:lineRule="auto"/>
        <w:ind w:left="0" w:firstLine="480"/>
        <w:rPr>
          <w:rFonts w:ascii="宋体" w:hAnsi="宋体" w:cs="宋体"/>
          <w:color w:val="auto"/>
          <w:highlight w:val="none"/>
          <w:lang w:bidi="ar"/>
        </w:rPr>
      </w:pPr>
      <w:r>
        <w:rPr>
          <w:rFonts w:hint="eastAsia" w:ascii="宋体" w:hAnsi="宋体" w:cs="宋体"/>
          <w:color w:val="auto"/>
          <w:highlight w:val="none"/>
          <w:lang w:bidi="ar"/>
        </w:rPr>
        <w:t>投标文件的制作要求详见本章“电子投标说明”。</w:t>
      </w:r>
    </w:p>
    <w:p>
      <w:pPr>
        <w:pStyle w:val="37"/>
        <w:numPr>
          <w:ilvl w:val="1"/>
          <w:numId w:val="9"/>
        </w:numPr>
        <w:tabs>
          <w:tab w:val="left" w:pos="171"/>
          <w:tab w:val="clear" w:pos="0"/>
        </w:tabs>
        <w:adjustRightInd w:val="0"/>
        <w:spacing w:line="312" w:lineRule="auto"/>
        <w:ind w:left="0" w:firstLine="480"/>
        <w:rPr>
          <w:rFonts w:ascii="宋体" w:hAnsi="宋体" w:cs="宋体"/>
          <w:color w:val="auto"/>
          <w:highlight w:val="none"/>
          <w:lang w:bidi="ar"/>
        </w:rPr>
      </w:pPr>
      <w:r>
        <w:rPr>
          <w:rFonts w:hint="eastAsia" w:ascii="宋体" w:hAnsi="宋体" w:cs="宋体"/>
          <w:color w:val="auto"/>
          <w:highlight w:val="none"/>
          <w:lang w:bidi="ar"/>
        </w:rPr>
        <w:t>投标文件资格审查文件、资信技术文件和商务报价文件按投标文件格式文件要求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盖章、法定代表人印章的地方，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均应使用CA数字证书加盖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的单位电子印章、法定代表人个人电子印章，上传至衢州市阳光交易服务平台，作为投标文件正本，其余详见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投标内容填写说明</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ascii="宋体" w:hAnsi="宋体" w:cs="宋体"/>
          <w:color w:val="auto"/>
          <w:highlight w:val="none"/>
          <w:lang w:bidi="ar"/>
        </w:rPr>
        <w:t>无相应内容可填的项应填写“无</w:t>
      </w:r>
      <w:r>
        <w:rPr>
          <w:rFonts w:hint="eastAsia" w:ascii="宋体" w:hAnsi="宋体" w:cs="宋体"/>
          <w:color w:val="auto"/>
          <w:highlight w:val="none"/>
          <w:lang w:eastAsia="zh-CN" w:bidi="ar"/>
        </w:rPr>
        <w:t>”“</w:t>
      </w:r>
      <w:r>
        <w:rPr>
          <w:rFonts w:ascii="宋体" w:hAnsi="宋体" w:cs="宋体"/>
          <w:color w:val="auto"/>
          <w:highlight w:val="none"/>
          <w:lang w:bidi="ar"/>
        </w:rPr>
        <w:t>未测试</w:t>
      </w:r>
      <w:r>
        <w:rPr>
          <w:rFonts w:hint="eastAsia" w:ascii="宋体" w:hAnsi="宋体" w:cs="宋体"/>
          <w:color w:val="auto"/>
          <w:highlight w:val="none"/>
          <w:lang w:eastAsia="zh-CN" w:bidi="ar"/>
        </w:rPr>
        <w:t>”“</w:t>
      </w:r>
      <w:r>
        <w:rPr>
          <w:rFonts w:ascii="宋体" w:hAnsi="宋体" w:cs="宋体"/>
          <w:color w:val="auto"/>
          <w:highlight w:val="none"/>
          <w:lang w:bidi="ar"/>
        </w:rPr>
        <w:t>没有相应指标”等明确的回答文字。</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eastAsia="zh-CN" w:bidi="ar"/>
        </w:rPr>
        <w:t>投标人</w:t>
      </w:r>
      <w:r>
        <w:rPr>
          <w:rFonts w:ascii="宋体" w:hAnsi="宋体" w:cs="宋体"/>
          <w:color w:val="auto"/>
          <w:highlight w:val="none"/>
          <w:lang w:bidi="ar"/>
        </w:rPr>
        <w:t>必须保证投标文件所提供的全部资料真实可靠，并接受采购人对任何资料进一步审查的要求。</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ascii="宋体" w:hAnsi="宋体" w:cs="宋体"/>
          <w:color w:val="auto"/>
          <w:highlight w:val="none"/>
          <w:lang w:bidi="ar"/>
        </w:rPr>
        <w:t>《开标一览表》为在开标仪式上唱标的内容，要求按格式填写、统一规范，不得自行增减内容。</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ascii="宋体" w:hAnsi="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eastAsia="zh-CN" w:bidi="ar"/>
        </w:rPr>
        <w:t>投标人</w:t>
      </w:r>
      <w:r>
        <w:rPr>
          <w:rFonts w:ascii="宋体" w:hAnsi="宋体" w:cs="宋体"/>
          <w:color w:val="auto"/>
          <w:highlight w:val="none"/>
          <w:lang w:bidi="ar"/>
        </w:rPr>
        <w:t>已明知采购期间或之后企业将发生兼并改制，应当告知采购人可能影响采购服务项目实施或损害采购人利益的信息，必须在投标文件中予以特别说明，否则，采购人可以拒绝其投标文件。</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ascii="宋体" w:hAnsi="宋体" w:cs="宋体"/>
          <w:color w:val="auto"/>
          <w:highlight w:val="none"/>
          <w:lang w:bidi="ar"/>
        </w:rPr>
        <w:t>投标文件不得涂改和增删，如有错漏必须修改，修改处须由法人或授权代表在旁边签字或盖章或加盖</w:t>
      </w:r>
      <w:r>
        <w:rPr>
          <w:rFonts w:hint="eastAsia" w:ascii="宋体" w:hAnsi="宋体" w:cs="宋体"/>
          <w:color w:val="auto"/>
          <w:highlight w:val="none"/>
          <w:lang w:eastAsia="zh-CN" w:bidi="ar"/>
        </w:rPr>
        <w:t>投标人</w:t>
      </w:r>
      <w:r>
        <w:rPr>
          <w:rFonts w:ascii="宋体" w:hAnsi="宋体" w:cs="宋体"/>
          <w:color w:val="auto"/>
          <w:highlight w:val="none"/>
          <w:lang w:bidi="ar"/>
        </w:rPr>
        <w:t>公章才有效。</w:t>
      </w:r>
    </w:p>
    <w:p>
      <w:pPr>
        <w:pStyle w:val="37"/>
        <w:numPr>
          <w:ilvl w:val="1"/>
          <w:numId w:val="10"/>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ascii="宋体" w:hAnsi="宋体" w:cs="宋体"/>
          <w:color w:val="auto"/>
          <w:highlight w:val="none"/>
          <w:lang w:bidi="ar"/>
        </w:rPr>
        <w:t>由于字迹模糊或表达不清引起的后果由</w:t>
      </w:r>
      <w:r>
        <w:rPr>
          <w:rFonts w:hint="eastAsia" w:ascii="宋体" w:hAnsi="宋体" w:cs="宋体"/>
          <w:color w:val="auto"/>
          <w:highlight w:val="none"/>
          <w:lang w:eastAsia="zh-CN" w:bidi="ar"/>
        </w:rPr>
        <w:t>投标人</w:t>
      </w:r>
      <w:r>
        <w:rPr>
          <w:rFonts w:ascii="宋体" w:hAnsi="宋体" w:cs="宋体"/>
          <w:color w:val="auto"/>
          <w:highlight w:val="none"/>
          <w:lang w:bidi="ar"/>
        </w:rPr>
        <w:t>负责。</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投标报价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Chars="0" w:right="0" w:rightChars="0"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投标报价是指</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在正确地完全履行合同义务后采购人应支付给</w:t>
      </w: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所有的价款，</w:t>
      </w:r>
      <w:r>
        <w:rPr>
          <w:rFonts w:hint="eastAsia" w:ascii="宋体" w:hAnsi="宋体" w:eastAsia="宋体" w:cs="宋体"/>
          <w:color w:val="auto"/>
          <w:highlight w:val="none"/>
          <w:lang w:val="en-US" w:eastAsia="zh-CN"/>
        </w:rPr>
        <w:t>包括但不限于：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Chars="0" w:right="0" w:rightChars="0" w:firstLine="480" w:firstLineChars="200"/>
        <w:jc w:val="left"/>
        <w:textAlignment w:val="auto"/>
        <w:rPr>
          <w:rFonts w:hint="default"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①</w:t>
      </w:r>
      <w:r>
        <w:rPr>
          <w:rFonts w:hint="eastAsia" w:ascii="宋体" w:hAnsi="宋体" w:eastAsia="宋体" w:cs="宋体"/>
          <w:color w:val="auto"/>
          <w:highlight w:val="none"/>
          <w:lang w:val="en-US" w:eastAsia="zh-CN"/>
        </w:rPr>
        <w:t>硬装</w:t>
      </w:r>
      <w:r>
        <w:rPr>
          <w:rFonts w:hint="eastAsia" w:ascii="宋体" w:hAnsi="宋体" w:cs="宋体"/>
          <w:color w:val="auto"/>
          <w:highlight w:val="none"/>
          <w:lang w:val="en-US" w:eastAsia="zh-CN"/>
        </w:rPr>
        <w:t>（含装饰工程及安装工程等）</w:t>
      </w:r>
      <w:r>
        <w:rPr>
          <w:rFonts w:hint="eastAsia" w:ascii="宋体" w:hAnsi="宋体" w:eastAsia="宋体" w:cs="宋体"/>
          <w:color w:val="auto"/>
          <w:highlight w:val="none"/>
          <w:lang w:val="en-US" w:eastAsia="zh-CN"/>
        </w:rPr>
        <w:t>包括但不限于装修、水电铺设、临时用水、临时用电、安装费、机械费、安全文明施工费、人工费、安全保护、现场清理、各种社会保险、食宿与交通、器材、消耗材料、管理费用、税费、利润、完成合同所需的一切本身和不可或缺的所有工作开支、政策性文件规定及合同包含的所有风险、责任等各项全部费用并承担一切风险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Chars="0" w:right="0" w:rightChars="0" w:firstLine="480" w:firstLineChars="200"/>
        <w:jc w:val="left"/>
        <w:textAlignment w:val="auto"/>
        <w:rPr>
          <w:rFonts w:hint="default"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val="en-US" w:eastAsia="zh-CN"/>
        </w:rPr>
        <w:t>软装</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含展陈布展、家器具、文创等</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eastAsia="zh-CN"/>
        </w:rPr>
        <w:t>深化设计</w:t>
      </w:r>
      <w:r>
        <w:rPr>
          <w:rFonts w:hint="eastAsia" w:ascii="宋体" w:hAnsi="宋体" w:eastAsia="宋体" w:cs="宋体"/>
          <w:color w:val="auto"/>
          <w:highlight w:val="none"/>
          <w:lang w:val="en-US" w:eastAsia="zh-CN"/>
        </w:rPr>
        <w:t>、布展展品购置费、设备购置费及工具、人工费、标准附件、产品标配的备品备件、专用工具、包装、运输、装卸、保险、税金、货到就位及安装、调试、培训、制作、保修、清理、利润、税费</w:t>
      </w:r>
      <w:r>
        <w:rPr>
          <w:rFonts w:hint="eastAsia" w:ascii="宋体" w:hAnsi="宋体" w:eastAsia="宋体" w:cs="宋体"/>
          <w:color w:val="auto"/>
          <w:highlight w:val="none"/>
          <w:lang w:val="zh-CN" w:eastAsia="zh-CN"/>
        </w:rPr>
        <w:t>等一切费用。</w:t>
      </w:r>
    </w:p>
    <w:p>
      <w:pPr>
        <w:pStyle w:val="37"/>
        <w:numPr>
          <w:ilvl w:val="1"/>
          <w:numId w:val="11"/>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的投标报价不得高于采购人给定的最高限价，否则投标文件</w:t>
      </w:r>
      <w:r>
        <w:rPr>
          <w:rFonts w:hint="eastAsia" w:ascii="宋体" w:hAnsi="宋体" w:cs="宋体"/>
          <w:color w:val="auto"/>
          <w:highlight w:val="none"/>
          <w:lang w:eastAsia="zh-CN" w:bidi="ar"/>
        </w:rPr>
        <w:t>无效</w:t>
      </w:r>
      <w:r>
        <w:rPr>
          <w:rFonts w:hint="eastAsia" w:ascii="宋体" w:hAnsi="宋体" w:cs="宋体"/>
          <w:color w:val="auto"/>
          <w:highlight w:val="none"/>
          <w:lang w:bidi="ar"/>
        </w:rPr>
        <w:t>。</w:t>
      </w:r>
    </w:p>
    <w:p>
      <w:pPr>
        <w:pStyle w:val="37"/>
        <w:numPr>
          <w:ilvl w:val="1"/>
          <w:numId w:val="11"/>
        </w:numPr>
        <w:tabs>
          <w:tab w:val="left" w:pos="171"/>
          <w:tab w:val="clear"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任何算术性错误，采购人将按下述原则予以调整：</w:t>
      </w:r>
    </w:p>
    <w:p>
      <w:pPr>
        <w:spacing w:line="312" w:lineRule="auto"/>
        <w:ind w:firstLine="480"/>
        <w:rPr>
          <w:rFonts w:ascii="宋体" w:hAnsi="宋体" w:cs="宋体"/>
          <w:color w:val="auto"/>
          <w:highlight w:val="none"/>
        </w:rPr>
      </w:pPr>
      <w:r>
        <w:rPr>
          <w:rFonts w:hint="eastAsia" w:ascii="宋体" w:hAnsi="宋体" w:cs="宋体"/>
          <w:color w:val="auto"/>
          <w:highlight w:val="none"/>
        </w:rPr>
        <w:t>（1）开标时，投标文件中开标一览表（报价表）内容与投标文件中明细表内容不一致的，以开标一览表（报价表）为准；</w:t>
      </w:r>
    </w:p>
    <w:p>
      <w:pPr>
        <w:spacing w:line="312" w:lineRule="auto"/>
        <w:ind w:firstLine="480"/>
        <w:rPr>
          <w:rFonts w:ascii="宋体" w:hAnsi="宋体" w:cs="宋体"/>
          <w:color w:val="auto"/>
          <w:highlight w:val="none"/>
        </w:rPr>
      </w:pPr>
      <w:r>
        <w:rPr>
          <w:rFonts w:hint="eastAsia" w:ascii="宋体" w:hAnsi="宋体" w:cs="宋体"/>
          <w:color w:val="auto"/>
          <w:highlight w:val="none"/>
        </w:rPr>
        <w:t>（2）投标文件的大写金额和小写金额不一致的，以大写金额为准；</w:t>
      </w:r>
    </w:p>
    <w:p>
      <w:pPr>
        <w:spacing w:line="312" w:lineRule="auto"/>
        <w:ind w:firstLine="480"/>
        <w:rPr>
          <w:rFonts w:ascii="宋体" w:hAnsi="宋体" w:cs="宋体"/>
          <w:color w:val="auto"/>
          <w:highlight w:val="none"/>
        </w:rPr>
      </w:pPr>
      <w:r>
        <w:rPr>
          <w:rFonts w:hint="eastAsia" w:ascii="宋体" w:hAnsi="宋体" w:cs="宋体"/>
          <w:color w:val="auto"/>
          <w:highlight w:val="none"/>
        </w:rPr>
        <w:t>（3）单价金额小数点或百分比有明显错位的，以开标一览表的总价为准，并修改单价；</w:t>
      </w:r>
    </w:p>
    <w:p>
      <w:pPr>
        <w:spacing w:line="312" w:lineRule="auto"/>
        <w:ind w:firstLine="48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cs="宋体"/>
          <w:color w:val="auto"/>
          <w:highlight w:val="none"/>
        </w:rPr>
        <w:t>书面确认，</w:t>
      </w:r>
      <w:r>
        <w:rPr>
          <w:rFonts w:hint="eastAsia" w:ascii="宋体" w:hAnsi="宋体" w:cs="宋体"/>
          <w:color w:val="auto"/>
          <w:highlight w:val="none"/>
          <w:lang w:eastAsia="zh-CN"/>
        </w:rPr>
        <w:t>投标人</w:t>
      </w:r>
      <w:r>
        <w:rPr>
          <w:rFonts w:hint="eastAsia" w:ascii="宋体" w:hAnsi="宋体" w:cs="宋体"/>
          <w:color w:val="auto"/>
          <w:highlight w:val="none"/>
        </w:rPr>
        <w:t>不予确认的，其投标无效。</w:t>
      </w:r>
    </w:p>
    <w:p>
      <w:pPr>
        <w:pStyle w:val="3"/>
        <w:numPr>
          <w:ilvl w:val="1"/>
          <w:numId w:val="0"/>
        </w:numPr>
        <w:spacing w:beforeLines="0" w:afterLines="0"/>
        <w:rPr>
          <w:rFonts w:ascii="宋体" w:hAnsi="宋体" w:cs="宋体"/>
          <w:b/>
          <w:bCs w:val="0"/>
          <w:color w:val="auto"/>
          <w:highlight w:val="none"/>
          <w:lang w:bidi="ar"/>
        </w:rPr>
      </w:pPr>
      <w:bookmarkStart w:id="463" w:name="_Toc1082"/>
      <w:bookmarkStart w:id="464" w:name="_Toc7555"/>
      <w:r>
        <w:rPr>
          <w:rFonts w:hint="eastAsia" w:ascii="宋体" w:hAnsi="宋体" w:cs="宋体"/>
          <w:b/>
          <w:bCs w:val="0"/>
          <w:color w:val="auto"/>
          <w:highlight w:val="none"/>
          <w:lang w:bidi="ar"/>
        </w:rPr>
        <w:t>五、投标文件的递交</w:t>
      </w:r>
      <w:bookmarkEnd w:id="463"/>
      <w:bookmarkEnd w:id="464"/>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递交投标文件方式和地点</w:t>
      </w:r>
    </w:p>
    <w:p>
      <w:pPr>
        <w:pStyle w:val="31"/>
        <w:tabs>
          <w:tab w:val="right" w:leader="dot" w:pos="9060"/>
          <w:tab w:val="right" w:leader="dot" w:pos="9170"/>
          <w:tab w:val="clear" w:pos="9628"/>
        </w:tabs>
        <w:adjustRightInd w:val="0"/>
        <w:snapToGrid w:val="0"/>
        <w:spacing w:line="420" w:lineRule="exact"/>
        <w:ind w:firstLine="480"/>
        <w:jc w:val="both"/>
        <w:rPr>
          <w:rFonts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递交投标文件截止期</w:t>
      </w:r>
    </w:p>
    <w:p>
      <w:pPr>
        <w:pStyle w:val="37"/>
        <w:numPr>
          <w:ilvl w:val="1"/>
          <w:numId w:val="12"/>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投标人应在投标人须知前附表规定的投标截止时间前递交投标文件。</w:t>
      </w:r>
    </w:p>
    <w:p>
      <w:pPr>
        <w:pStyle w:val="37"/>
        <w:numPr>
          <w:ilvl w:val="1"/>
          <w:numId w:val="12"/>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投标人递交投标文件的地点：见投标人须知前附表。</w:t>
      </w:r>
    </w:p>
    <w:p>
      <w:pPr>
        <w:pStyle w:val="37"/>
        <w:numPr>
          <w:ilvl w:val="1"/>
          <w:numId w:val="12"/>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除投标人须知前附表另有规定外，投标人所递交的投标文件不予退还。</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投标文件的修改和撤销</w:t>
      </w:r>
    </w:p>
    <w:p>
      <w:pPr>
        <w:pStyle w:val="37"/>
        <w:numPr>
          <w:ilvl w:val="255"/>
          <w:numId w:val="0"/>
        </w:numPr>
        <w:tabs>
          <w:tab w:val="left" w:pos="171"/>
        </w:tabs>
        <w:spacing w:line="312" w:lineRule="auto"/>
        <w:ind w:firstLine="480" w:firstLineChars="200"/>
        <w:rPr>
          <w:rFonts w:ascii="宋体" w:hAnsi="宋体" w:cs="宋体"/>
          <w:color w:val="auto"/>
          <w:highlight w:val="none"/>
          <w:lang w:bidi="ar"/>
        </w:rPr>
      </w:pPr>
      <w:r>
        <w:rPr>
          <w:rFonts w:hint="eastAsia" w:ascii="宋体" w:hAnsi="宋体"/>
          <w:color w:val="auto"/>
          <w:highlight w:val="none"/>
        </w:rPr>
        <w:t>在本章第25.1项规定的投标截止时间前，</w:t>
      </w:r>
      <w:r>
        <w:rPr>
          <w:rFonts w:hint="eastAsia" w:ascii="宋体" w:hAnsi="宋体"/>
          <w:color w:val="auto"/>
          <w:highlight w:val="none"/>
          <w:lang w:eastAsia="zh-CN"/>
        </w:rPr>
        <w:t>投标人</w:t>
      </w:r>
      <w:r>
        <w:rPr>
          <w:rFonts w:hint="eastAsia" w:ascii="宋体" w:hAnsi="宋体"/>
          <w:color w:val="auto"/>
          <w:highlight w:val="none"/>
        </w:rPr>
        <w:t>可以修改或撤回已递交的投标文件，但应以书面形式通知采购人。</w:t>
      </w:r>
    </w:p>
    <w:p>
      <w:pPr>
        <w:pStyle w:val="3"/>
        <w:numPr>
          <w:ilvl w:val="1"/>
          <w:numId w:val="0"/>
        </w:numPr>
        <w:spacing w:beforeLines="0" w:afterLines="0"/>
        <w:rPr>
          <w:rFonts w:ascii="宋体" w:hAnsi="宋体" w:cs="宋体"/>
          <w:b/>
          <w:bCs w:val="0"/>
          <w:color w:val="auto"/>
          <w:highlight w:val="none"/>
          <w:lang w:bidi="ar"/>
        </w:rPr>
      </w:pPr>
      <w:bookmarkStart w:id="465" w:name="_Toc1411"/>
      <w:bookmarkStart w:id="466" w:name="_Toc11534"/>
      <w:r>
        <w:rPr>
          <w:rFonts w:hint="eastAsia" w:ascii="宋体" w:hAnsi="宋体" w:cs="宋体"/>
          <w:b/>
          <w:bCs w:val="0"/>
          <w:color w:val="auto"/>
          <w:highlight w:val="none"/>
          <w:lang w:bidi="ar"/>
        </w:rPr>
        <w:t>六、投标无效的情形</w:t>
      </w:r>
      <w:bookmarkEnd w:id="465"/>
      <w:bookmarkEnd w:id="466"/>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bidi="ar"/>
        </w:rPr>
        <w:t>实质上没有响应招标文件要求的投标将被视为无效投标。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不得通过修正或撤销不合要求的偏离或保留从而使其投标成为实质上响应的投标。如发生下列情况之一的，其投标视为无效：</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投标文件逾期上传标书的；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不具备招标文件规定的资格要求；</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投标文件未按招标文件的要求加盖单位公章，或投标人的法定代表人未按招标文件要求签字或盖章的；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招标文件中有▲处条款或▲处参数投标人未做实质性响应的；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投标文件的实质性内容未使用中文表述、意思表述不明确、前后矛盾或者使用计量单位不符合招标文件要求的（经评标委员会认定允许其当场更正的笔误除外）；</w:t>
      </w:r>
    </w:p>
    <w:p>
      <w:pPr>
        <w:pStyle w:val="37"/>
        <w:numPr>
          <w:ilvl w:val="1"/>
          <w:numId w:val="13"/>
        </w:numPr>
        <w:tabs>
          <w:tab w:val="left" w:pos="171"/>
        </w:tabs>
        <w:adjustRightInd w:val="0"/>
        <w:spacing w:line="312" w:lineRule="auto"/>
        <w:ind w:firstLine="480"/>
        <w:outlineLvl w:val="2"/>
        <w:rPr>
          <w:rFonts w:ascii="宋体" w:hAnsi="宋体" w:cs="宋体"/>
          <w:color w:val="auto"/>
          <w:highlight w:val="none"/>
          <w:lang w:val="zh-CN" w:bidi="ar"/>
        </w:rPr>
      </w:pPr>
      <w:r>
        <w:rPr>
          <w:rFonts w:hint="eastAsia" w:ascii="宋体" w:hAnsi="宋体" w:cs="宋体"/>
          <w:color w:val="auto"/>
          <w:highlight w:val="none"/>
          <w:lang w:val="zh-CN" w:bidi="ar"/>
        </w:rPr>
        <w:t>投标文件关键内容字迹模糊、无法辨认的；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投标方案不明确，存在一个或一个以上备选（替代）投标方案的；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资信技术文件中包含本次报价的；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未按照招标文件标明的币种报价的；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投标报价具有选择性，或者开标价格与投标文件承诺的优惠（折扣）价格不一致的；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投标报价明细表总额与开标一览表总价不一致，且高于总价5％的；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投标人的报价明显高于其市场价或低于成本价的，该投标人不能合理说明原因并提供证明材料的；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投标报价漏项超过投标报价5%以上的或漏项超过2项及以上的，均属无效投标；</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报价超出采购招标控制价（最高限价）的；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提供虚假材料谋取中标的；</w:t>
      </w:r>
    </w:p>
    <w:p>
      <w:pPr>
        <w:pStyle w:val="37"/>
        <w:numPr>
          <w:ilvl w:val="1"/>
          <w:numId w:val="13"/>
        </w:numPr>
        <w:tabs>
          <w:tab w:val="left" w:pos="171"/>
        </w:tabs>
        <w:adjustRightInd w:val="0"/>
        <w:spacing w:line="312" w:lineRule="auto"/>
        <w:ind w:firstLine="480"/>
        <w:rPr>
          <w:rFonts w:ascii="宋体" w:hAnsi="宋体" w:cs="宋体"/>
          <w:color w:val="auto"/>
          <w:highlight w:val="none"/>
          <w:lang w:val="zh-CN" w:bidi="ar"/>
        </w:rPr>
      </w:pPr>
      <w:r>
        <w:rPr>
          <w:rFonts w:hint="eastAsia" w:ascii="宋体" w:hAnsi="宋体" w:cs="宋体"/>
          <w:color w:val="auto"/>
          <w:highlight w:val="none"/>
          <w:lang w:val="zh-CN" w:bidi="ar"/>
        </w:rPr>
        <w:t>不符合法律法规和招标文件规定的其他实质性要求的。</w:t>
      </w:r>
    </w:p>
    <w:p>
      <w:pPr>
        <w:pStyle w:val="3"/>
        <w:numPr>
          <w:ilvl w:val="1"/>
          <w:numId w:val="0"/>
        </w:numPr>
        <w:spacing w:beforeLines="0" w:afterLines="0" w:line="312" w:lineRule="auto"/>
        <w:rPr>
          <w:rFonts w:ascii="宋体" w:hAnsi="宋体" w:cs="宋体"/>
          <w:b/>
          <w:bCs w:val="0"/>
          <w:color w:val="auto"/>
          <w:highlight w:val="none"/>
          <w:lang w:bidi="ar"/>
        </w:rPr>
      </w:pPr>
      <w:bookmarkStart w:id="467" w:name="_Toc26252"/>
      <w:bookmarkStart w:id="468" w:name="_Toc5200"/>
      <w:bookmarkStart w:id="469" w:name="_Toc9415"/>
      <w:r>
        <w:rPr>
          <w:rFonts w:hint="eastAsia" w:ascii="宋体" w:hAnsi="宋体" w:cs="宋体"/>
          <w:b/>
          <w:bCs w:val="0"/>
          <w:color w:val="auto"/>
          <w:highlight w:val="none"/>
          <w:lang w:val="en-US" w:eastAsia="zh-CN" w:bidi="ar"/>
        </w:rPr>
        <w:t>八</w:t>
      </w:r>
      <w:r>
        <w:rPr>
          <w:rFonts w:hint="eastAsia" w:ascii="宋体" w:hAnsi="宋体" w:cs="宋体"/>
          <w:b/>
          <w:bCs w:val="0"/>
          <w:color w:val="auto"/>
          <w:highlight w:val="none"/>
          <w:lang w:bidi="ar"/>
        </w:rPr>
        <w:t>、废标的情形</w:t>
      </w:r>
      <w:bookmarkEnd w:id="467"/>
      <w:bookmarkEnd w:id="468"/>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bidi="ar"/>
        </w:rPr>
        <w:t>采购中，出现下列情形之一的，应予废标，废标后，采购人将废标理由通知所有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w:t>
      </w:r>
    </w:p>
    <w:p>
      <w:pPr>
        <w:pStyle w:val="37"/>
        <w:keepNext w:val="0"/>
        <w:keepLines w:val="0"/>
        <w:pageBreakBefore w:val="0"/>
        <w:widowControl/>
        <w:numPr>
          <w:ilvl w:val="1"/>
          <w:numId w:val="1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投标截止时间止提交投标文件的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不足3家或者对招标文件作实质性响应的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不足3家的；</w:t>
      </w:r>
    </w:p>
    <w:p>
      <w:pPr>
        <w:pStyle w:val="37"/>
        <w:keepNext w:val="0"/>
        <w:keepLines w:val="0"/>
        <w:pageBreakBefore w:val="0"/>
        <w:widowControl/>
        <w:numPr>
          <w:ilvl w:val="1"/>
          <w:numId w:val="1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出现影响采购公正的违法、违规行为的；</w:t>
      </w:r>
    </w:p>
    <w:p>
      <w:pPr>
        <w:pStyle w:val="37"/>
        <w:keepNext w:val="0"/>
        <w:keepLines w:val="0"/>
        <w:pageBreakBefore w:val="0"/>
        <w:widowControl/>
        <w:numPr>
          <w:ilvl w:val="1"/>
          <w:numId w:val="1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的报价均超过了采购预算，采购人不能支付的；</w:t>
      </w:r>
    </w:p>
    <w:p>
      <w:pPr>
        <w:pStyle w:val="37"/>
        <w:keepNext w:val="0"/>
        <w:keepLines w:val="0"/>
        <w:pageBreakBefore w:val="0"/>
        <w:widowControl/>
        <w:numPr>
          <w:ilvl w:val="1"/>
          <w:numId w:val="1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因重大变故，采购任务取消的。</w:t>
      </w:r>
    </w:p>
    <w:p>
      <w:pPr>
        <w:pStyle w:val="3"/>
        <w:numPr>
          <w:ilvl w:val="1"/>
          <w:numId w:val="0"/>
        </w:numPr>
        <w:spacing w:beforeLines="0" w:afterLines="0" w:line="312" w:lineRule="auto"/>
        <w:rPr>
          <w:rFonts w:ascii="宋体" w:hAnsi="宋体" w:cs="宋体"/>
          <w:b/>
          <w:bCs w:val="0"/>
          <w:color w:val="auto"/>
          <w:highlight w:val="none"/>
          <w:lang w:bidi="ar"/>
        </w:rPr>
      </w:pPr>
      <w:bookmarkStart w:id="470" w:name="_Toc11809"/>
      <w:r>
        <w:rPr>
          <w:rFonts w:hint="eastAsia" w:ascii="宋体" w:hAnsi="宋体" w:cs="宋体"/>
          <w:b/>
          <w:bCs w:val="0"/>
          <w:color w:val="auto"/>
          <w:highlight w:val="none"/>
          <w:lang w:val="en-US" w:eastAsia="zh-CN" w:bidi="ar"/>
        </w:rPr>
        <w:t>九</w:t>
      </w:r>
      <w:r>
        <w:rPr>
          <w:rFonts w:hint="eastAsia" w:ascii="宋体" w:hAnsi="宋体" w:cs="宋体"/>
          <w:b/>
          <w:bCs w:val="0"/>
          <w:color w:val="auto"/>
          <w:highlight w:val="none"/>
          <w:lang w:bidi="ar"/>
        </w:rPr>
        <w:t>、开标、评标和定标</w:t>
      </w:r>
      <w:bookmarkEnd w:id="469"/>
      <w:bookmarkEnd w:id="470"/>
    </w:p>
    <w:p>
      <w:pPr>
        <w:pStyle w:val="37"/>
        <w:keepNext w:val="0"/>
        <w:keepLines w:val="0"/>
        <w:pageBreakBefore w:val="0"/>
        <w:widowControl/>
        <w:numPr>
          <w:ilvl w:val="0"/>
          <w:numId w:val="8"/>
        </w:numPr>
        <w:kinsoku/>
        <w:wordWrap/>
        <w:overflowPunct/>
        <w:topLinePunct w:val="0"/>
        <w:autoSpaceDE/>
        <w:autoSpaceDN/>
        <w:bidi w:val="0"/>
        <w:adjustRightInd w:val="0"/>
        <w:snapToGrid/>
        <w:spacing w:line="312" w:lineRule="auto"/>
        <w:ind w:left="0" w:firstLine="480" w:firstLineChars="20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开标时间、地点、参加开标会议的要求</w:t>
      </w:r>
    </w:p>
    <w:p>
      <w:pPr>
        <w:pStyle w:val="37"/>
        <w:keepNext w:val="0"/>
        <w:keepLines w:val="0"/>
        <w:pageBreakBefore w:val="0"/>
        <w:widowControl/>
        <w:numPr>
          <w:ilvl w:val="1"/>
          <w:numId w:val="15"/>
        </w:numPr>
        <w:tabs>
          <w:tab w:val="left" w:pos="171"/>
        </w:tabs>
        <w:kinsoku/>
        <w:wordWrap/>
        <w:overflowPunct/>
        <w:topLinePunct w:val="0"/>
        <w:autoSpaceDE/>
        <w:autoSpaceDN/>
        <w:bidi w:val="0"/>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开标时间：同投标截止时间。</w:t>
      </w:r>
    </w:p>
    <w:p>
      <w:pPr>
        <w:pStyle w:val="37"/>
        <w:keepNext w:val="0"/>
        <w:keepLines w:val="0"/>
        <w:pageBreakBefore w:val="0"/>
        <w:widowControl/>
        <w:numPr>
          <w:ilvl w:val="1"/>
          <w:numId w:val="1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开标大厅：（https://qzygjy.com/BidOpening/bidopeninghallaction/hall/login）</w:t>
      </w:r>
    </w:p>
    <w:p>
      <w:pPr>
        <w:pStyle w:val="37"/>
        <w:keepNext w:val="0"/>
        <w:keepLines w:val="0"/>
        <w:pageBreakBefore w:val="0"/>
        <w:widowControl/>
        <w:numPr>
          <w:ilvl w:val="1"/>
          <w:numId w:val="15"/>
        </w:numPr>
        <w:tabs>
          <w:tab w:val="left" w:pos="171"/>
        </w:tabs>
        <w:kinsoku/>
        <w:wordWrap/>
        <w:overflowPunct/>
        <w:topLinePunct w:val="0"/>
        <w:autoSpaceDE/>
        <w:autoSpaceDN/>
        <w:bidi w:val="0"/>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参加开标会议的要求</w:t>
      </w:r>
    </w:p>
    <w:p>
      <w:pPr>
        <w:pStyle w:val="37"/>
        <w:keepNext w:val="0"/>
        <w:keepLines w:val="0"/>
        <w:pageBreakBefore w:val="0"/>
        <w:widowControl/>
        <w:numPr>
          <w:ilvl w:val="1"/>
          <w:numId w:val="15"/>
        </w:numPr>
        <w:tabs>
          <w:tab w:val="left" w:pos="171"/>
        </w:tabs>
        <w:kinsoku/>
        <w:wordWrap/>
        <w:overflowPunct/>
        <w:topLinePunct w:val="0"/>
        <w:autoSpaceDE/>
        <w:autoSpaceDN/>
        <w:bidi w:val="0"/>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开标过程中，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参与远程音视频交互的</w:t>
      </w:r>
      <w:r>
        <w:rPr>
          <w:rFonts w:hint="eastAsia" w:ascii="宋体" w:hAnsi="宋体" w:cs="宋体"/>
          <w:color w:val="auto"/>
          <w:highlight w:val="none"/>
          <w:lang w:eastAsia="zh-CN" w:bidi="ar"/>
        </w:rPr>
        <w:t>法定代表人</w:t>
      </w:r>
      <w:r>
        <w:rPr>
          <w:rFonts w:hint="eastAsia" w:ascii="宋体" w:hAnsi="宋体" w:cs="宋体"/>
          <w:color w:val="auto"/>
          <w:highlight w:val="none"/>
          <w:lang w:bidi="ar"/>
        </w:rPr>
        <w:t>或授权委托人应始终为同一人，中途不得更换，并能及时响应开标要求。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终端操作人员均被视为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法人代表或授权委托人，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自行承担随意更换人员所导致的一切后果。</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开标程序</w:t>
      </w:r>
    </w:p>
    <w:p>
      <w:pPr>
        <w:pStyle w:val="37"/>
        <w:numPr>
          <w:ilvl w:val="255"/>
          <w:numId w:val="0"/>
        </w:numPr>
        <w:tabs>
          <w:tab w:val="left" w:pos="171"/>
        </w:tabs>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须准备好加密投标文件的CA数字证书以供开标时远程解密投标文件。</w:t>
      </w:r>
    </w:p>
    <w:p>
      <w:pPr>
        <w:pStyle w:val="148"/>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投标截止时间</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w:t>
      </w:r>
    </w:p>
    <w:p>
      <w:pPr>
        <w:pStyle w:val="151"/>
        <w:widowControl w:val="0"/>
        <w:tabs>
          <w:tab w:val="right" w:leader="dot" w:pos="8295"/>
        </w:tabs>
        <w:snapToGrid w:val="0"/>
        <w:spacing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解密时间：采购人（公证人员）宣布开始解密后30分钟以内。</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解密方式：</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color w:val="auto"/>
          <w:sz w:val="24"/>
          <w:szCs w:val="24"/>
          <w:highlight w:val="none"/>
        </w:rPr>
        <w:t>)——我的项目——选择标段——待招标代理开启解密后进行解密操作。</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使用生成投标文件的CA数字证书解密投标文件。</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名称、投标报价、合同履行期限及其他内容。</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确认</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唱标完成后，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可通过衢州市阳光交易服务平台不见面开标大厅系统对唱标结果进行确认，未在开标结束前完成在线确认的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，衢州市阳光交易服务平台不见面开标大厅系统将视作自动确认。</w:t>
      </w:r>
    </w:p>
    <w:p>
      <w:pPr>
        <w:pStyle w:val="151"/>
        <w:widowControl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对开标过程有异议的，应通过衢州市阳光交易服务平台不见面开标大厅系统的“开标异议文字提问”按钮进行异议，采购人通过衢州市阳光交易服务平台不见面开标大厅系统文字答复，</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提出异议的时间截止至开标结果公布后5分钟；</w:t>
      </w:r>
    </w:p>
    <w:p>
      <w:pPr>
        <w:pStyle w:val="151"/>
        <w:tabs>
          <w:tab w:val="right" w:leader="dot" w:pos="8295"/>
        </w:tabs>
        <w:snapToGrid w:val="0"/>
        <w:spacing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进行资格审查，然后对通过资格审查的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进行资信技术文件评审，最后进行报价评分；</w:t>
      </w:r>
    </w:p>
    <w:p>
      <w:pPr>
        <w:pStyle w:val="151"/>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开标特别说明</w:t>
      </w:r>
    </w:p>
    <w:p>
      <w:pPr>
        <w:pStyle w:val="148"/>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（一）开标解密使用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上传的电子投标文件。 </w:t>
      </w:r>
    </w:p>
    <w:p>
      <w:pPr>
        <w:pStyle w:val="148"/>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（二）因</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原因（包括</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自主选择的CA证书、投标工具等），造成其电子投标文件未解密的，或投标文件解密了，但投标文件无法识别、读取的，视为撤销其投标文件。</w:t>
      </w:r>
    </w:p>
    <w:p>
      <w:pPr>
        <w:pStyle w:val="148"/>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（三）部分</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的电子投标文件无法解密（识别、读取）的，其他投标文件的开标可以继续进行，但最终解密（识别、读取）成功的应不少于3家。</w:t>
      </w:r>
    </w:p>
    <w:p>
      <w:pPr>
        <w:pStyle w:val="148"/>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必须使用生成电子投标文件的CA数字证书解密电子投标文件。</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评标委员会</w:t>
      </w:r>
    </w:p>
    <w:p>
      <w:pPr>
        <w:pStyle w:val="37"/>
        <w:keepNext w:val="0"/>
        <w:keepLines w:val="0"/>
        <w:pageBreakBefore w:val="0"/>
        <w:widowControl/>
        <w:numPr>
          <w:ilvl w:val="1"/>
          <w:numId w:val="16"/>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评标由采购人依法组建的评标委员会负责。评标委员会成员人数以及技术、经济等方面专家的确定方式见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pPr>
        <w:pStyle w:val="37"/>
        <w:keepNext w:val="0"/>
        <w:keepLines w:val="0"/>
        <w:pageBreakBefore w:val="0"/>
        <w:widowControl/>
        <w:numPr>
          <w:ilvl w:val="1"/>
          <w:numId w:val="16"/>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提交的投标文件进行评审。</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评标的保密</w:t>
      </w:r>
    </w:p>
    <w:p>
      <w:pPr>
        <w:pStyle w:val="37"/>
        <w:keepNext w:val="0"/>
        <w:keepLines w:val="0"/>
        <w:pageBreakBefore w:val="0"/>
        <w:widowControl/>
        <w:numPr>
          <w:ilvl w:val="1"/>
          <w:numId w:val="17"/>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评标采用保密的方式进行。</w:t>
      </w:r>
    </w:p>
    <w:p>
      <w:pPr>
        <w:pStyle w:val="37"/>
        <w:keepNext w:val="0"/>
        <w:keepLines w:val="0"/>
        <w:pageBreakBefore w:val="0"/>
        <w:widowControl/>
        <w:numPr>
          <w:ilvl w:val="1"/>
          <w:numId w:val="17"/>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评标委员会成员和参与评标的有关工作人员不得透露对投标文件的评审和比较、中标候选人的推荐情况以及与评标有关的其他情况。</w:t>
      </w:r>
    </w:p>
    <w:p>
      <w:pPr>
        <w:pStyle w:val="37"/>
        <w:keepNext w:val="0"/>
        <w:keepLines w:val="0"/>
        <w:pageBreakBefore w:val="0"/>
        <w:widowControl/>
        <w:numPr>
          <w:ilvl w:val="1"/>
          <w:numId w:val="17"/>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在投标文件的评审和比较、中标候选人推荐以及授予合同的过程中，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向采购人和评标委员会施加影响的任何行为，都将导致其投标被拒绝。</w:t>
      </w:r>
    </w:p>
    <w:p>
      <w:pPr>
        <w:pStyle w:val="37"/>
        <w:keepNext w:val="0"/>
        <w:keepLines w:val="0"/>
        <w:pageBreakBefore w:val="0"/>
        <w:widowControl/>
        <w:numPr>
          <w:ilvl w:val="1"/>
          <w:numId w:val="17"/>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评标委员会对未</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就评标过程以及未能中标原因不作解释。</w:t>
      </w:r>
    </w:p>
    <w:p>
      <w:pPr>
        <w:pStyle w:val="37"/>
        <w:keepNext w:val="0"/>
        <w:keepLines w:val="0"/>
        <w:pageBreakBefore w:val="0"/>
        <w:widowControl/>
        <w:numPr>
          <w:ilvl w:val="1"/>
          <w:numId w:val="17"/>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采购人不得在</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确定前，与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就投标价格、投标方案等实质性内容进行谈判。</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评标程序</w:t>
      </w:r>
    </w:p>
    <w:p>
      <w:pPr>
        <w:pStyle w:val="37"/>
        <w:keepNext w:val="0"/>
        <w:keepLines w:val="0"/>
        <w:pageBreakBefore w:val="0"/>
        <w:widowControl/>
        <w:numPr>
          <w:ilvl w:val="1"/>
          <w:numId w:val="18"/>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资格审查文件的评审。</w:t>
      </w:r>
    </w:p>
    <w:p>
      <w:pPr>
        <w:pStyle w:val="37"/>
        <w:keepNext w:val="0"/>
        <w:keepLines w:val="0"/>
        <w:pageBreakBefore w:val="0"/>
        <w:widowControl/>
        <w:numPr>
          <w:ilvl w:val="1"/>
          <w:numId w:val="18"/>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资信技术文件的评审。</w:t>
      </w:r>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bidi="ar"/>
        </w:rPr>
        <w:t>评标办法及评分标准（详见第四章）。</w:t>
      </w:r>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bidi="ar"/>
        </w:rPr>
        <w:t>澄清问题的形式</w:t>
      </w:r>
    </w:p>
    <w:p>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w:t>
      </w:r>
      <w:r>
        <w:rPr>
          <w:rFonts w:hint="eastAsia" w:ascii="宋体" w:hAnsi="宋体" w:cs="宋体"/>
          <w:color w:val="auto"/>
          <w:highlight w:val="none"/>
          <w:lang w:eastAsia="zh-CN"/>
        </w:rPr>
        <w:t>投标人</w:t>
      </w:r>
      <w:r>
        <w:rPr>
          <w:rFonts w:hint="eastAsia" w:ascii="宋体" w:hAnsi="宋体" w:cs="宋体"/>
          <w:color w:val="auto"/>
          <w:highlight w:val="none"/>
        </w:rPr>
        <w:t>在评标委员会要求的时间内作出必要的澄清、说明或者补正。</w:t>
      </w:r>
      <w:r>
        <w:rPr>
          <w:rFonts w:hint="eastAsia" w:ascii="宋体" w:hAnsi="宋体" w:cs="宋体"/>
          <w:color w:val="auto"/>
          <w:highlight w:val="none"/>
          <w:lang w:eastAsia="zh-CN"/>
        </w:rPr>
        <w:t>投标人</w:t>
      </w:r>
      <w:r>
        <w:rPr>
          <w:rFonts w:hint="eastAsia" w:ascii="宋体" w:hAnsi="宋体" w:cs="宋体"/>
          <w:color w:val="auto"/>
          <w:highlight w:val="none"/>
        </w:rPr>
        <w:t>的澄清、说明或者补正应当采用书面形式，由法定代表人或委托代理人签字确认，并不得超出投标文件的范围或者改变投标文件的实质性内容。如</w:t>
      </w:r>
      <w:r>
        <w:rPr>
          <w:rFonts w:hint="eastAsia" w:ascii="宋体" w:hAnsi="宋体" w:cs="宋体"/>
          <w:color w:val="auto"/>
          <w:highlight w:val="none"/>
          <w:lang w:eastAsia="zh-CN"/>
        </w:rPr>
        <w:t>投标人</w:t>
      </w:r>
      <w:r>
        <w:rPr>
          <w:rFonts w:hint="eastAsia" w:ascii="宋体" w:hAnsi="宋体" w:cs="宋体"/>
          <w:color w:val="auto"/>
          <w:highlight w:val="none"/>
        </w:rPr>
        <w:t>未在规定时间内澄清、说明、补正或拒绝澄清、说明、补正的，其投标文件按无效标处理。</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投标文件的澄清</w:t>
      </w:r>
    </w:p>
    <w:p>
      <w:pPr>
        <w:pStyle w:val="37"/>
        <w:keepNext w:val="0"/>
        <w:keepLines w:val="0"/>
        <w:pageBreakBefore w:val="0"/>
        <w:widowControl/>
        <w:numPr>
          <w:ilvl w:val="1"/>
          <w:numId w:val="19"/>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为有助于投标文件的审查、评价和比较，评标委员会可以通过</w:t>
      </w:r>
      <w:r>
        <w:rPr>
          <w:rFonts w:hint="eastAsia" w:ascii="宋体" w:hAnsi="宋体" w:cs="宋体"/>
          <w:color w:val="auto"/>
          <w:highlight w:val="none"/>
        </w:rPr>
        <w:t>衢州市阳光交易服务平台</w:t>
      </w:r>
      <w:r>
        <w:rPr>
          <w:rFonts w:hint="eastAsia" w:ascii="宋体" w:hAnsi="宋体" w:cs="宋体"/>
          <w:color w:val="auto"/>
          <w:highlight w:val="none"/>
          <w:lang w:bidi="ar"/>
        </w:rPr>
        <w:t>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对投标文件含义不明确的内容</w:t>
      </w:r>
      <w:r>
        <w:rPr>
          <w:rFonts w:hint="eastAsia" w:ascii="宋体" w:hAnsi="宋体" w:cs="宋体"/>
          <w:color w:val="auto"/>
          <w:highlight w:val="none"/>
          <w:lang w:eastAsia="zh-CN" w:bidi="ar"/>
        </w:rPr>
        <w:t>做</w:t>
      </w:r>
      <w:r>
        <w:rPr>
          <w:rFonts w:hint="eastAsia" w:ascii="宋体" w:hAnsi="宋体" w:cs="宋体"/>
          <w:color w:val="auto"/>
          <w:highlight w:val="none"/>
          <w:lang w:bidi="ar"/>
        </w:rPr>
        <w:t>必要的澄清或者说明。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通过该平台作出澄清回复，澄清回复时间不得超过在发出通知后15分钟</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具体以系统规定的时间为准</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逾期或未按要求澄清回复的，将视为不予回复或确认，评标委员会有权否决其投标。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通讯不畅通，导致不能及时联系的，视</w:t>
      </w:r>
      <w:r>
        <w:rPr>
          <w:rFonts w:hint="eastAsia" w:ascii="宋体" w:hAnsi="宋体" w:cs="宋体"/>
          <w:color w:val="auto"/>
          <w:highlight w:val="none"/>
          <w:lang w:eastAsia="zh-CN" w:bidi="ar"/>
        </w:rPr>
        <w:t>为投标人</w:t>
      </w:r>
      <w:r>
        <w:rPr>
          <w:rFonts w:hint="eastAsia" w:ascii="宋体" w:hAnsi="宋体" w:cs="宋体"/>
          <w:color w:val="auto"/>
          <w:highlight w:val="none"/>
          <w:lang w:bidi="ar"/>
        </w:rPr>
        <w:t>不予回复或确认。评标委员会对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提交的澄清、说明或补正有疑问的，可以要求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进一步澄清、说明或补正，直至满足评标委员会的要求。</w:t>
      </w:r>
    </w:p>
    <w:p>
      <w:pPr>
        <w:pStyle w:val="37"/>
        <w:keepNext w:val="0"/>
        <w:keepLines w:val="0"/>
        <w:pageBreakBefore w:val="0"/>
        <w:widowControl/>
        <w:numPr>
          <w:ilvl w:val="1"/>
          <w:numId w:val="19"/>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对投标文件的澄清或说明不得超出投标文件的范围或改变投标文件的实质性的内容。凡属于评标委员会在评标中发现的计算错误并进行核实的修改不在此列。</w:t>
      </w:r>
    </w:p>
    <w:p>
      <w:pPr>
        <w:pStyle w:val="37"/>
        <w:keepNext w:val="0"/>
        <w:keepLines w:val="0"/>
        <w:pageBreakBefore w:val="0"/>
        <w:widowControl/>
        <w:numPr>
          <w:ilvl w:val="1"/>
          <w:numId w:val="19"/>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pPr>
        <w:pStyle w:val="37"/>
        <w:keepNext w:val="0"/>
        <w:keepLines w:val="0"/>
        <w:pageBreakBefore w:val="0"/>
        <w:widowControl/>
        <w:numPr>
          <w:ilvl w:val="1"/>
          <w:numId w:val="19"/>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拒不按照要求对投标文件进行澄清、说明或者补正的，评标委员会可以否决其投标。</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确定中标候选人</w:t>
      </w:r>
    </w:p>
    <w:p>
      <w:pPr>
        <w:pStyle w:val="37"/>
        <w:keepNext w:val="0"/>
        <w:keepLines w:val="0"/>
        <w:pageBreakBefore w:val="0"/>
        <w:widowControl/>
        <w:numPr>
          <w:ilvl w:val="1"/>
          <w:numId w:val="20"/>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本次招标由评标委员会推荐中标候选人，采购人根据评标委员会的推荐结果进行最终确认。</w:t>
      </w:r>
    </w:p>
    <w:p>
      <w:pPr>
        <w:pStyle w:val="37"/>
        <w:keepNext w:val="0"/>
        <w:keepLines w:val="0"/>
        <w:pageBreakBefore w:val="0"/>
        <w:widowControl/>
        <w:numPr>
          <w:ilvl w:val="1"/>
          <w:numId w:val="20"/>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cs="宋体"/>
          <w:color w:val="auto"/>
          <w:highlight w:val="none"/>
          <w:lang w:bidi="ar"/>
        </w:rPr>
        <w:t>及招标文件有关规定在有</w:t>
      </w:r>
      <w:r>
        <w:rPr>
          <w:rFonts w:hint="eastAsia" w:ascii="宋体" w:hAnsi="宋体" w:cs="宋体"/>
          <w:color w:val="auto"/>
          <w:highlight w:val="none"/>
          <w:lang w:eastAsia="zh-CN" w:bidi="ar"/>
        </w:rPr>
        <w:t>效投</w:t>
      </w:r>
      <w:r>
        <w:rPr>
          <w:rFonts w:hint="eastAsia" w:ascii="宋体" w:hAnsi="宋体" w:cs="宋体"/>
          <w:color w:val="auto"/>
          <w:highlight w:val="none"/>
          <w:lang w:bidi="ar"/>
        </w:rPr>
        <w:t>标中按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的综合得分（即资信技术分与商务（价格）分之和）高低进行排序，得分前一名的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推荐为第一中标候选人（综合得分相同投标总报价低的排序第一；综合得分且投标总报价相同的，以技术指标优劣决定中标候选人）。</w:t>
      </w:r>
    </w:p>
    <w:p>
      <w:pPr>
        <w:pStyle w:val="37"/>
        <w:keepNext w:val="0"/>
        <w:keepLines w:val="0"/>
        <w:pageBreakBefore w:val="0"/>
        <w:widowControl/>
        <w:numPr>
          <w:ilvl w:val="1"/>
          <w:numId w:val="20"/>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pPr>
        <w:pStyle w:val="37"/>
        <w:keepNext w:val="0"/>
        <w:keepLines w:val="0"/>
        <w:pageBreakBefore w:val="0"/>
        <w:widowControl/>
        <w:numPr>
          <w:ilvl w:val="1"/>
          <w:numId w:val="20"/>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采购人对评标结果不做任何解释，也不保证最低价中标。</w:t>
      </w:r>
    </w:p>
    <w:p>
      <w:pPr>
        <w:pStyle w:val="3"/>
        <w:numPr>
          <w:ilvl w:val="1"/>
          <w:numId w:val="0"/>
        </w:numPr>
        <w:spacing w:beforeLines="0" w:afterLines="0" w:line="312" w:lineRule="auto"/>
        <w:rPr>
          <w:rFonts w:ascii="宋体" w:hAnsi="宋体" w:cs="宋体"/>
          <w:b/>
          <w:bCs w:val="0"/>
          <w:color w:val="auto"/>
          <w:highlight w:val="none"/>
          <w:lang w:bidi="ar"/>
        </w:rPr>
      </w:pPr>
      <w:bookmarkStart w:id="471" w:name="_Toc6673"/>
      <w:bookmarkStart w:id="472" w:name="_Toc13797"/>
      <w:r>
        <w:rPr>
          <w:rFonts w:hint="eastAsia" w:ascii="宋体" w:hAnsi="宋体" w:cs="宋体"/>
          <w:b/>
          <w:bCs w:val="0"/>
          <w:color w:val="auto"/>
          <w:highlight w:val="none"/>
          <w:lang w:val="en-US" w:eastAsia="zh-CN" w:bidi="ar"/>
        </w:rPr>
        <w:t>十、</w:t>
      </w:r>
      <w:r>
        <w:rPr>
          <w:rFonts w:hint="eastAsia" w:ascii="宋体" w:hAnsi="宋体" w:cs="宋体"/>
          <w:b/>
          <w:bCs w:val="0"/>
          <w:color w:val="auto"/>
          <w:highlight w:val="none"/>
          <w:lang w:bidi="ar"/>
        </w:rPr>
        <w:t>电子投标说明</w:t>
      </w:r>
      <w:bookmarkEnd w:id="471"/>
      <w:bookmarkEnd w:id="472"/>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应检查标书完整性和有效性，确保电子投标文件能否正常打开解密。开标时，以电子交易平台上传规定格式的电子投标文件为正本。</w:t>
      </w:r>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bidi="ar"/>
        </w:rPr>
        <w:t>投标文件相应要求盖章处应按要求使用CA加盖单位电子公章和法定代表人电子章。</w:t>
      </w:r>
    </w:p>
    <w:p>
      <w:pPr>
        <w:pStyle w:val="3"/>
        <w:numPr>
          <w:ilvl w:val="1"/>
          <w:numId w:val="0"/>
        </w:numPr>
        <w:spacing w:beforeLines="0" w:afterLines="0" w:line="312" w:lineRule="auto"/>
        <w:rPr>
          <w:rFonts w:ascii="宋体" w:hAnsi="宋体" w:cs="宋体"/>
          <w:b/>
          <w:bCs w:val="0"/>
          <w:color w:val="auto"/>
          <w:highlight w:val="none"/>
          <w:lang w:bidi="ar"/>
        </w:rPr>
      </w:pPr>
      <w:bookmarkStart w:id="473" w:name="_Toc17151"/>
      <w:bookmarkStart w:id="474" w:name="_Toc4862"/>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一</w:t>
      </w:r>
      <w:r>
        <w:rPr>
          <w:rFonts w:hint="eastAsia" w:ascii="宋体" w:hAnsi="宋体" w:cs="宋体"/>
          <w:b/>
          <w:bCs w:val="0"/>
          <w:color w:val="auto"/>
          <w:highlight w:val="none"/>
          <w:lang w:bidi="ar"/>
        </w:rPr>
        <w:t>、纪律和监督</w:t>
      </w:r>
      <w:bookmarkEnd w:id="473"/>
      <w:bookmarkEnd w:id="474"/>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对采购人的纪律要求</w:t>
      </w:r>
    </w:p>
    <w:p>
      <w:pPr>
        <w:wordWrap w:val="0"/>
        <w:snapToGrid w:val="0"/>
        <w:spacing w:line="312" w:lineRule="auto"/>
        <w:ind w:firstLine="480"/>
        <w:rPr>
          <w:rFonts w:ascii="宋体" w:hAnsi="宋体"/>
          <w:color w:val="auto"/>
          <w:highlight w:val="none"/>
        </w:rPr>
      </w:pPr>
      <w:r>
        <w:rPr>
          <w:rFonts w:hint="eastAsia" w:ascii="宋体" w:hAnsi="宋体"/>
          <w:color w:val="auto"/>
          <w:highlight w:val="none"/>
        </w:rPr>
        <w:t>采购人不得</w:t>
      </w:r>
      <w:r>
        <w:rPr>
          <w:rFonts w:hint="eastAsia" w:ascii="宋体" w:hAnsi="宋体"/>
          <w:color w:val="auto"/>
          <w:highlight w:val="none"/>
          <w:lang w:eastAsia="zh-CN"/>
        </w:rPr>
        <w:t>泄露</w:t>
      </w:r>
      <w:r>
        <w:rPr>
          <w:rFonts w:hint="eastAsia" w:ascii="宋体" w:hAnsi="宋体"/>
          <w:color w:val="auto"/>
          <w:highlight w:val="none"/>
        </w:rPr>
        <w:t>招标投标活动中应当保密的情况和资料，不得与</w:t>
      </w:r>
      <w:r>
        <w:rPr>
          <w:rFonts w:hint="eastAsia" w:ascii="宋体" w:hAnsi="宋体"/>
          <w:color w:val="auto"/>
          <w:highlight w:val="none"/>
          <w:lang w:eastAsia="zh-CN"/>
        </w:rPr>
        <w:t>投标人</w:t>
      </w:r>
      <w:r>
        <w:rPr>
          <w:rFonts w:hint="eastAsia" w:ascii="宋体" w:hAnsi="宋体"/>
          <w:color w:val="auto"/>
          <w:highlight w:val="none"/>
        </w:rPr>
        <w:t>串通损害国家利益、社会公共利益或者他人合法权益。</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的纪律要求</w:t>
      </w:r>
    </w:p>
    <w:p>
      <w:pPr>
        <w:wordWrap w:val="0"/>
        <w:snapToGrid w:val="0"/>
        <w:spacing w:line="312" w:lineRule="auto"/>
        <w:ind w:firstLine="480"/>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color w:val="auto"/>
          <w:highlight w:val="none"/>
          <w:lang w:eastAsia="zh-CN"/>
        </w:rPr>
        <w:t>投标人</w:t>
      </w:r>
      <w:r>
        <w:rPr>
          <w:rFonts w:hint="eastAsia" w:ascii="宋体" w:hAnsi="宋体"/>
          <w:color w:val="auto"/>
          <w:highlight w:val="none"/>
        </w:rPr>
        <w:t>不得以任何方式干扰、影响评标工作。</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r>
        <w:rPr>
          <w:rFonts w:hint="eastAsia" w:ascii="宋体" w:hAnsi="宋体" w:cs="宋体"/>
          <w:color w:val="auto"/>
          <w:highlight w:val="none"/>
          <w:lang w:bidi="ar"/>
        </w:rPr>
        <w:t>对评标委员会成员的纪律要求</w:t>
      </w:r>
    </w:p>
    <w:p>
      <w:pPr>
        <w:pStyle w:val="2"/>
        <w:numPr>
          <w:ilvl w:val="0"/>
          <w:numId w:val="0"/>
        </w:numPr>
        <w:spacing w:beforeLines="0" w:afterLines="0" w:line="312" w:lineRule="auto"/>
        <w:ind w:firstLine="480" w:firstLineChars="200"/>
        <w:jc w:val="left"/>
        <w:rPr>
          <w:rFonts w:ascii="宋体" w:hAnsi="宋体"/>
          <w:b w:val="0"/>
          <w:color w:val="auto"/>
          <w:sz w:val="24"/>
          <w:szCs w:val="24"/>
          <w:highlight w:val="none"/>
        </w:rPr>
      </w:pPr>
      <w:bookmarkStart w:id="475" w:name="_Toc21417"/>
      <w:bookmarkStart w:id="476" w:name="_Toc30527"/>
      <w:bookmarkStart w:id="477" w:name="_Toc23966"/>
      <w:bookmarkStart w:id="478" w:name="_Toc19838"/>
      <w:bookmarkStart w:id="479" w:name="_Toc11952"/>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475"/>
      <w:bookmarkEnd w:id="476"/>
      <w:bookmarkEnd w:id="477"/>
      <w:bookmarkEnd w:id="478"/>
      <w:bookmarkEnd w:id="479"/>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bookmarkStart w:id="480" w:name="_Toc22806"/>
      <w:r>
        <w:rPr>
          <w:rFonts w:hint="eastAsia" w:ascii="宋体" w:hAnsi="宋体" w:cs="宋体"/>
          <w:color w:val="auto"/>
          <w:highlight w:val="none"/>
          <w:lang w:bidi="ar"/>
        </w:rPr>
        <w:t>对与评标活动有关的工作人员的纪律要求</w:t>
      </w:r>
      <w:bookmarkEnd w:id="480"/>
    </w:p>
    <w:p>
      <w:pPr>
        <w:wordWrap w:val="0"/>
        <w:snapToGrid w:val="0"/>
        <w:spacing w:line="312" w:lineRule="auto"/>
        <w:ind w:firstLine="48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pPr>
        <w:pStyle w:val="3"/>
        <w:numPr>
          <w:ilvl w:val="1"/>
          <w:numId w:val="0"/>
        </w:numPr>
        <w:spacing w:beforeLines="0" w:afterLines="0" w:line="312" w:lineRule="auto"/>
        <w:rPr>
          <w:rFonts w:ascii="宋体" w:hAnsi="宋体" w:cs="宋体"/>
          <w:b/>
          <w:bCs w:val="0"/>
          <w:color w:val="auto"/>
          <w:highlight w:val="none"/>
          <w:lang w:bidi="ar"/>
        </w:rPr>
      </w:pPr>
      <w:bookmarkStart w:id="481" w:name="_Toc14537"/>
      <w:bookmarkStart w:id="482" w:name="_Toc21011"/>
      <w:bookmarkStart w:id="483" w:name="_Toc9301"/>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二</w:t>
      </w:r>
      <w:r>
        <w:rPr>
          <w:rFonts w:hint="eastAsia" w:ascii="宋体" w:hAnsi="宋体" w:cs="宋体"/>
          <w:b/>
          <w:bCs w:val="0"/>
          <w:color w:val="auto"/>
          <w:highlight w:val="none"/>
          <w:lang w:bidi="ar"/>
        </w:rPr>
        <w:t>、质疑和投诉</w:t>
      </w:r>
      <w:bookmarkEnd w:id="481"/>
      <w:bookmarkEnd w:id="482"/>
      <w:bookmarkEnd w:id="483"/>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bookmarkStart w:id="484" w:name="_Toc21882"/>
      <w:r>
        <w:rPr>
          <w:rFonts w:hint="eastAsia" w:ascii="宋体" w:hAnsi="宋体" w:cs="宋体"/>
          <w:color w:val="auto"/>
          <w:highlight w:val="none"/>
          <w:lang w:bidi="ar"/>
        </w:rPr>
        <w:t>质疑提出</w:t>
      </w:r>
      <w:bookmarkEnd w:id="484"/>
    </w:p>
    <w:p>
      <w:pPr>
        <w:pStyle w:val="37"/>
        <w:keepNext w:val="0"/>
        <w:keepLines w:val="0"/>
        <w:pageBreakBefore w:val="0"/>
        <w:widowControl/>
        <w:numPr>
          <w:ilvl w:val="1"/>
          <w:numId w:val="21"/>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参照《中华人民共和国政府采购法》《中华人民共和国政府采购法实施条例》《政府采购质疑和投诉办法》（财政部令第94号）等有关法律法规规定。</w:t>
      </w:r>
    </w:p>
    <w:p>
      <w:pPr>
        <w:pStyle w:val="37"/>
        <w:keepNext w:val="0"/>
        <w:keepLines w:val="0"/>
        <w:pageBreakBefore w:val="0"/>
        <w:widowControl/>
        <w:numPr>
          <w:ilvl w:val="1"/>
          <w:numId w:val="21"/>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认为采购文件、采购过程和成交结果使自己的权益受到损害的，可以在知道或者应知其权益受到损害之日起7个工作日内，以书面形式向采购人、采购代理机构提出质疑。</w:t>
      </w:r>
    </w:p>
    <w:p>
      <w:pPr>
        <w:pStyle w:val="37"/>
        <w:keepNext w:val="0"/>
        <w:keepLines w:val="0"/>
        <w:pageBreakBefore w:val="0"/>
        <w:widowControl/>
        <w:numPr>
          <w:ilvl w:val="1"/>
          <w:numId w:val="21"/>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潜在</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已依法获取采购文件，可以对该文件提出质疑。采购人拒绝受理未提交投标文件的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对采购过程和中标结果</w:t>
      </w:r>
      <w:r>
        <w:rPr>
          <w:rFonts w:hint="eastAsia" w:ascii="宋体" w:hAnsi="宋体" w:cs="宋体"/>
          <w:color w:val="auto"/>
          <w:highlight w:val="none"/>
          <w:lang w:eastAsia="zh-CN" w:bidi="ar"/>
        </w:rPr>
        <w:t>质疑</w:t>
      </w:r>
      <w:r>
        <w:rPr>
          <w:rFonts w:hint="eastAsia" w:ascii="宋体" w:hAnsi="宋体" w:cs="宋体"/>
          <w:color w:val="auto"/>
          <w:highlight w:val="none"/>
          <w:lang w:bidi="ar"/>
        </w:rPr>
        <w:t>。</w:t>
      </w:r>
    </w:p>
    <w:p>
      <w:pPr>
        <w:pStyle w:val="37"/>
        <w:keepNext w:val="0"/>
        <w:keepLines w:val="0"/>
        <w:pageBreakBefore w:val="0"/>
        <w:widowControl/>
        <w:numPr>
          <w:ilvl w:val="1"/>
          <w:numId w:val="21"/>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质疑提出起算日期：</w:t>
      </w:r>
    </w:p>
    <w:p>
      <w:pPr>
        <w:pStyle w:val="37"/>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对采购文件提出质疑的，自</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获取招标文件之日起或者公告届满之日起开始计算，且应当在投标文件提交截止前24小时前提出，否则，被质疑人可不予受理。</w:t>
      </w:r>
    </w:p>
    <w:p>
      <w:pPr>
        <w:pStyle w:val="37"/>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pPr>
        <w:pStyle w:val="37"/>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pPr>
        <w:pStyle w:val="37"/>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rPr>
        <w:t>供应商</w:t>
      </w:r>
      <w:r>
        <w:rPr>
          <w:rFonts w:hint="eastAsia" w:ascii="宋体" w:hAnsi="宋体" w:cs="宋体"/>
          <w:color w:val="auto"/>
          <w:highlight w:val="none"/>
          <w:lang w:bidi="ar"/>
        </w:rPr>
        <w:t>质疑函范本》要求。</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bookmarkStart w:id="485" w:name="_Toc6349"/>
      <w:r>
        <w:rPr>
          <w:rFonts w:hint="eastAsia" w:ascii="宋体" w:hAnsi="宋体" w:cs="宋体"/>
          <w:color w:val="auto"/>
          <w:highlight w:val="none"/>
          <w:lang w:bidi="ar"/>
        </w:rPr>
        <w:t>质疑处理</w:t>
      </w:r>
      <w:bookmarkEnd w:id="485"/>
    </w:p>
    <w:p>
      <w:pPr>
        <w:spacing w:line="312" w:lineRule="auto"/>
        <w:ind w:firstLine="480"/>
        <w:rPr>
          <w:rFonts w:ascii="宋体" w:hAnsi="宋体" w:cs="宋体"/>
          <w:bCs/>
          <w:color w:val="auto"/>
          <w:highlight w:val="none"/>
        </w:rPr>
      </w:pPr>
      <w:r>
        <w:rPr>
          <w:rFonts w:ascii="宋体" w:hAnsi="宋体" w:cs="宋体"/>
          <w:bCs/>
          <w:color w:val="auto"/>
          <w:highlight w:val="none"/>
        </w:rPr>
        <w:t>采购人应当在收到</w:t>
      </w:r>
      <w:r>
        <w:rPr>
          <w:rFonts w:hint="eastAsia" w:ascii="宋体" w:hAnsi="宋体" w:cs="宋体"/>
          <w:bCs/>
          <w:color w:val="auto"/>
          <w:highlight w:val="none"/>
          <w:lang w:eastAsia="zh-CN"/>
        </w:rPr>
        <w:t>投标人</w:t>
      </w:r>
      <w:r>
        <w:rPr>
          <w:rFonts w:ascii="宋体" w:hAnsi="宋体" w:cs="宋体"/>
          <w:bCs/>
          <w:color w:val="auto"/>
          <w:highlight w:val="none"/>
        </w:rPr>
        <w:t>的书面质疑后7个工作日内作出答复，并以书面形式通知质疑</w:t>
      </w:r>
      <w:r>
        <w:rPr>
          <w:rFonts w:hint="eastAsia" w:ascii="宋体" w:hAnsi="宋体" w:cs="宋体"/>
          <w:bCs/>
          <w:color w:val="auto"/>
          <w:highlight w:val="none"/>
          <w:lang w:eastAsia="zh-CN"/>
        </w:rPr>
        <w:t>投标人</w:t>
      </w:r>
      <w:r>
        <w:rPr>
          <w:rFonts w:ascii="宋体" w:hAnsi="宋体" w:cs="宋体"/>
          <w:bCs/>
          <w:color w:val="auto"/>
          <w:highlight w:val="none"/>
        </w:rPr>
        <w:t>和其他与质疑处理结果有利害关系的政府采购当事人，但答复的内容不得涉及商业秘密。</w:t>
      </w:r>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bookmarkStart w:id="486" w:name="_Toc28506"/>
      <w:r>
        <w:rPr>
          <w:rFonts w:hint="eastAsia" w:ascii="宋体" w:hAnsi="宋体" w:cs="宋体"/>
          <w:color w:val="auto"/>
          <w:highlight w:val="none"/>
          <w:lang w:bidi="ar"/>
        </w:rPr>
        <w:t>投诉</w:t>
      </w:r>
      <w:bookmarkEnd w:id="486"/>
    </w:p>
    <w:p>
      <w:pPr>
        <w:keepNext w:val="0"/>
        <w:keepLines w:val="0"/>
        <w:pageBreakBefore w:val="0"/>
        <w:widowControl/>
        <w:kinsoku/>
        <w:wordWrap/>
        <w:overflowPunct/>
        <w:topLinePunct w:val="0"/>
        <w:autoSpaceDE/>
        <w:autoSpaceDN/>
        <w:bidi w:val="0"/>
        <w:adjustRightInd/>
        <w:spacing w:line="312" w:lineRule="auto"/>
        <w:ind w:firstLine="480"/>
        <w:jc w:val="left"/>
        <w:textAlignment w:val="auto"/>
        <w:outlineLvl w:val="9"/>
        <w:rPr>
          <w:rFonts w:ascii="宋体" w:hAnsi="宋体" w:cs="宋体"/>
          <w:bCs/>
          <w:color w:val="auto"/>
          <w:highlight w:val="none"/>
          <w:lang w:bidi="ar"/>
        </w:rPr>
      </w:pPr>
      <w:r>
        <w:rPr>
          <w:rFonts w:ascii="宋体" w:hAnsi="宋体" w:cs="宋体"/>
          <w:bCs/>
          <w:color w:val="auto"/>
          <w:highlight w:val="none"/>
          <w:lang w:bidi="ar"/>
        </w:rPr>
        <w:t>质疑</w:t>
      </w:r>
      <w:r>
        <w:rPr>
          <w:rFonts w:hint="eastAsia" w:ascii="宋体" w:hAnsi="宋体" w:cs="宋体"/>
          <w:bCs/>
          <w:color w:val="auto"/>
          <w:highlight w:val="none"/>
          <w:lang w:eastAsia="zh-CN" w:bidi="ar"/>
        </w:rPr>
        <w:t>投标人</w:t>
      </w:r>
      <w:r>
        <w:rPr>
          <w:rFonts w:ascii="宋体" w:hAnsi="宋体" w:cs="宋体"/>
          <w:bCs/>
          <w:color w:val="auto"/>
          <w:highlight w:val="none"/>
          <w:lang w:bidi="ar"/>
        </w:rPr>
        <w:t>对采购人未在规定时间内作出答复的，可以在答复期满后15个工作</w:t>
      </w:r>
      <w:r>
        <w:rPr>
          <w:rFonts w:hint="eastAsia" w:ascii="宋体" w:hAnsi="宋体" w:cs="宋体"/>
          <w:bCs/>
          <w:color w:val="auto"/>
          <w:highlight w:val="none"/>
          <w:lang w:eastAsia="zh-CN" w:bidi="ar"/>
        </w:rPr>
        <w:t>日向龙游县城市发展投资有限公司纪检组</w:t>
      </w:r>
      <w:r>
        <w:rPr>
          <w:rFonts w:ascii="宋体" w:hAnsi="宋体" w:cs="宋体"/>
          <w:bCs/>
          <w:color w:val="auto"/>
          <w:highlight w:val="none"/>
          <w:lang w:bidi="ar"/>
        </w:rPr>
        <w:t>投诉。若对质疑答复不满意的，应当自答复的次日起15个工作日</w:t>
      </w:r>
      <w:r>
        <w:rPr>
          <w:rFonts w:hint="eastAsia" w:ascii="宋体" w:hAnsi="宋体" w:cs="宋体"/>
          <w:bCs/>
          <w:color w:val="auto"/>
          <w:highlight w:val="none"/>
          <w:lang w:eastAsia="zh-CN" w:bidi="ar"/>
        </w:rPr>
        <w:t>内向龙游县城市发展投资有限公司</w:t>
      </w:r>
      <w:r>
        <w:rPr>
          <w:rFonts w:ascii="宋体" w:hAnsi="宋体" w:cs="宋体"/>
          <w:bCs/>
          <w:color w:val="auto"/>
          <w:highlight w:val="none"/>
          <w:lang w:bidi="ar"/>
        </w:rPr>
        <w:t>投诉。</w:t>
      </w:r>
      <w:r>
        <w:rPr>
          <w:rFonts w:hint="eastAsia" w:ascii="宋体" w:hAnsi="宋体" w:cs="宋体"/>
          <w:bCs/>
          <w:color w:val="auto"/>
          <w:highlight w:val="none"/>
          <w:lang w:eastAsia="zh-CN" w:bidi="ar"/>
        </w:rPr>
        <w:t>投标人</w:t>
      </w:r>
      <w:r>
        <w:rPr>
          <w:rFonts w:ascii="宋体" w:hAnsi="宋体" w:cs="宋体"/>
          <w:bCs/>
          <w:color w:val="auto"/>
          <w:highlight w:val="none"/>
          <w:lang w:bidi="ar"/>
        </w:rPr>
        <w:t>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ascii="宋体" w:hAnsi="宋体" w:cs="宋体"/>
          <w:bCs/>
          <w:color w:val="auto"/>
          <w:highlight w:val="none"/>
          <w:lang w:bidi="ar"/>
        </w:rPr>
        <w:t>政府采购</w:t>
      </w:r>
      <w:r>
        <w:rPr>
          <w:rFonts w:ascii="宋体" w:hAnsi="宋体" w:cs="宋体"/>
          <w:bCs/>
          <w:color w:val="auto"/>
          <w:highlight w:val="none"/>
          <w:lang w:bidi="ar"/>
        </w:rPr>
        <w:fldChar w:fldCharType="end"/>
      </w:r>
      <w:r>
        <w:rPr>
          <w:rFonts w:ascii="宋体" w:hAnsi="宋体" w:cs="宋体"/>
          <w:bCs/>
          <w:color w:val="auto"/>
          <w:highlight w:val="none"/>
        </w:rPr>
        <w:t>供应商</w:t>
      </w:r>
      <w:r>
        <w:rPr>
          <w:rFonts w:ascii="宋体" w:hAnsi="宋体" w:cs="宋体"/>
          <w:bCs/>
          <w:color w:val="auto"/>
          <w:highlight w:val="none"/>
          <w:lang w:bidi="ar"/>
        </w:rPr>
        <w:t>投诉书范本》要求。</w:t>
      </w:r>
    </w:p>
    <w:p>
      <w:pPr>
        <w:pStyle w:val="3"/>
        <w:numPr>
          <w:ilvl w:val="1"/>
          <w:numId w:val="0"/>
        </w:numPr>
        <w:spacing w:beforeLines="0" w:afterLines="0" w:line="312" w:lineRule="auto"/>
        <w:rPr>
          <w:rFonts w:ascii="宋体" w:hAnsi="宋体" w:cs="宋体"/>
          <w:b/>
          <w:bCs w:val="0"/>
          <w:color w:val="auto"/>
          <w:highlight w:val="none"/>
          <w:lang w:bidi="ar"/>
        </w:rPr>
      </w:pPr>
      <w:bookmarkStart w:id="487" w:name="_Toc2389"/>
      <w:bookmarkStart w:id="488" w:name="_Toc31426"/>
      <w:bookmarkStart w:id="489" w:name="_Toc5681"/>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三</w:t>
      </w:r>
      <w:r>
        <w:rPr>
          <w:rFonts w:hint="eastAsia" w:ascii="宋体" w:hAnsi="宋体" w:cs="宋体"/>
          <w:b/>
          <w:bCs w:val="0"/>
          <w:color w:val="auto"/>
          <w:highlight w:val="none"/>
          <w:lang w:bidi="ar"/>
        </w:rPr>
        <w:t>、授予合同</w:t>
      </w:r>
      <w:bookmarkEnd w:id="487"/>
      <w:bookmarkEnd w:id="488"/>
      <w:bookmarkEnd w:id="489"/>
    </w:p>
    <w:p>
      <w:pPr>
        <w:pStyle w:val="37"/>
        <w:numPr>
          <w:ilvl w:val="0"/>
          <w:numId w:val="8"/>
        </w:numPr>
        <w:adjustRightInd w:val="0"/>
        <w:spacing w:line="312" w:lineRule="auto"/>
        <w:ind w:firstLine="480"/>
        <w:jc w:val="both"/>
        <w:outlineLvl w:val="2"/>
        <w:rPr>
          <w:rFonts w:ascii="宋体" w:hAnsi="宋体" w:cs="宋体"/>
          <w:color w:val="auto"/>
          <w:highlight w:val="none"/>
          <w:lang w:bidi="ar"/>
        </w:rPr>
      </w:pPr>
      <w:bookmarkStart w:id="490" w:name="_Toc13873"/>
      <w:r>
        <w:rPr>
          <w:rFonts w:hint="eastAsia" w:ascii="宋体" w:hAnsi="宋体" w:cs="宋体"/>
          <w:color w:val="auto"/>
          <w:highlight w:val="none"/>
          <w:lang w:bidi="ar"/>
        </w:rPr>
        <w:t>合同授予标准</w:t>
      </w:r>
      <w:bookmarkEnd w:id="490"/>
    </w:p>
    <w:p>
      <w:pPr>
        <w:pStyle w:val="37"/>
        <w:keepNext w:val="0"/>
        <w:keepLines w:val="0"/>
        <w:pageBreakBefore w:val="0"/>
        <w:widowControl/>
        <w:numPr>
          <w:ilvl w:val="1"/>
          <w:numId w:val="22"/>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pPr>
        <w:pStyle w:val="37"/>
        <w:keepNext w:val="0"/>
        <w:keepLines w:val="0"/>
        <w:pageBreakBefore w:val="0"/>
        <w:widowControl/>
        <w:numPr>
          <w:ilvl w:val="1"/>
          <w:numId w:val="22"/>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。中标结果在衢州市阳光交易服务平台、浙江政府采购网予以公布，</w:t>
      </w:r>
      <w:r>
        <w:rPr>
          <w:rFonts w:hint="eastAsia" w:ascii="宋体" w:hAnsi="宋体" w:cs="宋体"/>
          <w:color w:val="auto"/>
          <w:highlight w:val="none"/>
          <w:lang w:eastAsia="zh-CN" w:bidi="ar"/>
        </w:rPr>
        <w:t>浙江新诚信工程咨询有限公司</w:t>
      </w:r>
      <w:r>
        <w:rPr>
          <w:rFonts w:hint="eastAsia" w:ascii="宋体" w:hAnsi="宋体" w:eastAsia="宋体" w:cs="宋体"/>
          <w:color w:val="auto"/>
          <w:highlight w:val="none"/>
          <w:lang w:bidi="ar"/>
        </w:rPr>
        <w:t>发出中标通知书。</w:t>
      </w:r>
    </w:p>
    <w:p>
      <w:pPr>
        <w:pStyle w:val="37"/>
        <w:keepNext w:val="0"/>
        <w:keepLines w:val="0"/>
        <w:pageBreakBefore w:val="0"/>
        <w:widowControl/>
        <w:numPr>
          <w:ilvl w:val="1"/>
          <w:numId w:val="22"/>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经采购人备案后，由采购人签发国企采购中标通知书。中标通知书对采购人和确认</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均具有法律效力。中标通知书发出后，采购人改变中标结果的，或者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放弃中标项目的，应当依法承担法律责任。</w:t>
      </w:r>
    </w:p>
    <w:p>
      <w:pPr>
        <w:pStyle w:val="37"/>
        <w:keepNext w:val="0"/>
        <w:keepLines w:val="0"/>
        <w:pageBreakBefore w:val="0"/>
        <w:widowControl/>
        <w:numPr>
          <w:ilvl w:val="1"/>
          <w:numId w:val="22"/>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在中标通知书发出后三十日内，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应按中标通知书指定的时间、地点与采购人签订合同。招标文件、</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的投标文件及澄清文件等，均为签订合同的依据。</w:t>
      </w:r>
    </w:p>
    <w:p>
      <w:pPr>
        <w:pStyle w:val="37"/>
        <w:keepNext w:val="0"/>
        <w:keepLines w:val="0"/>
        <w:pageBreakBefore w:val="0"/>
        <w:widowControl/>
        <w:numPr>
          <w:ilvl w:val="1"/>
          <w:numId w:val="22"/>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采购人与</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签署合同协议，</w:t>
      </w:r>
      <w:r>
        <w:rPr>
          <w:rFonts w:hint="eastAsia" w:ascii="宋体" w:hAnsi="宋体" w:cs="宋体"/>
          <w:color w:val="auto"/>
          <w:highlight w:val="none"/>
          <w:lang w:eastAsia="zh-CN" w:bidi="ar"/>
        </w:rPr>
        <w:t>浙江新诚信工程咨询有限公司</w:t>
      </w:r>
      <w:r>
        <w:rPr>
          <w:rFonts w:hint="eastAsia" w:ascii="宋体" w:hAnsi="宋体" w:eastAsia="宋体" w:cs="宋体"/>
          <w:color w:val="auto"/>
          <w:highlight w:val="none"/>
          <w:lang w:bidi="ar"/>
        </w:rPr>
        <w:t>作为鉴证人共同签订（合同上请标明采购编号）。合同一式七份，采购人执三份，</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执三份，</w:t>
      </w:r>
      <w:r>
        <w:rPr>
          <w:rFonts w:hint="eastAsia" w:ascii="宋体" w:hAnsi="宋体" w:cs="宋体"/>
          <w:color w:val="auto"/>
          <w:highlight w:val="none"/>
          <w:lang w:eastAsia="zh-CN" w:bidi="ar"/>
        </w:rPr>
        <w:t>浙江新诚信工程咨询有限公司</w:t>
      </w:r>
      <w:r>
        <w:rPr>
          <w:rFonts w:hint="eastAsia" w:ascii="宋体" w:hAnsi="宋体" w:eastAsia="宋体" w:cs="宋体"/>
          <w:color w:val="auto"/>
          <w:highlight w:val="none"/>
          <w:lang w:bidi="ar"/>
        </w:rPr>
        <w:t>执一份。</w:t>
      </w:r>
    </w:p>
    <w:p>
      <w:pPr>
        <w:pStyle w:val="37"/>
        <w:numPr>
          <w:ilvl w:val="0"/>
          <w:numId w:val="8"/>
        </w:numPr>
        <w:adjustRightInd w:val="0"/>
        <w:spacing w:line="312" w:lineRule="auto"/>
        <w:ind w:firstLine="480" w:firstLineChars="200"/>
        <w:jc w:val="both"/>
        <w:outlineLvl w:val="2"/>
        <w:rPr>
          <w:rFonts w:ascii="宋体" w:hAnsi="宋体" w:cs="宋体"/>
          <w:color w:val="auto"/>
          <w:highlight w:val="none"/>
          <w:lang w:bidi="ar"/>
        </w:rPr>
      </w:pPr>
      <w:bookmarkStart w:id="491" w:name="_Toc1064"/>
      <w:r>
        <w:rPr>
          <w:rFonts w:hint="eastAsia" w:ascii="宋体" w:hAnsi="宋体" w:cs="宋体"/>
          <w:color w:val="auto"/>
          <w:highlight w:val="none"/>
          <w:lang w:bidi="ar"/>
        </w:rPr>
        <w:t>授予合同时变更数量的权利</w:t>
      </w:r>
      <w:bookmarkEnd w:id="491"/>
    </w:p>
    <w:p>
      <w:pPr>
        <w:spacing w:line="312" w:lineRule="auto"/>
        <w:ind w:firstLine="480"/>
        <w:rPr>
          <w:rFonts w:ascii="宋体" w:cs="宋体"/>
          <w:color w:val="auto"/>
          <w:highlight w:val="none"/>
        </w:rPr>
      </w:pPr>
      <w:r>
        <w:rPr>
          <w:rFonts w:hint="eastAsia" w:ascii="宋体" w:hAnsi="宋体" w:cs="宋体"/>
          <w:color w:val="auto"/>
          <w:highlight w:val="none"/>
        </w:rPr>
        <w:t>国企采购合同履行中，采购人需追加与合同标的相同的货物、工程或者服务的，在不改变合同其他条款的前提下，可以与</w:t>
      </w:r>
      <w:r>
        <w:rPr>
          <w:rFonts w:hint="eastAsia" w:ascii="宋体" w:hAnsi="宋体" w:cs="宋体"/>
          <w:color w:val="auto"/>
          <w:highlight w:val="none"/>
          <w:lang w:eastAsia="zh-CN"/>
        </w:rPr>
        <w:t>投标人</w:t>
      </w:r>
      <w:r>
        <w:rPr>
          <w:rFonts w:hint="eastAsia" w:ascii="宋体" w:hAnsi="宋体" w:cs="宋体"/>
          <w:color w:val="auto"/>
          <w:highlight w:val="none"/>
        </w:rPr>
        <w:t>签订补充合同，但所补充合同的采购金额不得超过原采购金额的</w:t>
      </w:r>
      <w:r>
        <w:rPr>
          <w:rFonts w:ascii="宋体" w:hAnsi="宋体" w:cs="宋体"/>
          <w:color w:val="auto"/>
          <w:highlight w:val="none"/>
        </w:rPr>
        <w:t>10%</w:t>
      </w:r>
      <w:r>
        <w:rPr>
          <w:rFonts w:hint="eastAsia" w:ascii="宋体" w:hAnsi="宋体" w:cs="宋体"/>
          <w:color w:val="auto"/>
          <w:highlight w:val="none"/>
        </w:rPr>
        <w:t>。</w:t>
      </w:r>
    </w:p>
    <w:p>
      <w:pPr>
        <w:pStyle w:val="37"/>
        <w:numPr>
          <w:ilvl w:val="0"/>
          <w:numId w:val="8"/>
        </w:numPr>
        <w:adjustRightInd w:val="0"/>
        <w:spacing w:line="312" w:lineRule="auto"/>
        <w:ind w:firstLine="480" w:firstLineChars="200"/>
        <w:jc w:val="both"/>
        <w:outlineLvl w:val="2"/>
        <w:rPr>
          <w:rFonts w:ascii="宋体" w:hAnsi="宋体" w:cs="宋体"/>
          <w:color w:val="auto"/>
          <w:highlight w:val="none"/>
          <w:lang w:bidi="ar"/>
        </w:rPr>
      </w:pPr>
      <w:bookmarkStart w:id="492" w:name="_Toc3538"/>
      <w:r>
        <w:rPr>
          <w:rFonts w:hint="eastAsia" w:ascii="宋体" w:hAnsi="宋体" w:cs="宋体"/>
          <w:color w:val="auto"/>
          <w:highlight w:val="none"/>
          <w:lang w:bidi="ar"/>
        </w:rPr>
        <w:t>本次招标合同期限及付款方式</w:t>
      </w:r>
      <w:bookmarkEnd w:id="492"/>
    </w:p>
    <w:p>
      <w:pPr>
        <w:pStyle w:val="37"/>
        <w:keepNext w:val="0"/>
        <w:keepLines w:val="0"/>
        <w:pageBreakBefore w:val="0"/>
        <w:widowControl/>
        <w:numPr>
          <w:ilvl w:val="1"/>
          <w:numId w:val="23"/>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合作期限：详见合同条款；</w:t>
      </w:r>
    </w:p>
    <w:p>
      <w:pPr>
        <w:pStyle w:val="37"/>
        <w:keepNext w:val="0"/>
        <w:keepLines w:val="0"/>
        <w:pageBreakBefore w:val="0"/>
        <w:widowControl/>
        <w:numPr>
          <w:ilvl w:val="1"/>
          <w:numId w:val="23"/>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pPr>
        <w:pStyle w:val="37"/>
        <w:numPr>
          <w:ilvl w:val="0"/>
          <w:numId w:val="8"/>
        </w:numPr>
        <w:adjustRightInd w:val="0"/>
        <w:spacing w:line="312" w:lineRule="auto"/>
        <w:ind w:firstLine="480" w:firstLineChars="200"/>
        <w:jc w:val="both"/>
        <w:outlineLvl w:val="2"/>
        <w:rPr>
          <w:rFonts w:ascii="宋体" w:hAnsi="宋体" w:cs="宋体"/>
          <w:color w:val="auto"/>
          <w:highlight w:val="none"/>
          <w:lang w:bidi="ar"/>
        </w:rPr>
      </w:pPr>
      <w:bookmarkStart w:id="493" w:name="_Toc660"/>
      <w:bookmarkStart w:id="494" w:name="_Toc361436980"/>
      <w:bookmarkStart w:id="495" w:name="_Toc361432660"/>
      <w:bookmarkStart w:id="496" w:name="_Toc327"/>
      <w:bookmarkStart w:id="497" w:name="_Toc361433420"/>
      <w:bookmarkStart w:id="498" w:name="_Toc101321796"/>
      <w:bookmarkStart w:id="499" w:name="_Toc81372777"/>
      <w:bookmarkStart w:id="500" w:name="_Toc361435893"/>
      <w:bookmarkStart w:id="501" w:name="_Toc361432200"/>
      <w:bookmarkStart w:id="502" w:name="_Toc361433873"/>
      <w:bookmarkStart w:id="503" w:name="_Toc363052661"/>
      <w:bookmarkStart w:id="504" w:name="_Toc361433090"/>
      <w:bookmarkStart w:id="505" w:name="_Toc361434052"/>
      <w:bookmarkStart w:id="506" w:name="_Toc361433601"/>
      <w:bookmarkStart w:id="507" w:name="_Toc81372954"/>
      <w:bookmarkStart w:id="508" w:name="_Toc361433768"/>
      <w:bookmarkStart w:id="509" w:name="_Toc27730"/>
      <w:bookmarkStart w:id="510" w:name="_Toc361437247"/>
      <w:bookmarkStart w:id="511" w:name="_Toc84325930"/>
      <w:bookmarkStart w:id="512" w:name="_Toc361433695"/>
      <w:bookmarkStart w:id="513" w:name="_Toc361437572"/>
      <w:bookmarkStart w:id="514" w:name="_Toc31349"/>
      <w:bookmarkStart w:id="515" w:name="_Toc361434250"/>
      <w:bookmarkStart w:id="516" w:name="_Toc19"/>
      <w:bookmarkStart w:id="517" w:name="_Toc361437173"/>
      <w:bookmarkStart w:id="518" w:name="_Toc361433283"/>
      <w:r>
        <w:rPr>
          <w:rFonts w:hint="eastAsia" w:ascii="宋体" w:hAnsi="宋体" w:cs="宋体"/>
          <w:color w:val="auto"/>
          <w:highlight w:val="none"/>
          <w:lang w:bidi="ar"/>
        </w:rPr>
        <w:t>招标代理费用</w:t>
      </w:r>
      <w:bookmarkEnd w:id="493"/>
    </w:p>
    <w:p>
      <w:pPr>
        <w:pStyle w:val="37"/>
        <w:keepNext w:val="0"/>
        <w:keepLines w:val="0"/>
        <w:pageBreakBefore w:val="0"/>
        <w:widowControl/>
        <w:numPr>
          <w:ilvl w:val="1"/>
          <w:numId w:val="2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default" w:ascii="宋体" w:hAnsi="宋体" w:eastAsia="宋体" w:cs="宋体"/>
          <w:color w:val="auto"/>
          <w:highlight w:val="none"/>
          <w:lang w:val="en-US" w:eastAsia="zh-CN" w:bidi="ar"/>
        </w:rPr>
      </w:pPr>
      <w:bookmarkStart w:id="519" w:name="_Toc759"/>
      <w:bookmarkStart w:id="520" w:name="_Toc6658"/>
      <w:bookmarkStart w:id="521" w:name="_Toc14430"/>
      <w:bookmarkStart w:id="522" w:name="_Toc7384"/>
      <w:bookmarkStart w:id="523" w:name="_Toc10535"/>
      <w:bookmarkStart w:id="524" w:name="_Toc18862"/>
      <w:bookmarkStart w:id="525" w:name="_Toc26725"/>
      <w:bookmarkStart w:id="526" w:name="_Toc31746"/>
      <w:bookmarkStart w:id="527" w:name="_Toc25338"/>
      <w:bookmarkStart w:id="528" w:name="_Toc30867"/>
      <w:bookmarkStart w:id="529" w:name="_Toc1992"/>
      <w:bookmarkStart w:id="530" w:name="_Toc366144040"/>
      <w:bookmarkStart w:id="531" w:name="_Toc3233"/>
      <w:bookmarkStart w:id="532" w:name="_Toc31514"/>
      <w:bookmarkStart w:id="533" w:name="_Toc16372"/>
      <w:bookmarkStart w:id="534" w:name="_Toc11991"/>
      <w:bookmarkStart w:id="535" w:name="_Toc4316"/>
      <w:bookmarkStart w:id="536" w:name="_Toc25070"/>
      <w:bookmarkStart w:id="537" w:name="_Toc3872"/>
      <w:bookmarkStart w:id="538" w:name="_Toc5064"/>
      <w:bookmarkStart w:id="539" w:name="_Toc17209"/>
      <w:bookmarkStart w:id="540" w:name="_Toc28587"/>
      <w:bookmarkStart w:id="541" w:name="_Toc28218"/>
      <w:bookmarkStart w:id="542" w:name="_Toc23772"/>
      <w:bookmarkStart w:id="543" w:name="_Toc6640"/>
      <w:bookmarkStart w:id="544" w:name="_Toc18934"/>
      <w:bookmarkStart w:id="545" w:name="_Toc13809"/>
      <w:bookmarkStart w:id="546" w:name="_Toc6421"/>
      <w:bookmarkStart w:id="547" w:name="_Toc24668"/>
      <w:bookmarkStart w:id="548" w:name="_Toc30799"/>
      <w:bookmarkStart w:id="549" w:name="_Toc30244"/>
      <w:bookmarkStart w:id="550" w:name="_Toc16186"/>
      <w:bookmarkStart w:id="551" w:name="_Toc3972"/>
      <w:bookmarkStart w:id="552" w:name="_Toc30941"/>
      <w:bookmarkStart w:id="553" w:name="_Toc356371441"/>
      <w:bookmarkStart w:id="554" w:name="_Toc787"/>
      <w:r>
        <w:rPr>
          <w:rFonts w:hint="eastAsia" w:ascii="宋体" w:hAnsi="宋体" w:eastAsia="宋体" w:cs="宋体"/>
          <w:color w:val="auto"/>
          <w:highlight w:val="none"/>
          <w:lang w:bidi="ar"/>
        </w:rPr>
        <w:t>本次采购代理服务费参照《招标代理服务收费管理暂行办法》（国家计委计价格〔2002〕1980号）文规定的收费标准收取,由</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在领取中标通知书时支付。</w:t>
      </w:r>
    </w:p>
    <w:p>
      <w:pPr>
        <w:pStyle w:val="37"/>
        <w:keepNext w:val="0"/>
        <w:keepLines w:val="0"/>
        <w:pageBreakBefore w:val="0"/>
        <w:widowControl/>
        <w:numPr>
          <w:ilvl w:val="1"/>
          <w:numId w:val="2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工程量清单</w:t>
      </w:r>
      <w:r>
        <w:rPr>
          <w:rFonts w:hint="eastAsia" w:ascii="宋体" w:hAnsi="宋体" w:cs="宋体"/>
          <w:color w:val="auto"/>
          <w:highlight w:val="none"/>
          <w:lang w:val="en-US" w:eastAsia="zh-CN" w:bidi="ar"/>
        </w:rPr>
        <w:t>（招标控制价）</w:t>
      </w:r>
      <w:r>
        <w:rPr>
          <w:rFonts w:hint="eastAsia" w:ascii="宋体" w:hAnsi="宋体" w:eastAsia="宋体" w:cs="宋体"/>
          <w:color w:val="auto"/>
          <w:highlight w:val="none"/>
          <w:lang w:val="en-US" w:eastAsia="zh-CN" w:bidi="ar"/>
        </w:rPr>
        <w:t>编制费用：人民币叁仟元整（¥3000.00元）</w:t>
      </w:r>
      <w:r>
        <w:rPr>
          <w:rFonts w:hint="eastAsia" w:ascii="宋体" w:hAnsi="宋体" w:eastAsia="宋体" w:cs="宋体"/>
          <w:color w:val="auto"/>
          <w:highlight w:val="none"/>
          <w:lang w:bidi="ar"/>
        </w:rPr>
        <w:t>,由</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在领取中标通知书时支付。</w:t>
      </w:r>
    </w:p>
    <w:p>
      <w:pPr>
        <w:pStyle w:val="37"/>
        <w:keepNext w:val="0"/>
        <w:keepLines w:val="0"/>
        <w:pageBreakBefore w:val="0"/>
        <w:widowControl/>
        <w:numPr>
          <w:ilvl w:val="1"/>
          <w:numId w:val="2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评委费最终按实</w:t>
      </w:r>
      <w:r>
        <w:rPr>
          <w:rFonts w:hint="eastAsia" w:ascii="宋体" w:hAnsi="宋体" w:eastAsia="宋体" w:cs="宋体"/>
          <w:color w:val="auto"/>
          <w:highlight w:val="none"/>
          <w:lang w:val="en-US" w:eastAsia="zh-CN" w:bidi="ar"/>
        </w:rPr>
        <w:t>结算，</w:t>
      </w:r>
      <w:r>
        <w:rPr>
          <w:rFonts w:hint="eastAsia" w:ascii="宋体" w:hAnsi="宋体" w:eastAsia="宋体" w:cs="宋体"/>
          <w:color w:val="auto"/>
          <w:highlight w:val="none"/>
          <w:lang w:bidi="ar"/>
        </w:rPr>
        <w:t>由</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支付。</w:t>
      </w:r>
    </w:p>
    <w:p>
      <w:pPr>
        <w:pStyle w:val="37"/>
        <w:keepNext w:val="0"/>
        <w:keepLines w:val="0"/>
        <w:pageBreakBefore w:val="0"/>
        <w:widowControl/>
        <w:numPr>
          <w:ilvl w:val="1"/>
          <w:numId w:val="24"/>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若出现终止采购情形的，上述费用由采购人支付。</w:t>
      </w:r>
    </w:p>
    <w:p>
      <w:pPr>
        <w:pStyle w:val="3"/>
        <w:numPr>
          <w:ilvl w:val="1"/>
          <w:numId w:val="0"/>
        </w:numPr>
        <w:spacing w:beforeLines="0" w:afterLines="0" w:line="312" w:lineRule="auto"/>
        <w:rPr>
          <w:rFonts w:ascii="宋体" w:hAnsi="宋体" w:cs="宋体"/>
          <w:b/>
          <w:bCs w:val="0"/>
          <w:color w:val="auto"/>
          <w:highlight w:val="none"/>
          <w:lang w:bidi="ar"/>
        </w:rPr>
      </w:pPr>
      <w:bookmarkStart w:id="555" w:name="_Toc27865"/>
      <w:bookmarkStart w:id="556" w:name="_Toc27073"/>
      <w:bookmarkStart w:id="557" w:name="_Toc18932"/>
      <w:bookmarkStart w:id="558" w:name="_Toc21042"/>
      <w:bookmarkStart w:id="559" w:name="_Toc32449"/>
      <w:bookmarkStart w:id="560" w:name="_Toc194"/>
      <w:bookmarkStart w:id="561" w:name="_Toc28293"/>
      <w:bookmarkStart w:id="562" w:name="_Toc26256"/>
      <w:bookmarkStart w:id="563" w:name="_Toc27560"/>
      <w:bookmarkStart w:id="564" w:name="_Toc1830"/>
      <w:bookmarkStart w:id="565" w:name="_Toc5554"/>
      <w:bookmarkStart w:id="566" w:name="_Toc829"/>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四</w:t>
      </w:r>
      <w:r>
        <w:rPr>
          <w:rFonts w:hint="eastAsia" w:ascii="宋体" w:hAnsi="宋体" w:cs="宋体"/>
          <w:b/>
          <w:bCs w:val="0"/>
          <w:color w:val="auto"/>
          <w:highlight w:val="none"/>
          <w:lang w:bidi="ar"/>
        </w:rPr>
        <w:t>、法律责任</w:t>
      </w:r>
      <w:bookmarkEnd w:id="555"/>
      <w:bookmarkEnd w:id="556"/>
      <w:bookmarkEnd w:id="557"/>
    </w:p>
    <w:p>
      <w:pPr>
        <w:pStyle w:val="37"/>
        <w:numPr>
          <w:ilvl w:val="0"/>
          <w:numId w:val="8"/>
        </w:numPr>
        <w:adjustRightInd w:val="0"/>
        <w:spacing w:line="312" w:lineRule="auto"/>
        <w:ind w:firstLine="480"/>
        <w:jc w:val="both"/>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w:t>
      </w:r>
      <w:r>
        <w:rPr>
          <w:rFonts w:hint="eastAsia" w:ascii="宋体" w:hAnsi="宋体" w:cs="宋体"/>
          <w:color w:val="auto"/>
          <w:highlight w:val="none"/>
          <w:lang w:eastAsia="zh-CN" w:bidi="ar"/>
        </w:rPr>
        <w:t>，</w:t>
      </w:r>
      <w:r>
        <w:rPr>
          <w:rFonts w:hint="eastAsia" w:ascii="宋体" w:hAnsi="宋体" w:cs="宋体"/>
          <w:color w:val="auto"/>
          <w:highlight w:val="none"/>
          <w:lang w:bidi="ar"/>
        </w:rPr>
        <w:t>处以政府采购项目中标金额千分之五以上千分之十以下的罚款</w:t>
      </w:r>
      <w:r>
        <w:rPr>
          <w:rFonts w:hint="eastAsia" w:ascii="宋体" w:hAnsi="宋体" w:cs="宋体"/>
          <w:color w:val="auto"/>
          <w:highlight w:val="none"/>
          <w:lang w:eastAsia="zh-CN" w:bidi="ar"/>
        </w:rPr>
        <w:t>，</w:t>
      </w:r>
      <w:r>
        <w:rPr>
          <w:rFonts w:hint="eastAsia" w:ascii="宋体" w:hAnsi="宋体" w:cs="宋体"/>
          <w:color w:val="auto"/>
          <w:highlight w:val="none"/>
          <w:lang w:bidi="ar"/>
        </w:rPr>
        <w:t>列入不良行为记录名单</w:t>
      </w:r>
      <w:r>
        <w:rPr>
          <w:rFonts w:hint="eastAsia" w:ascii="宋体" w:hAnsi="宋体" w:cs="宋体"/>
          <w:color w:val="auto"/>
          <w:highlight w:val="none"/>
          <w:lang w:eastAsia="zh-CN" w:bidi="ar"/>
        </w:rPr>
        <w:t>，</w:t>
      </w:r>
      <w:r>
        <w:rPr>
          <w:rFonts w:hint="eastAsia" w:ascii="宋体" w:hAnsi="宋体" w:cs="宋体"/>
          <w:color w:val="auto"/>
          <w:highlight w:val="none"/>
          <w:lang w:bidi="ar"/>
        </w:rPr>
        <w:t>在一至三年内禁止参加国企采购活动</w:t>
      </w:r>
      <w:r>
        <w:rPr>
          <w:rFonts w:hint="eastAsia" w:ascii="宋体" w:hAnsi="宋体" w:cs="宋体"/>
          <w:color w:val="auto"/>
          <w:highlight w:val="none"/>
          <w:lang w:eastAsia="zh-CN" w:bidi="ar"/>
        </w:rPr>
        <w:t>，</w:t>
      </w:r>
      <w:r>
        <w:rPr>
          <w:rFonts w:hint="eastAsia" w:ascii="宋体" w:hAnsi="宋体" w:cs="宋体"/>
          <w:color w:val="auto"/>
          <w:highlight w:val="none"/>
          <w:lang w:bidi="ar"/>
        </w:rPr>
        <w:t>并予以公告</w:t>
      </w:r>
      <w:r>
        <w:rPr>
          <w:rFonts w:hint="eastAsia" w:ascii="宋体" w:hAnsi="宋体" w:cs="宋体"/>
          <w:color w:val="auto"/>
          <w:highlight w:val="none"/>
          <w:lang w:eastAsia="zh-CN" w:bidi="ar"/>
        </w:rPr>
        <w:t>，</w:t>
      </w:r>
      <w:r>
        <w:rPr>
          <w:rFonts w:hint="eastAsia" w:ascii="宋体" w:hAnsi="宋体" w:cs="宋体"/>
          <w:color w:val="auto"/>
          <w:highlight w:val="none"/>
          <w:lang w:bidi="ar"/>
        </w:rPr>
        <w:t>有违法所得的</w:t>
      </w:r>
      <w:r>
        <w:rPr>
          <w:rFonts w:hint="eastAsia" w:ascii="宋体" w:hAnsi="宋体" w:cs="宋体"/>
          <w:color w:val="auto"/>
          <w:highlight w:val="none"/>
          <w:lang w:eastAsia="zh-CN" w:bidi="ar"/>
        </w:rPr>
        <w:t>，</w:t>
      </w:r>
      <w:r>
        <w:rPr>
          <w:rFonts w:hint="eastAsia" w:ascii="宋体" w:hAnsi="宋体" w:cs="宋体"/>
          <w:color w:val="auto"/>
          <w:highlight w:val="none"/>
          <w:lang w:bidi="ar"/>
        </w:rPr>
        <w:t>并处没收违法所得</w:t>
      </w:r>
      <w:r>
        <w:rPr>
          <w:rFonts w:hint="eastAsia" w:ascii="宋体" w:hAnsi="宋体" w:cs="宋体"/>
          <w:color w:val="auto"/>
          <w:highlight w:val="none"/>
          <w:lang w:eastAsia="zh-CN" w:bidi="ar"/>
        </w:rPr>
        <w:t>，</w:t>
      </w:r>
      <w:r>
        <w:rPr>
          <w:rFonts w:hint="eastAsia" w:ascii="宋体" w:hAnsi="宋体" w:cs="宋体"/>
          <w:color w:val="auto"/>
          <w:highlight w:val="none"/>
          <w:lang w:bidi="ar"/>
        </w:rPr>
        <w:t>情节严重的</w:t>
      </w:r>
      <w:r>
        <w:rPr>
          <w:rFonts w:hint="eastAsia" w:ascii="宋体" w:hAnsi="宋体" w:cs="宋体"/>
          <w:color w:val="auto"/>
          <w:highlight w:val="none"/>
          <w:lang w:eastAsia="zh-CN" w:bidi="ar"/>
        </w:rPr>
        <w:t>，</w:t>
      </w:r>
      <w:r>
        <w:rPr>
          <w:rFonts w:hint="eastAsia" w:ascii="宋体" w:hAnsi="宋体" w:cs="宋体"/>
          <w:color w:val="auto"/>
          <w:highlight w:val="none"/>
          <w:lang w:bidi="ar"/>
        </w:rPr>
        <w:t>由市场监督管理机关吊销营业执照</w:t>
      </w:r>
      <w:r>
        <w:rPr>
          <w:rFonts w:hint="eastAsia" w:ascii="宋体" w:hAnsi="宋体" w:cs="宋体"/>
          <w:color w:val="auto"/>
          <w:highlight w:val="none"/>
          <w:lang w:eastAsia="zh-CN" w:bidi="ar"/>
        </w:rPr>
        <w:t>；</w:t>
      </w:r>
      <w:r>
        <w:rPr>
          <w:rFonts w:hint="eastAsia" w:ascii="宋体" w:hAnsi="宋体" w:cs="宋体"/>
          <w:color w:val="auto"/>
          <w:highlight w:val="none"/>
          <w:lang w:bidi="ar"/>
        </w:rPr>
        <w:t>构成犯罪的</w:t>
      </w:r>
      <w:r>
        <w:rPr>
          <w:rFonts w:hint="eastAsia" w:ascii="宋体" w:hAnsi="宋体" w:cs="宋体"/>
          <w:color w:val="auto"/>
          <w:highlight w:val="none"/>
          <w:lang w:eastAsia="zh-CN" w:bidi="ar"/>
        </w:rPr>
        <w:t>，</w:t>
      </w:r>
      <w:r>
        <w:rPr>
          <w:rFonts w:hint="eastAsia" w:ascii="宋体" w:hAnsi="宋体" w:cs="宋体"/>
          <w:color w:val="auto"/>
          <w:highlight w:val="none"/>
          <w:lang w:bidi="ar"/>
        </w:rPr>
        <w:t>依法追究刑事责任</w:t>
      </w:r>
      <w:r>
        <w:rPr>
          <w:rFonts w:hint="eastAsia" w:ascii="宋体" w:hAnsi="宋体" w:cs="宋体"/>
          <w:color w:val="auto"/>
          <w:highlight w:val="none"/>
          <w:lang w:eastAsia="zh-CN" w:bidi="ar"/>
        </w:rPr>
        <w:t>：</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提供虚假材料谋取中标的；</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采取不正当手段诋毁、排挤其他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与采购人、采购代理机构、其他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恶意串通的；</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向采购人、采购代理机构行贿或者提供其他不正当利益的；</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在招标过程中与采购人进行协商谈判、不按照招标文件和</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的投标文件订立合同</w:t>
      </w:r>
      <w:r>
        <w:rPr>
          <w:rFonts w:hint="eastAsia" w:ascii="宋体" w:hAnsi="宋体" w:cs="宋体"/>
          <w:color w:val="auto"/>
          <w:highlight w:val="none"/>
          <w:lang w:eastAsia="zh-CN" w:bidi="ar"/>
        </w:rPr>
        <w:t>，</w:t>
      </w:r>
      <w:r>
        <w:rPr>
          <w:rFonts w:hint="eastAsia" w:ascii="宋体" w:hAnsi="宋体" w:cs="宋体"/>
          <w:color w:val="auto"/>
          <w:highlight w:val="none"/>
          <w:lang w:bidi="ar"/>
        </w:rPr>
        <w:t>或者与采购人另行订立背离合同实质性内容的协议的；</w:t>
      </w:r>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outlineLvl w:val="2"/>
        <w:rPr>
          <w:rFonts w:ascii="宋体" w:hAnsi="宋体" w:cs="宋体"/>
          <w:color w:val="auto"/>
          <w:highlight w:val="none"/>
          <w:lang w:bidi="ar"/>
        </w:rPr>
      </w:pPr>
      <w:bookmarkStart w:id="567" w:name="_Toc10003"/>
      <w:r>
        <w:rPr>
          <w:rFonts w:hint="eastAsia" w:ascii="宋体" w:hAnsi="宋体" w:cs="宋体"/>
          <w:color w:val="auto"/>
          <w:highlight w:val="none"/>
          <w:lang w:bidi="ar"/>
        </w:rPr>
        <w:t>拒绝有关部门监督检查或者提供虚假情况的。</w:t>
      </w:r>
      <w:bookmarkEnd w:id="567"/>
    </w:p>
    <w:p>
      <w:pPr>
        <w:pStyle w:val="3"/>
        <w:numPr>
          <w:ilvl w:val="1"/>
          <w:numId w:val="0"/>
        </w:numPr>
        <w:spacing w:beforeLines="0" w:afterLines="0" w:line="312" w:lineRule="auto"/>
        <w:jc w:val="center"/>
        <w:rPr>
          <w:rFonts w:ascii="宋体" w:hAnsi="宋体" w:cs="宋体"/>
          <w:b/>
          <w:bCs w:val="0"/>
          <w:color w:val="auto"/>
          <w:highlight w:val="none"/>
        </w:rPr>
      </w:pPr>
      <w:bookmarkStart w:id="568" w:name="_Toc19842"/>
      <w:bookmarkStart w:id="569" w:name="_Toc10353"/>
      <w:bookmarkStart w:id="570" w:name="_Toc19245"/>
      <w:r>
        <w:rPr>
          <w:rFonts w:hint="eastAsia" w:ascii="宋体" w:hAnsi="宋体" w:cs="宋体"/>
          <w:b/>
          <w:bCs w:val="0"/>
          <w:color w:val="auto"/>
          <w:highlight w:val="none"/>
        </w:rPr>
        <w:t>十</w:t>
      </w:r>
      <w:r>
        <w:rPr>
          <w:rFonts w:hint="eastAsia" w:ascii="宋体" w:hAnsi="宋体" w:cs="宋体"/>
          <w:b/>
          <w:bCs w:val="0"/>
          <w:color w:val="auto"/>
          <w:highlight w:val="none"/>
          <w:lang w:val="en-US" w:eastAsia="zh-CN"/>
        </w:rPr>
        <w:t>五</w:t>
      </w:r>
      <w:r>
        <w:rPr>
          <w:rFonts w:hint="eastAsia" w:ascii="宋体" w:hAnsi="宋体" w:cs="宋体"/>
          <w:b/>
          <w:bCs w:val="0"/>
          <w:color w:val="auto"/>
          <w:highlight w:val="none"/>
        </w:rPr>
        <w:t>、诚信管理</w:t>
      </w:r>
      <w:bookmarkEnd w:id="568"/>
      <w:bookmarkEnd w:id="569"/>
      <w:bookmarkEnd w:id="570"/>
    </w:p>
    <w:p>
      <w:pPr>
        <w:pStyle w:val="37"/>
        <w:keepNext w:val="0"/>
        <w:keepLines w:val="0"/>
        <w:pageBreakBefore w:val="0"/>
        <w:widowControl/>
        <w:numPr>
          <w:ilvl w:val="0"/>
          <w:numId w:val="25"/>
        </w:numPr>
        <w:kinsoku/>
        <w:wordWrap/>
        <w:overflowPunct/>
        <w:topLinePunct w:val="0"/>
        <w:autoSpaceDE/>
        <w:autoSpaceDN/>
        <w:bidi w:val="0"/>
        <w:adjustRightInd w:val="0"/>
        <w:snapToGrid/>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有下列情形之一的，依据《关于印发浙江省政府</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注册及诚信管理暂行办</w:t>
      </w:r>
      <w:r>
        <w:rPr>
          <w:rFonts w:hint="eastAsia" w:ascii="宋体" w:hAnsi="宋体" w:cs="宋体"/>
          <w:color w:val="auto"/>
          <w:highlight w:val="none"/>
          <w:lang w:eastAsia="zh-CN" w:bidi="ar"/>
        </w:rPr>
        <w:t>法的</w:t>
      </w:r>
      <w:r>
        <w:rPr>
          <w:rFonts w:hint="eastAsia" w:ascii="宋体" w:hAnsi="宋体" w:cs="宋体"/>
          <w:color w:val="auto"/>
          <w:highlight w:val="none"/>
          <w:lang w:bidi="ar"/>
        </w:rPr>
        <w:t>通知》[浙财采监字〔2009〕28号]文件第三十八条和第三十九条的规定记录不良行为、黑名单及处罚。</w:t>
      </w:r>
    </w:p>
    <w:p>
      <w:pPr>
        <w:pStyle w:val="37"/>
        <w:keepNext w:val="0"/>
        <w:keepLines w:val="0"/>
        <w:pageBreakBefore w:val="0"/>
        <w:widowControl/>
        <w:numPr>
          <w:ilvl w:val="1"/>
          <w:numId w:val="25"/>
        </w:numPr>
        <w:tabs>
          <w:tab w:val="left" w:pos="171"/>
        </w:tabs>
        <w:kinsoku/>
        <w:wordWrap/>
        <w:overflowPunct/>
        <w:topLinePunct w:val="0"/>
        <w:autoSpaceDE/>
        <w:autoSpaceDN/>
        <w:bidi w:val="0"/>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有下列情形之一的，采购人或采购代理机构应按不良行为记入该注册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w:t>
      </w:r>
    </w:p>
    <w:p>
      <w:pPr>
        <w:adjustRightInd w:val="0"/>
        <w:snapToGrid w:val="0"/>
        <w:spacing w:line="312" w:lineRule="auto"/>
        <w:ind w:firstLine="480"/>
        <w:outlineLvl w:val="2"/>
        <w:rPr>
          <w:rFonts w:ascii="宋体" w:hAnsi="宋体"/>
          <w:color w:val="auto"/>
          <w:highlight w:val="none"/>
        </w:rPr>
      </w:pPr>
      <w:bookmarkStart w:id="571" w:name="_Toc25740"/>
      <w:r>
        <w:rPr>
          <w:rFonts w:hint="eastAsia" w:ascii="宋体" w:hAnsi="宋体"/>
          <w:color w:val="auto"/>
          <w:highlight w:val="none"/>
        </w:rPr>
        <w:t>（一）开标后擅自撤回采购投标文件，影响采购活动继续进行的；</w:t>
      </w:r>
      <w:bookmarkEnd w:id="571"/>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pPr>
        <w:adjustRightInd w:val="0"/>
        <w:snapToGrid w:val="0"/>
        <w:spacing w:line="312" w:lineRule="auto"/>
        <w:ind w:firstLine="480"/>
        <w:outlineLvl w:val="2"/>
        <w:rPr>
          <w:rFonts w:ascii="宋体" w:hAnsi="宋体"/>
          <w:color w:val="auto"/>
          <w:highlight w:val="none"/>
        </w:rPr>
      </w:pPr>
      <w:bookmarkStart w:id="572" w:name="_Toc14984"/>
      <w:r>
        <w:rPr>
          <w:rFonts w:hint="eastAsia" w:ascii="宋体" w:hAnsi="宋体"/>
          <w:color w:val="auto"/>
          <w:highlight w:val="none"/>
        </w:rPr>
        <w:t>（四）超过合同约定的供货（或服务）时间达10日以上的；</w:t>
      </w:r>
      <w:bookmarkEnd w:id="572"/>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（五）中标、成交后，将国企采购合同转包或擅自分包给其他</w:t>
      </w:r>
      <w:r>
        <w:rPr>
          <w:rFonts w:hint="eastAsia" w:ascii="宋体" w:hAnsi="宋体"/>
          <w:color w:val="auto"/>
          <w:highlight w:val="none"/>
          <w:lang w:eastAsia="zh-CN"/>
        </w:rPr>
        <w:t>投标人</w:t>
      </w:r>
      <w:r>
        <w:rPr>
          <w:rFonts w:hint="eastAsia" w:ascii="宋体" w:hAnsi="宋体"/>
          <w:color w:val="auto"/>
          <w:highlight w:val="none"/>
        </w:rPr>
        <w:t>的；</w:t>
      </w:r>
    </w:p>
    <w:p>
      <w:pPr>
        <w:adjustRightInd w:val="0"/>
        <w:snapToGrid w:val="0"/>
        <w:spacing w:line="312" w:lineRule="auto"/>
        <w:ind w:firstLine="480"/>
        <w:outlineLvl w:val="2"/>
        <w:rPr>
          <w:rFonts w:ascii="宋体" w:hAnsi="宋体"/>
          <w:color w:val="auto"/>
          <w:highlight w:val="none"/>
        </w:rPr>
      </w:pPr>
      <w:bookmarkStart w:id="573" w:name="_Toc30937"/>
      <w:r>
        <w:rPr>
          <w:rFonts w:hint="eastAsia" w:ascii="宋体" w:hAnsi="宋体"/>
          <w:color w:val="auto"/>
          <w:highlight w:val="none"/>
        </w:rPr>
        <w:t>（六）提供假冒伪劣产品或走私物品的；</w:t>
      </w:r>
      <w:bookmarkEnd w:id="573"/>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（七）擅自降低产品质量等次和售后服务，或以次充好、偷工减料的；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（八）实际提供的有关产品性能指标和技术服务能力明显低于采购投标文件或询标、谈判时的承诺；</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（九）在供应商库中发布的产品服务信息或在政府采购网上宣传的信息与实际明显不符，或故意误导采购人的；</w:t>
      </w:r>
    </w:p>
    <w:p>
      <w:pPr>
        <w:adjustRightInd w:val="0"/>
        <w:snapToGrid w:val="0"/>
        <w:spacing w:line="312" w:lineRule="auto"/>
        <w:ind w:firstLine="480"/>
        <w:outlineLvl w:val="2"/>
        <w:rPr>
          <w:rFonts w:ascii="宋体" w:hAnsi="宋体"/>
          <w:color w:val="auto"/>
          <w:highlight w:val="none"/>
        </w:rPr>
      </w:pPr>
      <w:bookmarkStart w:id="574" w:name="_Toc8068"/>
      <w:r>
        <w:rPr>
          <w:rFonts w:hint="eastAsia" w:ascii="宋体" w:hAnsi="宋体"/>
          <w:color w:val="auto"/>
          <w:highlight w:val="none"/>
        </w:rPr>
        <w:t>（十）不按规定或不及时变更供应商库中的有关信息的；</w:t>
      </w:r>
      <w:bookmarkEnd w:id="574"/>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pPr>
        <w:adjustRightInd w:val="0"/>
        <w:snapToGrid w:val="0"/>
        <w:spacing w:line="312" w:lineRule="auto"/>
        <w:ind w:firstLine="480"/>
        <w:outlineLvl w:val="2"/>
        <w:rPr>
          <w:rFonts w:ascii="宋体" w:hAnsi="宋体"/>
          <w:color w:val="auto"/>
          <w:highlight w:val="none"/>
        </w:rPr>
      </w:pPr>
      <w:bookmarkStart w:id="575" w:name="_Toc24408"/>
      <w:r>
        <w:rPr>
          <w:rFonts w:hint="eastAsia" w:ascii="宋体" w:hAnsi="宋体"/>
          <w:color w:val="auto"/>
          <w:highlight w:val="none"/>
        </w:rPr>
        <w:t>（十二）各级财政部门认定</w:t>
      </w:r>
      <w:r>
        <w:rPr>
          <w:rFonts w:hint="eastAsia" w:ascii="宋体" w:hAnsi="宋体"/>
          <w:color w:val="auto"/>
          <w:highlight w:val="none"/>
          <w:lang w:eastAsia="zh-CN"/>
        </w:rPr>
        <w:t>的其他</w:t>
      </w:r>
      <w:r>
        <w:rPr>
          <w:rFonts w:hint="eastAsia" w:ascii="宋体" w:hAnsi="宋体"/>
          <w:color w:val="auto"/>
          <w:highlight w:val="none"/>
        </w:rPr>
        <w:t>有违诚实信用的行为。</w:t>
      </w:r>
      <w:bookmarkEnd w:id="575"/>
    </w:p>
    <w:p>
      <w:pPr>
        <w:pStyle w:val="37"/>
        <w:keepNext w:val="0"/>
        <w:keepLines w:val="0"/>
        <w:pageBreakBefore w:val="0"/>
        <w:widowControl/>
        <w:numPr>
          <w:ilvl w:val="1"/>
          <w:numId w:val="25"/>
        </w:numP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 xml:space="preserve"> 注册供应商有下列情形之一的，采购人或采购代理机构应向同级主管部门书面报告，并提请主管部门将其列入“黑名单”或者依法作出处罚；各级主管部门在依法处罚的同时，应将该情况按不良行为记入该供应商诚信档案中，同时将该供应商列入“黑名单”公开曝光：</w:t>
      </w:r>
    </w:p>
    <w:p>
      <w:pPr>
        <w:pStyle w:val="37"/>
        <w:numPr>
          <w:ilvl w:val="255"/>
          <w:numId w:val="0"/>
        </w:numPr>
        <w:tabs>
          <w:tab w:val="left" w:pos="0"/>
          <w:tab w:val="left" w:pos="171"/>
        </w:tabs>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（二）采取不正当手段诋毁、排挤其他</w:t>
      </w:r>
      <w:r>
        <w:rPr>
          <w:rFonts w:hint="eastAsia" w:ascii="宋体" w:hAnsi="宋体"/>
          <w:color w:val="auto"/>
          <w:highlight w:val="none"/>
          <w:lang w:eastAsia="zh-CN"/>
        </w:rPr>
        <w:t>投标人</w:t>
      </w:r>
      <w:r>
        <w:rPr>
          <w:rFonts w:hint="eastAsia" w:ascii="宋体" w:hAnsi="宋体"/>
          <w:color w:val="auto"/>
          <w:highlight w:val="none"/>
        </w:rPr>
        <w:t>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（三）与采购人、其他</w:t>
      </w:r>
      <w:r>
        <w:rPr>
          <w:rFonts w:hint="eastAsia" w:ascii="宋体" w:hAnsi="宋体"/>
          <w:color w:val="auto"/>
          <w:highlight w:val="none"/>
          <w:lang w:eastAsia="zh-CN"/>
        </w:rPr>
        <w:t>投标人</w:t>
      </w:r>
      <w:r>
        <w:rPr>
          <w:rFonts w:hint="eastAsia" w:ascii="宋体" w:hAnsi="宋体"/>
          <w:color w:val="auto"/>
          <w:highlight w:val="none"/>
        </w:rPr>
        <w:t>或者采购代理机构恶意串通的；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w:t>
      </w:r>
      <w:r>
        <w:rPr>
          <w:rFonts w:hint="eastAsia" w:ascii="宋体" w:hAnsi="宋体"/>
          <w:color w:val="auto"/>
          <w:highlight w:val="none"/>
          <w:lang w:eastAsia="zh-CN"/>
        </w:rPr>
        <w:t>查处</w:t>
      </w:r>
      <w:r>
        <w:rPr>
          <w:rFonts w:hint="eastAsia" w:ascii="宋体" w:hAnsi="宋体"/>
          <w:color w:val="auto"/>
          <w:highlight w:val="none"/>
        </w:rPr>
        <w:t>的；</w:t>
      </w:r>
    </w:p>
    <w:p>
      <w:pPr>
        <w:adjustRightInd w:val="0"/>
        <w:snapToGrid w:val="0"/>
        <w:spacing w:line="312" w:lineRule="auto"/>
        <w:ind w:firstLine="480"/>
        <w:outlineLvl w:val="2"/>
        <w:rPr>
          <w:rFonts w:ascii="宋体" w:hAnsi="宋体"/>
          <w:color w:val="auto"/>
          <w:highlight w:val="none"/>
        </w:rPr>
      </w:pPr>
      <w:bookmarkStart w:id="576" w:name="_Toc14927"/>
      <w:r>
        <w:rPr>
          <w:rFonts w:hint="eastAsia" w:ascii="宋体" w:hAnsi="宋体"/>
          <w:color w:val="auto"/>
          <w:highlight w:val="none"/>
        </w:rPr>
        <w:t>（五）在招标采购过程中与采购人进行协商谈判的；</w:t>
      </w:r>
      <w:bookmarkEnd w:id="576"/>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（七）提供虚假材料骗取注册供应商资格的；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（八）伪造《浙江省政府采购注册供应商信息登记表》的；</w:t>
      </w:r>
    </w:p>
    <w:p>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（九）销售或发布</w:t>
      </w:r>
      <w:r>
        <w:rPr>
          <w:rFonts w:hint="eastAsia" w:ascii="宋体" w:hAnsi="宋体"/>
          <w:color w:val="auto"/>
          <w:highlight w:val="none"/>
          <w:lang w:eastAsia="zh-CN"/>
        </w:rPr>
        <w:t>法律法规</w:t>
      </w:r>
      <w:r>
        <w:rPr>
          <w:rFonts w:hint="eastAsia" w:ascii="宋体" w:hAnsi="宋体"/>
          <w:color w:val="auto"/>
          <w:highlight w:val="none"/>
        </w:rPr>
        <w:t>禁止销售的商品、服务和其他违法信息的；</w:t>
      </w:r>
    </w:p>
    <w:p>
      <w:pPr>
        <w:adjustRightInd w:val="0"/>
        <w:snapToGrid w:val="0"/>
        <w:spacing w:line="312" w:lineRule="auto"/>
        <w:ind w:firstLine="480"/>
        <w:outlineLvl w:val="2"/>
        <w:rPr>
          <w:rFonts w:ascii="宋体" w:hAnsi="宋体"/>
          <w:color w:val="auto"/>
          <w:highlight w:val="none"/>
        </w:rPr>
      </w:pPr>
      <w:bookmarkStart w:id="577" w:name="_Toc30788"/>
      <w:r>
        <w:rPr>
          <w:rFonts w:hint="eastAsia" w:ascii="宋体" w:hAnsi="宋体"/>
          <w:color w:val="auto"/>
          <w:highlight w:val="none"/>
        </w:rPr>
        <w:t>（十）</w:t>
      </w:r>
      <w:r>
        <w:rPr>
          <w:rFonts w:hint="eastAsia" w:ascii="宋体" w:hAnsi="宋体"/>
          <w:color w:val="auto"/>
          <w:highlight w:val="none"/>
          <w:lang w:eastAsia="zh-CN"/>
        </w:rPr>
        <w:t>其他违反法律法规</w:t>
      </w:r>
      <w:r>
        <w:rPr>
          <w:rFonts w:hint="eastAsia" w:ascii="宋体" w:hAnsi="宋体"/>
          <w:color w:val="auto"/>
          <w:highlight w:val="none"/>
        </w:rPr>
        <w:t>和政府采购管理有关规定的行为的。</w:t>
      </w:r>
      <w:bookmarkEnd w:id="577"/>
    </w:p>
    <w:p>
      <w:pPr>
        <w:pStyle w:val="3"/>
        <w:numPr>
          <w:ilvl w:val="1"/>
          <w:numId w:val="0"/>
        </w:numPr>
        <w:spacing w:beforeLines="0" w:afterLines="0" w:line="312" w:lineRule="auto"/>
        <w:rPr>
          <w:rFonts w:ascii="宋体" w:hAnsi="宋体" w:cs="宋体"/>
          <w:b/>
          <w:bCs w:val="0"/>
          <w:color w:val="auto"/>
          <w:highlight w:val="none"/>
          <w:lang w:bidi="ar"/>
        </w:rPr>
      </w:pPr>
      <w:bookmarkStart w:id="578" w:name="_Toc5209"/>
      <w:bookmarkStart w:id="579" w:name="_Toc14150"/>
      <w:bookmarkStart w:id="580" w:name="_Toc18631"/>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六</w:t>
      </w:r>
      <w:r>
        <w:rPr>
          <w:rFonts w:hint="eastAsia" w:ascii="宋体" w:hAnsi="宋体" w:cs="宋体"/>
          <w:b/>
          <w:bCs w:val="0"/>
          <w:color w:val="auto"/>
          <w:highlight w:val="none"/>
          <w:lang w:bidi="ar"/>
        </w:rPr>
        <w:t>、其他</w:t>
      </w:r>
      <w:bookmarkEnd w:id="578"/>
      <w:bookmarkEnd w:id="579"/>
      <w:bookmarkEnd w:id="580"/>
    </w:p>
    <w:p>
      <w:pPr>
        <w:pStyle w:val="37"/>
        <w:keepNext w:val="0"/>
        <w:keepLines w:val="0"/>
        <w:pageBreakBefore w:val="0"/>
        <w:widowControl/>
        <w:numPr>
          <w:ilvl w:val="0"/>
          <w:numId w:val="25"/>
        </w:numPr>
        <w:kinsoku/>
        <w:wordWrap/>
        <w:overflowPunct/>
        <w:topLinePunct w:val="0"/>
        <w:autoSpaceDE/>
        <w:autoSpaceDN/>
        <w:bidi w:val="0"/>
        <w:adjustRightInd w:val="0"/>
        <w:snapToGrid/>
        <w:spacing w:line="312"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w:t>
      </w:r>
      <w:r>
        <w:rPr>
          <w:rFonts w:hint="eastAsia" w:ascii="宋体" w:hAnsi="宋体" w:cs="宋体"/>
          <w:color w:val="auto"/>
          <w:highlight w:val="none"/>
          <w:lang w:val="en-US" w:eastAsia="zh-CN" w:bidi="ar"/>
        </w:rPr>
        <w:t>参照</w:t>
      </w:r>
      <w:r>
        <w:rPr>
          <w:rFonts w:hint="eastAsia" w:ascii="宋体" w:hAnsi="宋体" w:eastAsia="宋体" w:cs="宋体"/>
          <w:color w:val="auto"/>
          <w:highlight w:val="none"/>
          <w:lang w:bidi="ar"/>
        </w:rPr>
        <w:t>《政府采购法》及有关规定编制的，解释权属采购人。</w:t>
      </w:r>
    </w:p>
    <w:p>
      <w:pPr>
        <w:pStyle w:val="37"/>
        <w:keepNext w:val="0"/>
        <w:keepLines w:val="0"/>
        <w:pageBreakBefore w:val="0"/>
        <w:widowControl/>
        <w:numPr>
          <w:ilvl w:val="0"/>
          <w:numId w:val="25"/>
        </w:numPr>
        <w:kinsoku/>
        <w:wordWrap/>
        <w:overflowPunct/>
        <w:topLinePunct w:val="0"/>
        <w:autoSpaceDE/>
        <w:autoSpaceDN/>
        <w:bidi w:val="0"/>
        <w:adjustRightInd w:val="0"/>
        <w:snapToGrid/>
        <w:spacing w:line="312"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ascii="宋体" w:hAnsi="宋体" w:cs="宋体"/>
          <w:color w:val="auto"/>
          <w:highlight w:val="none"/>
          <w:lang w:bidi="ar"/>
        </w:rPr>
      </w:pPr>
      <w:r>
        <w:rPr>
          <w:rFonts w:hint="eastAsia" w:ascii="宋体" w:hAnsi="宋体" w:cs="宋体"/>
          <w:color w:val="auto"/>
          <w:highlight w:val="none"/>
          <w:lang w:bidi="ar"/>
        </w:rPr>
        <w:t>通讯地址：</w:t>
      </w:r>
      <w:r>
        <w:rPr>
          <w:rFonts w:hint="eastAsia" w:ascii="宋体" w:hAnsi="宋体" w:cs="宋体"/>
          <w:color w:val="auto"/>
          <w:highlight w:val="none"/>
          <w:lang w:eastAsia="zh-CN" w:bidi="ar"/>
        </w:rPr>
        <w:t>浙江新诚信工程咨询有限公司</w:t>
      </w:r>
      <w:r>
        <w:rPr>
          <w:rFonts w:hint="eastAsia" w:ascii="宋体" w:hAnsi="宋体" w:cs="宋体"/>
          <w:color w:val="auto"/>
          <w:highlight w:val="none"/>
          <w:lang w:bidi="ar"/>
        </w:rPr>
        <w:t xml:space="preserve"> （</w:t>
      </w:r>
      <w:r>
        <w:rPr>
          <w:rFonts w:hint="eastAsia" w:ascii="宋体" w:hAnsi="宋体" w:cs="宋体"/>
          <w:color w:val="auto"/>
          <w:highlight w:val="none"/>
          <w:lang w:eastAsia="zh-CN" w:bidi="ar"/>
        </w:rPr>
        <w:t>龙游县龙洲街道环河步行街242号313室</w:t>
      </w:r>
      <w:r>
        <w:rPr>
          <w:rFonts w:hint="eastAsia" w:ascii="宋体" w:hAnsi="宋体" w:cs="宋体"/>
          <w:color w:val="auto"/>
          <w:highlight w:val="none"/>
          <w:lang w:bidi="ar"/>
        </w:rPr>
        <w:t>）</w:t>
      </w: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eastAsia="宋体" w:cs="宋体"/>
          <w:color w:val="auto"/>
          <w:highlight w:val="none"/>
          <w:lang w:eastAsia="zh-CN" w:bidi="ar"/>
        </w:rPr>
      </w:pPr>
      <w:r>
        <w:rPr>
          <w:rFonts w:hint="eastAsia" w:ascii="宋体" w:hAnsi="宋体" w:cs="宋体"/>
          <w:color w:val="auto"/>
          <w:highlight w:val="none"/>
          <w:lang w:bidi="ar"/>
        </w:rPr>
        <w:t>项目联系人：</w:t>
      </w:r>
      <w:r>
        <w:rPr>
          <w:rFonts w:hint="eastAsia" w:ascii="宋体" w:hAnsi="宋体" w:cs="宋体"/>
          <w:color w:val="auto"/>
          <w:highlight w:val="none"/>
          <w:lang w:eastAsia="zh-CN" w:bidi="ar"/>
        </w:rPr>
        <w:t>唐女士</w:t>
      </w:r>
      <w:r>
        <w:rPr>
          <w:rFonts w:hint="eastAsia" w:ascii="宋体" w:hAnsi="宋体" w:cs="宋体"/>
          <w:color w:val="auto"/>
          <w:highlight w:val="none"/>
          <w:lang w:bidi="ar"/>
        </w:rPr>
        <w:t xml:space="preserve">   联系方式：</w:t>
      </w:r>
      <w:r>
        <w:rPr>
          <w:rFonts w:hint="eastAsia" w:ascii="宋体" w:hAnsi="宋体" w:cs="宋体"/>
          <w:color w:val="auto"/>
          <w:highlight w:val="none"/>
          <w:lang w:eastAsia="zh-CN" w:bidi="ar"/>
        </w:rPr>
        <w:t>13357013858</w:t>
      </w: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r>
        <w:rPr>
          <w:rFonts w:hint="eastAsia" w:ascii="宋体" w:hAnsi="宋体" w:cs="宋体"/>
          <w:color w:val="auto"/>
          <w:highlight w:val="none"/>
          <w:lang w:bidi="ar"/>
        </w:rPr>
        <w:t>公告网址：</w:t>
      </w:r>
      <w:r>
        <w:rPr>
          <w:rFonts w:hint="eastAsia" w:ascii="宋体" w:hAnsi="宋体" w:cs="宋体"/>
          <w:color w:val="auto"/>
          <w:szCs w:val="21"/>
          <w:highlight w:val="none"/>
        </w:rPr>
        <w:t>衢州市阳光交易服务平台https://qzygjy.com/</w:t>
      </w:r>
      <w:r>
        <w:rPr>
          <w:rFonts w:hint="eastAsia" w:ascii="宋体" w:hAnsi="宋体" w:cs="宋体"/>
          <w:color w:val="auto"/>
          <w:szCs w:val="21"/>
          <w:highlight w:val="none"/>
          <w:lang w:eastAsia="zh-CN"/>
        </w:rPr>
        <w:t>”“</w:t>
      </w:r>
      <w:r>
        <w:rPr>
          <w:rFonts w:hint="eastAsia" w:ascii="宋体" w:hAnsi="宋体" w:cs="宋体"/>
          <w:color w:val="auto"/>
          <w:szCs w:val="21"/>
          <w:highlight w:val="none"/>
        </w:rPr>
        <w:t>浙江政府采购网https://zfcg.czt.zj.gov.cn/”。</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8"/>
      <w:bookmarkEnd w:id="559"/>
      <w:bookmarkEnd w:id="560"/>
      <w:bookmarkEnd w:id="561"/>
      <w:bookmarkEnd w:id="562"/>
      <w:bookmarkEnd w:id="563"/>
      <w:bookmarkEnd w:id="564"/>
      <w:bookmarkEnd w:id="565"/>
      <w:bookmarkEnd w:id="566"/>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37"/>
        <w:keepNext w:val="0"/>
        <w:keepLines w:val="0"/>
        <w:pageBreakBefore w:val="0"/>
        <w:widowControl/>
        <w:tabs>
          <w:tab w:val="left" w:pos="0"/>
        </w:tabs>
        <w:kinsoku/>
        <w:wordWrap/>
        <w:overflowPunct/>
        <w:topLinePunct w:val="0"/>
        <w:autoSpaceDE/>
        <w:autoSpaceDN/>
        <w:bidi w:val="0"/>
        <w:adjustRightInd w:val="0"/>
        <w:snapToGrid/>
        <w:spacing w:line="312" w:lineRule="auto"/>
        <w:ind w:firstLine="480"/>
        <w:textAlignment w:val="auto"/>
        <w:rPr>
          <w:rFonts w:hint="eastAsia" w:ascii="宋体" w:hAnsi="宋体" w:cs="宋体"/>
          <w:color w:val="auto"/>
          <w:szCs w:val="21"/>
          <w:highlight w:val="none"/>
        </w:rPr>
      </w:pPr>
    </w:p>
    <w:p>
      <w:pPr>
        <w:pStyle w:val="2"/>
        <w:numPr>
          <w:ilvl w:val="0"/>
          <w:numId w:val="26"/>
        </w:numPr>
        <w:spacing w:beforeLines="0" w:afterLines="0"/>
        <w:jc w:val="center"/>
        <w:rPr>
          <w:rFonts w:hint="eastAsia" w:ascii="宋体" w:hAnsi="宋体" w:eastAsia="宋体" w:cs="宋体"/>
          <w:color w:val="auto"/>
          <w:szCs w:val="21"/>
          <w:highlight w:val="none"/>
          <w:lang w:eastAsia="zh-CN"/>
        </w:rPr>
      </w:pPr>
      <w:bookmarkStart w:id="581" w:name="_Toc24030"/>
      <w:bookmarkStart w:id="582" w:name="_Toc18060"/>
      <w:r>
        <w:rPr>
          <w:rFonts w:hint="eastAsia" w:ascii="宋体" w:hAnsi="宋体" w:cs="宋体"/>
          <w:color w:val="auto"/>
          <w:highlight w:val="none"/>
        </w:rPr>
        <w:t>采购内容及要求</w:t>
      </w:r>
      <w:bookmarkEnd w:id="581"/>
      <w:bookmarkEnd w:id="582"/>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keepNext w:val="0"/>
        <w:keepLines w:val="0"/>
        <w:pageBreakBefore w:val="0"/>
        <w:kinsoku/>
        <w:wordWrap/>
        <w:overflowPunct/>
        <w:topLinePunct w:val="0"/>
        <w:autoSpaceDE/>
        <w:autoSpaceDN/>
        <w:bidi w:val="0"/>
        <w:adjustRightInd w:val="0"/>
        <w:snapToGrid w:val="0"/>
        <w:spacing w:line="420" w:lineRule="exact"/>
        <w:outlineLvl w:val="1"/>
        <w:rPr>
          <w:rFonts w:hint="eastAsia" w:ascii="宋体" w:hAnsi="宋体" w:eastAsia="宋体" w:cs="宋体"/>
          <w:b/>
          <w:color w:val="auto"/>
          <w:sz w:val="24"/>
          <w:szCs w:val="24"/>
        </w:rPr>
      </w:pPr>
      <w:bookmarkStart w:id="583" w:name="_Toc2297"/>
      <w:bookmarkStart w:id="584" w:name="_Toc32731"/>
      <w:bookmarkStart w:id="585" w:name="_Toc7795"/>
      <w:bookmarkStart w:id="586" w:name="_Toc305160092"/>
      <w:bookmarkStart w:id="587" w:name="_Toc300038989"/>
      <w:bookmarkStart w:id="588" w:name="_Toc32525"/>
      <w:bookmarkStart w:id="589" w:name="_Toc21844"/>
      <w:bookmarkStart w:id="590" w:name="_Toc25941"/>
      <w:bookmarkStart w:id="591" w:name="_Toc16142"/>
      <w:bookmarkStart w:id="592" w:name="_Toc21569"/>
      <w:bookmarkStart w:id="593" w:name="_Toc10333"/>
      <w:bookmarkStart w:id="594" w:name="_Toc17090"/>
      <w:bookmarkStart w:id="595" w:name="_Toc2726"/>
      <w:bookmarkStart w:id="596" w:name="_Toc10546"/>
      <w:bookmarkStart w:id="597" w:name="_Toc7305"/>
      <w:bookmarkStart w:id="598" w:name="_Toc7285"/>
      <w:bookmarkStart w:id="599" w:name="_Toc31750"/>
      <w:bookmarkStart w:id="600" w:name="_Toc22954"/>
      <w:bookmarkStart w:id="601" w:name="_Toc25661"/>
      <w:bookmarkStart w:id="602" w:name="_Toc295"/>
      <w:bookmarkStart w:id="603" w:name="_Toc13464"/>
      <w:bookmarkStart w:id="604" w:name="_Toc2165"/>
      <w:bookmarkStart w:id="605" w:name="_Toc6334"/>
      <w:bookmarkStart w:id="606" w:name="_Toc27793"/>
      <w:bookmarkStart w:id="607" w:name="_Toc13539"/>
      <w:bookmarkStart w:id="608" w:name="_Toc32545"/>
      <w:bookmarkStart w:id="609" w:name="_Toc11926"/>
      <w:bookmarkStart w:id="610" w:name="_Toc13753"/>
      <w:bookmarkStart w:id="611" w:name="_Toc12676"/>
      <w:bookmarkStart w:id="612" w:name="_Toc19025"/>
      <w:bookmarkStart w:id="613" w:name="_Toc10430"/>
      <w:bookmarkStart w:id="614" w:name="_Toc9028"/>
      <w:bookmarkStart w:id="615" w:name="_Toc848"/>
      <w:bookmarkStart w:id="616" w:name="_Toc30205"/>
      <w:bookmarkStart w:id="617" w:name="_Toc5985"/>
      <w:bookmarkStart w:id="618" w:name="_Toc391298963"/>
      <w:bookmarkStart w:id="619" w:name="_Toc3828"/>
      <w:bookmarkStart w:id="620" w:name="_Toc10724"/>
      <w:bookmarkStart w:id="621" w:name="_Toc25560"/>
      <w:bookmarkStart w:id="622" w:name="_Toc24682"/>
      <w:bookmarkStart w:id="623" w:name="_Toc10368"/>
      <w:bookmarkStart w:id="624" w:name="_Toc19099"/>
      <w:bookmarkStart w:id="625" w:name="_Toc2124"/>
      <w:bookmarkStart w:id="626" w:name="_Toc27295"/>
      <w:bookmarkStart w:id="627" w:name="_Toc19613"/>
      <w:bookmarkStart w:id="628" w:name="_Toc18254"/>
      <w:bookmarkStart w:id="629" w:name="_Toc24232"/>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项目概况</w:t>
      </w:r>
      <w:bookmarkEnd w:id="583"/>
      <w:bookmarkEnd w:id="584"/>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cs="宋体"/>
          <w:color w:val="auto"/>
          <w:spacing w:val="-4"/>
          <w:sz w:val="24"/>
          <w:szCs w:val="24"/>
          <w:lang w:val="en-US" w:eastAsia="zh-CN"/>
        </w:rPr>
      </w:pPr>
      <w:bookmarkStart w:id="630" w:name="_Toc29668"/>
      <w:r>
        <w:rPr>
          <w:rFonts w:hint="eastAsia" w:ascii="宋体" w:hAnsi="宋体" w:eastAsia="宋体" w:cs="宋体"/>
          <w:color w:val="auto"/>
          <w:spacing w:val="-4"/>
          <w:sz w:val="24"/>
          <w:szCs w:val="24"/>
          <w:lang w:val="en-US" w:eastAsia="zh-CN"/>
        </w:rPr>
        <w:t>1、项目名称：</w:t>
      </w:r>
      <w:bookmarkEnd w:id="630"/>
      <w:r>
        <w:rPr>
          <w:rFonts w:hint="eastAsia" w:ascii="宋体" w:hAnsi="宋体" w:cs="宋体"/>
          <w:color w:val="auto"/>
          <w:spacing w:val="-4"/>
          <w:sz w:val="24"/>
          <w:szCs w:val="24"/>
          <w:lang w:val="en-US" w:eastAsia="zh-CN"/>
        </w:rPr>
        <w:t>2023年龙游县老旧小区改造提升工程-阳光小区未来社区布展展陈项目</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项目位置：试点项目位于衢州市龙游县，项目规划单元面积为94公顷，实施单元面积为37公顷，其中包括2587户，总人口数为7329人。试点项目属于旧改类，需要将项目地块内的资源进行整合与优化，让项目整体更加贴合现在居民的生活。</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3、建筑规模：长者之家建筑面积：655平方米；管家服务中心、双创空间建筑面积：413平方米；培训学校建筑面积：60.9平方米；本项目总建筑面积：</w:t>
      </w:r>
      <w:r>
        <w:rPr>
          <w:rFonts w:hint="eastAsia" w:ascii="宋体" w:hAnsi="宋体" w:cs="宋体"/>
          <w:color w:val="auto"/>
          <w:spacing w:val="-4"/>
          <w:sz w:val="24"/>
          <w:szCs w:val="24"/>
          <w:lang w:val="en-US" w:eastAsia="zh-CN"/>
        </w:rPr>
        <w:t>1128.9</w:t>
      </w:r>
      <w:r>
        <w:rPr>
          <w:rFonts w:hint="eastAsia" w:ascii="宋体" w:hAnsi="宋体" w:eastAsia="宋体" w:cs="宋体"/>
          <w:color w:val="auto"/>
          <w:spacing w:val="-4"/>
          <w:sz w:val="24"/>
          <w:szCs w:val="24"/>
          <w:lang w:val="en-US" w:eastAsia="zh-CN"/>
        </w:rPr>
        <w:t>平方米。</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31" w:name="_Toc21458"/>
      <w:r>
        <w:rPr>
          <w:rFonts w:hint="eastAsia" w:ascii="宋体" w:hAnsi="宋体" w:eastAsia="宋体" w:cs="宋体"/>
          <w:color w:val="auto"/>
          <w:spacing w:val="-4"/>
          <w:sz w:val="24"/>
          <w:szCs w:val="24"/>
          <w:lang w:val="en-US" w:eastAsia="zh-CN"/>
        </w:rPr>
        <w:t>4、招标范围：</w:t>
      </w:r>
      <w:bookmarkEnd w:id="631"/>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4.1硬装</w:t>
      </w:r>
      <w:r>
        <w:rPr>
          <w:rFonts w:hint="eastAsia" w:ascii="宋体" w:hAnsi="宋体" w:cs="宋体"/>
          <w:color w:val="auto"/>
          <w:spacing w:val="-4"/>
          <w:sz w:val="24"/>
          <w:szCs w:val="24"/>
          <w:lang w:val="en-US" w:eastAsia="zh-CN"/>
        </w:rPr>
        <w:t>（含</w:t>
      </w:r>
      <w:r>
        <w:rPr>
          <w:rFonts w:hint="eastAsia" w:ascii="宋体" w:hAnsi="宋体" w:eastAsia="宋体" w:cs="宋体"/>
          <w:b w:val="0"/>
          <w:bCs w:val="0"/>
          <w:i w:val="0"/>
          <w:iCs w:val="0"/>
          <w:color w:val="000000"/>
          <w:kern w:val="0"/>
          <w:sz w:val="24"/>
          <w:szCs w:val="24"/>
          <w:u w:val="none"/>
          <w:lang w:val="en-US" w:eastAsia="zh-CN" w:bidi="ar"/>
        </w:rPr>
        <w:t>装饰工程及安装工程</w:t>
      </w:r>
      <w:r>
        <w:rPr>
          <w:rFonts w:hint="eastAsia" w:ascii="宋体" w:hAnsi="宋体" w:cs="宋体"/>
          <w:b w:val="0"/>
          <w:bCs w:val="0"/>
          <w:i w:val="0"/>
          <w:iCs w:val="0"/>
          <w:color w:val="000000"/>
          <w:kern w:val="0"/>
          <w:sz w:val="24"/>
          <w:szCs w:val="24"/>
          <w:u w:val="none"/>
          <w:lang w:val="en-US" w:eastAsia="zh-CN" w:bidi="ar"/>
        </w:rPr>
        <w:t>等</w:t>
      </w:r>
      <w:r>
        <w:rPr>
          <w:rFonts w:hint="eastAsia" w:ascii="宋体" w:hAnsi="宋体" w:cs="宋体"/>
          <w:color w:val="auto"/>
          <w:spacing w:val="-4"/>
          <w:sz w:val="24"/>
          <w:szCs w:val="24"/>
          <w:lang w:val="en-US" w:eastAsia="zh-CN"/>
        </w:rPr>
        <w:t>）</w:t>
      </w:r>
      <w:r>
        <w:rPr>
          <w:rFonts w:hint="eastAsia" w:ascii="宋体" w:hAnsi="宋体" w:eastAsia="宋体" w:cs="宋体"/>
          <w:color w:val="auto"/>
          <w:spacing w:val="-4"/>
          <w:sz w:val="24"/>
          <w:szCs w:val="24"/>
          <w:lang w:val="en-US" w:eastAsia="zh-CN"/>
        </w:rPr>
        <w:t>范围：采购人提供的施工图范围内的长者之家、管家服务中心、双创空间以及培训学校室内装修装饰、给排水、暖通等工程施工</w:t>
      </w:r>
      <w:r>
        <w:rPr>
          <w:rFonts w:hint="eastAsia" w:ascii="宋体" w:hAnsi="宋体" w:eastAsia="宋体" w:cs="宋体"/>
          <w:color w:val="auto"/>
          <w:spacing w:val="-4"/>
          <w:sz w:val="24"/>
          <w:szCs w:val="24"/>
          <w:lang w:val="zh-CN" w:eastAsia="zh-CN"/>
        </w:rPr>
        <w:t>（</w:t>
      </w:r>
      <w:r>
        <w:rPr>
          <w:rFonts w:hint="eastAsia" w:ascii="宋体" w:hAnsi="宋体" w:eastAsia="宋体" w:cs="宋体"/>
          <w:color w:val="auto"/>
          <w:spacing w:val="-4"/>
          <w:sz w:val="24"/>
          <w:szCs w:val="24"/>
          <w:lang w:val="en-US" w:eastAsia="zh-CN"/>
        </w:rPr>
        <w:t>具体详见采购人提供的施工图及工程量清单），具体包括楼地面、墙面、天棚装修改造、门窗、电器安装、灯具、开关插座等。</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4.2软装范围（含展陈布展、家器具、文创等）：采购人提供的采购清单范围内的党群服务中心、市民驿站以及涉及到社区内单元楼、宣传栏、广告牌的深化设计、</w:t>
      </w:r>
      <w:r>
        <w:rPr>
          <w:rFonts w:hint="eastAsia" w:ascii="宋体" w:hAnsi="宋体" w:eastAsia="宋体" w:cs="宋体"/>
          <w:bCs w:val="0"/>
          <w:kern w:val="2"/>
          <w:sz w:val="24"/>
          <w:szCs w:val="24"/>
          <w:u w:val="none"/>
          <w:lang w:val="en-US" w:eastAsia="zh-CN" w:bidi="ar-SA"/>
        </w:rPr>
        <w:t>定制</w:t>
      </w:r>
      <w:r>
        <w:rPr>
          <w:rFonts w:hint="eastAsia" w:ascii="宋体" w:hAnsi="宋体" w:cs="宋体"/>
          <w:bCs w:val="0"/>
          <w:kern w:val="2"/>
          <w:sz w:val="24"/>
          <w:szCs w:val="24"/>
          <w:u w:val="none"/>
          <w:lang w:val="en-US" w:eastAsia="zh-CN" w:bidi="ar-SA"/>
        </w:rPr>
        <w:t>家器具、</w:t>
      </w:r>
      <w:r>
        <w:rPr>
          <w:rFonts w:hint="eastAsia" w:ascii="宋体" w:hAnsi="宋体" w:eastAsia="宋体" w:cs="宋体"/>
          <w:color w:val="auto"/>
          <w:spacing w:val="-4"/>
          <w:sz w:val="24"/>
          <w:szCs w:val="24"/>
          <w:lang w:val="en-US" w:eastAsia="zh-CN"/>
        </w:rPr>
        <w:t>布展展品</w:t>
      </w:r>
      <w:r>
        <w:rPr>
          <w:rFonts w:hint="eastAsia" w:ascii="宋体" w:hAnsi="宋体" w:eastAsia="宋体" w:cs="宋体"/>
          <w:bCs w:val="0"/>
          <w:kern w:val="2"/>
          <w:sz w:val="24"/>
          <w:szCs w:val="24"/>
          <w:u w:val="none"/>
          <w:lang w:val="en-US" w:eastAsia="zh-CN" w:bidi="ar-SA"/>
        </w:rPr>
        <w:t>设计与制作</w:t>
      </w:r>
      <w:r>
        <w:rPr>
          <w:rFonts w:hint="eastAsia" w:ascii="宋体" w:hAnsi="宋体" w:eastAsia="宋体" w:cs="宋体"/>
          <w:color w:val="auto"/>
          <w:spacing w:val="-4"/>
          <w:sz w:val="24"/>
          <w:szCs w:val="24"/>
          <w:lang w:val="en-US" w:eastAsia="zh-CN"/>
        </w:rPr>
        <w:t>、</w:t>
      </w:r>
      <w:r>
        <w:rPr>
          <w:rFonts w:hint="eastAsia" w:ascii="宋体" w:hAnsi="宋体" w:cs="宋体"/>
          <w:bCs w:val="0"/>
          <w:snapToGrid/>
          <w:kern w:val="2"/>
          <w:szCs w:val="24"/>
        </w:rPr>
        <w:t>场景布置安装</w:t>
      </w:r>
      <w:r>
        <w:rPr>
          <w:rFonts w:hint="eastAsia" w:ascii="宋体" w:hAnsi="宋体" w:cs="宋体"/>
          <w:bCs w:val="0"/>
          <w:snapToGrid/>
          <w:kern w:val="2"/>
          <w:szCs w:val="24"/>
          <w:lang w:eastAsia="zh-CN"/>
        </w:rPr>
        <w:t>、</w:t>
      </w:r>
      <w:r>
        <w:rPr>
          <w:rFonts w:hint="eastAsia" w:ascii="宋体" w:hAnsi="宋体" w:eastAsia="宋体" w:cs="宋体"/>
          <w:color w:val="auto"/>
          <w:spacing w:val="-4"/>
          <w:sz w:val="24"/>
          <w:szCs w:val="24"/>
          <w:lang w:val="en-US" w:eastAsia="zh-CN"/>
        </w:rPr>
        <w:t>设备购置等。</w:t>
      </w:r>
    </w:p>
    <w:bookmarkEnd w:id="585"/>
    <w:bookmarkEnd w:id="586"/>
    <w:bookmarkEnd w:id="587"/>
    <w:bookmarkEnd w:id="588"/>
    <w:bookmarkEnd w:id="589"/>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6" w:firstLineChars="200"/>
        <w:textAlignment w:val="auto"/>
        <w:outlineLvl w:val="1"/>
        <w:rPr>
          <w:rFonts w:hint="eastAsia" w:ascii="宋体" w:hAnsi="宋体" w:eastAsia="宋体" w:cs="宋体"/>
          <w:b/>
          <w:bCs/>
          <w:color w:val="auto"/>
          <w:spacing w:val="-4"/>
          <w:sz w:val="24"/>
          <w:szCs w:val="24"/>
          <w:lang w:val="en-US" w:eastAsia="zh-CN"/>
        </w:rPr>
      </w:pPr>
      <w:bookmarkStart w:id="632" w:name="_Toc21582"/>
      <w:bookmarkStart w:id="633" w:name="_Toc18606"/>
      <w:r>
        <w:rPr>
          <w:rFonts w:hint="eastAsia" w:ascii="宋体" w:hAnsi="宋体" w:eastAsia="宋体" w:cs="宋体"/>
          <w:b/>
          <w:bCs/>
          <w:color w:val="auto"/>
          <w:spacing w:val="-4"/>
          <w:sz w:val="24"/>
          <w:szCs w:val="24"/>
          <w:lang w:val="en-US" w:eastAsia="zh-CN"/>
        </w:rPr>
        <w:t>二、工作内容</w:t>
      </w:r>
      <w:bookmarkEnd w:id="632"/>
      <w:bookmarkEnd w:id="633"/>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1.设计：软装范围（含展陈布展、家器具、文创等）内需深化设计，其他部分包括设计优化等。</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2.采购：采购硬装与软装范围所涉及设备、定制家器具以及其他相应配套设备及耗品采购。</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3.施工：施工图（电气、消防、水电）设计范围所涉及装修装饰、水电、消防改造、管线埋设、暖通、设备安装等。</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6" w:firstLineChars="200"/>
        <w:textAlignment w:val="auto"/>
        <w:outlineLvl w:val="1"/>
        <w:rPr>
          <w:rFonts w:hint="default"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三、采购清单汇总（具体清单明细详见附件）</w:t>
      </w:r>
    </w:p>
    <w:tbl>
      <w:tblPr>
        <w:tblStyle w:val="41"/>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5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bookmarkStart w:id="634" w:name="_Toc2071"/>
            <w:bookmarkStart w:id="635" w:name="_Toc19748"/>
            <w:r>
              <w:rPr>
                <w:rFonts w:hint="eastAsia" w:ascii="宋体" w:hAnsi="宋体" w:eastAsia="宋体" w:cs="宋体"/>
                <w:b/>
                <w:bCs/>
                <w:i w:val="0"/>
                <w:iCs w:val="0"/>
                <w:color w:val="000000"/>
                <w:kern w:val="0"/>
                <w:sz w:val="24"/>
                <w:szCs w:val="24"/>
                <w:u w:val="none"/>
                <w:lang w:val="en-US" w:eastAsia="zh-CN" w:bidi="ar"/>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项目类别</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招标控制价（元）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装饰工程及安装工程</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993246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布展展陈及家器具等</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564500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文创等</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1082660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招标控制价合计</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2640406</w:t>
            </w:r>
          </w:p>
        </w:tc>
      </w:tr>
    </w:tbl>
    <w:p>
      <w:pPr>
        <w:pStyle w:val="50"/>
        <w:spacing w:line="360" w:lineRule="auto"/>
        <w:ind w:firstLine="466" w:firstLineChars="200"/>
        <w:outlineLvl w:val="1"/>
        <w:rPr>
          <w:rFonts w:hint="eastAsia" w:ascii="宋体" w:hAnsi="宋体" w:cs="宋体"/>
          <w:b/>
          <w:color w:val="auto"/>
          <w:sz w:val="24"/>
          <w:highlight w:val="none"/>
          <w:lang w:eastAsia="zh-CN"/>
        </w:rPr>
      </w:pPr>
      <w:r>
        <w:rPr>
          <w:rFonts w:hint="eastAsia" w:ascii="宋体" w:hAnsi="宋体" w:cs="宋体"/>
          <w:b/>
          <w:bCs/>
          <w:color w:val="auto"/>
          <w:spacing w:val="-4"/>
          <w:sz w:val="24"/>
          <w:szCs w:val="24"/>
          <w:lang w:val="en-US" w:eastAsia="zh-CN"/>
        </w:rPr>
        <w:t>四</w:t>
      </w:r>
      <w:r>
        <w:rPr>
          <w:rFonts w:hint="eastAsia" w:ascii="宋体" w:hAnsi="宋体" w:cs="宋体"/>
          <w:b/>
          <w:color w:val="auto"/>
          <w:sz w:val="24"/>
          <w:highlight w:val="none"/>
          <w:lang w:val="en-US" w:eastAsia="zh-CN"/>
        </w:rPr>
        <w:t>、深化</w:t>
      </w:r>
      <w:r>
        <w:rPr>
          <w:rFonts w:hint="eastAsia" w:ascii="宋体" w:hAnsi="宋体" w:cs="宋体"/>
          <w:b/>
          <w:color w:val="auto"/>
          <w:sz w:val="24"/>
          <w:highlight w:val="none"/>
          <w:lang w:eastAsia="zh-CN"/>
        </w:rPr>
        <w:t>设计基本要求</w:t>
      </w:r>
      <w:bookmarkEnd w:id="634"/>
      <w:bookmarkEnd w:id="635"/>
    </w:p>
    <w:p>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firstLine="482" w:firstLineChars="200"/>
        <w:textAlignment w:val="auto"/>
        <w:outlineLvl w:val="2"/>
        <w:rPr>
          <w:rFonts w:hint="default" w:ascii="宋体" w:hAnsi="宋体" w:eastAsia="宋体" w:cs="宋体"/>
          <w:b/>
          <w:color w:val="auto"/>
          <w:kern w:val="2"/>
          <w:sz w:val="24"/>
          <w:szCs w:val="24"/>
          <w:highlight w:val="none"/>
          <w:lang w:val="en-US" w:eastAsia="zh-CN" w:bidi="ar-SA"/>
        </w:rPr>
      </w:pPr>
      <w:bookmarkStart w:id="636" w:name="_Toc7186"/>
      <w:r>
        <w:rPr>
          <w:rFonts w:hint="eastAsia" w:ascii="宋体" w:hAnsi="宋体" w:eastAsia="宋体" w:cs="宋体"/>
          <w:b/>
          <w:color w:val="auto"/>
          <w:kern w:val="2"/>
          <w:sz w:val="24"/>
          <w:szCs w:val="24"/>
          <w:highlight w:val="none"/>
          <w:lang w:val="en-US" w:eastAsia="zh-CN" w:bidi="ar-SA"/>
        </w:rPr>
        <w:t>1.设计理念</w:t>
      </w:r>
      <w:bookmarkEnd w:id="636"/>
    </w:p>
    <w:p>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1.1</w:t>
      </w:r>
      <w:r>
        <w:rPr>
          <w:rFonts w:hint="eastAsia" w:ascii="宋体" w:hAnsi="宋体" w:eastAsia="宋体" w:cs="宋体"/>
          <w:color w:val="auto"/>
          <w:spacing w:val="-4"/>
          <w:sz w:val="24"/>
          <w:szCs w:val="24"/>
          <w:lang w:val="en-US" w:eastAsia="zh-CN"/>
        </w:rPr>
        <w:t>理念：围绕“老幼常宜·治领阳光”、“文明有礼，幸福阳光”，以龙游与衢江文化为背景，融合未来社区的理念打造邻里养老型社区，打造可持续、可生长的阳光未来社区模式。</w:t>
      </w:r>
    </w:p>
    <w:p>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1.2</w:t>
      </w:r>
      <w:r>
        <w:rPr>
          <w:rFonts w:hint="eastAsia" w:ascii="宋体" w:hAnsi="宋体" w:eastAsia="宋体" w:cs="宋体"/>
          <w:color w:val="auto"/>
          <w:spacing w:val="-4"/>
          <w:sz w:val="24"/>
          <w:szCs w:val="24"/>
          <w:lang w:val="en-US" w:eastAsia="zh-CN"/>
        </w:rPr>
        <w:t>特色：深挖阳光文化内涵，展示视觉文化特色品牌。</w:t>
      </w:r>
    </w:p>
    <w:p>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1.3</w:t>
      </w:r>
      <w:r>
        <w:rPr>
          <w:rFonts w:hint="eastAsia" w:ascii="宋体" w:hAnsi="宋体" w:eastAsia="宋体" w:cs="宋体"/>
          <w:color w:val="auto"/>
          <w:spacing w:val="-4"/>
          <w:sz w:val="24"/>
          <w:szCs w:val="24"/>
          <w:lang w:val="en-US" w:eastAsia="zh-CN"/>
        </w:rPr>
        <w:t>以党建为引领，打造“阳光议事、阳光学习、阳光服务、阳光用权、阳光治理”。关注一老一小，以家为核心，彰显“阳光之家、智慧之家、和睦之家、健康之家、共享之家”。</w:t>
      </w:r>
    </w:p>
    <w:p>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1.4</w:t>
      </w:r>
      <w:r>
        <w:rPr>
          <w:rFonts w:hint="eastAsia" w:ascii="宋体" w:hAnsi="宋体" w:eastAsia="宋体" w:cs="宋体"/>
          <w:color w:val="auto"/>
          <w:spacing w:val="-4"/>
          <w:sz w:val="24"/>
          <w:szCs w:val="24"/>
          <w:lang w:val="en-US" w:eastAsia="zh-CN"/>
        </w:rPr>
        <w:t>视觉文化：设计视觉文化手册。通过文化阐述、色彩规范及图形特征提炼，LOGO，IP,形成阳光未来社区的视觉特征视觉特色，提升小区的艺术文化内涵，形成文创风貌。</w:t>
      </w:r>
    </w:p>
    <w:p>
      <w:pPr>
        <w:pStyle w:val="50"/>
        <w:spacing w:line="360" w:lineRule="auto"/>
        <w:ind w:firstLine="482" w:firstLineChars="200"/>
        <w:outlineLvl w:val="2"/>
        <w:rPr>
          <w:rFonts w:hint="eastAsia" w:ascii="宋体" w:hAnsi="宋体" w:eastAsia="宋体" w:cs="宋体"/>
          <w:b/>
          <w:color w:val="auto"/>
          <w:sz w:val="24"/>
          <w:highlight w:val="none"/>
          <w:lang w:val="en-US" w:eastAsia="zh-CN"/>
        </w:rPr>
      </w:pPr>
      <w:bookmarkStart w:id="637" w:name="_Toc9448"/>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深化设计图纸</w:t>
      </w:r>
      <w:bookmarkEnd w:id="637"/>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结合平面图，根据标准规范设计，依据原设计内容并结合实际需求进行设计，以效果图形式展现。设计需展现主题效果及功能内容。</w:t>
      </w:r>
    </w:p>
    <w:p>
      <w:pPr>
        <w:pStyle w:val="50"/>
        <w:spacing w:line="360" w:lineRule="auto"/>
        <w:ind w:firstLine="482" w:firstLineChars="200"/>
        <w:outlineLvl w:val="2"/>
        <w:rPr>
          <w:rFonts w:hint="eastAsia" w:ascii="宋体" w:hAnsi="宋体" w:eastAsia="宋体" w:cs="宋体"/>
          <w:b/>
          <w:color w:val="auto"/>
          <w:sz w:val="24"/>
          <w:highlight w:val="none"/>
          <w:lang w:val="en-US" w:eastAsia="zh-CN"/>
        </w:rPr>
      </w:pPr>
      <w:bookmarkStart w:id="638" w:name="_Toc18880"/>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深化设计要求</w:t>
      </w:r>
      <w:bookmarkEnd w:id="638"/>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3.1设计风格：</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关键词：创意性、空间感、统一协调性、便民利民融合功能场景。</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设计手法、材料使用、氛围营造方面需考虑实用性与设计性相结合。</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3.2设计内容：</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①各区域功能平面规划布局设计。</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②各区域功能宣传栏平面图文版面设计。</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3.3其他设计和施工的要求：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①深化设计必须满足</w:t>
      </w:r>
      <w:r>
        <w:rPr>
          <w:rFonts w:hint="eastAsia" w:ascii="宋体" w:hAnsi="宋体" w:cs="宋体"/>
          <w:color w:val="auto"/>
          <w:spacing w:val="-4"/>
          <w:sz w:val="24"/>
          <w:szCs w:val="24"/>
          <w:lang w:val="en-US" w:eastAsia="zh-CN"/>
        </w:rPr>
        <w:t>阳光社区</w:t>
      </w:r>
      <w:r>
        <w:rPr>
          <w:rFonts w:hint="eastAsia" w:ascii="宋体" w:hAnsi="宋体" w:eastAsia="宋体" w:cs="宋体"/>
          <w:color w:val="auto"/>
          <w:spacing w:val="-4"/>
          <w:sz w:val="24"/>
          <w:szCs w:val="24"/>
          <w:lang w:val="en-US" w:eastAsia="zh-CN"/>
        </w:rPr>
        <w:t>的功能性要求及消防安全要求。</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②深化设计不得改变原建筑物承重结构。</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③环保要求：本项目所有采用的材料均需符合国家环保标准。</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④质量要求：本项目所有采用的材料均需符合国家相关标准，涉及消防要求的均需符合国家消防标准。</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⑤深化设计、制作、施工、安装必须符合本项目的特点、要求，充分考虑安全性。</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6" w:firstLineChars="200"/>
        <w:textAlignment w:val="auto"/>
        <w:outlineLvl w:val="1"/>
        <w:rPr>
          <w:rFonts w:hint="eastAsia" w:ascii="宋体" w:hAnsi="宋体" w:eastAsia="宋体" w:cs="宋体"/>
          <w:b/>
          <w:bCs/>
          <w:color w:val="auto"/>
          <w:spacing w:val="-4"/>
          <w:sz w:val="24"/>
          <w:szCs w:val="24"/>
          <w:lang w:val="en-US" w:eastAsia="zh-CN"/>
        </w:rPr>
      </w:pPr>
      <w:bookmarkStart w:id="639" w:name="_Toc13341"/>
      <w:bookmarkStart w:id="640" w:name="_Toc20419"/>
      <w:r>
        <w:rPr>
          <w:rFonts w:hint="eastAsia" w:ascii="宋体" w:hAnsi="宋体" w:cs="宋体"/>
          <w:b/>
          <w:bCs/>
          <w:color w:val="auto"/>
          <w:spacing w:val="-4"/>
          <w:sz w:val="24"/>
          <w:szCs w:val="24"/>
          <w:lang w:val="en-US" w:eastAsia="zh-CN"/>
        </w:rPr>
        <w:t>五</w:t>
      </w:r>
      <w:r>
        <w:rPr>
          <w:rFonts w:hint="eastAsia" w:ascii="宋体" w:hAnsi="宋体" w:eastAsia="宋体" w:cs="宋体"/>
          <w:b/>
          <w:bCs/>
          <w:color w:val="auto"/>
          <w:spacing w:val="-4"/>
          <w:sz w:val="24"/>
          <w:szCs w:val="24"/>
          <w:lang w:val="en-US" w:eastAsia="zh-CN"/>
        </w:rPr>
        <w:t>、质量要求及施工安全</w:t>
      </w:r>
      <w:bookmarkEnd w:id="639"/>
      <w:bookmarkEnd w:id="640"/>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 xml:space="preserve">1、本项目所用材料必须有合格证。   </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2、项目施工材料应按相关规定进行检验，合格后方可使用。</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▲3、应按国家、行业现行规范进行施工。</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41" w:name="_Toc25991"/>
      <w:r>
        <w:rPr>
          <w:rFonts w:hint="eastAsia" w:ascii="宋体" w:hAnsi="宋体" w:eastAsia="宋体" w:cs="宋体"/>
          <w:color w:val="auto"/>
          <w:spacing w:val="-4"/>
          <w:sz w:val="24"/>
          <w:szCs w:val="24"/>
          <w:lang w:val="en-US" w:eastAsia="zh-CN"/>
        </w:rPr>
        <w:t>4、施工过程应做好相关资料记录。</w:t>
      </w:r>
      <w:bookmarkEnd w:id="641"/>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5、必须按相关规定接受采购人委托单位的监督和检查，并提供相关资料。</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▲6、中标人在施工期间发生安全事故、人身安全和交通安全等大小事故，一切责任和经济补偿均由中标人负责,采购人不承担任何责任。</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7、中标人不服从采购人施工管理、施工管理不规范、安全质量达不到要求、不能在规定工期内完成等情形；采购人有权暂停或取消其施工资格。</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8、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9、工程质量以国家相关标准规范验收合格为准，如达不到约定的质量标准，采购人可要求中标人返工，直至达到约定的质量标准，并由中标人承担返工的一切费用。</w:t>
      </w:r>
    </w:p>
    <w:p>
      <w:pPr>
        <w:pStyle w:val="50"/>
        <w:spacing w:line="360" w:lineRule="auto"/>
        <w:outlineLvl w:val="1"/>
        <w:rPr>
          <w:rFonts w:hint="eastAsia" w:ascii="宋体" w:hAnsi="宋体" w:cs="宋体"/>
          <w:b/>
          <w:color w:val="auto"/>
          <w:sz w:val="24"/>
          <w:highlight w:val="none"/>
          <w:lang w:val="en-US" w:eastAsia="zh-CN"/>
        </w:rPr>
      </w:pPr>
      <w:bookmarkStart w:id="642" w:name="_Toc20855"/>
      <w:bookmarkStart w:id="643" w:name="_Toc20023"/>
      <w:r>
        <w:rPr>
          <w:rFonts w:hint="eastAsia" w:ascii="宋体" w:hAnsi="宋体" w:cs="宋体"/>
          <w:b/>
          <w:color w:val="auto"/>
          <w:sz w:val="24"/>
          <w:highlight w:val="none"/>
          <w:lang w:val="en-US" w:eastAsia="zh-CN"/>
        </w:rPr>
        <w:t>六、技术标准及要求</w:t>
      </w:r>
      <w:bookmarkEnd w:id="642"/>
      <w:bookmarkEnd w:id="643"/>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1.依据设计施工图纸和技术规范要求，本工程项目的材料、设备、施工必须达到现行中华人民共和国及省、市、行业的一切有关法规、规范的要求并经采购人同意后方可施工。</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2.技术规范由</w:t>
      </w:r>
      <w:r>
        <w:rPr>
          <w:rFonts w:hint="eastAsia" w:ascii="宋体" w:hAnsi="宋体" w:cs="宋体"/>
          <w:color w:val="auto"/>
          <w:spacing w:val="-4"/>
          <w:sz w:val="24"/>
          <w:szCs w:val="24"/>
          <w:lang w:val="en-US" w:eastAsia="zh-CN"/>
        </w:rPr>
        <w:t>投标人</w:t>
      </w:r>
      <w:r>
        <w:rPr>
          <w:rFonts w:hint="eastAsia" w:ascii="宋体" w:hAnsi="宋体" w:eastAsia="宋体" w:cs="宋体"/>
          <w:color w:val="auto"/>
          <w:spacing w:val="-4"/>
          <w:sz w:val="24"/>
          <w:szCs w:val="24"/>
          <w:lang w:val="en-US" w:eastAsia="zh-CN"/>
        </w:rPr>
        <w:t>自备，如有不足之处或未能达到国家最新标准时，</w:t>
      </w:r>
      <w:r>
        <w:rPr>
          <w:rFonts w:hint="eastAsia" w:ascii="宋体" w:hAnsi="宋体" w:cs="宋体"/>
          <w:color w:val="auto"/>
          <w:spacing w:val="-4"/>
          <w:sz w:val="24"/>
          <w:szCs w:val="24"/>
          <w:lang w:val="en-US" w:eastAsia="zh-CN"/>
        </w:rPr>
        <w:t>投标人</w:t>
      </w:r>
      <w:r>
        <w:rPr>
          <w:rFonts w:hint="eastAsia" w:ascii="宋体" w:hAnsi="宋体" w:eastAsia="宋体" w:cs="宋体"/>
          <w:color w:val="auto"/>
          <w:spacing w:val="-4"/>
          <w:sz w:val="24"/>
          <w:szCs w:val="24"/>
          <w:lang w:val="en-US" w:eastAsia="zh-CN"/>
        </w:rPr>
        <w:t>应使施工及选用的设备和材料符合最新版本的国家标准、规范。</w:t>
      </w:r>
    </w:p>
    <w:p>
      <w:pPr>
        <w:pStyle w:val="50"/>
        <w:spacing w:line="360" w:lineRule="auto"/>
        <w:outlineLvl w:val="1"/>
        <w:rPr>
          <w:rFonts w:hint="eastAsia" w:ascii="宋体" w:hAnsi="宋体" w:eastAsia="宋体" w:cs="宋体"/>
          <w:b/>
          <w:color w:val="auto"/>
          <w:sz w:val="24"/>
          <w:highlight w:val="none"/>
          <w:lang w:val="en-US" w:eastAsia="zh-CN"/>
        </w:rPr>
      </w:pPr>
      <w:bookmarkStart w:id="644" w:name="_Toc29198"/>
      <w:bookmarkStart w:id="645" w:name="_Toc31959"/>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、施工要求</w:t>
      </w:r>
      <w:bookmarkEnd w:id="644"/>
      <w:bookmarkEnd w:id="645"/>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1.本工程施工严格按照规范要求进行施工，达到各项拟定的设计指标。</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2.本工程施工必须严格按照工程技术要求及行业规范进行施工，并无条件地接受采购人全方位、全过程的监督管理。</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3.所有材料设备必须在检验合格经采购人同意后，方可用于本工程。</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46" w:name="_Toc11972"/>
      <w:r>
        <w:rPr>
          <w:rFonts w:hint="eastAsia" w:ascii="宋体" w:hAnsi="宋体" w:eastAsia="宋体" w:cs="宋体"/>
          <w:color w:val="auto"/>
          <w:spacing w:val="-4"/>
          <w:sz w:val="24"/>
          <w:szCs w:val="24"/>
          <w:lang w:val="en-US" w:eastAsia="zh-CN"/>
        </w:rPr>
        <w:t>4.隐蔽工程必须经采购人检查、验收后，方可进行下一道工序。</w:t>
      </w:r>
      <w:bookmarkEnd w:id="646"/>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5.在免费保修期内，</w:t>
      </w:r>
      <w:r>
        <w:rPr>
          <w:rFonts w:hint="eastAsia" w:ascii="宋体" w:hAnsi="宋体" w:cs="宋体"/>
          <w:color w:val="auto"/>
          <w:spacing w:val="-4"/>
          <w:sz w:val="24"/>
          <w:szCs w:val="24"/>
          <w:lang w:val="en-US" w:eastAsia="zh-CN"/>
        </w:rPr>
        <w:t>中标人</w:t>
      </w:r>
      <w:r>
        <w:rPr>
          <w:rFonts w:hint="eastAsia" w:ascii="宋体" w:hAnsi="宋体" w:eastAsia="宋体" w:cs="宋体"/>
          <w:color w:val="auto"/>
          <w:spacing w:val="-4"/>
          <w:sz w:val="24"/>
          <w:szCs w:val="24"/>
          <w:lang w:val="en-US" w:eastAsia="zh-CN"/>
        </w:rPr>
        <w:t>对有缺陷的部位必须无偿地给予修理与更换，并承担一切由此引起的对采购人或第三者的直接损失，除非该缺陷是由于人为破坏或合同规定的不可抗因素造成的损坏。</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6.</w:t>
      </w:r>
      <w:r>
        <w:rPr>
          <w:rFonts w:hint="eastAsia" w:ascii="宋体" w:hAnsi="宋体" w:cs="宋体"/>
          <w:color w:val="auto"/>
          <w:spacing w:val="-4"/>
          <w:sz w:val="24"/>
          <w:szCs w:val="24"/>
          <w:lang w:val="en-US" w:eastAsia="zh-CN"/>
        </w:rPr>
        <w:t>投标人</w:t>
      </w:r>
      <w:r>
        <w:rPr>
          <w:rFonts w:hint="eastAsia" w:ascii="宋体" w:hAnsi="宋体" w:eastAsia="宋体" w:cs="宋体"/>
          <w:color w:val="auto"/>
          <w:spacing w:val="-4"/>
          <w:sz w:val="24"/>
          <w:szCs w:val="24"/>
          <w:lang w:val="en-US" w:eastAsia="zh-CN"/>
        </w:rPr>
        <w:t>必须对所承包的工程的质量负全部责任，其责任不因其他材料生产商提供的保证书而减轻或更改。</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47" w:name="_Toc31271"/>
      <w:r>
        <w:rPr>
          <w:rFonts w:hint="eastAsia" w:ascii="宋体" w:hAnsi="宋体" w:eastAsia="宋体" w:cs="宋体"/>
          <w:color w:val="auto"/>
          <w:spacing w:val="-4"/>
          <w:sz w:val="24"/>
          <w:szCs w:val="24"/>
          <w:lang w:val="en-US" w:eastAsia="zh-CN"/>
        </w:rPr>
        <w:t>7.施工时注意做好必要的劳动保护工作。</w:t>
      </w:r>
      <w:bookmarkEnd w:id="647"/>
    </w:p>
    <w:p>
      <w:pPr>
        <w:adjustRightInd w:val="0"/>
        <w:spacing w:beforeLines="0" w:afterLines="0" w:line="312" w:lineRule="auto"/>
        <w:ind w:firstLine="0"/>
        <w:textAlignment w:val="baseline"/>
        <w:outlineLvl w:val="1"/>
        <w:rPr>
          <w:rFonts w:ascii="宋体" w:hAnsi="宋体" w:cs="宋体"/>
          <w:b/>
          <w:bCs/>
        </w:rPr>
      </w:pPr>
      <w:bookmarkStart w:id="648" w:name="_Toc25820"/>
      <w:bookmarkStart w:id="649" w:name="_Toc16821"/>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lang w:val="en-US" w:eastAsia="zh-CN"/>
        </w:rPr>
        <w:t>、</w:t>
      </w:r>
      <w:r>
        <w:rPr>
          <w:rFonts w:hint="eastAsia" w:ascii="宋体" w:hAnsi="宋体" w:cs="宋体"/>
          <w:b/>
          <w:bCs/>
        </w:rPr>
        <w:t>材料设备要求</w:t>
      </w:r>
      <w:bookmarkEnd w:id="648"/>
      <w:bookmarkEnd w:id="649"/>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本次采购范围内的装修、软装材料、设备均由投标人根据本采购文件、设计图纸和国家有关规定的具体要求进行采购、施工、装修、运输、检验、保管等。所有材料须有产品合格证和质量保证书，符合节能、环保要求和国家规定的技术标准，并且须经采购人委托的具有相应资质的检测机构检测合格后才能使用。</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2.本次采购项目的主要装修、软装材料、设备，投标人应在采购前向采购人送样或经采购人签证确认，方可进行采购安装，未经签证采购人将不予支付款项。</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3.由投标人采购的主要装修、软装材料、设备，当投标人选定的产品质量达不到设计要求（或效果要求）和预期质量目标时，采购人保留更换的权利，费用不增加。</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4.如采购人有装修、软装物品提供给投标人，投标人需承担起相关的保管责任，并按采购人的要求安装在指定位置。</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50" w:name="_Toc2512"/>
      <w:r>
        <w:rPr>
          <w:rFonts w:hint="eastAsia" w:ascii="宋体" w:hAnsi="宋体" w:eastAsia="宋体" w:cs="宋体"/>
          <w:color w:val="auto"/>
          <w:spacing w:val="-4"/>
          <w:sz w:val="24"/>
          <w:szCs w:val="24"/>
          <w:lang w:val="en-US" w:eastAsia="zh-CN"/>
        </w:rPr>
        <w:t>5.材料、设备应选择得当，符合国家规范要求。</w:t>
      </w:r>
      <w:bookmarkEnd w:id="650"/>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6.运用新材料、新工艺，提高装修、软装中的科技含量；运用节能、环保材料和环保技术，充分考虑材料的安全性、通用性、牢固性、美观性、标准化。</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7</w:t>
      </w:r>
      <w:r>
        <w:rPr>
          <w:rFonts w:hint="eastAsia" w:ascii="宋体" w:hAnsi="宋体" w:eastAsia="宋体" w:cs="宋体"/>
          <w:color w:val="auto"/>
          <w:spacing w:val="-4"/>
          <w:sz w:val="24"/>
          <w:szCs w:val="24"/>
          <w:lang w:val="en-US" w:eastAsia="zh-CN"/>
        </w:rPr>
        <w:t>.质量要求：符合国家标准及行业相关标准，所投入使用的材料、结构和就位方式应科学、环保，使用安全、可靠等一次性验收合格。</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8</w:t>
      </w:r>
      <w:r>
        <w:rPr>
          <w:rFonts w:hint="eastAsia" w:ascii="宋体" w:hAnsi="宋体" w:eastAsia="宋体" w:cs="宋体"/>
          <w:color w:val="auto"/>
          <w:spacing w:val="-4"/>
          <w:sz w:val="24"/>
          <w:szCs w:val="24"/>
          <w:lang w:val="en-US" w:eastAsia="zh-CN"/>
        </w:rPr>
        <w:t>.所有硬件、设备的所有权归采购人所有。投标人应保证所提供产品是全新而且是行业知名产品。质保期后提供优惠的备品备件或迭代产品。</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51" w:name="_Toc11294"/>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lang w:val="zh-TW" w:eastAsia="zh-TW"/>
        </w:rPr>
        <w:t>材料选用</w:t>
      </w:r>
      <w:bookmarkEnd w:id="651"/>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lang w:val="zh-TW" w:eastAsia="zh-TW"/>
        </w:rPr>
        <w:t>设计使用材料的品种、规格、性能应符合国家现行有关标准的规定，进行采购。并应有产品合格证、材质证明书。</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lang w:val="zh-TW" w:eastAsia="zh-TW"/>
        </w:rPr>
        <w:t>严禁使用国家明令淘汰的材料。</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.3</w:t>
      </w:r>
      <w:r>
        <w:rPr>
          <w:rFonts w:hint="eastAsia" w:ascii="宋体" w:hAnsi="宋体" w:eastAsia="宋体" w:cs="宋体"/>
          <w:color w:val="auto"/>
          <w:spacing w:val="-4"/>
          <w:sz w:val="24"/>
          <w:szCs w:val="24"/>
          <w:lang w:val="zh-TW" w:eastAsia="zh-TW"/>
        </w:rPr>
        <w:t>设计使用的各种材料要求达到环保</w:t>
      </w:r>
      <w:r>
        <w:rPr>
          <w:rFonts w:hint="eastAsia" w:ascii="宋体" w:hAnsi="宋体" w:eastAsia="宋体" w:cs="宋体"/>
          <w:color w:val="auto"/>
          <w:spacing w:val="-4"/>
          <w:sz w:val="24"/>
          <w:szCs w:val="24"/>
          <w:lang w:val="en-US" w:eastAsia="zh-CN"/>
        </w:rPr>
        <w:t>E1</w:t>
      </w:r>
      <w:r>
        <w:rPr>
          <w:rFonts w:hint="eastAsia" w:ascii="宋体" w:hAnsi="宋体" w:eastAsia="宋体" w:cs="宋体"/>
          <w:color w:val="auto"/>
          <w:spacing w:val="-4"/>
          <w:sz w:val="24"/>
          <w:szCs w:val="24"/>
          <w:lang w:val="zh-TW" w:eastAsia="zh-TW"/>
        </w:rPr>
        <w:t>级。</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.4</w:t>
      </w:r>
      <w:r>
        <w:rPr>
          <w:rFonts w:hint="eastAsia" w:ascii="宋体" w:hAnsi="宋体" w:eastAsia="宋体" w:cs="宋体"/>
          <w:color w:val="auto"/>
          <w:spacing w:val="-4"/>
          <w:sz w:val="24"/>
          <w:szCs w:val="24"/>
          <w:lang w:val="zh-TW" w:eastAsia="zh-TW"/>
        </w:rPr>
        <w:t>要求装饰施工中大量使用的主材料购买前须将三家主材样品送</w:t>
      </w:r>
      <w:r>
        <w:rPr>
          <w:rFonts w:hint="eastAsia" w:ascii="宋体" w:hAnsi="宋体" w:eastAsia="宋体" w:cs="宋体"/>
          <w:color w:val="auto"/>
          <w:spacing w:val="-4"/>
          <w:sz w:val="24"/>
          <w:szCs w:val="24"/>
          <w:lang w:val="zh-TW" w:eastAsia="zh-CN"/>
        </w:rPr>
        <w:t>采购人</w:t>
      </w:r>
      <w:r>
        <w:rPr>
          <w:rFonts w:hint="eastAsia" w:ascii="宋体" w:hAnsi="宋体" w:eastAsia="宋体" w:cs="宋体"/>
          <w:color w:val="auto"/>
          <w:spacing w:val="-4"/>
          <w:sz w:val="24"/>
          <w:szCs w:val="24"/>
          <w:lang w:val="zh-TW" w:eastAsia="zh-TW"/>
        </w:rPr>
        <w:t>审核批准后方可购买、购买后的主材进场前还要甲方进行检验方可进场。</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.5</w:t>
      </w:r>
      <w:r>
        <w:rPr>
          <w:rFonts w:hint="eastAsia" w:ascii="宋体" w:hAnsi="宋体" w:eastAsia="宋体" w:cs="宋体"/>
          <w:color w:val="auto"/>
          <w:spacing w:val="-4"/>
          <w:sz w:val="24"/>
          <w:szCs w:val="24"/>
          <w:lang w:val="zh-TW" w:eastAsia="zh-TW"/>
        </w:rPr>
        <w:t>防水材料的性能应符合国家现行有关标准的规定，并应有产品合格证、检验报告和出厂证明。</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.6</w:t>
      </w:r>
      <w:r>
        <w:rPr>
          <w:rFonts w:hint="eastAsia" w:ascii="宋体" w:hAnsi="宋体" w:eastAsia="宋体" w:cs="宋体"/>
          <w:color w:val="auto"/>
          <w:spacing w:val="-4"/>
          <w:sz w:val="24"/>
          <w:szCs w:val="24"/>
          <w:lang w:val="zh-TW" w:eastAsia="zh-TW"/>
        </w:rPr>
        <w:t>结构上使用的碳素钢、不锈钢、工程塑料等材料其抗拉、抗压、抗弯强度，断面延伸率、冲击韧性、表面硬度等机械性能要符合相关的国家标准。</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.7</w:t>
      </w:r>
      <w:r>
        <w:rPr>
          <w:rFonts w:hint="eastAsia" w:ascii="宋体" w:hAnsi="宋体" w:eastAsia="宋体" w:cs="宋体"/>
          <w:color w:val="auto"/>
          <w:spacing w:val="-4"/>
          <w:sz w:val="24"/>
          <w:szCs w:val="24"/>
          <w:lang w:val="zh-TW" w:eastAsia="zh-TW"/>
        </w:rPr>
        <w:t>装饰材料在二年内不得出现明显变质，表面装饰的涂覆材料在</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lang w:val="zh-TW" w:eastAsia="zh-TW"/>
        </w:rPr>
        <w:t>年内不得出现起皮、脱落和明显退变色。</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.8</w:t>
      </w:r>
      <w:r>
        <w:rPr>
          <w:rFonts w:hint="eastAsia" w:ascii="宋体" w:hAnsi="宋体" w:eastAsia="宋体" w:cs="宋体"/>
          <w:color w:val="auto"/>
          <w:spacing w:val="-4"/>
          <w:sz w:val="24"/>
          <w:szCs w:val="24"/>
          <w:lang w:val="zh-TW" w:eastAsia="zh-TW"/>
        </w:rPr>
        <w:t>照明、电热器等设备的高温部位应采用岩棉、瓷管或玻璃棉等</w:t>
      </w:r>
      <w:r>
        <w:rPr>
          <w:rFonts w:hint="eastAsia" w:ascii="宋体" w:hAnsi="宋体" w:eastAsia="宋体" w:cs="宋体"/>
          <w:color w:val="auto"/>
          <w:spacing w:val="-4"/>
          <w:sz w:val="24"/>
          <w:szCs w:val="24"/>
          <w:lang w:val="en-US" w:eastAsia="zh-CN"/>
        </w:rPr>
        <w:t>A</w:t>
      </w:r>
      <w:r>
        <w:rPr>
          <w:rFonts w:hint="eastAsia" w:ascii="宋体" w:hAnsi="宋体" w:eastAsia="宋体" w:cs="宋体"/>
          <w:color w:val="auto"/>
          <w:spacing w:val="-4"/>
          <w:sz w:val="24"/>
          <w:szCs w:val="24"/>
          <w:lang w:val="zh-TW" w:eastAsia="zh-TW"/>
        </w:rPr>
        <w:t>级材料隔热。当照明灯具或镇流器嵌入可燃装饰装修材料中时，应采取隔热措施予以分隔。</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zh-TW" w:eastAsia="zh-TW"/>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.9</w:t>
      </w:r>
      <w:r>
        <w:rPr>
          <w:rFonts w:hint="eastAsia" w:ascii="宋体" w:hAnsi="宋体" w:eastAsia="宋体" w:cs="宋体"/>
          <w:color w:val="auto"/>
          <w:spacing w:val="-4"/>
          <w:sz w:val="24"/>
          <w:szCs w:val="24"/>
          <w:lang w:val="zh-TW" w:eastAsia="zh-TW"/>
        </w:rPr>
        <w:t>项目采用铝合金材料，需做氧化处理。</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.10布草类需要环保、优雅选配，并按照设计要求，清单要求进行采购按照，并经采购人认可。</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cs="宋体"/>
          <w:color w:val="auto"/>
          <w:spacing w:val="-4"/>
          <w:sz w:val="24"/>
          <w:szCs w:val="24"/>
          <w:lang w:val="en-US" w:eastAsia="zh-CN"/>
        </w:rPr>
        <w:t>9</w:t>
      </w:r>
      <w:r>
        <w:rPr>
          <w:rFonts w:hint="eastAsia" w:ascii="宋体" w:hAnsi="宋体" w:eastAsia="宋体" w:cs="宋体"/>
          <w:color w:val="auto"/>
          <w:spacing w:val="-4"/>
          <w:sz w:val="24"/>
          <w:szCs w:val="24"/>
          <w:lang w:val="en-US" w:eastAsia="zh-CN"/>
        </w:rPr>
        <w:t>.11家器具购置需按照设计要求，环保、与清单要求材质一致，款式需和设计单位以及采购人选样后确定。</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outlineLvl w:val="2"/>
        <w:rPr>
          <w:rFonts w:hint="eastAsia" w:ascii="宋体" w:hAnsi="宋体" w:eastAsia="宋体" w:cs="宋体"/>
          <w:color w:val="auto"/>
          <w:spacing w:val="-4"/>
          <w:sz w:val="24"/>
          <w:szCs w:val="24"/>
          <w:lang w:val="en-US" w:eastAsia="zh-CN"/>
        </w:rPr>
      </w:pPr>
      <w:bookmarkStart w:id="652" w:name="_Toc26150"/>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lang w:val="zh-TW" w:eastAsia="zh-TW"/>
        </w:rPr>
        <w:t>安全和环保</w:t>
      </w:r>
      <w:bookmarkEnd w:id="652"/>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lang w:val="zh-TW" w:eastAsia="zh-TW"/>
        </w:rPr>
        <w:t>设计应绝对服从</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lang w:val="zh-TW" w:eastAsia="zh-TW"/>
        </w:rPr>
        <w:t>安全第一</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lang w:val="zh-TW" w:eastAsia="zh-TW"/>
        </w:rPr>
        <w:t>的原则，设计图纸要依据大楼设计图纸标注的各项指标范围内设计。</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lang w:val="zh-TW" w:eastAsia="zh-TW"/>
        </w:rPr>
        <w:t>满足</w:t>
      </w:r>
      <w:r>
        <w:rPr>
          <w:rFonts w:hint="eastAsia" w:ascii="宋体" w:hAnsi="宋体" w:eastAsia="宋体" w:cs="宋体"/>
          <w:color w:val="auto"/>
          <w:spacing w:val="-4"/>
          <w:sz w:val="24"/>
          <w:szCs w:val="24"/>
          <w:lang w:val="en-US" w:eastAsia="zh-CN"/>
        </w:rPr>
        <w:t>GB4064</w:t>
      </w:r>
      <w:r>
        <w:rPr>
          <w:rFonts w:hint="eastAsia" w:ascii="宋体" w:hAnsi="宋体" w:eastAsia="宋体" w:cs="宋体"/>
          <w:color w:val="auto"/>
          <w:spacing w:val="-4"/>
          <w:sz w:val="24"/>
          <w:szCs w:val="24"/>
          <w:lang w:val="zh-TW" w:eastAsia="zh-TW"/>
        </w:rPr>
        <w:t>－</w:t>
      </w:r>
      <w:r>
        <w:rPr>
          <w:rFonts w:hint="eastAsia" w:ascii="宋体" w:hAnsi="宋体" w:eastAsia="宋体" w:cs="宋体"/>
          <w:color w:val="auto"/>
          <w:spacing w:val="-4"/>
          <w:sz w:val="24"/>
          <w:szCs w:val="24"/>
          <w:lang w:val="en-US" w:eastAsia="zh-CN"/>
        </w:rPr>
        <w:t>83</w:t>
      </w:r>
      <w:r>
        <w:rPr>
          <w:rFonts w:hint="eastAsia" w:ascii="宋体" w:hAnsi="宋体" w:eastAsia="宋体" w:cs="宋体"/>
          <w:color w:val="auto"/>
          <w:spacing w:val="-4"/>
          <w:sz w:val="24"/>
          <w:szCs w:val="24"/>
          <w:lang w:val="zh-TW" w:eastAsia="zh-TW"/>
        </w:rPr>
        <w:t>《电气设备安全设计导则》等有关电气安全的国家规范。</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.3</w:t>
      </w:r>
      <w:r>
        <w:rPr>
          <w:rFonts w:hint="eastAsia" w:ascii="宋体" w:hAnsi="宋体" w:eastAsia="宋体" w:cs="宋体"/>
          <w:color w:val="auto"/>
          <w:spacing w:val="-4"/>
          <w:sz w:val="24"/>
          <w:szCs w:val="24"/>
          <w:lang w:val="zh-TW" w:eastAsia="zh-TW"/>
        </w:rPr>
        <w:t>所使用的各种材料应符合国家有关环保标准，不得给人员、设备和环境造成危害。</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.4</w:t>
      </w:r>
      <w:r>
        <w:rPr>
          <w:rFonts w:hint="eastAsia" w:ascii="宋体" w:hAnsi="宋体" w:eastAsia="宋体" w:cs="宋体"/>
          <w:color w:val="auto"/>
          <w:spacing w:val="-4"/>
          <w:sz w:val="24"/>
          <w:szCs w:val="24"/>
          <w:lang w:val="zh-TW" w:eastAsia="zh-TW"/>
        </w:rPr>
        <w:t>电气设计中需采用三相五线制设计，金属结构、外壳必须保护接地设计。</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.5</w:t>
      </w:r>
      <w:r>
        <w:rPr>
          <w:rFonts w:hint="eastAsia" w:ascii="宋体" w:hAnsi="宋体" w:eastAsia="宋体" w:cs="宋体"/>
          <w:color w:val="auto"/>
          <w:spacing w:val="-4"/>
          <w:sz w:val="24"/>
          <w:szCs w:val="24"/>
          <w:lang w:val="zh-TW" w:eastAsia="zh-TW"/>
        </w:rPr>
        <w:t>对于外露的零件（例如螺母、螺钉等）要设法保护，防止对人员带来伤害。</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64" w:firstLineChars="200"/>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r>
        <w:rPr>
          <w:rFonts w:hint="eastAsia" w:ascii="宋体" w:hAnsi="宋体" w:cs="宋体"/>
          <w:color w:val="auto"/>
          <w:spacing w:val="-4"/>
          <w:sz w:val="24"/>
          <w:szCs w:val="24"/>
          <w:lang w:val="en-US" w:eastAsia="zh-CN"/>
        </w:rPr>
        <w:t>0</w:t>
      </w:r>
      <w:r>
        <w:rPr>
          <w:rFonts w:hint="eastAsia" w:ascii="宋体" w:hAnsi="宋体" w:eastAsia="宋体" w:cs="宋体"/>
          <w:color w:val="auto"/>
          <w:spacing w:val="-4"/>
          <w:sz w:val="24"/>
          <w:szCs w:val="24"/>
          <w:lang w:val="en-US" w:eastAsia="zh-CN"/>
        </w:rPr>
        <w:t>.6</w:t>
      </w:r>
      <w:r>
        <w:rPr>
          <w:rFonts w:hint="eastAsia" w:ascii="宋体" w:hAnsi="宋体" w:eastAsia="宋体" w:cs="宋体"/>
          <w:color w:val="auto"/>
          <w:spacing w:val="-4"/>
          <w:sz w:val="24"/>
          <w:szCs w:val="24"/>
          <w:lang w:val="zh-TW" w:eastAsia="zh-TW"/>
        </w:rPr>
        <w:t>特种设备一定要通过特种设备监察检验部门审核颁发的特种设备安全使用证书。（如有）</w:t>
      </w:r>
    </w:p>
    <w:p>
      <w:pPr>
        <w:autoSpaceDE w:val="0"/>
        <w:adjustRightInd w:val="0"/>
        <w:snapToGrid w:val="0"/>
        <w:spacing w:beforeLines="0" w:afterLines="0" w:line="312" w:lineRule="auto"/>
        <w:ind w:firstLine="482" w:firstLineChars="200"/>
        <w:outlineLvl w:val="1"/>
        <w:rPr>
          <w:rFonts w:hint="eastAsia" w:ascii="宋体" w:hAnsi="宋体" w:eastAsia="宋体" w:cs="宋体"/>
          <w:b/>
          <w:bCs w:val="0"/>
          <w:kern w:val="2"/>
          <w:sz w:val="24"/>
          <w:szCs w:val="24"/>
          <w:lang w:val="en-US" w:eastAsia="zh-CN" w:bidi="ar"/>
        </w:rPr>
      </w:pPr>
      <w:bookmarkStart w:id="653" w:name="_Toc32168"/>
      <w:bookmarkStart w:id="654" w:name="_Toc21713"/>
      <w:r>
        <w:rPr>
          <w:rFonts w:hint="eastAsia" w:ascii="宋体" w:hAnsi="宋体" w:cs="宋体"/>
          <w:b/>
          <w:bCs w:val="0"/>
          <w:kern w:val="2"/>
          <w:sz w:val="24"/>
          <w:szCs w:val="24"/>
          <w:lang w:val="en-US" w:eastAsia="zh-CN" w:bidi="ar"/>
        </w:rPr>
        <w:t>九</w:t>
      </w:r>
      <w:r>
        <w:rPr>
          <w:rFonts w:hint="eastAsia" w:ascii="宋体" w:hAnsi="宋体" w:eastAsia="宋体" w:cs="宋体"/>
          <w:b/>
          <w:bCs w:val="0"/>
          <w:kern w:val="2"/>
          <w:sz w:val="24"/>
          <w:szCs w:val="24"/>
          <w:lang w:val="en-US" w:eastAsia="zh-CN" w:bidi="ar"/>
        </w:rPr>
        <w:t>、主要材料推荐品牌汇总表</w:t>
      </w:r>
      <w:bookmarkEnd w:id="653"/>
      <w:bookmarkEnd w:id="654"/>
    </w:p>
    <w:tbl>
      <w:tblPr>
        <w:tblStyle w:val="4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57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名称</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推荐品牌及厂家或规格</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w w:val="100"/>
                <w:kern w:val="2"/>
                <w:position w:val="0"/>
                <w:sz w:val="22"/>
                <w:szCs w:val="22"/>
                <w:highlight w:val="none"/>
                <w:shd w:val="clear" w:color="auto" w:fill="auto"/>
                <w:lang w:val="en-US" w:eastAsia="zh-CN" w:bidi="ar-SA"/>
              </w:rPr>
            </w:pPr>
            <w:r>
              <w:rPr>
                <w:rFonts w:hint="eastAsia" w:ascii="宋体" w:hAnsi="宋体" w:eastAsia="宋体" w:cs="宋体"/>
                <w:b/>
                <w:bCs/>
                <w:color w:val="auto"/>
                <w:spacing w:val="0"/>
                <w:w w:val="100"/>
                <w:kern w:val="2"/>
                <w:position w:val="0"/>
                <w:sz w:val="22"/>
                <w:szCs w:val="22"/>
                <w:highlight w:val="none"/>
                <w:shd w:val="clear" w:color="auto" w:fill="auto"/>
                <w:lang w:val="en-US" w:eastAsia="zh-CN" w:bidi="ar-SA"/>
              </w:rPr>
              <w:t>装饰部分</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both"/>
              <w:rPr>
                <w:rFonts w:hint="eastAsia" w:ascii="宋体" w:hAnsi="宋体" w:eastAsia="宋体" w:cs="宋体"/>
                <w:color w:val="auto"/>
                <w:spacing w:val="0"/>
                <w:w w:val="100"/>
                <w:kern w:val="2"/>
                <w:position w:val="0"/>
                <w:sz w:val="22"/>
                <w:szCs w:val="22"/>
                <w:highlight w:val="none"/>
                <w:shd w:val="clear" w:color="auto" w:fill="auto"/>
                <w:lang w:val="en-US" w:eastAsia="zh-CN" w:bidi="ar-SA"/>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both"/>
              <w:rPr>
                <w:rStyle w:val="43"/>
                <w:rFonts w:hint="eastAsia" w:ascii="宋体" w:hAnsi="宋体" w:eastAsia="宋体" w:cs="宋体"/>
                <w:color w:val="auto"/>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防水材料</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YUHONG雨虹、CKS科顺、宏源、卓宝、宏成</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无机涂料、乳胶漆、艺术涂料</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三棵树、嘉宝莉、立邦、多乐士、华润</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成品门</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TATA木门、美心、星月神、顺帆、合力、万家飞扬</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五金配件</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坚朗、雅洁、顶固、国强</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墙面砖、地砖</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特地、惠万家、马可波罗、蒙娜丽莎</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产地：广东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实木复合地板</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圣象、大自然、菲林格尔、德尔</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板材</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莫干山、兔宝宝、千年舟、伟业、丰林</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Style w:val="43"/>
                <w:rFonts w:hint="eastAsia" w:ascii="宋体" w:hAnsi="宋体" w:eastAsia="宋体" w:cs="宋体"/>
                <w:color w:val="auto"/>
                <w:sz w:val="22"/>
                <w:szCs w:val="22"/>
                <w:highlight w:val="none"/>
                <w:lang w:val="en-US" w:eastAsia="zh-CN" w:bidi="ar-SA"/>
              </w:rPr>
            </w:pPr>
            <w:r>
              <w:rPr>
                <w:rStyle w:val="43"/>
                <w:rFonts w:hint="eastAsia" w:ascii="宋体" w:hAnsi="宋体" w:eastAsia="宋体" w:cs="宋体"/>
                <w:b/>
                <w:bCs/>
                <w:color w:val="auto"/>
                <w:sz w:val="22"/>
                <w:szCs w:val="22"/>
                <w:highlight w:val="none"/>
                <w:lang w:val="en-US" w:eastAsia="zh-CN" w:bidi="ar-SA"/>
              </w:rPr>
              <w:t>安装部分</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both"/>
              <w:rPr>
                <w:rStyle w:val="43"/>
                <w:rFonts w:hint="eastAsia" w:ascii="宋体" w:hAnsi="宋体" w:eastAsia="宋体" w:cs="宋体"/>
                <w:color w:val="auto"/>
                <w:sz w:val="22"/>
                <w:szCs w:val="22"/>
                <w:highlight w:val="none"/>
                <w:lang w:val="en-US" w:eastAsia="zh-CN" w:bidi="ar-SA"/>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both"/>
              <w:rPr>
                <w:rStyle w:val="43"/>
                <w:rFonts w:hint="eastAsia" w:ascii="宋体" w:hAnsi="宋体" w:eastAsia="宋体" w:cs="宋体"/>
                <w:color w:val="auto"/>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给排水管及其配件</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中财、联塑、伟星、公元、龙财</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卫生洁具（含智能系统）</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四维、东鹏、美标、九牧</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卫浴配件</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潜水艇、雅洁、九牧、恒洁</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电线、电缆、</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浙江万马、杭州通策、无锡江南、浙缆中策</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开关、插座</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鸿雁、德力西、TCL</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电气元件</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ABB、西门子、施耐德</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灯具、光源</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欧普、阳光、三雄极光、雷士</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空调</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格力、美的、海尔</w:t>
            </w: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64"/>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4"/>
                <w:kern w:val="2"/>
                <w:sz w:val="24"/>
                <w:szCs w:val="24"/>
                <w:lang w:val="en-US" w:eastAsia="zh-CN" w:bidi="ar-SA"/>
              </w:rPr>
            </w:pPr>
          </w:p>
        </w:tc>
      </w:tr>
    </w:tbl>
    <w:p>
      <w:pPr>
        <w:autoSpaceDE w:val="0"/>
        <w:adjustRightInd w:val="0"/>
        <w:snapToGrid w:val="0"/>
        <w:spacing w:beforeLines="0" w:afterLines="0" w:line="312" w:lineRule="auto"/>
        <w:ind w:firstLine="480" w:firstLineChars="200"/>
        <w:rPr>
          <w:rFonts w:hint="eastAsia" w:ascii="宋体" w:hAnsi="宋体" w:eastAsia="宋体" w:cs="宋体"/>
          <w:bCs/>
          <w:lang w:val="en-US"/>
        </w:rPr>
      </w:pPr>
      <w:r>
        <w:rPr>
          <w:rFonts w:hint="eastAsia" w:ascii="宋体" w:hAnsi="宋体" w:eastAsia="宋体" w:cs="宋体"/>
          <w:bCs/>
        </w:rPr>
        <w:t>注：为了保证工程质量，</w:t>
      </w:r>
      <w:r>
        <w:rPr>
          <w:rFonts w:hint="eastAsia" w:ascii="宋体" w:hAnsi="宋体" w:eastAsia="宋体" w:cs="宋体"/>
          <w:bCs/>
          <w:lang w:val="en-US" w:eastAsia="zh-CN"/>
        </w:rPr>
        <w:t>采购人</w:t>
      </w:r>
      <w:r>
        <w:rPr>
          <w:rFonts w:hint="eastAsia" w:ascii="宋体" w:hAnsi="宋体" w:eastAsia="宋体" w:cs="宋体"/>
          <w:bCs/>
        </w:rPr>
        <w:t>推荐以上品质较好的材料和设备品牌，品牌内选择的设备和主材必需达到国标要求，其型号、规格、档次等最终不低于招标文件选用型号、规格、档次等，否则存在扣减造价的风险。</w:t>
      </w:r>
    </w:p>
    <w:p>
      <w:pPr>
        <w:autoSpaceDE w:val="0"/>
        <w:adjustRightInd w:val="0"/>
        <w:snapToGrid w:val="0"/>
        <w:spacing w:beforeLines="0" w:afterLines="0" w:line="312" w:lineRule="auto"/>
        <w:ind w:firstLine="482" w:firstLineChars="200"/>
        <w:rPr>
          <w:rFonts w:hint="eastAsia" w:ascii="宋体" w:hAnsi="宋体" w:eastAsia="宋体" w:cs="宋体"/>
          <w:bCs/>
        </w:rPr>
      </w:pPr>
      <w:r>
        <w:rPr>
          <w:rFonts w:hint="eastAsia" w:ascii="宋体" w:hAnsi="宋体" w:cs="宋体"/>
          <w:b/>
          <w:bCs w:val="0"/>
          <w:kern w:val="2"/>
          <w:sz w:val="24"/>
          <w:szCs w:val="24"/>
          <w:lang w:val="en-US" w:eastAsia="zh-CN" w:bidi="ar"/>
        </w:rPr>
        <w:t>▲十、商务要求</w:t>
      </w:r>
      <w:r>
        <w:rPr>
          <w:rFonts w:hint="eastAsia" w:ascii="宋体" w:hAnsi="宋体" w:eastAsia="宋体" w:cs="宋体"/>
          <w:bCs/>
          <w:sz w:val="24"/>
          <w:szCs w:val="24"/>
        </w:rPr>
        <w:t>（</w:t>
      </w:r>
      <w:r>
        <w:rPr>
          <w:rFonts w:hint="eastAsia" w:ascii="宋体" w:hAnsi="宋体" w:eastAsia="宋体" w:cs="宋体"/>
          <w:bCs/>
        </w:rPr>
        <w:t>以下仅为采购</w:t>
      </w:r>
      <w:r>
        <w:rPr>
          <w:rFonts w:hint="eastAsia" w:ascii="宋体" w:hAnsi="宋体" w:eastAsia="宋体" w:cs="宋体"/>
          <w:bCs/>
          <w:lang w:val="en-US" w:eastAsia="zh-CN"/>
        </w:rPr>
        <w:t>人</w:t>
      </w:r>
      <w:r>
        <w:rPr>
          <w:rFonts w:hint="eastAsia" w:ascii="宋体" w:hAnsi="宋体" w:eastAsia="宋体" w:cs="宋体"/>
          <w:bCs/>
        </w:rPr>
        <w:t>最低要求，</w:t>
      </w:r>
      <w:r>
        <w:rPr>
          <w:rFonts w:hint="eastAsia" w:ascii="宋体" w:hAnsi="宋体" w:eastAsia="宋体" w:cs="宋体"/>
          <w:bCs/>
          <w:lang w:eastAsia="zh-CN"/>
        </w:rPr>
        <w:t>投标人</w:t>
      </w:r>
      <w:r>
        <w:rPr>
          <w:rFonts w:hint="eastAsia" w:ascii="宋体" w:hAnsi="宋体" w:eastAsia="宋体" w:cs="宋体"/>
          <w:bCs/>
        </w:rPr>
        <w:t>必须实质响应，并欢迎</w:t>
      </w:r>
      <w:r>
        <w:rPr>
          <w:rFonts w:hint="eastAsia" w:ascii="宋体" w:hAnsi="宋体" w:eastAsia="宋体" w:cs="宋体"/>
          <w:bCs/>
          <w:lang w:eastAsia="zh-CN"/>
        </w:rPr>
        <w:t>投标人</w:t>
      </w:r>
      <w:r>
        <w:rPr>
          <w:rFonts w:hint="eastAsia" w:ascii="宋体" w:hAnsi="宋体" w:cs="宋体"/>
          <w:bCs/>
          <w:lang w:val="en-US" w:eastAsia="zh-CN"/>
        </w:rPr>
        <w:t>提供</w:t>
      </w:r>
      <w:r>
        <w:rPr>
          <w:rFonts w:hint="eastAsia" w:ascii="宋体" w:hAnsi="宋体" w:eastAsia="宋体" w:cs="宋体"/>
          <w:bCs/>
        </w:rPr>
        <w:t>更优越、更详细的商务承诺）</w:t>
      </w:r>
    </w:p>
    <w:p>
      <w:pPr>
        <w:pStyle w:val="19"/>
        <w:numPr>
          <w:ilvl w:val="0"/>
          <w:numId w:val="0"/>
        </w:numPr>
        <w:tabs>
          <w:tab w:val="left" w:pos="397"/>
          <w:tab w:val="left" w:pos="420"/>
        </w:tabs>
        <w:snapToGrid w:val="0"/>
        <w:spacing w:beforeLines="0" w:line="288" w:lineRule="auto"/>
        <w:ind w:firstLine="480" w:firstLineChars="200"/>
        <w:rPr>
          <w:rFonts w:hint="eastAsia" w:ascii="宋体" w:hAnsi="宋体" w:eastAsia="宋体" w:cs="宋体"/>
          <w:bCs/>
          <w:color w:val="auto"/>
          <w:kern w:val="2"/>
          <w:szCs w:val="24"/>
          <w:lang w:bidi="ar"/>
        </w:rPr>
      </w:pPr>
      <w:r>
        <w:rPr>
          <w:rFonts w:hint="eastAsia" w:ascii="宋体" w:hAnsi="宋体" w:eastAsia="宋体" w:cs="宋体"/>
          <w:bCs/>
          <w:color w:val="auto"/>
          <w:kern w:val="2"/>
          <w:szCs w:val="24"/>
          <w:lang w:bidi="ar"/>
        </w:rPr>
        <w:t>1.</w:t>
      </w:r>
      <w:r>
        <w:rPr>
          <w:rFonts w:hint="eastAsia" w:ascii="宋体" w:hAnsi="宋体" w:eastAsia="宋体" w:cs="宋体"/>
          <w:bCs/>
          <w:color w:val="auto"/>
          <w:kern w:val="2"/>
          <w:sz w:val="24"/>
          <w:szCs w:val="24"/>
          <w:lang w:val="en-US" w:eastAsia="zh-CN" w:bidi="ar"/>
        </w:rPr>
        <w:t>工期</w:t>
      </w:r>
      <w:r>
        <w:rPr>
          <w:rFonts w:hint="eastAsia" w:ascii="宋体" w:hAnsi="宋体" w:eastAsia="宋体" w:cs="宋体"/>
          <w:bCs/>
          <w:color w:val="auto"/>
          <w:kern w:val="2"/>
          <w:sz w:val="24"/>
          <w:szCs w:val="24"/>
          <w:lang w:bidi="ar"/>
        </w:rPr>
        <w:t>：</w:t>
      </w:r>
      <w:r>
        <w:rPr>
          <w:rFonts w:hint="eastAsia" w:ascii="宋体" w:hAnsi="宋体" w:cs="宋体"/>
          <w:bCs/>
          <w:color w:val="auto"/>
          <w:kern w:val="2"/>
          <w:sz w:val="24"/>
          <w:szCs w:val="24"/>
          <w:lang w:val="en-US" w:eastAsia="zh-CN" w:bidi="ar"/>
        </w:rPr>
        <w:t>自合同签订生效之日起30天完成设计布展并通过验收。</w:t>
      </w:r>
    </w:p>
    <w:p>
      <w:pPr>
        <w:pStyle w:val="76"/>
        <w:numPr>
          <w:ilvl w:val="-1"/>
          <w:numId w:val="0"/>
        </w:numPr>
        <w:tabs>
          <w:tab w:val="left" w:pos="0"/>
        </w:tabs>
        <w:spacing w:line="288" w:lineRule="auto"/>
        <w:ind w:left="0" w:leftChars="0" w:firstLine="480" w:firstLineChars="200"/>
        <w:rPr>
          <w:rFonts w:hint="eastAsia" w:ascii="宋体" w:hAnsi="宋体" w:eastAsia="宋体" w:cs="宋体"/>
          <w:bCs/>
          <w:color w:val="auto"/>
          <w:kern w:val="2"/>
          <w:szCs w:val="24"/>
          <w:lang w:bidi="ar"/>
        </w:rPr>
      </w:pPr>
      <w:r>
        <w:rPr>
          <w:rFonts w:hint="eastAsia" w:ascii="宋体" w:hAnsi="宋体" w:eastAsia="宋体" w:cs="宋体"/>
          <w:bCs/>
          <w:color w:val="auto"/>
          <w:kern w:val="2"/>
          <w:szCs w:val="24"/>
          <w:lang w:val="en-US" w:eastAsia="zh-CN" w:bidi="ar"/>
        </w:rPr>
        <w:t>2.</w:t>
      </w:r>
      <w:r>
        <w:rPr>
          <w:rFonts w:hint="eastAsia" w:ascii="宋体" w:hAnsi="宋体" w:eastAsia="宋体" w:cs="宋体"/>
          <w:bCs/>
          <w:color w:val="auto"/>
          <w:kern w:val="2"/>
          <w:szCs w:val="24"/>
          <w:lang w:bidi="ar"/>
        </w:rPr>
        <w:t>地点：采购人指定地点。</w:t>
      </w:r>
    </w:p>
    <w:p>
      <w:pPr>
        <w:pStyle w:val="76"/>
        <w:spacing w:line="288" w:lineRule="auto"/>
        <w:ind w:firstLine="480" w:firstLineChars="200"/>
        <w:rPr>
          <w:rFonts w:hint="eastAsia" w:ascii="宋体" w:hAnsi="宋体" w:eastAsia="宋体" w:cs="宋体"/>
          <w:bCs/>
          <w:color w:val="auto"/>
          <w:kern w:val="2"/>
          <w:szCs w:val="24"/>
          <w:lang w:bidi="ar"/>
        </w:rPr>
      </w:pPr>
      <w:r>
        <w:rPr>
          <w:rFonts w:hint="eastAsia" w:ascii="宋体" w:hAnsi="宋体" w:eastAsia="宋体" w:cs="宋体"/>
          <w:bCs/>
          <w:color w:val="auto"/>
          <w:kern w:val="2"/>
          <w:szCs w:val="24"/>
          <w:lang w:bidi="ar"/>
        </w:rPr>
        <w:t>3.</w:t>
      </w:r>
      <w:r>
        <w:rPr>
          <w:rFonts w:hint="eastAsia" w:ascii="宋体" w:hAnsi="宋体" w:eastAsia="宋体" w:cs="宋体"/>
          <w:bCs/>
          <w:color w:val="auto"/>
          <w:kern w:val="2"/>
          <w:szCs w:val="24"/>
          <w:lang w:val="en-US" w:eastAsia="zh-CN" w:bidi="ar"/>
        </w:rPr>
        <w:t>结算方式</w:t>
      </w:r>
      <w:r>
        <w:rPr>
          <w:rFonts w:hint="eastAsia" w:ascii="宋体" w:hAnsi="宋体" w:eastAsia="宋体" w:cs="宋体"/>
          <w:bCs/>
          <w:color w:val="auto"/>
          <w:kern w:val="2"/>
          <w:szCs w:val="24"/>
          <w:lang w:bidi="ar"/>
        </w:rPr>
        <w:t>：</w:t>
      </w:r>
    </w:p>
    <w:p>
      <w:pPr>
        <w:adjustRightInd w:val="0"/>
        <w:snapToGrid w:val="0"/>
        <w:spacing w:line="288" w:lineRule="auto"/>
        <w:ind w:firstLine="480" w:firstLineChars="200"/>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本项目的合同价根据采购人提供的</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作为结算依据。结算价根据总价下浮率进行下浮。（下浮率=（</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-投标报价）/</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×100%）。</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3.1</w:t>
      </w:r>
      <w:r>
        <w:rPr>
          <w:rFonts w:hint="eastAsia" w:ascii="宋体" w:hAnsi="宋体" w:cs="宋体"/>
          <w:bCs/>
          <w:color w:val="auto"/>
          <w:sz w:val="24"/>
          <w:szCs w:val="24"/>
          <w:lang w:val="en-US" w:eastAsia="zh-CN" w:bidi="ar"/>
        </w:rPr>
        <w:t>硬装（装饰工程及安装工程）</w:t>
      </w:r>
      <w:r>
        <w:rPr>
          <w:rFonts w:hint="eastAsia" w:ascii="宋体" w:hAnsi="宋体" w:eastAsia="宋体" w:cs="宋体"/>
          <w:bCs/>
          <w:color w:val="auto"/>
          <w:sz w:val="24"/>
          <w:szCs w:val="24"/>
          <w:lang w:val="en-US" w:eastAsia="zh-CN" w:bidi="ar"/>
        </w:rPr>
        <w:t>结算依据：按照中标人实际完成工程量×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中的综合单价+相关规费和税金=总价，结算价=总价×（1-下浮率），并</w:t>
      </w:r>
      <w:r>
        <w:rPr>
          <w:rFonts w:hint="eastAsia" w:ascii="宋体" w:hAnsi="宋体" w:eastAsia="宋体" w:cs="宋体"/>
          <w:bCs/>
          <w:color w:val="auto"/>
          <w:kern w:val="2"/>
          <w:szCs w:val="24"/>
          <w:lang w:val="en-US" w:eastAsia="zh-CN" w:bidi="ar"/>
        </w:rPr>
        <w:t>委托第三方审核，</w:t>
      </w:r>
      <w:r>
        <w:rPr>
          <w:rFonts w:hint="eastAsia" w:ascii="宋体" w:hAnsi="宋体" w:eastAsia="宋体" w:cs="宋体"/>
          <w:bCs/>
          <w:color w:val="auto"/>
          <w:sz w:val="24"/>
          <w:szCs w:val="24"/>
          <w:lang w:val="en-US" w:eastAsia="zh-CN" w:bidi="ar"/>
        </w:rPr>
        <w:t>其中不包含暂列金额；</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3.2</w:t>
      </w:r>
      <w:r>
        <w:rPr>
          <w:rFonts w:hint="eastAsia" w:ascii="宋体" w:hAnsi="宋体" w:cs="宋体"/>
          <w:sz w:val="24"/>
          <w:szCs w:val="24"/>
          <w:lang w:val="en-US" w:eastAsia="zh-CN"/>
        </w:rPr>
        <w:t>软装</w:t>
      </w:r>
      <w:r>
        <w:rPr>
          <w:rFonts w:hint="eastAsia" w:ascii="宋体" w:hAnsi="宋体" w:eastAsia="宋体" w:cs="宋体"/>
          <w:color w:val="auto"/>
          <w:spacing w:val="-4"/>
          <w:sz w:val="24"/>
          <w:szCs w:val="24"/>
          <w:lang w:val="en-US" w:eastAsia="zh-CN"/>
        </w:rPr>
        <w:t>（含展陈布展、家器具、文创等）</w:t>
      </w:r>
      <w:r>
        <w:rPr>
          <w:rFonts w:hint="eastAsia" w:ascii="宋体" w:hAnsi="宋体" w:cs="宋体"/>
          <w:color w:val="auto"/>
          <w:sz w:val="24"/>
          <w:szCs w:val="24"/>
          <w:lang w:val="en-US" w:eastAsia="zh-CN"/>
        </w:rPr>
        <w:t>结算依据</w:t>
      </w:r>
      <w:r>
        <w:rPr>
          <w:rFonts w:hint="eastAsia" w:ascii="宋体" w:hAnsi="宋体" w:eastAsia="宋体" w:cs="宋体"/>
          <w:bCs/>
          <w:color w:val="auto"/>
          <w:sz w:val="24"/>
          <w:szCs w:val="24"/>
          <w:lang w:val="en-US" w:eastAsia="zh-CN" w:bidi="ar"/>
        </w:rPr>
        <w:t>：按照中标人实际完成的采购</w:t>
      </w:r>
      <w:r>
        <w:rPr>
          <w:rFonts w:hint="eastAsia" w:ascii="宋体" w:hAnsi="宋体" w:cs="宋体"/>
          <w:bCs/>
          <w:color w:val="auto"/>
          <w:sz w:val="24"/>
          <w:szCs w:val="24"/>
          <w:lang w:val="en-US" w:eastAsia="zh-CN" w:bidi="ar"/>
        </w:rPr>
        <w:t>数</w:t>
      </w:r>
      <w:r>
        <w:rPr>
          <w:rFonts w:hint="eastAsia" w:ascii="宋体" w:hAnsi="宋体" w:eastAsia="宋体" w:cs="宋体"/>
          <w:bCs/>
          <w:color w:val="auto"/>
          <w:sz w:val="24"/>
          <w:szCs w:val="24"/>
          <w:lang w:val="en-US" w:eastAsia="zh-CN" w:bidi="ar"/>
        </w:rPr>
        <w:t>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中的综合单价=总价，结算价=总价×（1-下浮率）；</w:t>
      </w:r>
    </w:p>
    <w:p>
      <w:pPr>
        <w:pStyle w:val="76"/>
        <w:spacing w:line="288" w:lineRule="auto"/>
        <w:ind w:firstLine="480" w:firstLineChars="200"/>
        <w:rPr>
          <w:rFonts w:hint="eastAsia" w:ascii="宋体" w:hAnsi="宋体" w:eastAsia="宋体" w:cs="宋体"/>
          <w:bCs/>
          <w:color w:val="auto"/>
          <w:kern w:val="2"/>
          <w:szCs w:val="24"/>
          <w:lang w:bidi="ar"/>
        </w:rPr>
      </w:pPr>
      <w:r>
        <w:rPr>
          <w:rFonts w:hint="eastAsia" w:ascii="宋体" w:hAnsi="宋体" w:eastAsia="宋体" w:cs="宋体"/>
          <w:bCs/>
          <w:color w:val="auto"/>
          <w:kern w:val="2"/>
          <w:sz w:val="24"/>
          <w:szCs w:val="24"/>
          <w:lang w:val="en-US" w:eastAsia="zh-CN" w:bidi="ar"/>
        </w:rPr>
        <w:t>4.支付方式：</w:t>
      </w:r>
      <w:r>
        <w:rPr>
          <w:rFonts w:hint="eastAsia" w:ascii="宋体" w:hAnsi="宋体" w:eastAsia="宋体" w:cs="宋体"/>
          <w:bCs/>
          <w:color w:val="auto"/>
          <w:kern w:val="2"/>
          <w:sz w:val="24"/>
          <w:szCs w:val="24"/>
          <w:lang w:bidi="ar"/>
        </w:rPr>
        <w:t>合同签订后15日内支付合同金额的</w:t>
      </w:r>
      <w:r>
        <w:rPr>
          <w:rFonts w:hint="eastAsia" w:ascii="宋体" w:hAnsi="宋体" w:eastAsia="宋体" w:cs="宋体"/>
          <w:bCs/>
          <w:color w:val="auto"/>
          <w:kern w:val="2"/>
          <w:sz w:val="24"/>
          <w:szCs w:val="24"/>
          <w:lang w:val="en-US" w:eastAsia="zh-CN" w:bidi="ar"/>
        </w:rPr>
        <w:t>30</w:t>
      </w:r>
      <w:r>
        <w:rPr>
          <w:rFonts w:hint="eastAsia" w:ascii="宋体" w:hAnsi="宋体" w:eastAsia="宋体" w:cs="宋体"/>
          <w:bCs/>
          <w:color w:val="auto"/>
          <w:kern w:val="2"/>
          <w:sz w:val="24"/>
          <w:szCs w:val="24"/>
          <w:lang w:bidi="ar"/>
        </w:rPr>
        <w:t>%作为</w:t>
      </w:r>
      <w:r>
        <w:rPr>
          <w:rFonts w:hint="eastAsia" w:ascii="宋体" w:hAnsi="宋体" w:eastAsia="宋体" w:cs="宋体"/>
          <w:bCs/>
          <w:color w:val="auto"/>
          <w:kern w:val="2"/>
          <w:sz w:val="24"/>
          <w:szCs w:val="24"/>
          <w:lang w:eastAsia="zh-CN" w:bidi="ar"/>
        </w:rPr>
        <w:t>备料款</w:t>
      </w:r>
      <w:r>
        <w:rPr>
          <w:rFonts w:hint="eastAsia" w:ascii="宋体" w:hAnsi="宋体" w:eastAsia="宋体" w:cs="宋体"/>
          <w:bCs/>
          <w:color w:val="auto"/>
          <w:kern w:val="2"/>
          <w:sz w:val="24"/>
          <w:szCs w:val="24"/>
          <w:lang w:bidi="ar"/>
        </w:rPr>
        <w:t>（不扣回），</w:t>
      </w:r>
      <w:r>
        <w:rPr>
          <w:rFonts w:hint="eastAsia" w:ascii="宋体" w:hAnsi="宋体" w:eastAsia="宋体" w:cs="宋体"/>
          <w:bCs/>
          <w:color w:val="auto"/>
          <w:kern w:val="2"/>
          <w:szCs w:val="24"/>
          <w:lang w:bidi="ar"/>
        </w:rPr>
        <w:t>项目</w:t>
      </w:r>
      <w:r>
        <w:rPr>
          <w:rFonts w:hint="eastAsia" w:ascii="宋体" w:hAnsi="宋体" w:eastAsia="宋体" w:cs="宋体"/>
          <w:bCs/>
          <w:color w:val="auto"/>
          <w:kern w:val="2"/>
          <w:szCs w:val="24"/>
          <w:lang w:val="en-US" w:eastAsia="zh-CN" w:bidi="ar"/>
        </w:rPr>
        <w:t>装修基层</w:t>
      </w:r>
      <w:r>
        <w:rPr>
          <w:rFonts w:hint="eastAsia" w:ascii="宋体" w:hAnsi="宋体" w:eastAsia="宋体" w:cs="宋体"/>
          <w:bCs/>
          <w:color w:val="auto"/>
          <w:kern w:val="2"/>
          <w:szCs w:val="24"/>
          <w:lang w:bidi="ar"/>
        </w:rPr>
        <w:t>完成时支付至合同金额的</w:t>
      </w:r>
      <w:r>
        <w:rPr>
          <w:rFonts w:hint="eastAsia" w:ascii="宋体" w:hAnsi="宋体" w:eastAsia="宋体" w:cs="宋体"/>
          <w:bCs/>
          <w:color w:val="auto"/>
          <w:kern w:val="2"/>
          <w:szCs w:val="24"/>
          <w:lang w:val="en-US" w:eastAsia="zh-CN" w:bidi="ar"/>
        </w:rPr>
        <w:t>50</w:t>
      </w:r>
      <w:r>
        <w:rPr>
          <w:rFonts w:hint="eastAsia" w:ascii="宋体" w:hAnsi="宋体" w:eastAsia="宋体" w:cs="宋体"/>
          <w:bCs/>
          <w:color w:val="auto"/>
          <w:kern w:val="2"/>
          <w:szCs w:val="24"/>
          <w:lang w:bidi="ar"/>
        </w:rPr>
        <w:t>%，</w:t>
      </w:r>
      <w:r>
        <w:rPr>
          <w:rFonts w:hint="eastAsia" w:ascii="宋体" w:hAnsi="宋体" w:eastAsia="宋体" w:cs="宋体"/>
          <w:bCs/>
          <w:color w:val="auto"/>
          <w:kern w:val="2"/>
          <w:szCs w:val="24"/>
          <w:lang w:val="en-US" w:eastAsia="zh-CN" w:bidi="ar"/>
        </w:rPr>
        <w:t>软装进场布置支付至合同价款的70%，家器具购置完成，设备安装调试完成</w:t>
      </w:r>
      <w:r>
        <w:rPr>
          <w:rFonts w:hint="eastAsia" w:ascii="宋体" w:hAnsi="宋体" w:eastAsia="宋体" w:cs="宋体"/>
          <w:bCs/>
          <w:color w:val="auto"/>
          <w:kern w:val="2"/>
          <w:szCs w:val="24"/>
          <w:lang w:bidi="ar"/>
        </w:rPr>
        <w:t>并经采购人组织验收合格并通过试运行支付至</w:t>
      </w:r>
      <w:r>
        <w:rPr>
          <w:rFonts w:hint="eastAsia" w:ascii="宋体" w:hAnsi="宋体" w:eastAsia="宋体" w:cs="宋体"/>
          <w:bCs/>
          <w:color w:val="auto"/>
          <w:kern w:val="2"/>
          <w:szCs w:val="24"/>
          <w:lang w:val="en-US" w:eastAsia="zh-CN" w:bidi="ar"/>
        </w:rPr>
        <w:t>合同价款的85%，整体项目结算审核完成支付至</w:t>
      </w:r>
      <w:r>
        <w:rPr>
          <w:rFonts w:hint="eastAsia" w:ascii="宋体" w:hAnsi="宋体" w:eastAsia="宋体" w:cs="宋体"/>
          <w:bCs/>
          <w:color w:val="auto"/>
          <w:kern w:val="2"/>
          <w:szCs w:val="24"/>
          <w:lang w:bidi="ar"/>
        </w:rPr>
        <w:t>结算款项的</w:t>
      </w:r>
      <w:r>
        <w:rPr>
          <w:rFonts w:hint="eastAsia" w:ascii="宋体" w:hAnsi="宋体" w:eastAsia="宋体" w:cs="宋体"/>
          <w:bCs/>
          <w:color w:val="auto"/>
          <w:kern w:val="2"/>
          <w:szCs w:val="24"/>
          <w:lang w:val="en-US" w:eastAsia="zh-CN" w:bidi="ar"/>
        </w:rPr>
        <w:t>100</w:t>
      </w:r>
      <w:r>
        <w:rPr>
          <w:rFonts w:hint="eastAsia" w:ascii="宋体" w:hAnsi="宋体" w:eastAsia="宋体" w:cs="宋体"/>
          <w:bCs/>
          <w:color w:val="auto"/>
          <w:kern w:val="2"/>
          <w:szCs w:val="24"/>
          <w:lang w:bidi="ar"/>
        </w:rPr>
        <w:t>%。</w:t>
      </w:r>
    </w:p>
    <w:p>
      <w:pPr>
        <w:pStyle w:val="76"/>
        <w:spacing w:line="288" w:lineRule="auto"/>
        <w:ind w:firstLine="480" w:firstLineChars="200"/>
        <w:rPr>
          <w:rFonts w:hint="default" w:ascii="宋体" w:hAnsi="宋体" w:eastAsia="宋体" w:cs="宋体"/>
          <w:bCs/>
          <w:color w:val="auto"/>
          <w:kern w:val="2"/>
          <w:szCs w:val="24"/>
          <w:lang w:val="en-US" w:eastAsia="zh-CN" w:bidi="ar"/>
        </w:rPr>
      </w:pPr>
      <w:r>
        <w:rPr>
          <w:rFonts w:hint="eastAsia" w:ascii="宋体" w:hAnsi="宋体" w:eastAsia="宋体" w:cs="宋体"/>
          <w:bCs/>
          <w:color w:val="auto"/>
          <w:kern w:val="2"/>
          <w:szCs w:val="24"/>
          <w:lang w:val="en-US" w:eastAsia="zh-CN" w:bidi="ar"/>
        </w:rPr>
        <w:t>注：中标人须提供增值税专用发票。</w:t>
      </w:r>
    </w:p>
    <w:p>
      <w:pPr>
        <w:pStyle w:val="76"/>
        <w:spacing w:line="288" w:lineRule="auto"/>
        <w:ind w:firstLine="480" w:firstLineChars="200"/>
        <w:outlineLvl w:val="2"/>
        <w:rPr>
          <w:rFonts w:hint="eastAsia" w:ascii="宋体" w:hAnsi="宋体" w:eastAsia="宋体" w:cs="宋体"/>
          <w:bCs/>
          <w:color w:val="auto"/>
          <w:kern w:val="2"/>
          <w:sz w:val="24"/>
          <w:szCs w:val="24"/>
          <w:lang w:val="en-US" w:eastAsia="zh-CN" w:bidi="ar"/>
        </w:rPr>
      </w:pPr>
      <w:bookmarkStart w:id="655" w:name="_Toc20038"/>
      <w:r>
        <w:rPr>
          <w:rFonts w:hint="eastAsia" w:ascii="宋体" w:hAnsi="宋体" w:eastAsia="宋体" w:cs="宋体"/>
          <w:bCs/>
          <w:color w:val="auto"/>
          <w:kern w:val="2"/>
          <w:sz w:val="24"/>
          <w:szCs w:val="24"/>
          <w:lang w:val="en-US" w:eastAsia="zh-CN" w:bidi="ar"/>
        </w:rPr>
        <w:t>5.质保期</w:t>
      </w:r>
      <w:bookmarkEnd w:id="655"/>
    </w:p>
    <w:p>
      <w:pPr>
        <w:pStyle w:val="76"/>
        <w:spacing w:line="288" w:lineRule="auto"/>
        <w:ind w:firstLine="480" w:firstLineChars="200"/>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5.1质保期：二年。如厂家提供的质保期超过上述要求的，按厂家的质保期执行。自项目整体验收合格之日起计，质保期内，与质保和维修相关的所有费用均由投标人承担。</w:t>
      </w:r>
    </w:p>
    <w:p>
      <w:pPr>
        <w:pStyle w:val="76"/>
        <w:spacing w:line="288" w:lineRule="auto"/>
        <w:ind w:firstLine="480" w:firstLineChars="200"/>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5.2国家主管部门或者行业标准对货物本身有更高要求的，从其规定并在合同中约定，投标人亦可提报更长的质保期。</w:t>
      </w:r>
    </w:p>
    <w:p>
      <w:pPr>
        <w:pStyle w:val="76"/>
        <w:spacing w:line="288" w:lineRule="auto"/>
        <w:ind w:firstLine="480" w:firstLineChars="200"/>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5.3质量保证期内，如果证实货物是有缺陷的，包括潜在的缺陷或者使用不符合要求的材料等，投标人应立即免费维修或者更换有缺陷的货物或者部件，保证达到合同规定的技术以及性能要求。如果投标人在收到通知后5天内没有弥补缺陷，采购人可自行采取必要的补救措施，但风险和费用由投标人承担，采购人同时保留通过法律途径进行索赔的权利。</w:t>
      </w:r>
    </w:p>
    <w:p>
      <w:pPr>
        <w:pStyle w:val="76"/>
        <w:spacing w:line="288" w:lineRule="auto"/>
        <w:ind w:firstLine="480" w:firstLineChars="200"/>
        <w:outlineLvl w:val="2"/>
        <w:rPr>
          <w:rFonts w:hint="eastAsia" w:ascii="宋体" w:hAnsi="宋体" w:eastAsia="宋体" w:cs="宋体"/>
          <w:bCs/>
          <w:color w:val="auto"/>
          <w:kern w:val="2"/>
          <w:sz w:val="24"/>
          <w:szCs w:val="24"/>
          <w:lang w:val="en-US" w:eastAsia="zh-CN" w:bidi="ar"/>
        </w:rPr>
      </w:pPr>
      <w:bookmarkStart w:id="656" w:name="_Toc7982"/>
      <w:r>
        <w:rPr>
          <w:rFonts w:hint="eastAsia" w:ascii="宋体" w:hAnsi="宋体" w:eastAsia="宋体" w:cs="宋体"/>
          <w:bCs/>
          <w:color w:val="auto"/>
          <w:kern w:val="2"/>
          <w:sz w:val="24"/>
          <w:szCs w:val="24"/>
          <w:lang w:val="en-US" w:eastAsia="zh-CN" w:bidi="ar"/>
        </w:rPr>
        <w:t>6.售后服务</w:t>
      </w:r>
      <w:bookmarkEnd w:id="656"/>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6.1</w:t>
      </w:r>
      <w:r>
        <w:rPr>
          <w:rStyle w:val="163"/>
          <w:rFonts w:hint="eastAsia" w:ascii="宋体" w:hAnsi="宋体" w:eastAsia="宋体" w:cs="宋体"/>
          <w:szCs w:val="24"/>
          <w:lang w:eastAsia="zh-CN"/>
        </w:rPr>
        <w:t>中标人</w:t>
      </w:r>
      <w:r>
        <w:rPr>
          <w:rStyle w:val="163"/>
          <w:rFonts w:hint="eastAsia" w:ascii="宋体" w:hAnsi="宋体" w:eastAsia="宋体" w:cs="宋体"/>
          <w:szCs w:val="24"/>
        </w:rPr>
        <w:t>所投产品必须为全新的、符合国家有关质量标准的产品；产品的保修期自验收合格之日起</w:t>
      </w:r>
      <w:r>
        <w:rPr>
          <w:rStyle w:val="163"/>
          <w:rFonts w:hint="eastAsia" w:ascii="宋体" w:hAnsi="宋体" w:eastAsia="宋体" w:cs="宋体"/>
          <w:szCs w:val="24"/>
          <w:lang w:val="en-US" w:eastAsia="zh-CN"/>
        </w:rPr>
        <w:t>二</w:t>
      </w:r>
      <w:r>
        <w:rPr>
          <w:rStyle w:val="163"/>
          <w:rFonts w:hint="eastAsia" w:ascii="宋体" w:hAnsi="宋体" w:eastAsia="宋体" w:cs="宋体"/>
          <w:szCs w:val="24"/>
        </w:rPr>
        <w:t>年，质保期间，</w:t>
      </w:r>
      <w:r>
        <w:rPr>
          <w:rStyle w:val="163"/>
          <w:rFonts w:hint="eastAsia" w:ascii="宋体" w:hAnsi="宋体" w:eastAsia="宋体" w:cs="宋体"/>
          <w:szCs w:val="24"/>
          <w:lang w:eastAsia="zh-CN"/>
        </w:rPr>
        <w:t>中标人</w:t>
      </w:r>
      <w:r>
        <w:rPr>
          <w:rStyle w:val="163"/>
          <w:rFonts w:hint="eastAsia" w:ascii="宋体" w:hAnsi="宋体" w:eastAsia="宋体" w:cs="宋体"/>
          <w:szCs w:val="24"/>
        </w:rPr>
        <w:t>应免费负责维护；质保期后长期提供良好的技术支持。</w:t>
      </w:r>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6.2</w:t>
      </w:r>
      <w:r>
        <w:rPr>
          <w:rStyle w:val="163"/>
          <w:rFonts w:hint="eastAsia" w:ascii="宋体" w:hAnsi="宋体" w:eastAsia="宋体" w:cs="宋体"/>
          <w:szCs w:val="24"/>
        </w:rPr>
        <w:t>质量保证期自采购人（或其被委托人）在验收报告上签署“验收合格”之日起计算；质量保证期内免费维修更换配件；</w:t>
      </w:r>
      <w:r>
        <w:rPr>
          <w:rStyle w:val="163"/>
          <w:rFonts w:hint="eastAsia" w:ascii="宋体" w:hAnsi="宋体" w:eastAsia="宋体" w:cs="宋体"/>
          <w:szCs w:val="24"/>
          <w:lang w:eastAsia="zh-CN"/>
        </w:rPr>
        <w:t>中标人</w:t>
      </w:r>
      <w:r>
        <w:rPr>
          <w:rStyle w:val="163"/>
          <w:rFonts w:hint="eastAsia" w:ascii="宋体" w:hAnsi="宋体" w:eastAsia="宋体" w:cs="宋体"/>
          <w:szCs w:val="24"/>
        </w:rPr>
        <w:t>须提供详细的售后服务承诺及准确有效的服务机构联系方式。</w:t>
      </w:r>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6.3</w:t>
      </w:r>
      <w:r>
        <w:rPr>
          <w:rStyle w:val="163"/>
          <w:rFonts w:hint="eastAsia" w:ascii="宋体" w:hAnsi="宋体" w:eastAsia="宋体" w:cs="宋体"/>
          <w:szCs w:val="24"/>
          <w:lang w:eastAsia="zh-CN"/>
        </w:rPr>
        <w:t>中标人</w:t>
      </w:r>
      <w:r>
        <w:rPr>
          <w:rStyle w:val="163"/>
          <w:rFonts w:hint="eastAsia" w:ascii="宋体" w:hAnsi="宋体" w:eastAsia="宋体" w:cs="宋体"/>
          <w:szCs w:val="24"/>
        </w:rPr>
        <w:t>能提供24小时全天候召修服务，接到故障通知后3小时以内到达现场履行维修服务义务，12小时解决问题，若不能在12小时内解决，须提供同等性能、同等配置的产品替换，质量保证期内的维修发生的一切费用由</w:t>
      </w:r>
      <w:r>
        <w:rPr>
          <w:rStyle w:val="163"/>
          <w:rFonts w:hint="eastAsia" w:ascii="宋体" w:hAnsi="宋体" w:eastAsia="宋体" w:cs="宋体"/>
          <w:szCs w:val="24"/>
          <w:lang w:eastAsia="zh-CN"/>
        </w:rPr>
        <w:t>中标人</w:t>
      </w:r>
      <w:r>
        <w:rPr>
          <w:rStyle w:val="163"/>
          <w:rFonts w:hint="eastAsia" w:ascii="宋体" w:hAnsi="宋体" w:eastAsia="宋体" w:cs="宋体"/>
          <w:szCs w:val="24"/>
        </w:rPr>
        <w:t>承担。</w:t>
      </w:r>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6.4</w:t>
      </w:r>
      <w:r>
        <w:rPr>
          <w:rStyle w:val="163"/>
          <w:rFonts w:hint="eastAsia" w:ascii="宋体" w:hAnsi="宋体" w:eastAsia="宋体" w:cs="宋体"/>
          <w:szCs w:val="24"/>
        </w:rPr>
        <w:t>备品备件及耗材要求：该产品所需要的所有配件，</w:t>
      </w:r>
      <w:r>
        <w:rPr>
          <w:rStyle w:val="163"/>
          <w:rFonts w:hint="eastAsia" w:ascii="宋体" w:hAnsi="宋体" w:eastAsia="宋体" w:cs="宋体"/>
          <w:szCs w:val="24"/>
          <w:lang w:eastAsia="zh-CN"/>
        </w:rPr>
        <w:t>中标人</w:t>
      </w:r>
      <w:r>
        <w:rPr>
          <w:rStyle w:val="163"/>
          <w:rFonts w:hint="eastAsia" w:ascii="宋体" w:hAnsi="宋体" w:eastAsia="宋体" w:cs="宋体"/>
          <w:szCs w:val="24"/>
        </w:rPr>
        <w:t>应常年备货。</w:t>
      </w:r>
      <w:r>
        <w:rPr>
          <w:rStyle w:val="163"/>
          <w:rFonts w:hint="eastAsia" w:ascii="宋体" w:hAnsi="宋体" w:eastAsia="宋体" w:cs="宋体"/>
          <w:szCs w:val="24"/>
          <w:lang w:eastAsia="zh-CN"/>
        </w:rPr>
        <w:t>中标人</w:t>
      </w:r>
      <w:r>
        <w:rPr>
          <w:rStyle w:val="163"/>
          <w:rFonts w:hint="eastAsia" w:ascii="宋体" w:hAnsi="宋体" w:eastAsia="宋体" w:cs="宋体"/>
          <w:szCs w:val="24"/>
        </w:rPr>
        <w:t>在免费保修期内免费提供保证产品正常运行的全部备件及维护。</w:t>
      </w:r>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6.5</w:t>
      </w:r>
      <w:r>
        <w:rPr>
          <w:rStyle w:val="163"/>
          <w:rFonts w:hint="eastAsia" w:ascii="宋体" w:hAnsi="宋体" w:eastAsia="宋体" w:cs="宋体"/>
          <w:szCs w:val="24"/>
        </w:rPr>
        <w:t>在</w:t>
      </w:r>
      <w:r>
        <w:rPr>
          <w:rStyle w:val="163"/>
          <w:rFonts w:hint="eastAsia" w:ascii="宋体" w:hAnsi="宋体" w:eastAsia="宋体" w:cs="宋体"/>
          <w:szCs w:val="24"/>
          <w:lang w:eastAsia="zh-CN"/>
        </w:rPr>
        <w:t>中标人</w:t>
      </w:r>
      <w:r>
        <w:rPr>
          <w:rStyle w:val="163"/>
          <w:rFonts w:hint="eastAsia" w:ascii="宋体" w:hAnsi="宋体" w:eastAsia="宋体" w:cs="宋体"/>
          <w:szCs w:val="24"/>
        </w:rPr>
        <w:t>承诺的质保期内，因产品制造质量不良而产生损坏或不能正常工作，</w:t>
      </w:r>
      <w:r>
        <w:rPr>
          <w:rStyle w:val="163"/>
          <w:rFonts w:hint="eastAsia" w:ascii="宋体" w:hAnsi="宋体" w:eastAsia="宋体" w:cs="宋体"/>
          <w:szCs w:val="24"/>
          <w:lang w:eastAsia="zh-CN"/>
        </w:rPr>
        <w:t>中标人</w:t>
      </w:r>
      <w:r>
        <w:rPr>
          <w:rStyle w:val="163"/>
          <w:rFonts w:hint="eastAsia" w:ascii="宋体" w:hAnsi="宋体" w:eastAsia="宋体" w:cs="宋体"/>
          <w:szCs w:val="24"/>
        </w:rPr>
        <w:t>应免费</w:t>
      </w:r>
      <w:r>
        <w:rPr>
          <w:rStyle w:val="163"/>
          <w:rFonts w:hint="eastAsia" w:ascii="宋体" w:hAnsi="宋体" w:eastAsia="宋体" w:cs="宋体"/>
          <w:szCs w:val="24"/>
          <w:lang w:eastAsia="zh-CN"/>
        </w:rPr>
        <w:t>给予</w:t>
      </w:r>
      <w:r>
        <w:rPr>
          <w:rStyle w:val="163"/>
          <w:rFonts w:hint="eastAsia" w:ascii="宋体" w:hAnsi="宋体" w:eastAsia="宋体" w:cs="宋体"/>
          <w:szCs w:val="24"/>
        </w:rPr>
        <w:t>维修、更换和正常保养。在质量保证期满以后，应该保证提供备件和保养服务。</w:t>
      </w:r>
    </w:p>
    <w:p>
      <w:pPr>
        <w:pStyle w:val="76"/>
        <w:spacing w:line="288" w:lineRule="auto"/>
        <w:ind w:firstLine="480" w:firstLineChars="200"/>
        <w:outlineLvl w:val="2"/>
        <w:rPr>
          <w:rStyle w:val="163"/>
          <w:rFonts w:hint="eastAsia" w:ascii="宋体" w:hAnsi="宋体" w:eastAsia="宋体" w:cs="宋体"/>
          <w:szCs w:val="24"/>
        </w:rPr>
      </w:pPr>
      <w:bookmarkStart w:id="657" w:name="_Toc2972"/>
      <w:r>
        <w:rPr>
          <w:rStyle w:val="163"/>
          <w:rFonts w:hint="eastAsia" w:ascii="宋体" w:hAnsi="宋体" w:eastAsia="宋体" w:cs="宋体"/>
          <w:szCs w:val="24"/>
          <w:lang w:val="en-US" w:eastAsia="zh-CN"/>
        </w:rPr>
        <w:t>7</w:t>
      </w:r>
      <w:r>
        <w:rPr>
          <w:rStyle w:val="163"/>
          <w:rFonts w:hint="eastAsia" w:ascii="宋体" w:hAnsi="宋体" w:eastAsia="宋体" w:cs="宋体"/>
          <w:szCs w:val="24"/>
        </w:rPr>
        <w:t>.履约保证金</w:t>
      </w:r>
      <w:r>
        <w:rPr>
          <w:rStyle w:val="163"/>
          <w:rFonts w:hint="eastAsia" w:ascii="宋体" w:hAnsi="宋体" w:eastAsia="宋体" w:cs="宋体"/>
          <w:szCs w:val="24"/>
          <w:lang w:eastAsia="zh-CN"/>
        </w:rPr>
        <w:t>的缴纳与退还</w:t>
      </w:r>
      <w:r>
        <w:rPr>
          <w:rStyle w:val="163"/>
          <w:rFonts w:hint="eastAsia" w:ascii="宋体" w:hAnsi="宋体" w:eastAsia="宋体" w:cs="宋体"/>
          <w:szCs w:val="24"/>
        </w:rPr>
        <w:t>：</w:t>
      </w:r>
      <w:bookmarkEnd w:id="657"/>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b w:val="0"/>
          <w:bCs w:val="0"/>
          <w:szCs w:val="24"/>
          <w:lang w:val="en-US" w:eastAsia="zh-CN"/>
        </w:rPr>
        <w:t>7</w:t>
      </w:r>
      <w:r>
        <w:rPr>
          <w:rStyle w:val="163"/>
          <w:rFonts w:hint="eastAsia" w:ascii="宋体" w:hAnsi="宋体" w:eastAsia="宋体" w:cs="宋体"/>
          <w:b w:val="0"/>
          <w:bCs w:val="0"/>
          <w:szCs w:val="24"/>
        </w:rPr>
        <w:t>.1 缴纳金额：</w:t>
      </w:r>
      <w:r>
        <w:rPr>
          <w:rStyle w:val="163"/>
          <w:rFonts w:hint="eastAsia" w:ascii="宋体" w:hAnsi="宋体" w:eastAsia="宋体" w:cs="宋体"/>
          <w:szCs w:val="24"/>
        </w:rPr>
        <w:t>中标人须向采购人缴纳，为合同价格的1.0%；</w:t>
      </w:r>
    </w:p>
    <w:p>
      <w:pPr>
        <w:pStyle w:val="76"/>
        <w:spacing w:line="288"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7</w:t>
      </w:r>
      <w:r>
        <w:rPr>
          <w:rStyle w:val="163"/>
          <w:rFonts w:hint="eastAsia" w:ascii="宋体" w:hAnsi="宋体" w:eastAsia="宋体" w:cs="宋体"/>
          <w:szCs w:val="24"/>
        </w:rPr>
        <w:t>.2 缴纳方式：汇票/支票/银行转账/银行保函/保险保函。</w:t>
      </w:r>
    </w:p>
    <w:p>
      <w:pPr>
        <w:pStyle w:val="76"/>
        <w:spacing w:line="288" w:lineRule="auto"/>
        <w:ind w:firstLine="480" w:firstLineChars="200"/>
        <w:rPr>
          <w:rStyle w:val="163"/>
          <w:rFonts w:ascii="宋体" w:hAnsi="宋体" w:eastAsia="宋体" w:cs="宋体"/>
        </w:rPr>
      </w:pPr>
      <w:r>
        <w:rPr>
          <w:rStyle w:val="163"/>
          <w:rFonts w:hint="eastAsia" w:ascii="宋体" w:hAnsi="宋体" w:eastAsia="宋体" w:cs="宋体"/>
          <w:szCs w:val="24"/>
          <w:lang w:val="en-US" w:eastAsia="zh-CN"/>
        </w:rPr>
        <w:t>7</w:t>
      </w:r>
      <w:r>
        <w:rPr>
          <w:rStyle w:val="163"/>
          <w:rFonts w:hint="eastAsia" w:ascii="宋体" w:hAnsi="宋体" w:eastAsia="宋体" w:cs="宋体"/>
          <w:szCs w:val="24"/>
        </w:rPr>
        <w:t>.3 缴纳时间：本项目中</w:t>
      </w:r>
      <w:r>
        <w:rPr>
          <w:rStyle w:val="163"/>
          <w:rFonts w:ascii="宋体" w:hAnsi="宋体" w:eastAsia="宋体" w:cs="宋体"/>
        </w:rPr>
        <w:t>标通知书发出后30个自然日内缴纳。</w:t>
      </w:r>
    </w:p>
    <w:p>
      <w:pPr>
        <w:pStyle w:val="76"/>
        <w:spacing w:line="288" w:lineRule="auto"/>
        <w:ind w:firstLine="480" w:firstLineChars="200"/>
        <w:rPr>
          <w:rFonts w:hint="eastAsia"/>
        </w:rPr>
      </w:pPr>
      <w:r>
        <w:rPr>
          <w:rStyle w:val="163"/>
          <w:rFonts w:hint="eastAsia" w:ascii="宋体" w:hAnsi="宋体" w:eastAsia="宋体" w:cs="宋体"/>
          <w:lang w:val="en-US" w:eastAsia="zh-CN"/>
        </w:rPr>
        <w:t>7</w:t>
      </w:r>
      <w:r>
        <w:rPr>
          <w:rStyle w:val="163"/>
          <w:rFonts w:ascii="宋体" w:hAnsi="宋体" w:eastAsia="宋体" w:cs="宋体"/>
        </w:rPr>
        <w:t>.4 退还条件：履约保证金在整个项目验收合格后7个工作日内退还（不计息）。</w:t>
      </w:r>
    </w:p>
    <w:p>
      <w:pPr>
        <w:pStyle w:val="2"/>
        <w:numPr>
          <w:ilvl w:val="0"/>
          <w:numId w:val="0"/>
        </w:numPr>
        <w:spacing w:before="312" w:after="312"/>
        <w:ind w:firstLine="2891" w:firstLineChars="800"/>
        <w:jc w:val="both"/>
        <w:rPr>
          <w:rFonts w:ascii="宋体" w:hAnsi="宋体" w:cs="宋体"/>
          <w:color w:val="auto"/>
          <w:highlight w:val="none"/>
          <w:lang w:val="zh-CN"/>
        </w:rPr>
      </w:pPr>
      <w:bookmarkStart w:id="658" w:name="_Toc4682"/>
      <w:r>
        <w:rPr>
          <w:rFonts w:hint="eastAsia" w:ascii="宋体" w:hAnsi="宋体" w:cs="宋体"/>
          <w:color w:val="auto"/>
          <w:highlight w:val="none"/>
        </w:rPr>
        <w:t xml:space="preserve">第四章 </w:t>
      </w:r>
      <w:r>
        <w:rPr>
          <w:rFonts w:hint="eastAsia" w:ascii="宋体" w:hAnsi="宋体" w:cs="宋体"/>
          <w:color w:val="auto"/>
          <w:highlight w:val="none"/>
          <w:lang w:val="zh-CN"/>
        </w:rPr>
        <w:t>评标办法及评分标准</w:t>
      </w:r>
      <w:bookmarkEnd w:id="590"/>
      <w:bookmarkEnd w:id="591"/>
      <w:bookmarkEnd w:id="592"/>
      <w:bookmarkEnd w:id="593"/>
      <w:bookmarkEnd w:id="594"/>
      <w:bookmarkEnd w:id="595"/>
      <w:bookmarkEnd w:id="596"/>
      <w:bookmarkEnd w:id="597"/>
      <w:bookmarkEnd w:id="598"/>
      <w:bookmarkEnd w:id="599"/>
      <w:bookmarkEnd w:id="600"/>
      <w:bookmarkEnd w:id="658"/>
      <w:bookmarkStart w:id="659" w:name="_Toc12892"/>
      <w:bookmarkStart w:id="660" w:name="_Toc356371472"/>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59"/>
    <w:bookmarkEnd w:id="660"/>
    <w:p>
      <w:pPr>
        <w:widowControl/>
        <w:spacing w:line="312" w:lineRule="auto"/>
        <w:ind w:firstLine="482"/>
        <w:outlineLvl w:val="1"/>
        <w:rPr>
          <w:rFonts w:ascii="宋体" w:hAnsi="宋体" w:cs="宋体"/>
          <w:b/>
          <w:bCs/>
          <w:color w:val="auto"/>
          <w:highlight w:val="none"/>
        </w:rPr>
      </w:pPr>
      <w:bookmarkStart w:id="661" w:name="_Toc13896"/>
      <w:bookmarkStart w:id="662" w:name="_Toc7239"/>
      <w:bookmarkStart w:id="663" w:name="_Toc18561"/>
      <w:bookmarkStart w:id="664" w:name="_Toc4678"/>
      <w:bookmarkStart w:id="665" w:name="_Toc23405"/>
      <w:bookmarkStart w:id="666" w:name="_Toc24997"/>
      <w:bookmarkStart w:id="667" w:name="_Toc25687"/>
      <w:bookmarkStart w:id="668" w:name="_Toc20606"/>
      <w:bookmarkStart w:id="669" w:name="_Toc10787"/>
      <w:bookmarkStart w:id="670" w:name="_Toc16005"/>
      <w:bookmarkStart w:id="671" w:name="_Toc19049"/>
      <w:bookmarkStart w:id="672" w:name="_Toc11262"/>
      <w:bookmarkStart w:id="673" w:name="_Toc2839"/>
      <w:bookmarkStart w:id="674" w:name="_Toc17848"/>
      <w:bookmarkStart w:id="675" w:name="_Toc2268"/>
      <w:bookmarkStart w:id="676" w:name="_Toc25720"/>
      <w:bookmarkStart w:id="677" w:name="_Toc22934"/>
      <w:bookmarkStart w:id="678" w:name="_Toc13528"/>
      <w:bookmarkStart w:id="679" w:name="_Toc14588"/>
      <w:bookmarkStart w:id="680" w:name="_Toc13104"/>
      <w:bookmarkStart w:id="681" w:name="_Toc25353"/>
      <w:bookmarkStart w:id="682" w:name="_Toc17851"/>
      <w:bookmarkStart w:id="683" w:name="_Toc23629"/>
      <w:bookmarkStart w:id="684" w:name="_Toc9653"/>
      <w:bookmarkStart w:id="685" w:name="_Toc4752"/>
      <w:bookmarkStart w:id="686" w:name="_Toc32666"/>
      <w:bookmarkStart w:id="687" w:name="_Toc10661"/>
      <w:bookmarkStart w:id="688" w:name="_Toc25138"/>
      <w:bookmarkStart w:id="689" w:name="_Toc9754"/>
      <w:bookmarkStart w:id="690" w:name="_Toc11499"/>
      <w:bookmarkStart w:id="691" w:name="_Toc6732"/>
      <w:bookmarkStart w:id="692" w:name="_Toc7869"/>
      <w:bookmarkStart w:id="693" w:name="_Toc16260"/>
      <w:bookmarkStart w:id="694" w:name="_Toc21988"/>
      <w:bookmarkStart w:id="695" w:name="_Toc22689"/>
      <w:bookmarkStart w:id="696" w:name="_Toc4470"/>
      <w:bookmarkStart w:id="697" w:name="_Toc11090"/>
      <w:bookmarkStart w:id="698" w:name="_Toc150404637"/>
      <w:bookmarkStart w:id="699" w:name="_Toc642"/>
      <w:bookmarkStart w:id="700" w:name="_Toc599"/>
      <w:bookmarkStart w:id="701" w:name="_Toc22407"/>
      <w:bookmarkStart w:id="702" w:name="_Toc23253"/>
      <w:bookmarkStart w:id="703" w:name="_Toc17310"/>
      <w:bookmarkStart w:id="704" w:name="_Toc16212"/>
      <w:bookmarkStart w:id="705" w:name="_Toc344208599"/>
      <w:bookmarkStart w:id="706" w:name="_Toc26376"/>
      <w:bookmarkStart w:id="707" w:name="_Toc18392"/>
      <w:bookmarkStart w:id="708" w:name="_Toc27764"/>
      <w:bookmarkStart w:id="709" w:name="_Toc11538"/>
      <w:bookmarkStart w:id="710" w:name="_Toc31419"/>
      <w:bookmarkStart w:id="711" w:name="_Toc4125"/>
      <w:bookmarkStart w:id="712" w:name="_Toc12706"/>
      <w:bookmarkStart w:id="713" w:name="_Toc7653"/>
      <w:bookmarkStart w:id="714" w:name="_Toc5861"/>
      <w:bookmarkStart w:id="715" w:name="_Toc26937"/>
      <w:bookmarkStart w:id="716" w:name="_Toc25369"/>
      <w:bookmarkStart w:id="717" w:name="_Toc16765"/>
      <w:bookmarkStart w:id="718" w:name="_Toc7153"/>
      <w:bookmarkStart w:id="719" w:name="_Toc24093"/>
      <w:bookmarkStart w:id="720" w:name="_Toc27779"/>
      <w:bookmarkStart w:id="721" w:name="_Toc32546"/>
      <w:bookmarkStart w:id="722" w:name="_Toc6901"/>
      <w:bookmarkStart w:id="723" w:name="_Toc27760"/>
      <w:bookmarkStart w:id="724" w:name="_Toc18789"/>
      <w:bookmarkStart w:id="725" w:name="_Toc8768"/>
      <w:bookmarkStart w:id="726" w:name="_Toc10747"/>
      <w:bookmarkStart w:id="727" w:name="_Toc19997"/>
      <w:bookmarkStart w:id="728" w:name="_Toc15196"/>
      <w:bookmarkStart w:id="729" w:name="_Toc24868"/>
      <w:bookmarkStart w:id="730" w:name="_Toc22538"/>
      <w:bookmarkStart w:id="731" w:name="_Toc2393"/>
      <w:bookmarkStart w:id="732" w:name="_Toc15322"/>
      <w:bookmarkStart w:id="733" w:name="_Toc18027"/>
      <w:bookmarkStart w:id="734" w:name="_Toc22791"/>
      <w:bookmarkStart w:id="735" w:name="_Toc434"/>
      <w:bookmarkStart w:id="736" w:name="_Toc12737"/>
      <w:bookmarkStart w:id="737" w:name="_Toc27554"/>
      <w:bookmarkStart w:id="738" w:name="_Toc7475"/>
      <w:bookmarkStart w:id="739" w:name="_Toc21158"/>
      <w:bookmarkStart w:id="740" w:name="_Toc17852"/>
      <w:bookmarkStart w:id="741" w:name="_Toc8527"/>
      <w:bookmarkStart w:id="742" w:name="_Toc25940"/>
      <w:bookmarkStart w:id="743" w:name="_Toc25648"/>
      <w:bookmarkStart w:id="744" w:name="_Toc23856"/>
      <w:bookmarkStart w:id="745" w:name="_Toc32429"/>
      <w:bookmarkStart w:id="746" w:name="_Toc317671872"/>
      <w:bookmarkStart w:id="747" w:name="_Toc6078"/>
      <w:bookmarkStart w:id="748" w:name="_Toc32485"/>
      <w:r>
        <w:rPr>
          <w:rFonts w:hint="eastAsia" w:ascii="宋体" w:hAnsi="宋体" w:cs="宋体"/>
          <w:b/>
          <w:bCs/>
          <w:color w:val="auto"/>
          <w:highlight w:val="none"/>
        </w:rPr>
        <w:t>一、总 则</w:t>
      </w:r>
      <w:bookmarkEnd w:id="661"/>
      <w:bookmarkEnd w:id="662"/>
      <w:bookmarkEnd w:id="663"/>
      <w:bookmarkEnd w:id="664"/>
      <w:bookmarkEnd w:id="665"/>
      <w:bookmarkEnd w:id="666"/>
      <w:bookmarkEnd w:id="667"/>
      <w:bookmarkEnd w:id="668"/>
      <w:bookmarkEnd w:id="669"/>
      <w:bookmarkEnd w:id="670"/>
      <w:bookmarkEnd w:id="671"/>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1.为公正、公平、科学地选择</w:t>
      </w:r>
      <w:r>
        <w:rPr>
          <w:rFonts w:hint="eastAsia" w:ascii="宋体" w:hAnsi="宋体" w:cs="宋体"/>
          <w:color w:val="auto"/>
          <w:highlight w:val="none"/>
          <w:lang w:eastAsia="zh-CN"/>
        </w:rPr>
        <w:t>中标人</w:t>
      </w:r>
      <w:r>
        <w:rPr>
          <w:rFonts w:hint="eastAsia" w:ascii="宋体" w:hAnsi="宋体" w:cs="宋体"/>
          <w:color w:val="auto"/>
          <w:highlight w:val="none"/>
        </w:rPr>
        <w:t>，参照《中华人民共和国政府采购法》《中华人民共和国政府采购法实施条例》以及政府采购有关规定，并结合本项目的实际情况，制定本办法。</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2.评标工作由采购组织机构负责组织，具体评标事务由评标委员会负责。</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3.评标委员会评价投标文件的响应性，对于</w:t>
      </w:r>
      <w:r>
        <w:rPr>
          <w:rFonts w:hint="eastAsia" w:ascii="宋体" w:hAnsi="宋体" w:cs="宋体"/>
          <w:color w:val="auto"/>
          <w:highlight w:val="none"/>
          <w:lang w:eastAsia="zh-CN"/>
        </w:rPr>
        <w:t>投标人</w:t>
      </w:r>
      <w:r>
        <w:rPr>
          <w:rFonts w:hint="eastAsia" w:ascii="宋体" w:hAnsi="宋体" w:cs="宋体"/>
          <w:color w:val="auto"/>
          <w:highlight w:val="none"/>
        </w:rPr>
        <w:t>而言，除评标委员会要求其澄清、说明或者更正而提供的资料外，仅依据投标文件本身的内容，不寻求其他外部证据。如</w:t>
      </w:r>
      <w:r>
        <w:rPr>
          <w:rFonts w:hint="eastAsia" w:ascii="宋体" w:hAnsi="宋体" w:cs="宋体"/>
          <w:color w:val="auto"/>
          <w:highlight w:val="none"/>
          <w:lang w:eastAsia="zh-CN"/>
        </w:rPr>
        <w:t>投标人</w:t>
      </w:r>
      <w:r>
        <w:rPr>
          <w:rFonts w:hint="eastAsia" w:ascii="宋体" w:hAnsi="宋体" w:cs="宋体"/>
          <w:color w:val="auto"/>
          <w:highlight w:val="none"/>
        </w:rPr>
        <w:t>提交的资质证明或其他内容不齐全，由此造成的后果由</w:t>
      </w:r>
      <w:r>
        <w:rPr>
          <w:rFonts w:hint="eastAsia" w:ascii="宋体" w:hAnsi="宋体" w:cs="宋体"/>
          <w:color w:val="auto"/>
          <w:highlight w:val="none"/>
          <w:lang w:eastAsia="zh-CN"/>
        </w:rPr>
        <w:t>投标人</w:t>
      </w:r>
      <w:r>
        <w:rPr>
          <w:rFonts w:hint="eastAsia" w:ascii="宋体" w:hAnsi="宋体" w:cs="宋体"/>
          <w:color w:val="auto"/>
          <w:highlight w:val="none"/>
        </w:rPr>
        <w:t>自己负责。</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4.本项目评标采用不公开方式进行，评标过程独立、保密。</w:t>
      </w:r>
      <w:r>
        <w:rPr>
          <w:rFonts w:hint="eastAsia" w:ascii="宋体" w:hAnsi="宋体" w:cs="宋体"/>
          <w:color w:val="auto"/>
          <w:highlight w:val="none"/>
          <w:lang w:eastAsia="zh-CN"/>
        </w:rPr>
        <w:t>投标人</w:t>
      </w:r>
      <w:r>
        <w:rPr>
          <w:rFonts w:hint="eastAsia" w:ascii="宋体" w:hAnsi="宋体" w:cs="宋体"/>
          <w:color w:val="auto"/>
          <w:highlight w:val="none"/>
        </w:rPr>
        <w:t>非法干预评标过程的行为将导致其投标文件作为无效处理。</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5.本项目评标采用不公开方式进行。</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6.本项目评审采用综合评分法。</w:t>
      </w:r>
    </w:p>
    <w:p>
      <w:pPr>
        <w:widowControl/>
        <w:spacing w:line="312" w:lineRule="auto"/>
        <w:ind w:firstLine="482"/>
        <w:outlineLvl w:val="1"/>
        <w:rPr>
          <w:rFonts w:ascii="宋体" w:hAnsi="宋体" w:cs="宋体"/>
          <w:b/>
          <w:bCs/>
          <w:color w:val="auto"/>
          <w:highlight w:val="none"/>
        </w:rPr>
      </w:pPr>
      <w:bookmarkStart w:id="749" w:name="_Toc30301"/>
      <w:bookmarkStart w:id="750" w:name="_Toc22444"/>
      <w:bookmarkStart w:id="751" w:name="_Toc6888"/>
      <w:bookmarkStart w:id="752" w:name="_Toc11305"/>
      <w:bookmarkStart w:id="753" w:name="_Toc8257"/>
      <w:bookmarkStart w:id="754" w:name="_Toc21394"/>
      <w:bookmarkStart w:id="755" w:name="_Toc2845"/>
      <w:bookmarkStart w:id="756" w:name="_Toc32218"/>
      <w:bookmarkStart w:id="757" w:name="_Toc16025"/>
      <w:bookmarkStart w:id="758" w:name="_Toc14481"/>
      <w:bookmarkStart w:id="759" w:name="_Toc7240"/>
      <w:bookmarkStart w:id="760" w:name="_Toc18973"/>
      <w:r>
        <w:rPr>
          <w:rFonts w:hint="eastAsia" w:ascii="宋体" w:hAnsi="宋体" w:cs="宋体"/>
          <w:b/>
          <w:bCs/>
          <w:color w:val="auto"/>
          <w:highlight w:val="none"/>
        </w:rPr>
        <w:t>二、组建评标委员会</w:t>
      </w:r>
      <w:bookmarkEnd w:id="749"/>
      <w:bookmarkEnd w:id="750"/>
      <w:bookmarkEnd w:id="751"/>
      <w:bookmarkEnd w:id="752"/>
      <w:bookmarkEnd w:id="753"/>
      <w:bookmarkEnd w:id="754"/>
      <w:bookmarkEnd w:id="755"/>
      <w:bookmarkEnd w:id="756"/>
      <w:bookmarkEnd w:id="757"/>
      <w:bookmarkEnd w:id="758"/>
      <w:bookmarkEnd w:id="759"/>
      <w:bookmarkEnd w:id="760"/>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w:t>
      </w:r>
      <w:r>
        <w:rPr>
          <w:rFonts w:hint="eastAsia" w:ascii="宋体" w:hAnsi="宋体" w:cs="宋体"/>
          <w:color w:val="auto"/>
          <w:highlight w:val="none"/>
          <w:lang w:eastAsia="zh-CN"/>
        </w:rPr>
        <w:t>投标人</w:t>
      </w:r>
      <w:r>
        <w:rPr>
          <w:rFonts w:hint="eastAsia" w:ascii="宋体" w:hAnsi="宋体" w:cs="宋体"/>
          <w:color w:val="auto"/>
          <w:highlight w:val="none"/>
        </w:rPr>
        <w:t>须知前附表。</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pPr>
        <w:widowControl/>
        <w:spacing w:line="312" w:lineRule="auto"/>
        <w:ind w:firstLine="482"/>
        <w:outlineLvl w:val="1"/>
        <w:rPr>
          <w:rFonts w:ascii="宋体" w:hAnsi="宋体" w:cs="宋体"/>
          <w:b/>
          <w:bCs/>
          <w:color w:val="auto"/>
          <w:highlight w:val="none"/>
        </w:rPr>
      </w:pPr>
      <w:bookmarkStart w:id="761" w:name="_Toc32495"/>
      <w:bookmarkStart w:id="762" w:name="_Toc11485"/>
      <w:bookmarkStart w:id="763" w:name="_Toc28668"/>
      <w:bookmarkStart w:id="764" w:name="_Toc26856"/>
      <w:bookmarkStart w:id="765" w:name="_Toc22938"/>
      <w:bookmarkStart w:id="766" w:name="_Toc9591"/>
      <w:bookmarkStart w:id="767" w:name="_Toc11552"/>
      <w:bookmarkStart w:id="768" w:name="_Toc5888"/>
      <w:bookmarkStart w:id="769" w:name="_Toc14489"/>
      <w:bookmarkStart w:id="770" w:name="_Toc435"/>
      <w:bookmarkStart w:id="771" w:name="_Toc32382"/>
      <w:bookmarkStart w:id="772" w:name="_Toc22031"/>
      <w:r>
        <w:rPr>
          <w:rFonts w:hint="eastAsia" w:ascii="宋体" w:hAnsi="宋体" w:cs="宋体"/>
          <w:b/>
          <w:bCs/>
          <w:color w:val="auto"/>
          <w:highlight w:val="none"/>
        </w:rPr>
        <w:t>三、评标原则</w:t>
      </w:r>
      <w:bookmarkEnd w:id="761"/>
      <w:bookmarkEnd w:id="762"/>
      <w:bookmarkEnd w:id="763"/>
      <w:bookmarkEnd w:id="764"/>
      <w:bookmarkEnd w:id="765"/>
      <w:bookmarkEnd w:id="766"/>
      <w:bookmarkEnd w:id="767"/>
      <w:bookmarkEnd w:id="768"/>
      <w:bookmarkEnd w:id="769"/>
      <w:bookmarkEnd w:id="770"/>
      <w:bookmarkEnd w:id="771"/>
      <w:bookmarkEnd w:id="772"/>
    </w:p>
    <w:p>
      <w:pPr>
        <w:widowControl/>
        <w:spacing w:line="312" w:lineRule="auto"/>
        <w:ind w:firstLine="480"/>
        <w:outlineLvl w:val="2"/>
        <w:rPr>
          <w:rFonts w:ascii="宋体" w:hAnsi="宋体" w:cs="宋体"/>
          <w:color w:val="auto"/>
          <w:highlight w:val="none"/>
        </w:rPr>
      </w:pPr>
      <w:bookmarkStart w:id="773" w:name="_Toc15715"/>
      <w:r>
        <w:rPr>
          <w:rFonts w:hint="eastAsia" w:ascii="宋体" w:hAnsi="宋体" w:cs="宋体"/>
          <w:color w:val="auto"/>
          <w:highlight w:val="none"/>
        </w:rPr>
        <w:t>1.公正、客观、审慎的原则。</w:t>
      </w:r>
      <w:bookmarkEnd w:id="773"/>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2.严格保密原则。评标委员会及有关工作人员不得私下与</w:t>
      </w:r>
      <w:r>
        <w:rPr>
          <w:rFonts w:hint="eastAsia" w:ascii="宋体" w:hAnsi="宋体" w:cs="宋体"/>
          <w:color w:val="auto"/>
          <w:highlight w:val="none"/>
          <w:lang w:eastAsia="zh-CN"/>
        </w:rPr>
        <w:t>投标人</w:t>
      </w:r>
      <w:r>
        <w:rPr>
          <w:rFonts w:hint="eastAsia" w:ascii="宋体" w:hAnsi="宋体" w:cs="宋体"/>
          <w:color w:val="auto"/>
          <w:highlight w:val="none"/>
        </w:rPr>
        <w:t>接触。采购人或采购组织机构对评审结果不作任何说明和解释，也不回答任何提问。</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4.严格遵守评标方法。根据采购文件规定的评审程序、评审方法进行评审，不带任何倾向性和启发性。</w:t>
      </w:r>
    </w:p>
    <w:p>
      <w:pPr>
        <w:widowControl/>
        <w:spacing w:line="312" w:lineRule="auto"/>
        <w:ind w:firstLine="482"/>
        <w:outlineLvl w:val="1"/>
        <w:rPr>
          <w:rFonts w:ascii="宋体" w:hAnsi="宋体" w:cs="宋体"/>
          <w:b/>
          <w:bCs/>
          <w:color w:val="auto"/>
          <w:highlight w:val="none"/>
        </w:rPr>
      </w:pPr>
      <w:bookmarkStart w:id="774" w:name="_Toc19314"/>
      <w:bookmarkStart w:id="775" w:name="_Toc29039"/>
      <w:bookmarkStart w:id="776" w:name="_Toc21797"/>
      <w:bookmarkStart w:id="777" w:name="_Toc12137"/>
      <w:bookmarkStart w:id="778" w:name="_Toc19385"/>
      <w:bookmarkStart w:id="779" w:name="_Toc4890"/>
      <w:bookmarkStart w:id="780" w:name="_Toc11868"/>
      <w:bookmarkStart w:id="781" w:name="_Toc17241"/>
      <w:bookmarkStart w:id="782" w:name="_Toc3166"/>
      <w:bookmarkStart w:id="783" w:name="_Toc10524"/>
      <w:bookmarkStart w:id="784" w:name="_Toc27639"/>
      <w:bookmarkStart w:id="785" w:name="_Toc1774"/>
      <w:r>
        <w:rPr>
          <w:rFonts w:hint="eastAsia" w:ascii="宋体" w:hAnsi="宋体" w:cs="宋体"/>
          <w:b/>
          <w:bCs/>
          <w:color w:val="auto"/>
          <w:highlight w:val="none"/>
        </w:rPr>
        <w:t>四、评标委员会履行下列职责</w:t>
      </w:r>
      <w:bookmarkEnd w:id="774"/>
      <w:bookmarkEnd w:id="775"/>
      <w:bookmarkEnd w:id="776"/>
      <w:bookmarkEnd w:id="777"/>
      <w:bookmarkEnd w:id="778"/>
      <w:bookmarkEnd w:id="779"/>
      <w:bookmarkEnd w:id="780"/>
      <w:bookmarkEnd w:id="781"/>
      <w:bookmarkEnd w:id="782"/>
      <w:bookmarkEnd w:id="783"/>
      <w:bookmarkEnd w:id="784"/>
      <w:bookmarkEnd w:id="785"/>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1.熟悉和理解招标文件；</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2.审查</w:t>
      </w:r>
      <w:r>
        <w:rPr>
          <w:rFonts w:hint="eastAsia" w:ascii="宋体" w:hAnsi="宋体" w:cs="宋体"/>
          <w:color w:val="auto"/>
          <w:highlight w:val="none"/>
          <w:lang w:eastAsia="zh-CN"/>
        </w:rPr>
        <w:t>投标人</w:t>
      </w:r>
      <w:r>
        <w:rPr>
          <w:rFonts w:hint="eastAsia" w:ascii="宋体" w:hAnsi="宋体" w:cs="宋体"/>
          <w:color w:val="auto"/>
          <w:highlight w:val="none"/>
        </w:rPr>
        <w:t>投标文件等是否满足招标文件要求，并作出评价；</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3.根据需要要求采购人对招标文件作出解释；根据需要要求</w:t>
      </w:r>
      <w:r>
        <w:rPr>
          <w:rFonts w:hint="eastAsia" w:ascii="宋体" w:hAnsi="宋体" w:cs="宋体"/>
          <w:color w:val="auto"/>
          <w:highlight w:val="none"/>
          <w:lang w:eastAsia="zh-CN"/>
        </w:rPr>
        <w:t>投标人</w:t>
      </w:r>
      <w:r>
        <w:rPr>
          <w:rFonts w:hint="eastAsia" w:ascii="宋体" w:hAnsi="宋体" w:cs="宋体"/>
          <w:color w:val="auto"/>
          <w:highlight w:val="none"/>
        </w:rPr>
        <w:t>对投标文件有关事项作出澄清、说明或者更正；</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4.推荐中标候选人，或者受采购人委托确定</w:t>
      </w:r>
      <w:r>
        <w:rPr>
          <w:rFonts w:hint="eastAsia" w:ascii="宋体" w:hAnsi="宋体" w:cs="宋体"/>
          <w:color w:val="auto"/>
          <w:highlight w:val="none"/>
          <w:lang w:eastAsia="zh-CN"/>
        </w:rPr>
        <w:t>中标人</w:t>
      </w:r>
      <w:r>
        <w:rPr>
          <w:rFonts w:hint="eastAsia" w:ascii="宋体" w:hAnsi="宋体" w:cs="宋体"/>
          <w:color w:val="auto"/>
          <w:highlight w:val="none"/>
        </w:rPr>
        <w:t>；</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5.起草评标报告并进行签署；</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6.向采购人、监督部门报告非法干预评标工作的行为；</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法律法规</w:t>
      </w:r>
      <w:r>
        <w:rPr>
          <w:rFonts w:hint="eastAsia" w:ascii="宋体" w:hAnsi="宋体" w:cs="宋体"/>
          <w:color w:val="auto"/>
          <w:highlight w:val="none"/>
        </w:rPr>
        <w:t>和规章规定的其他职责。</w:t>
      </w:r>
    </w:p>
    <w:p>
      <w:pPr>
        <w:widowControl/>
        <w:spacing w:line="312" w:lineRule="auto"/>
        <w:ind w:firstLine="482"/>
        <w:outlineLvl w:val="1"/>
        <w:rPr>
          <w:rFonts w:ascii="宋体" w:hAnsi="宋体" w:cs="宋体"/>
          <w:b/>
          <w:bCs/>
          <w:color w:val="auto"/>
          <w:highlight w:val="none"/>
        </w:rPr>
      </w:pPr>
      <w:bookmarkStart w:id="786" w:name="_Toc23156"/>
      <w:bookmarkStart w:id="787" w:name="_Toc7255"/>
      <w:bookmarkStart w:id="788" w:name="_Toc2770"/>
      <w:bookmarkStart w:id="789" w:name="_Toc6486"/>
      <w:bookmarkStart w:id="790" w:name="_Toc29136"/>
      <w:bookmarkStart w:id="791" w:name="_Toc22119"/>
      <w:bookmarkStart w:id="792" w:name="_Toc4256"/>
      <w:bookmarkStart w:id="793" w:name="_Toc26645"/>
      <w:bookmarkStart w:id="794" w:name="_Toc15126"/>
      <w:bookmarkStart w:id="795" w:name="_Toc6044"/>
      <w:bookmarkStart w:id="796" w:name="_Toc11071"/>
      <w:bookmarkStart w:id="797" w:name="_Toc24565"/>
      <w:r>
        <w:rPr>
          <w:rFonts w:hint="eastAsia" w:ascii="宋体" w:hAnsi="宋体" w:cs="宋体"/>
          <w:b/>
          <w:bCs/>
          <w:color w:val="auto"/>
          <w:highlight w:val="none"/>
        </w:rPr>
        <w:t>五、评标工作纪律</w:t>
      </w:r>
      <w:bookmarkEnd w:id="786"/>
      <w:bookmarkEnd w:id="787"/>
      <w:bookmarkEnd w:id="788"/>
      <w:bookmarkEnd w:id="789"/>
      <w:bookmarkEnd w:id="790"/>
      <w:bookmarkEnd w:id="791"/>
      <w:bookmarkEnd w:id="792"/>
      <w:bookmarkEnd w:id="793"/>
      <w:bookmarkEnd w:id="794"/>
      <w:bookmarkEnd w:id="795"/>
      <w:bookmarkEnd w:id="796"/>
      <w:bookmarkEnd w:id="797"/>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1.严格遵守评标时间，因突发情况确实不能按时参加评标的，应事先告知招标组织机构；</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2.服从招标组织机构的现场管理，主动出示身份证明，进入评标区域后应主动寄存移动通讯工具；</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3.与</w:t>
      </w:r>
      <w:r>
        <w:rPr>
          <w:rFonts w:hint="eastAsia" w:ascii="宋体" w:hAnsi="宋体" w:cs="宋体"/>
          <w:color w:val="auto"/>
          <w:highlight w:val="none"/>
          <w:lang w:eastAsia="zh-CN"/>
        </w:rPr>
        <w:t>投标人</w:t>
      </w:r>
      <w:r>
        <w:rPr>
          <w:rFonts w:hint="eastAsia" w:ascii="宋体" w:hAnsi="宋体" w:cs="宋体"/>
          <w:color w:val="auto"/>
          <w:highlight w:val="none"/>
        </w:rPr>
        <w:t>或评标委员会其他成员存在利害关系的，要主动回避，自觉签订《国企采购评审人员廉洁自律承诺书》；</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5.自觉遵守职业道德，尊重采购人代表和</w:t>
      </w:r>
      <w:r>
        <w:rPr>
          <w:rFonts w:hint="eastAsia" w:ascii="宋体" w:hAnsi="宋体" w:cs="宋体"/>
          <w:color w:val="auto"/>
          <w:highlight w:val="none"/>
          <w:lang w:eastAsia="zh-CN"/>
        </w:rPr>
        <w:t>投标人</w:t>
      </w:r>
      <w:r>
        <w:rPr>
          <w:rFonts w:hint="eastAsia" w:ascii="宋体" w:hAnsi="宋体" w:cs="宋体"/>
          <w:color w:val="auto"/>
          <w:highlight w:val="none"/>
        </w:rPr>
        <w:t>代表，配合招标组织机构回答</w:t>
      </w:r>
      <w:r>
        <w:rPr>
          <w:rFonts w:hint="eastAsia" w:ascii="宋体" w:hAnsi="宋体" w:cs="宋体"/>
          <w:color w:val="auto"/>
          <w:highlight w:val="none"/>
          <w:lang w:eastAsia="zh-CN"/>
        </w:rPr>
        <w:t>投标人</w:t>
      </w:r>
      <w:r>
        <w:rPr>
          <w:rFonts w:hint="eastAsia" w:ascii="宋体" w:hAnsi="宋体" w:cs="宋体"/>
          <w:color w:val="auto"/>
          <w:highlight w:val="none"/>
        </w:rPr>
        <w:t>代表提出的有关异议；</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6.不得将评标过程、结果和</w:t>
      </w:r>
      <w:r>
        <w:rPr>
          <w:rFonts w:hint="eastAsia" w:ascii="宋体" w:hAnsi="宋体" w:cs="宋体"/>
          <w:color w:val="auto"/>
          <w:highlight w:val="none"/>
          <w:lang w:eastAsia="zh-CN"/>
        </w:rPr>
        <w:t>投标人</w:t>
      </w:r>
      <w:r>
        <w:rPr>
          <w:rFonts w:hint="eastAsia" w:ascii="宋体" w:hAnsi="宋体" w:cs="宋体"/>
          <w:color w:val="auto"/>
          <w:highlight w:val="none"/>
        </w:rPr>
        <w:t>的商业秘密透露给任何单位和个人。未公告评标结果前不准泄露评标结果，不准将评标资料带出会场；</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7.评标过程中，</w:t>
      </w:r>
      <w:r>
        <w:rPr>
          <w:rFonts w:hint="eastAsia" w:ascii="宋体" w:hAnsi="宋体" w:cs="宋体"/>
          <w:color w:val="auto"/>
          <w:highlight w:val="none"/>
          <w:lang w:eastAsia="zh-CN"/>
        </w:rPr>
        <w:t>涉及相关</w:t>
      </w:r>
      <w:r>
        <w:rPr>
          <w:rFonts w:hint="eastAsia" w:ascii="宋体" w:hAnsi="宋体" w:cs="宋体"/>
          <w:color w:val="auto"/>
          <w:highlight w:val="none"/>
        </w:rPr>
        <w:t>法律法规不清楚之处的，由采购监管部门或请示权威部门作出法定解释，</w:t>
      </w:r>
      <w:r>
        <w:rPr>
          <w:rFonts w:hint="eastAsia" w:ascii="宋体" w:hAnsi="宋体" w:cs="宋体"/>
          <w:color w:val="auto"/>
          <w:highlight w:val="none"/>
          <w:lang w:eastAsia="zh-CN"/>
        </w:rPr>
        <w:t>涉及</w:t>
      </w:r>
      <w:r>
        <w:rPr>
          <w:rFonts w:hint="eastAsia" w:ascii="宋体" w:hAnsi="宋体" w:cs="宋体"/>
          <w:color w:val="auto"/>
          <w:highlight w:val="none"/>
        </w:rPr>
        <w:t>招标文件的由采购人和采购代理机构负责解释。</w:t>
      </w:r>
    </w:p>
    <w:p>
      <w:pPr>
        <w:widowControl/>
        <w:spacing w:line="312" w:lineRule="auto"/>
        <w:ind w:firstLine="482"/>
        <w:outlineLvl w:val="1"/>
        <w:rPr>
          <w:rFonts w:ascii="宋体" w:hAnsi="宋体" w:cs="宋体"/>
          <w:b/>
          <w:bCs/>
          <w:color w:val="auto"/>
          <w:highlight w:val="none"/>
        </w:rPr>
      </w:pPr>
      <w:bookmarkStart w:id="798" w:name="_Toc24507"/>
      <w:bookmarkStart w:id="799" w:name="_Toc28642"/>
      <w:bookmarkStart w:id="800" w:name="_Toc13291"/>
      <w:bookmarkStart w:id="801" w:name="_Toc19330"/>
      <w:bookmarkStart w:id="802" w:name="_Toc1409"/>
      <w:bookmarkStart w:id="803" w:name="_Toc10023"/>
      <w:bookmarkStart w:id="804" w:name="_Toc32561"/>
      <w:bookmarkStart w:id="805" w:name="_Toc20282"/>
      <w:bookmarkStart w:id="806" w:name="_Toc21047"/>
      <w:bookmarkStart w:id="807" w:name="_Toc7243"/>
      <w:bookmarkStart w:id="808" w:name="_Toc19074"/>
      <w:bookmarkStart w:id="809" w:name="_Toc274"/>
      <w:r>
        <w:rPr>
          <w:rFonts w:hint="eastAsia" w:ascii="宋体" w:hAnsi="宋体" w:cs="宋体"/>
          <w:b/>
          <w:bCs/>
          <w:color w:val="auto"/>
          <w:highlight w:val="none"/>
        </w:rPr>
        <w:t>六、评标程序</w:t>
      </w:r>
      <w:bookmarkEnd w:id="798"/>
      <w:bookmarkEnd w:id="799"/>
      <w:bookmarkEnd w:id="800"/>
      <w:bookmarkEnd w:id="801"/>
      <w:bookmarkEnd w:id="802"/>
      <w:bookmarkEnd w:id="803"/>
      <w:bookmarkEnd w:id="804"/>
      <w:bookmarkEnd w:id="805"/>
      <w:bookmarkEnd w:id="806"/>
      <w:bookmarkEnd w:id="807"/>
      <w:bookmarkEnd w:id="808"/>
      <w:bookmarkEnd w:id="809"/>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2.评标委员会正式评审前，应当对采购文件进行熟悉和理解，内容主要包括采购文件中</w:t>
      </w:r>
      <w:r>
        <w:rPr>
          <w:rFonts w:hint="eastAsia" w:ascii="宋体" w:hAnsi="宋体" w:cs="宋体"/>
          <w:color w:val="auto"/>
          <w:highlight w:val="none"/>
          <w:lang w:eastAsia="zh-CN"/>
        </w:rPr>
        <w:t>投标人</w:t>
      </w:r>
      <w:r>
        <w:rPr>
          <w:rFonts w:hint="eastAsia" w:ascii="宋体" w:hAnsi="宋体" w:cs="宋体"/>
          <w:color w:val="auto"/>
          <w:highlight w:val="none"/>
        </w:rPr>
        <w:t>资格</w:t>
      </w:r>
      <w:r>
        <w:rPr>
          <w:rFonts w:hint="eastAsia" w:ascii="宋体" w:hAnsi="宋体" w:cs="宋体"/>
          <w:color w:val="auto"/>
          <w:highlight w:val="none"/>
          <w:lang w:eastAsia="zh-CN"/>
        </w:rPr>
        <w:t>资质</w:t>
      </w:r>
      <w:r>
        <w:rPr>
          <w:rFonts w:hint="eastAsia" w:ascii="宋体" w:hAnsi="宋体" w:cs="宋体"/>
          <w:color w:val="auto"/>
          <w:highlight w:val="none"/>
        </w:rPr>
        <w:t>要求、采购项目技术、服务和商务要求、评审方法以及可能涉及签订采购合同的内容等。</w:t>
      </w:r>
    </w:p>
    <w:p>
      <w:pPr>
        <w:spacing w:line="312" w:lineRule="auto"/>
        <w:ind w:firstLine="480"/>
        <w:rPr>
          <w:rFonts w:ascii="宋体" w:hAnsi="宋体" w:cs="宋体"/>
          <w:color w:val="auto"/>
          <w:highlight w:val="none"/>
        </w:rPr>
      </w:pPr>
      <w:r>
        <w:rPr>
          <w:rFonts w:hint="eastAsia" w:ascii="宋体" w:hAnsi="宋体" w:cs="宋体"/>
          <w:color w:val="auto"/>
          <w:highlight w:val="none"/>
        </w:rPr>
        <w:t>3.评标程序：资格性审查→符合性审查→资信技术评审→报价评审→得分汇总→编写评审报告。</w:t>
      </w:r>
    </w:p>
    <w:p>
      <w:pPr>
        <w:widowControl/>
        <w:spacing w:line="312" w:lineRule="auto"/>
        <w:ind w:firstLine="480"/>
        <w:outlineLvl w:val="2"/>
        <w:rPr>
          <w:rFonts w:ascii="宋体" w:hAnsi="宋体" w:cs="宋体"/>
          <w:color w:val="auto"/>
          <w:highlight w:val="none"/>
        </w:rPr>
      </w:pPr>
      <w:bookmarkStart w:id="810" w:name="_Toc3942"/>
      <w:r>
        <w:rPr>
          <w:rFonts w:hint="eastAsia" w:ascii="宋体" w:hAnsi="宋体" w:cs="宋体"/>
          <w:color w:val="auto"/>
          <w:highlight w:val="none"/>
        </w:rPr>
        <w:t>4.资格性审查</w:t>
      </w:r>
      <w:bookmarkEnd w:id="810"/>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4.1.评标委员会应依据法律法规和本招标文件的规定对</w:t>
      </w:r>
      <w:r>
        <w:rPr>
          <w:rFonts w:hint="eastAsia" w:ascii="宋体" w:hAnsi="宋体" w:cs="宋体"/>
          <w:color w:val="auto"/>
          <w:highlight w:val="none"/>
          <w:lang w:eastAsia="zh-CN"/>
        </w:rPr>
        <w:t>投标人</w:t>
      </w:r>
      <w:r>
        <w:rPr>
          <w:rFonts w:hint="eastAsia" w:ascii="宋体" w:hAnsi="宋体" w:cs="宋体"/>
          <w:color w:val="auto"/>
          <w:highlight w:val="none"/>
        </w:rPr>
        <w:t>资格进行审查。审查内容包</w:t>
      </w:r>
    </w:p>
    <w:p>
      <w:pPr>
        <w:widowControl/>
        <w:spacing w:line="312" w:lineRule="auto"/>
        <w:ind w:left="0" w:leftChars="0" w:firstLine="0" w:firstLineChars="0"/>
        <w:rPr>
          <w:rFonts w:ascii="宋体" w:hAnsi="宋体" w:cs="宋体"/>
          <w:color w:val="auto"/>
          <w:highlight w:val="none"/>
        </w:rPr>
      </w:pPr>
      <w:r>
        <w:rPr>
          <w:rFonts w:hint="eastAsia" w:ascii="宋体" w:hAnsi="宋体" w:cs="宋体"/>
          <w:color w:val="auto"/>
          <w:highlight w:val="none"/>
        </w:rPr>
        <w:t>括：</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(1)是否属于禁止参加投标的</w:t>
      </w:r>
      <w:r>
        <w:rPr>
          <w:rFonts w:hint="eastAsia" w:ascii="宋体" w:hAnsi="宋体" w:cs="宋体"/>
          <w:color w:val="auto"/>
          <w:highlight w:val="none"/>
          <w:lang w:eastAsia="zh-CN"/>
        </w:rPr>
        <w:t>投标人</w:t>
      </w:r>
      <w:r>
        <w:rPr>
          <w:rFonts w:hint="eastAsia" w:ascii="宋体" w:hAnsi="宋体" w:cs="宋体"/>
          <w:color w:val="auto"/>
          <w:highlight w:val="none"/>
        </w:rPr>
        <w:t>；</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(2)是否按照规定要求提供资格性证明材料；</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(3)法律法规规定的其他资格条件。</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w:t>
      </w:r>
      <w:r>
        <w:rPr>
          <w:rFonts w:hint="eastAsia" w:ascii="宋体" w:hAnsi="宋体" w:cs="宋体"/>
          <w:color w:val="auto"/>
          <w:highlight w:val="none"/>
          <w:lang w:eastAsia="zh-CN"/>
        </w:rPr>
        <w:t>投标人</w:t>
      </w:r>
      <w:r>
        <w:rPr>
          <w:rFonts w:hint="eastAsia" w:ascii="宋体" w:hAnsi="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cs="宋体"/>
          <w:color w:val="auto"/>
          <w:highlight w:val="none"/>
        </w:rPr>
        <w:t>拒绝确认的不影响评标委员会作出的不合格裁定。</w:t>
      </w:r>
    </w:p>
    <w:p>
      <w:pPr>
        <w:widowControl/>
        <w:spacing w:line="312" w:lineRule="auto"/>
        <w:ind w:firstLine="480"/>
        <w:outlineLvl w:val="2"/>
        <w:rPr>
          <w:rFonts w:ascii="宋体" w:hAnsi="宋体" w:cs="宋体"/>
          <w:color w:val="auto"/>
          <w:highlight w:val="none"/>
        </w:rPr>
      </w:pPr>
      <w:bookmarkStart w:id="811" w:name="_Toc737"/>
      <w:r>
        <w:rPr>
          <w:rFonts w:hint="eastAsia" w:ascii="宋体" w:hAnsi="宋体" w:cs="宋体"/>
          <w:color w:val="auto"/>
          <w:highlight w:val="none"/>
        </w:rPr>
        <w:t>5.符合性审查</w:t>
      </w:r>
      <w:bookmarkEnd w:id="811"/>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5.1.评标委员会根据本招标文件的规定，对资格符合</w:t>
      </w:r>
      <w:r>
        <w:rPr>
          <w:rFonts w:hint="eastAsia" w:ascii="宋体" w:hAnsi="宋体" w:cs="宋体"/>
          <w:color w:val="auto"/>
          <w:highlight w:val="none"/>
          <w:lang w:eastAsia="zh-CN"/>
        </w:rPr>
        <w:t>投标人</w:t>
      </w:r>
      <w:r>
        <w:rPr>
          <w:rFonts w:hint="eastAsia" w:ascii="宋体" w:hAnsi="宋体" w:cs="宋体"/>
          <w:color w:val="auto"/>
          <w:highlight w:val="none"/>
        </w:rPr>
        <w:t>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未实质性响应的理由由</w:t>
      </w:r>
      <w:r>
        <w:rPr>
          <w:rFonts w:hint="eastAsia" w:ascii="宋体" w:hAnsi="宋体" w:cs="宋体"/>
          <w:color w:val="auto"/>
          <w:highlight w:val="none"/>
          <w:lang w:eastAsia="zh-CN"/>
        </w:rPr>
        <w:t>投标人</w:t>
      </w:r>
      <w:r>
        <w:rPr>
          <w:rFonts w:hint="eastAsia" w:ascii="宋体" w:hAnsi="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cs="宋体"/>
          <w:color w:val="auto"/>
          <w:highlight w:val="none"/>
        </w:rPr>
        <w:t>拒绝确认的不影响评标委员会作出的不合格裁定。评标委员会不再进行后续评审。</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5.2.如果确定</w:t>
      </w:r>
      <w:r>
        <w:rPr>
          <w:rFonts w:hint="eastAsia" w:ascii="宋体" w:hAnsi="宋体" w:cs="宋体"/>
          <w:color w:val="auto"/>
          <w:highlight w:val="none"/>
          <w:lang w:eastAsia="zh-CN"/>
        </w:rPr>
        <w:t>投标人</w:t>
      </w:r>
      <w:r>
        <w:rPr>
          <w:rFonts w:hint="eastAsia" w:ascii="宋体" w:hAnsi="宋体" w:cs="宋体"/>
          <w:color w:val="auto"/>
          <w:highlight w:val="none"/>
        </w:rPr>
        <w:t>无资格履行合同，其投标将被拒绝。</w:t>
      </w:r>
    </w:p>
    <w:p>
      <w:pPr>
        <w:widowControl/>
        <w:spacing w:line="312" w:lineRule="auto"/>
        <w:ind w:firstLine="480"/>
        <w:outlineLvl w:val="2"/>
        <w:rPr>
          <w:rFonts w:ascii="宋体" w:hAnsi="宋体" w:cs="宋体"/>
          <w:color w:val="auto"/>
          <w:highlight w:val="none"/>
        </w:rPr>
      </w:pPr>
      <w:bookmarkStart w:id="812" w:name="_Toc12477"/>
      <w:r>
        <w:rPr>
          <w:rFonts w:hint="eastAsia" w:ascii="宋体" w:hAnsi="宋体" w:cs="宋体"/>
          <w:color w:val="auto"/>
          <w:highlight w:val="none"/>
        </w:rPr>
        <w:t>6.投标文件评审</w:t>
      </w:r>
      <w:bookmarkEnd w:id="812"/>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pPr>
        <w:widowControl/>
        <w:spacing w:line="312" w:lineRule="auto"/>
        <w:ind w:firstLine="482"/>
        <w:jc w:val="left"/>
        <w:outlineLvl w:val="1"/>
        <w:rPr>
          <w:rFonts w:ascii="宋体" w:hAnsi="宋体" w:cs="宋体"/>
          <w:b/>
          <w:bCs/>
          <w:color w:val="auto"/>
          <w:highlight w:val="none"/>
        </w:rPr>
      </w:pPr>
      <w:bookmarkStart w:id="813" w:name="_Toc5576"/>
      <w:bookmarkStart w:id="814" w:name="_Toc8858"/>
      <w:bookmarkStart w:id="815" w:name="_Toc19913"/>
      <w:bookmarkStart w:id="816" w:name="_Toc723"/>
      <w:bookmarkStart w:id="817" w:name="_Toc21780"/>
      <w:bookmarkStart w:id="818" w:name="_Toc564"/>
      <w:bookmarkStart w:id="819" w:name="_Toc5244"/>
      <w:bookmarkStart w:id="820" w:name="_Toc26135"/>
      <w:bookmarkStart w:id="821" w:name="_Toc31575"/>
      <w:bookmarkStart w:id="822" w:name="_Toc16982"/>
      <w:bookmarkStart w:id="823" w:name="_Toc18570"/>
      <w:bookmarkStart w:id="824" w:name="_Toc30298"/>
      <w:r>
        <w:rPr>
          <w:rFonts w:hint="eastAsia" w:ascii="宋体" w:hAnsi="宋体" w:cs="宋体"/>
          <w:b/>
          <w:bCs/>
          <w:color w:val="auto"/>
          <w:highlight w:val="none"/>
        </w:rPr>
        <w:t>七、澄清、说明或修正</w:t>
      </w:r>
      <w:bookmarkEnd w:id="813"/>
      <w:bookmarkEnd w:id="814"/>
      <w:bookmarkEnd w:id="815"/>
      <w:bookmarkEnd w:id="816"/>
      <w:bookmarkEnd w:id="817"/>
      <w:bookmarkEnd w:id="818"/>
      <w:bookmarkEnd w:id="819"/>
      <w:bookmarkEnd w:id="820"/>
      <w:bookmarkEnd w:id="821"/>
      <w:bookmarkEnd w:id="822"/>
      <w:bookmarkEnd w:id="823"/>
      <w:bookmarkEnd w:id="824"/>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w:t>
      </w:r>
      <w:r>
        <w:rPr>
          <w:rFonts w:hint="eastAsia" w:ascii="宋体" w:hAnsi="宋体" w:cs="宋体"/>
          <w:color w:val="auto"/>
          <w:highlight w:val="none"/>
          <w:lang w:eastAsia="zh-CN"/>
        </w:rPr>
        <w:t>投标人</w:t>
      </w:r>
      <w:r>
        <w:rPr>
          <w:rFonts w:hint="eastAsia" w:ascii="宋体" w:hAnsi="宋体" w:cs="宋体"/>
          <w:color w:val="auto"/>
          <w:highlight w:val="none"/>
        </w:rPr>
        <w:t>作出必要的澄清、说明或修正。但不得超出招标文件的范围，不得以此让</w:t>
      </w:r>
      <w:r>
        <w:rPr>
          <w:rFonts w:hint="eastAsia" w:ascii="宋体" w:hAnsi="宋体" w:cs="宋体"/>
          <w:color w:val="auto"/>
          <w:highlight w:val="none"/>
          <w:lang w:eastAsia="zh-CN"/>
        </w:rPr>
        <w:t>投标人</w:t>
      </w:r>
      <w:r>
        <w:rPr>
          <w:rFonts w:hint="eastAsia" w:ascii="宋体" w:hAnsi="宋体" w:cs="宋体"/>
          <w:color w:val="auto"/>
          <w:highlight w:val="none"/>
        </w:rPr>
        <w:t>实质改变投标文件的内容，不得影响公平竞争和投标文件的效力。澄清、说明或修正内容是投标文件的组成部分。</w:t>
      </w:r>
    </w:p>
    <w:p>
      <w:pPr>
        <w:widowControl/>
        <w:spacing w:line="312" w:lineRule="auto"/>
        <w:ind w:firstLine="480"/>
        <w:outlineLvl w:val="2"/>
        <w:rPr>
          <w:rFonts w:ascii="宋体" w:hAnsi="宋体" w:cs="宋体"/>
          <w:color w:val="auto"/>
          <w:highlight w:val="none"/>
        </w:rPr>
      </w:pPr>
      <w:bookmarkStart w:id="825" w:name="_Toc24795"/>
      <w:r>
        <w:rPr>
          <w:rFonts w:hint="eastAsia" w:ascii="宋体" w:hAnsi="宋体" w:cs="宋体"/>
          <w:color w:val="auto"/>
          <w:highlight w:val="none"/>
        </w:rPr>
        <w:t>2.投标文件报价出现前后不一致的，按照下列规定修正：</w:t>
      </w:r>
      <w:bookmarkEnd w:id="825"/>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2.1.开标时，投标文件中</w:t>
      </w:r>
      <w:r>
        <w:rPr>
          <w:rFonts w:hint="eastAsia" w:ascii="宋体" w:hAnsi="宋体" w:cs="宋体"/>
          <w:color w:val="auto"/>
          <w:highlight w:val="none"/>
          <w:lang w:eastAsia="zh-CN"/>
        </w:rPr>
        <w:t>开标一览表</w:t>
      </w:r>
      <w:r>
        <w:rPr>
          <w:rFonts w:hint="eastAsia" w:ascii="宋体" w:hAnsi="宋体" w:cs="宋体"/>
          <w:color w:val="auto"/>
          <w:highlight w:val="none"/>
        </w:rPr>
        <w:t>内容与投标文件中明细表内容不一致的，以</w:t>
      </w:r>
      <w:r>
        <w:rPr>
          <w:rFonts w:hint="eastAsia" w:ascii="宋体" w:hAnsi="宋体" w:cs="宋体"/>
          <w:color w:val="auto"/>
          <w:highlight w:val="none"/>
          <w:lang w:eastAsia="zh-CN"/>
        </w:rPr>
        <w:t>开标一览表</w:t>
      </w:r>
      <w:r>
        <w:rPr>
          <w:rFonts w:hint="eastAsia" w:ascii="宋体" w:hAnsi="宋体" w:cs="宋体"/>
          <w:color w:val="auto"/>
          <w:highlight w:val="none"/>
        </w:rPr>
        <w:t>为准；</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2.2投标文件的大写金额和小写金额不一致的，以大写金额为准；</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2.3单价金额小数点或百分比有明显错位的，以</w:t>
      </w:r>
      <w:r>
        <w:rPr>
          <w:rFonts w:hint="eastAsia" w:ascii="宋体" w:hAnsi="宋体" w:cs="宋体"/>
          <w:color w:val="auto"/>
          <w:highlight w:val="none"/>
          <w:lang w:eastAsia="zh-CN"/>
        </w:rPr>
        <w:t>开标一览表</w:t>
      </w:r>
      <w:r>
        <w:rPr>
          <w:rFonts w:hint="eastAsia" w:ascii="宋体" w:hAnsi="宋体" w:cs="宋体"/>
          <w:color w:val="auto"/>
          <w:highlight w:val="none"/>
        </w:rPr>
        <w:t>的总价为准，并修改单价；</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cs="宋体"/>
          <w:color w:val="auto"/>
          <w:highlight w:val="none"/>
        </w:rPr>
        <w:t>书面确认，</w:t>
      </w:r>
      <w:r>
        <w:rPr>
          <w:rFonts w:hint="eastAsia" w:ascii="宋体" w:hAnsi="宋体" w:cs="宋体"/>
          <w:color w:val="auto"/>
          <w:highlight w:val="none"/>
          <w:lang w:eastAsia="zh-CN"/>
        </w:rPr>
        <w:t>投标人</w:t>
      </w:r>
      <w:r>
        <w:rPr>
          <w:rFonts w:hint="eastAsia" w:ascii="宋体" w:hAnsi="宋体" w:cs="宋体"/>
          <w:color w:val="auto"/>
          <w:highlight w:val="none"/>
        </w:rPr>
        <w:t>不予确认的，其投标无效。</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3.澄清说明答复函须由</w:t>
      </w:r>
      <w:r>
        <w:rPr>
          <w:rFonts w:hint="eastAsia" w:ascii="宋体" w:hAnsi="宋体" w:cs="宋体"/>
          <w:color w:val="auto"/>
          <w:highlight w:val="none"/>
          <w:lang w:eastAsia="zh-CN"/>
        </w:rPr>
        <w:t>投标人</w:t>
      </w:r>
      <w:r>
        <w:rPr>
          <w:rFonts w:hint="eastAsia" w:ascii="宋体" w:hAnsi="宋体" w:cs="宋体"/>
          <w:color w:val="auto"/>
          <w:highlight w:val="none"/>
        </w:rPr>
        <w:t>法定代表人或授权代理人签字和盖章。如果</w:t>
      </w:r>
      <w:r>
        <w:rPr>
          <w:rFonts w:hint="eastAsia" w:ascii="宋体" w:hAnsi="宋体" w:cs="宋体"/>
          <w:color w:val="auto"/>
          <w:highlight w:val="none"/>
          <w:lang w:eastAsia="zh-CN"/>
        </w:rPr>
        <w:t>投标人</w:t>
      </w:r>
      <w:r>
        <w:rPr>
          <w:rFonts w:hint="eastAsia" w:ascii="宋体" w:hAnsi="宋体" w:cs="宋体"/>
          <w:color w:val="auto"/>
          <w:highlight w:val="none"/>
        </w:rPr>
        <w:t>不接受对其错误的更正，其投标将被拒绝。</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4.请</w:t>
      </w:r>
      <w:r>
        <w:rPr>
          <w:rFonts w:hint="eastAsia" w:ascii="宋体" w:hAnsi="宋体" w:cs="宋体"/>
          <w:color w:val="auto"/>
          <w:highlight w:val="none"/>
          <w:lang w:eastAsia="zh-CN"/>
        </w:rPr>
        <w:t>投标人</w:t>
      </w:r>
      <w:r>
        <w:rPr>
          <w:rFonts w:hint="eastAsia" w:ascii="宋体" w:hAnsi="宋体" w:cs="宋体"/>
          <w:color w:val="auto"/>
          <w:highlight w:val="none"/>
        </w:rPr>
        <w:t>在评审期间保持电话畅通，如未及时接听电话，视为放弃澄清、说明或补正的权利，视同默认采购结果，事后不得对采购相关人员、采购过程及结果提出异议。放弃澄清、说明或补正的责任由</w:t>
      </w:r>
      <w:r>
        <w:rPr>
          <w:rFonts w:hint="eastAsia" w:ascii="宋体" w:hAnsi="宋体" w:cs="宋体"/>
          <w:color w:val="auto"/>
          <w:highlight w:val="none"/>
          <w:lang w:eastAsia="zh-CN"/>
        </w:rPr>
        <w:t>投标人</w:t>
      </w:r>
      <w:r>
        <w:rPr>
          <w:rFonts w:hint="eastAsia" w:ascii="宋体" w:hAnsi="宋体" w:cs="宋体"/>
          <w:color w:val="auto"/>
          <w:highlight w:val="none"/>
        </w:rPr>
        <w:t>自行负担。</w:t>
      </w:r>
    </w:p>
    <w:p>
      <w:pPr>
        <w:widowControl/>
        <w:spacing w:line="312" w:lineRule="auto"/>
        <w:ind w:firstLine="482" w:firstLineChars="0"/>
        <w:jc w:val="left"/>
        <w:outlineLvl w:val="1"/>
        <w:rPr>
          <w:rFonts w:ascii="宋体" w:hAnsi="宋体" w:cs="宋体"/>
          <w:b/>
          <w:bCs/>
          <w:color w:val="auto"/>
          <w:highlight w:val="none"/>
        </w:rPr>
      </w:pPr>
      <w:bookmarkStart w:id="826" w:name="_Toc14187"/>
      <w:bookmarkStart w:id="827" w:name="_Toc1500"/>
      <w:bookmarkStart w:id="828" w:name="_Toc30210"/>
      <w:bookmarkStart w:id="829" w:name="_Toc27480"/>
      <w:bookmarkStart w:id="830" w:name="_Toc14326"/>
      <w:bookmarkStart w:id="831" w:name="_Toc31038"/>
      <w:bookmarkStart w:id="832" w:name="_Toc28123"/>
      <w:bookmarkStart w:id="833" w:name="_Toc613"/>
      <w:bookmarkStart w:id="834" w:name="_Toc24365"/>
      <w:bookmarkStart w:id="835" w:name="_Toc15675"/>
      <w:bookmarkStart w:id="836" w:name="_Toc16185"/>
      <w:r>
        <w:rPr>
          <w:rFonts w:hint="eastAsia" w:ascii="宋体" w:hAnsi="宋体" w:cs="宋体"/>
          <w:b/>
          <w:bCs/>
          <w:color w:val="auto"/>
          <w:highlight w:val="none"/>
        </w:rPr>
        <w:t>八、推荐中标候选人</w:t>
      </w:r>
      <w:bookmarkEnd w:id="826"/>
      <w:bookmarkEnd w:id="827"/>
      <w:bookmarkEnd w:id="828"/>
      <w:bookmarkEnd w:id="829"/>
      <w:bookmarkEnd w:id="830"/>
      <w:bookmarkEnd w:id="831"/>
      <w:bookmarkEnd w:id="832"/>
      <w:bookmarkEnd w:id="833"/>
      <w:bookmarkEnd w:id="834"/>
      <w:bookmarkEnd w:id="835"/>
      <w:bookmarkEnd w:id="836"/>
    </w:p>
    <w:p>
      <w:pPr>
        <w:widowControl/>
        <w:spacing w:line="312" w:lineRule="auto"/>
        <w:ind w:firstLine="480"/>
        <w:outlineLvl w:val="1"/>
        <w:rPr>
          <w:rFonts w:ascii="宋体" w:hAnsi="宋体" w:cs="宋体"/>
          <w:color w:val="auto"/>
          <w:highlight w:val="none"/>
        </w:rPr>
      </w:pPr>
      <w:bookmarkStart w:id="837" w:name="_Toc27042"/>
      <w:bookmarkStart w:id="838" w:name="_Toc26474"/>
      <w:bookmarkStart w:id="839" w:name="_Toc6555"/>
      <w:bookmarkStart w:id="840" w:name="_Toc1659"/>
      <w:bookmarkStart w:id="841" w:name="_Toc27231"/>
      <w:bookmarkStart w:id="842" w:name="_Toc6934"/>
      <w:bookmarkStart w:id="843" w:name="_Toc23166"/>
      <w:bookmarkStart w:id="844" w:name="_Toc30774"/>
      <w:bookmarkStart w:id="845" w:name="_Toc11230"/>
      <w:bookmarkStart w:id="846" w:name="_Toc6621"/>
      <w:bookmarkStart w:id="847" w:name="_Toc421"/>
      <w:bookmarkStart w:id="848" w:name="_Toc29148"/>
      <w:r>
        <w:rPr>
          <w:rFonts w:hint="eastAsia" w:ascii="宋体" w:hAnsi="宋体" w:cs="宋体"/>
          <w:color w:val="auto"/>
          <w:highlight w:val="none"/>
        </w:rPr>
        <w:t>按照</w:t>
      </w:r>
      <w:r>
        <w:rPr>
          <w:rFonts w:hint="eastAsia" w:ascii="宋体" w:hAnsi="宋体" w:cs="宋体"/>
          <w:color w:val="auto"/>
          <w:highlight w:val="none"/>
          <w:lang w:eastAsia="zh-CN"/>
        </w:rPr>
        <w:t>投标人</w:t>
      </w:r>
      <w:r>
        <w:rPr>
          <w:rFonts w:hint="eastAsia" w:ascii="宋体" w:hAnsi="宋体" w:cs="宋体"/>
          <w:color w:val="auto"/>
          <w:highlight w:val="none"/>
          <w:lang w:val="en-US" w:eastAsia="zh-CN"/>
        </w:rPr>
        <w:t>综合</w:t>
      </w:r>
      <w:r>
        <w:rPr>
          <w:rFonts w:hint="eastAsia" w:ascii="宋体" w:hAnsi="宋体" w:cs="宋体"/>
          <w:color w:val="auto"/>
          <w:highlight w:val="none"/>
        </w:rPr>
        <w:t>得分由高到低顺序排列推荐中标候选人。综合得分相同者，以报价低者作为中标候选人；综合得分相同且报价相同，以技术指标优劣决定中标候选人；以上均相同则摇号确定。</w:t>
      </w:r>
      <w:bookmarkEnd w:id="837"/>
      <w:bookmarkEnd w:id="838"/>
      <w:bookmarkEnd w:id="839"/>
      <w:bookmarkEnd w:id="840"/>
      <w:bookmarkEnd w:id="841"/>
      <w:bookmarkEnd w:id="842"/>
      <w:bookmarkEnd w:id="843"/>
      <w:bookmarkEnd w:id="844"/>
      <w:bookmarkEnd w:id="845"/>
      <w:bookmarkEnd w:id="846"/>
      <w:bookmarkEnd w:id="847"/>
      <w:bookmarkEnd w:id="848"/>
    </w:p>
    <w:p>
      <w:pPr>
        <w:widowControl/>
        <w:spacing w:line="312" w:lineRule="auto"/>
        <w:ind w:firstLine="482"/>
        <w:jc w:val="left"/>
        <w:outlineLvl w:val="1"/>
        <w:rPr>
          <w:rFonts w:ascii="宋体" w:hAnsi="宋体" w:cs="宋体"/>
          <w:b/>
          <w:bCs/>
          <w:color w:val="auto"/>
          <w:highlight w:val="none"/>
        </w:rPr>
      </w:pPr>
      <w:bookmarkStart w:id="849" w:name="_Toc28343"/>
      <w:bookmarkStart w:id="850" w:name="_Toc28577"/>
      <w:bookmarkStart w:id="851" w:name="_Toc21653"/>
      <w:bookmarkStart w:id="852" w:name="_Toc10194"/>
      <w:bookmarkStart w:id="853" w:name="_Toc496"/>
      <w:bookmarkStart w:id="854" w:name="_Toc7347"/>
      <w:bookmarkStart w:id="855" w:name="_Toc11673"/>
      <w:bookmarkStart w:id="856" w:name="_Toc31388"/>
      <w:bookmarkStart w:id="857" w:name="_Toc23850"/>
      <w:bookmarkStart w:id="858" w:name="_Toc29101"/>
      <w:bookmarkStart w:id="859" w:name="_Toc6952"/>
      <w:bookmarkStart w:id="860" w:name="_Toc5568"/>
      <w:r>
        <w:rPr>
          <w:rFonts w:hint="eastAsia" w:ascii="宋体" w:hAnsi="宋体" w:cs="宋体"/>
          <w:b/>
          <w:bCs/>
          <w:color w:val="auto"/>
          <w:highlight w:val="none"/>
        </w:rPr>
        <w:t>九、评审报告</w:t>
      </w:r>
      <w:bookmarkEnd w:id="849"/>
      <w:bookmarkEnd w:id="850"/>
      <w:bookmarkEnd w:id="851"/>
      <w:bookmarkEnd w:id="852"/>
      <w:bookmarkEnd w:id="853"/>
      <w:bookmarkEnd w:id="854"/>
      <w:bookmarkEnd w:id="855"/>
      <w:bookmarkEnd w:id="856"/>
      <w:bookmarkEnd w:id="857"/>
      <w:bookmarkEnd w:id="858"/>
      <w:bookmarkEnd w:id="859"/>
      <w:bookmarkEnd w:id="860"/>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评标委员会编写评标报告，并提出</w:t>
      </w:r>
      <w:r>
        <w:rPr>
          <w:rFonts w:hint="eastAsia" w:ascii="宋体" w:hAnsi="宋体" w:cs="宋体"/>
          <w:color w:val="auto"/>
          <w:highlight w:val="none"/>
          <w:lang w:val="en-US" w:eastAsia="zh-CN"/>
        </w:rPr>
        <w:t>综合</w:t>
      </w:r>
      <w:r>
        <w:rPr>
          <w:rFonts w:hint="eastAsia" w:ascii="宋体" w:hAnsi="宋体" w:cs="宋体"/>
          <w:color w:val="auto"/>
          <w:highlight w:val="none"/>
        </w:rPr>
        <w:t>得分由高到低排序名单及理由，评标报告由评标委员会成员签字。</w:t>
      </w:r>
    </w:p>
    <w:p>
      <w:pPr>
        <w:widowControl/>
        <w:spacing w:line="312" w:lineRule="auto"/>
        <w:ind w:firstLine="482"/>
        <w:outlineLvl w:val="1"/>
        <w:rPr>
          <w:rFonts w:ascii="宋体" w:hAnsi="宋体" w:cs="宋体"/>
          <w:color w:val="auto"/>
          <w:highlight w:val="none"/>
        </w:rPr>
      </w:pPr>
      <w:bookmarkStart w:id="861" w:name="_Toc19481"/>
      <w:bookmarkStart w:id="862" w:name="_Toc29832"/>
      <w:bookmarkStart w:id="863" w:name="_Toc16043"/>
      <w:bookmarkStart w:id="864" w:name="_Toc2725"/>
      <w:bookmarkStart w:id="865" w:name="_Toc17445"/>
      <w:bookmarkStart w:id="866" w:name="_Toc10667"/>
      <w:bookmarkStart w:id="867" w:name="_Toc10943"/>
      <w:bookmarkStart w:id="868" w:name="_Toc14578"/>
      <w:bookmarkStart w:id="869" w:name="_Toc544"/>
      <w:bookmarkStart w:id="870" w:name="_Toc23070"/>
      <w:bookmarkStart w:id="871" w:name="_Toc27030"/>
      <w:bookmarkStart w:id="872" w:name="_Toc32742"/>
      <w:r>
        <w:rPr>
          <w:rFonts w:hint="eastAsia" w:ascii="宋体" w:hAnsi="宋体" w:cs="宋体"/>
          <w:b/>
          <w:bCs/>
          <w:color w:val="auto"/>
          <w:highlight w:val="none"/>
        </w:rPr>
        <w:t>十、评标细则及标准</w:t>
      </w:r>
      <w:bookmarkEnd w:id="861"/>
      <w:bookmarkEnd w:id="862"/>
      <w:bookmarkEnd w:id="863"/>
      <w:bookmarkEnd w:id="864"/>
      <w:bookmarkEnd w:id="865"/>
      <w:bookmarkEnd w:id="866"/>
      <w:bookmarkEnd w:id="867"/>
      <w:bookmarkEnd w:id="868"/>
      <w:bookmarkEnd w:id="869"/>
      <w:bookmarkEnd w:id="870"/>
      <w:bookmarkEnd w:id="871"/>
      <w:bookmarkEnd w:id="872"/>
    </w:p>
    <w:p>
      <w:pPr>
        <w:widowControl/>
        <w:spacing w:line="312" w:lineRule="auto"/>
        <w:ind w:firstLine="480"/>
        <w:outlineLvl w:val="1"/>
        <w:rPr>
          <w:rFonts w:ascii="宋体" w:hAnsi="宋体" w:cs="宋体"/>
          <w:color w:val="auto"/>
          <w:highlight w:val="none"/>
        </w:rPr>
      </w:pPr>
      <w:bookmarkStart w:id="873" w:name="_Toc3258"/>
      <w:bookmarkStart w:id="874" w:name="_Toc8159"/>
      <w:bookmarkStart w:id="875" w:name="_Toc22648"/>
      <w:bookmarkStart w:id="876" w:name="_Toc23204"/>
      <w:bookmarkStart w:id="877" w:name="_Toc20443"/>
      <w:bookmarkStart w:id="878" w:name="_Toc14994"/>
      <w:bookmarkStart w:id="879" w:name="_Toc7210"/>
      <w:bookmarkStart w:id="880" w:name="_Toc18818"/>
      <w:bookmarkStart w:id="881" w:name="_Toc17002"/>
      <w:bookmarkStart w:id="882" w:name="_Toc3842"/>
      <w:bookmarkStart w:id="883" w:name="_Toc6647"/>
      <w:bookmarkStart w:id="884" w:name="_Toc27516"/>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873"/>
      <w:bookmarkEnd w:id="874"/>
      <w:bookmarkEnd w:id="875"/>
      <w:bookmarkEnd w:id="876"/>
      <w:bookmarkEnd w:id="877"/>
      <w:bookmarkEnd w:id="878"/>
      <w:bookmarkEnd w:id="879"/>
      <w:bookmarkEnd w:id="880"/>
      <w:bookmarkEnd w:id="881"/>
      <w:bookmarkEnd w:id="882"/>
      <w:bookmarkEnd w:id="883"/>
      <w:bookmarkEnd w:id="884"/>
    </w:p>
    <w:p>
      <w:pPr>
        <w:widowControl/>
        <w:spacing w:line="312" w:lineRule="auto"/>
        <w:ind w:right="120"/>
        <w:rPr>
          <w:rFonts w:ascii="宋体" w:hAnsi="宋体" w:cs="宋体"/>
          <w:color w:val="auto"/>
          <w:highlight w:val="none"/>
        </w:rPr>
      </w:pPr>
      <w:r>
        <w:rPr>
          <w:rFonts w:hint="eastAsia" w:ascii="宋体" w:hAnsi="宋体" w:cs="宋体"/>
          <w:color w:val="auto"/>
          <w:highlight w:val="none"/>
        </w:rPr>
        <w:t>2.加权汇总每项评分因素的得分，得出每个有效</w:t>
      </w:r>
      <w:r>
        <w:rPr>
          <w:rFonts w:hint="eastAsia" w:ascii="宋体" w:hAnsi="宋体" w:cs="宋体"/>
          <w:color w:val="auto"/>
          <w:highlight w:val="none"/>
          <w:lang w:eastAsia="zh-CN"/>
        </w:rPr>
        <w:t>投标人</w:t>
      </w:r>
      <w:r>
        <w:rPr>
          <w:rFonts w:hint="eastAsia" w:ascii="宋体" w:hAnsi="宋体" w:cs="宋体"/>
          <w:color w:val="auto"/>
          <w:highlight w:val="none"/>
        </w:rPr>
        <w:t>的总分。</w:t>
      </w:r>
      <w:r>
        <w:rPr>
          <w:rFonts w:hint="eastAsia" w:ascii="宋体" w:hAnsi="宋体" w:cs="宋体"/>
          <w:color w:val="auto"/>
          <w:highlight w:val="none"/>
          <w:lang w:eastAsia="zh-CN"/>
        </w:rPr>
        <w:t>投标人</w:t>
      </w:r>
      <w:r>
        <w:rPr>
          <w:rFonts w:hint="eastAsia" w:ascii="宋体" w:hAnsi="宋体" w:cs="宋体"/>
          <w:color w:val="auto"/>
          <w:highlight w:val="none"/>
          <w:lang w:val="en-US" w:eastAsia="zh-CN"/>
        </w:rPr>
        <w:t>资信</w:t>
      </w:r>
      <w:r>
        <w:rPr>
          <w:rFonts w:hint="eastAsia" w:ascii="宋体" w:hAnsi="宋体" w:cs="宋体"/>
          <w:color w:val="auto"/>
          <w:highlight w:val="none"/>
        </w:rPr>
        <w:t>商务技术部分最终得分为各成员的有效评分的算术平均值。计算时保留小数二位（第三位四舍五入）。</w:t>
      </w:r>
    </w:p>
    <w:p>
      <w:pPr>
        <w:widowControl/>
        <w:spacing w:line="312" w:lineRule="auto"/>
        <w:ind w:firstLine="480"/>
        <w:outlineLvl w:val="2"/>
        <w:rPr>
          <w:rFonts w:hint="eastAsia" w:ascii="宋体" w:hAnsi="宋体" w:cs="宋体"/>
          <w:color w:val="auto"/>
          <w:highlight w:val="none"/>
        </w:rPr>
      </w:pPr>
      <w:bookmarkStart w:id="885" w:name="_Toc8331"/>
      <w:r>
        <w:rPr>
          <w:rFonts w:hint="eastAsia" w:ascii="宋体" w:hAnsi="宋体" w:cs="宋体"/>
          <w:color w:val="auto"/>
          <w:highlight w:val="none"/>
        </w:rPr>
        <w:t>3.综合评分明细表</w:t>
      </w:r>
      <w:bookmarkEnd w:id="885"/>
      <w:r>
        <w:rPr>
          <w:rFonts w:hint="eastAsia" w:ascii="宋体" w:hAnsi="宋体" w:cs="宋体"/>
          <w:color w:val="auto"/>
          <w:highlight w:val="none"/>
        </w:rPr>
        <w:t xml:space="preserve">    </w:t>
      </w:r>
    </w:p>
    <w:tbl>
      <w:tblPr>
        <w:tblStyle w:val="4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55"/>
        <w:gridCol w:w="68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评分项目</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商务报价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0分）</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本项目最高限价：人民币</w:t>
            </w:r>
            <w:r>
              <w:rPr>
                <w:rFonts w:hint="eastAsia" w:ascii="宋体" w:hAnsi="宋体" w:cs="宋体"/>
                <w:sz w:val="24"/>
                <w:szCs w:val="24"/>
                <w:highlight w:val="none"/>
                <w:lang w:val="en-US" w:eastAsia="zh-CN"/>
              </w:rPr>
              <w:t>2640406元</w:t>
            </w:r>
            <w:r>
              <w:rPr>
                <w:rFonts w:hint="eastAsia" w:ascii="宋体" w:hAnsi="宋体" w:eastAsia="宋体" w:cs="宋体"/>
                <w:sz w:val="24"/>
                <w:szCs w:val="24"/>
                <w:highlight w:val="none"/>
                <w:lang w:val="en-US" w:eastAsia="zh-CN"/>
              </w:rPr>
              <w:t>，满足招标文件要求,各有效投标人的投标报价中最低报价为评标基准价。投标报价得分＝评标基准价/投标报价×</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0（保留小数二位，第三位四舍五入），报价高于最高限价的，为无效投标文件。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对于小型和微型企业（监狱或戒毒企业、残疾人福利性单位）的报价给予10%的扣除，用扣除后的价格参与评审。小型和微型企业应提供《中小企业声明函》；监狱或戒毒企业应提供监狱或戒毒企业声明函；残疾人福利性单位应提供残疾人福利性单位声明函。以上材料未提供不享受报价优惠）。</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投标人自202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年1月</w:t>
            </w:r>
            <w:r>
              <w:rPr>
                <w:rFonts w:hint="eastAsia" w:ascii="宋体" w:hAnsi="宋体" w:cs="宋体"/>
                <w:sz w:val="24"/>
                <w:szCs w:val="24"/>
                <w:highlight w:val="none"/>
                <w:lang w:val="en-US" w:eastAsia="zh-CN"/>
              </w:rPr>
              <w:t>1日至今（以</w:t>
            </w:r>
            <w:r>
              <w:rPr>
                <w:rFonts w:hint="eastAsia" w:ascii="宋体" w:hAnsi="宋体" w:eastAsia="宋体" w:cs="宋体"/>
                <w:sz w:val="24"/>
                <w:szCs w:val="24"/>
                <w:highlight w:val="none"/>
                <w:lang w:val="en-US" w:eastAsia="zh-CN"/>
              </w:rPr>
              <w:t>合同签订时间为准）完成的</w:t>
            </w:r>
            <w:r>
              <w:rPr>
                <w:rFonts w:hint="eastAsia" w:ascii="宋体" w:hAnsi="宋体" w:eastAsia="宋体" w:cs="宋体"/>
                <w:sz w:val="24"/>
                <w:szCs w:val="24"/>
                <w:highlight w:val="none"/>
                <w:lang w:val="en-US" w:eastAsia="zh-Hans"/>
              </w:rPr>
              <w:t>类似业绩</w:t>
            </w:r>
            <w:r>
              <w:rPr>
                <w:rFonts w:hint="eastAsia" w:ascii="宋体" w:hAnsi="宋体" w:eastAsia="宋体" w:cs="宋体"/>
                <w:sz w:val="24"/>
                <w:szCs w:val="24"/>
                <w:highlight w:val="none"/>
                <w:lang w:val="en-US" w:eastAsia="zh-CN"/>
              </w:rPr>
              <w:t>项目，每个得1分，最高得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注：</w:t>
            </w:r>
            <w:r>
              <w:rPr>
                <w:rFonts w:hint="eastAsia" w:ascii="宋体" w:hAnsi="宋体" w:eastAsia="宋体" w:cs="宋体"/>
                <w:sz w:val="24"/>
                <w:szCs w:val="24"/>
                <w:highlight w:val="none"/>
                <w:lang w:val="en-US" w:eastAsia="zh-CN"/>
              </w:rPr>
              <w:t>提供中标通知书或合同扫描件并加盖</w:t>
            </w:r>
            <w:r>
              <w:rPr>
                <w:rFonts w:hint="eastAsia" w:ascii="宋体" w:hAnsi="宋体" w:cs="宋体"/>
                <w:sz w:val="24"/>
                <w:szCs w:val="24"/>
                <w:highlight w:val="none"/>
                <w:lang w:val="en-US" w:eastAsia="zh-CN"/>
              </w:rPr>
              <w:t>电子</w:t>
            </w:r>
            <w:r>
              <w:rPr>
                <w:rFonts w:hint="eastAsia" w:ascii="宋体" w:hAnsi="宋体" w:eastAsia="宋体" w:cs="宋体"/>
                <w:sz w:val="24"/>
                <w:szCs w:val="24"/>
                <w:highlight w:val="none"/>
                <w:lang w:val="en-US" w:eastAsia="zh-CN"/>
              </w:rPr>
              <w:t>公章，不提供不得分</w:t>
            </w:r>
            <w:r>
              <w:rPr>
                <w:rFonts w:hint="eastAsia" w:ascii="宋体" w:hAnsi="宋体" w:cs="宋体"/>
                <w:sz w:val="24"/>
                <w:szCs w:val="24"/>
                <w:highlight w:val="none"/>
                <w:lang w:val="en-US" w:eastAsia="zh-CN"/>
              </w:rPr>
              <w:t>。</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8" w:type="dxa"/>
            <w:vMerge w:val="restart"/>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555" w:type="dxa"/>
            <w:vMerge w:val="restart"/>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拟投入项目组成员</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投标人拟派项目负责人具备高级工程师职称的得2分；具备工程师职称的得1分；其他不得分。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58"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p>
        </w:tc>
        <w:tc>
          <w:tcPr>
            <w:tcW w:w="1555"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投标人拟派项目组成员中（不含项目负责人）具有建筑类施工员或二级及以上注册建造师的每人得1分，最高得2分。         注：提供有效期内的证书及近三个月社保证明原件扫描件，未提供的不得分。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方案深化设计情况</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根据提供的深化方案是否能围绕主题，脉络清晰，设计路线清晰，贯穿始终（0-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分）；整理布局是否合理、舒适和美观，构思巧妙，充分展示方案的特点及重点（0-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分）；深化方案是否满足阳光社区的多样性和全面性要求，可实施落地情况（0-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分）进行打分。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施工重点难点分析</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投标人针对本项目施工重点难点分析到位，针对性强的得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.1分，施工重点难度内容分析合理得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.1分，施工重点难度内容分析基本合理得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-2.1分，内容有提及得2-1分。内容缺失严重不得分。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施工方案</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施工方案内容全面、合理、条理清晰，涵盖本次工程实施有关的内容，且具有针对性得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.1分，方案内容全面合理得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.1分，方案内容基本合理，满足采购需求得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-2.1分，方案内容有提及得2-1分。严重缺失不得分。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技术响应</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情况</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根据投标人对</w:t>
            </w:r>
            <w:r>
              <w:rPr>
                <w:rFonts w:hint="eastAsia" w:ascii="宋体" w:hAnsi="宋体" w:cs="宋体"/>
                <w:sz w:val="24"/>
                <w:szCs w:val="24"/>
                <w:highlight w:val="none"/>
                <w:lang w:val="en-US" w:eastAsia="zh-CN"/>
              </w:rPr>
              <w:t>软装</w:t>
            </w:r>
            <w:r>
              <w:rPr>
                <w:rFonts w:hint="eastAsia" w:ascii="宋体" w:hAnsi="宋体" w:eastAsia="宋体" w:cs="宋体"/>
                <w:sz w:val="24"/>
                <w:szCs w:val="24"/>
                <w:highlight w:val="none"/>
                <w:lang w:val="en-US" w:eastAsia="zh-CN"/>
              </w:rPr>
              <w:t>内容响应情况：除不可偏离指标外全部满足招标文件要求的得15分；技术指标负偏离或缺漏项每项扣0.5分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扣完为止。</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施工进度</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根据项目工期要求，施工进度安排合理、准确、关键节点的控制措施进行打分。（0-6分）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成品保护的保证措施</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投标人对成品保护的保证措施合理、科学，具有可操作性得4-3.1分，措施合理得3-2.1分，措施基本合理得2-1分。严重缺失不得分。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降噪措施</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投标人的降噪措施合理、具有可操作性的得3-2.1分，措施合理的得2-1.1分，措施基本合理的得1-0.1分。严重缺失不得分。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sz w:val="24"/>
                <w:szCs w:val="24"/>
                <w:highlight w:val="none"/>
                <w:lang w:val="en-US" w:eastAsia="zh-CN"/>
              </w:rPr>
            </w:pPr>
            <w:bookmarkStart w:id="886" w:name="_Toc20999"/>
            <w:bookmarkStart w:id="887" w:name="_Toc7613"/>
            <w:bookmarkStart w:id="888" w:name="_Toc7339"/>
            <w:bookmarkStart w:id="889" w:name="_Toc24157"/>
            <w:bookmarkStart w:id="890" w:name="_Toc21281"/>
            <w:bookmarkStart w:id="891" w:name="_Toc19280"/>
            <w:bookmarkStart w:id="892" w:name="_Toc3721"/>
            <w:bookmarkStart w:id="893" w:name="_Toc6020"/>
            <w:bookmarkStart w:id="894" w:name="_Toc18889"/>
            <w:bookmarkStart w:id="895" w:name="_Toc29100"/>
            <w:bookmarkStart w:id="896" w:name="_Toc7272"/>
            <w:bookmarkStart w:id="897" w:name="_Toc2034"/>
            <w:bookmarkStart w:id="898" w:name="_Toc12295"/>
            <w:bookmarkStart w:id="899" w:name="_Toc4505"/>
            <w:bookmarkStart w:id="900" w:name="_Toc31129"/>
            <w:bookmarkStart w:id="901" w:name="_Toc32294"/>
            <w:bookmarkStart w:id="902" w:name="_Toc5433"/>
            <w:bookmarkStart w:id="903" w:name="_Toc18665"/>
            <w:bookmarkStart w:id="904" w:name="_Toc11297"/>
            <w:bookmarkStart w:id="905" w:name="_Toc1170"/>
            <w:bookmarkStart w:id="906" w:name="_Toc21134"/>
            <w:bookmarkStart w:id="907" w:name="_Toc5485"/>
            <w:bookmarkStart w:id="908" w:name="_Toc19763"/>
            <w:bookmarkStart w:id="909" w:name="_Toc16468"/>
            <w:bookmarkStart w:id="910" w:name="_Toc30669"/>
            <w:bookmarkStart w:id="911" w:name="_Toc21063"/>
            <w:bookmarkStart w:id="912" w:name="_Toc9400"/>
            <w:bookmarkStart w:id="913" w:name="_Toc1518"/>
            <w:bookmarkStart w:id="914" w:name="_Toc29819"/>
            <w:bookmarkStart w:id="915" w:name="_Toc23144"/>
            <w:bookmarkStart w:id="916" w:name="_Toc30259"/>
            <w:bookmarkStart w:id="917" w:name="_Toc15014"/>
            <w:bookmarkStart w:id="918" w:name="_Toc29206"/>
            <w:bookmarkStart w:id="919" w:name="_Toc23997"/>
            <w:bookmarkStart w:id="920" w:name="_Toc11337"/>
            <w:bookmarkStart w:id="921" w:name="_Toc19057"/>
            <w:bookmarkStart w:id="922" w:name="_Toc28717"/>
            <w:bookmarkStart w:id="923" w:name="_Toc13063"/>
            <w:bookmarkStart w:id="924" w:name="_Toc23988"/>
            <w:bookmarkStart w:id="925" w:name="_Toc29904"/>
            <w:bookmarkStart w:id="926" w:name="_Toc23598"/>
            <w:bookmarkStart w:id="927" w:name="_Toc22478"/>
            <w:bookmarkStart w:id="928" w:name="_Toc16940"/>
            <w:bookmarkStart w:id="929" w:name="_Toc12891"/>
            <w:bookmarkStart w:id="930" w:name="_Toc9996"/>
            <w:bookmarkStart w:id="931" w:name="_Toc2114"/>
            <w:bookmarkStart w:id="932" w:name="_Toc347443768"/>
            <w:bookmarkStart w:id="933" w:name="_Toc391298964"/>
            <w:r>
              <w:rPr>
                <w:rFonts w:hint="eastAsia" w:ascii="宋体" w:hAnsi="宋体" w:cs="宋体"/>
                <w:sz w:val="24"/>
                <w:szCs w:val="24"/>
                <w:highlight w:val="none"/>
                <w:lang w:val="en-US" w:eastAsia="zh-CN"/>
              </w:rPr>
              <w:t>11</w:t>
            </w:r>
          </w:p>
        </w:tc>
        <w:tc>
          <w:tcPr>
            <w:tcW w:w="155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tc>
        <w:tc>
          <w:tcPr>
            <w:tcW w:w="687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根据投标人提供的技术支持和售后服务方案，质保时间、服务响应时间等有利于采购人的程度；售后服务、维修保养具体内容等进行评分。（0-6分）</w:t>
            </w:r>
          </w:p>
        </w:tc>
        <w:tc>
          <w:tcPr>
            <w:tcW w:w="119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18"/>
              <w:keepNext w:val="0"/>
              <w:keepLines w:val="0"/>
              <w:suppressLineNumbers w:val="0"/>
              <w:spacing w:before="0" w:beforeAutospacing="0" w:afterAutospacing="0"/>
              <w:ind w:left="0" w:leftChars="0" w:right="0"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r>
      <w:bookmarkEnd w:id="617"/>
      <w:bookmarkEnd w:id="618"/>
      <w:bookmarkEnd w:id="619"/>
      <w:bookmarkEnd w:id="620"/>
      <w:bookmarkEnd w:id="621"/>
      <w:bookmarkEnd w:id="622"/>
      <w:bookmarkEnd w:id="623"/>
      <w:bookmarkEnd w:id="624"/>
      <w:bookmarkEnd w:id="625"/>
      <w:bookmarkEnd w:id="626"/>
      <w:bookmarkEnd w:id="627"/>
      <w:bookmarkEnd w:id="628"/>
      <w:bookmarkEnd w:id="629"/>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tbl>
    <w:p>
      <w:pPr>
        <w:widowControl/>
        <w:numPr>
          <w:ilvl w:val="0"/>
          <w:numId w:val="27"/>
        </w:numPr>
        <w:spacing w:line="312" w:lineRule="auto"/>
        <w:ind w:left="432" w:leftChars="0" w:firstLine="0" w:firstLineChars="0"/>
        <w:outlineLvl w:val="1"/>
        <w:rPr>
          <w:color w:val="auto"/>
          <w:highlight w:val="none"/>
        </w:rPr>
      </w:pPr>
      <w:bookmarkStart w:id="934" w:name="_Toc24590"/>
      <w:bookmarkStart w:id="935" w:name="_Toc6823"/>
      <w:r>
        <w:rPr>
          <w:rFonts w:hint="eastAsia" w:ascii="宋体" w:hAnsi="宋体" w:cs="宋体"/>
          <w:b/>
          <w:bCs/>
          <w:color w:val="auto"/>
          <w:highlight w:val="none"/>
          <w:lang w:eastAsia="zh-CN"/>
        </w:rPr>
        <w:t>投标人</w:t>
      </w:r>
      <w:r>
        <w:rPr>
          <w:rFonts w:hint="eastAsia" w:ascii="宋体" w:hAnsi="宋体" w:cs="宋体"/>
          <w:b/>
          <w:bCs/>
          <w:color w:val="auto"/>
          <w:highlight w:val="none"/>
        </w:rPr>
        <w:t>不得有下列情形</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4"/>
      <w:bookmarkEnd w:id="935"/>
    </w:p>
    <w:p>
      <w:pPr>
        <w:widowControl/>
        <w:spacing w:line="312" w:lineRule="auto"/>
        <w:ind w:firstLine="480"/>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有下列情形之一的，处以采购项目中标金额千分之五以上千分之十以下的罚款，列入不良行为记录名单，在一至三年内禁止参加采购活动，并予以公告，有违法所得的，并处没收违法所得</w:t>
      </w:r>
      <w:r>
        <w:rPr>
          <w:rFonts w:hint="eastAsia" w:ascii="宋体" w:hAnsi="宋体" w:cs="宋体"/>
          <w:color w:val="auto"/>
          <w:highlight w:val="none"/>
          <w:lang w:eastAsia="zh-CN"/>
        </w:rPr>
        <w:t>，</w:t>
      </w:r>
      <w:r>
        <w:rPr>
          <w:rFonts w:hint="eastAsia" w:ascii="宋体" w:hAnsi="宋体" w:cs="宋体"/>
          <w:color w:val="auto"/>
          <w:highlight w:val="none"/>
        </w:rPr>
        <w:t>情节严重的，由市场监督管理机关吊销营业执照，构成犯罪的，依法追究刑事责任。同时将取消中标资格或者认定中标无效。</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1.提供虚假材料谋取中标；</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2.采取不正当手段诋毁、排挤其他</w:t>
      </w:r>
      <w:r>
        <w:rPr>
          <w:rFonts w:hint="eastAsia" w:ascii="宋体" w:hAnsi="宋体" w:cs="宋体"/>
          <w:color w:val="auto"/>
          <w:highlight w:val="none"/>
          <w:lang w:eastAsia="zh-CN"/>
        </w:rPr>
        <w:t>投标人</w:t>
      </w:r>
      <w:r>
        <w:rPr>
          <w:rFonts w:hint="eastAsia" w:ascii="宋体" w:hAnsi="宋体" w:cs="宋体"/>
          <w:color w:val="auto"/>
          <w:highlight w:val="none"/>
        </w:rPr>
        <w:t>；</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3.与采购人、其他</w:t>
      </w:r>
      <w:r>
        <w:rPr>
          <w:rFonts w:hint="eastAsia" w:ascii="宋体" w:hAnsi="宋体" w:cs="宋体"/>
          <w:color w:val="auto"/>
          <w:highlight w:val="none"/>
          <w:lang w:eastAsia="zh-CN"/>
        </w:rPr>
        <w:t>投标人</w:t>
      </w:r>
      <w:r>
        <w:rPr>
          <w:rFonts w:hint="eastAsia" w:ascii="宋体" w:hAnsi="宋体" w:cs="宋体"/>
          <w:color w:val="auto"/>
          <w:highlight w:val="none"/>
        </w:rPr>
        <w:t>恶意串通；</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4.向采购人、评标小组成员行贿或者提供其他不正当利益；</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5.在招标过程中与采购人进行协商谈判；</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eastAsia="zh-CN"/>
        </w:rPr>
        <w:t>中标人</w:t>
      </w:r>
      <w:r>
        <w:rPr>
          <w:rFonts w:hint="eastAsia" w:ascii="宋体" w:hAnsi="宋体" w:cs="宋体"/>
          <w:color w:val="auto"/>
          <w:highlight w:val="none"/>
        </w:rPr>
        <w:t>无正当理由拖延或者不与采购人签订采购合同；</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7.未按照采购文件确定的事项签订采购合同；</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8.将采购合同转包或者违规分包；</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9.提供假冒伪劣产品；</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10.擅自变更、中止或者终止采购合同；</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11.拒绝有关部门的监督检查或者向监督检查部门提供虚假情况；</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12.法律法规规定的其他情形。</w:t>
      </w:r>
    </w:p>
    <w:p>
      <w:pPr>
        <w:widowControl/>
        <w:spacing w:line="312" w:lineRule="auto"/>
        <w:ind w:firstLine="482"/>
        <w:outlineLvl w:val="1"/>
        <w:rPr>
          <w:rFonts w:ascii="宋体" w:hAnsi="宋体" w:cs="宋体"/>
          <w:b/>
          <w:bCs/>
          <w:color w:val="auto"/>
          <w:highlight w:val="none"/>
        </w:rPr>
      </w:pPr>
      <w:bookmarkStart w:id="936" w:name="_Toc22989"/>
      <w:bookmarkStart w:id="937" w:name="_Toc7292"/>
      <w:bookmarkStart w:id="938" w:name="_Toc12829"/>
      <w:bookmarkStart w:id="939" w:name="_Toc22553"/>
      <w:bookmarkStart w:id="940" w:name="_Toc20072"/>
      <w:bookmarkStart w:id="941" w:name="_Toc11628"/>
      <w:bookmarkStart w:id="942" w:name="_Toc8750"/>
      <w:bookmarkStart w:id="943" w:name="_Toc4296"/>
      <w:bookmarkStart w:id="944" w:name="_Toc30885"/>
      <w:bookmarkStart w:id="945" w:name="_Toc20638"/>
      <w:bookmarkStart w:id="946" w:name="_Toc14056"/>
      <w:bookmarkStart w:id="947" w:name="_Toc15843"/>
      <w:bookmarkStart w:id="948" w:name="_Toc19855"/>
      <w:bookmarkStart w:id="949" w:name="_Toc2473"/>
      <w:bookmarkStart w:id="950" w:name="_Toc4226"/>
      <w:bookmarkStart w:id="951" w:name="_Toc20601"/>
      <w:bookmarkStart w:id="952" w:name="_Toc24586"/>
      <w:bookmarkStart w:id="953" w:name="_Toc16516"/>
      <w:bookmarkStart w:id="954" w:name="_Toc23017"/>
      <w:bookmarkStart w:id="955" w:name="_Toc4873"/>
      <w:bookmarkStart w:id="956" w:name="_Toc16522"/>
      <w:bookmarkStart w:id="957" w:name="_Toc23150"/>
      <w:bookmarkStart w:id="958" w:name="_Toc32341"/>
      <w:bookmarkStart w:id="959" w:name="_Toc6548"/>
      <w:bookmarkStart w:id="960" w:name="_Toc29636"/>
      <w:bookmarkStart w:id="961" w:name="_Toc19558"/>
      <w:bookmarkStart w:id="962" w:name="_Toc25321"/>
      <w:bookmarkStart w:id="963" w:name="_Toc13406"/>
      <w:bookmarkStart w:id="964" w:name="_Toc11449"/>
      <w:bookmarkStart w:id="965" w:name="_Toc10181"/>
      <w:bookmarkStart w:id="966" w:name="_Toc29580"/>
      <w:bookmarkStart w:id="967" w:name="_Toc21651"/>
      <w:bookmarkStart w:id="968" w:name="_Toc6048"/>
      <w:bookmarkStart w:id="969" w:name="_Toc31870"/>
      <w:bookmarkStart w:id="970" w:name="_Toc27647"/>
      <w:bookmarkStart w:id="971" w:name="_Toc20449"/>
      <w:bookmarkStart w:id="972" w:name="_Toc21968"/>
      <w:bookmarkStart w:id="973" w:name="_Toc2041"/>
      <w:bookmarkStart w:id="974" w:name="_Toc16037"/>
      <w:bookmarkStart w:id="975" w:name="_Toc18036"/>
      <w:bookmarkStart w:id="976" w:name="_Toc11211"/>
      <w:bookmarkStart w:id="977" w:name="_Toc6024"/>
      <w:bookmarkStart w:id="978" w:name="_Toc17389"/>
      <w:bookmarkStart w:id="979" w:name="_Toc4304"/>
      <w:bookmarkStart w:id="980" w:name="_Toc552"/>
      <w:bookmarkStart w:id="981" w:name="_Toc32296"/>
      <w:bookmarkStart w:id="982" w:name="_Toc21777"/>
      <w:bookmarkStart w:id="983" w:name="_Toc9063"/>
      <w:bookmarkStart w:id="984" w:name="_Toc9039"/>
      <w:bookmarkStart w:id="985" w:name="_Toc8601"/>
      <w:r>
        <w:rPr>
          <w:rFonts w:hint="eastAsia" w:ascii="宋体" w:hAnsi="宋体" w:cs="宋体"/>
          <w:b/>
          <w:bCs/>
          <w:color w:val="auto"/>
          <w:highlight w:val="none"/>
        </w:rPr>
        <w:t>十</w:t>
      </w:r>
      <w:r>
        <w:rPr>
          <w:rFonts w:hint="eastAsia" w:ascii="宋体" w:hAnsi="宋体" w:cs="宋体"/>
          <w:b/>
          <w:bCs/>
          <w:color w:val="auto"/>
          <w:highlight w:val="none"/>
          <w:lang w:val="en-US" w:eastAsia="zh-CN"/>
        </w:rPr>
        <w:t>一</w:t>
      </w:r>
      <w:r>
        <w:rPr>
          <w:rFonts w:hint="eastAsia" w:ascii="宋体" w:hAnsi="宋体" w:cs="宋体"/>
          <w:b/>
          <w:bCs/>
          <w:color w:val="auto"/>
          <w:highlight w:val="none"/>
        </w:rPr>
        <w:t>、串通投标情形</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招标采购中，有下列情形之一的，视为</w:t>
      </w:r>
      <w:r>
        <w:rPr>
          <w:rFonts w:hint="eastAsia" w:ascii="宋体" w:hAnsi="宋体" w:cs="宋体"/>
          <w:color w:val="auto"/>
          <w:highlight w:val="none"/>
          <w:lang w:eastAsia="zh-CN"/>
        </w:rPr>
        <w:t>投标人</w:t>
      </w:r>
      <w:r>
        <w:rPr>
          <w:rFonts w:hint="eastAsia" w:ascii="宋体" w:hAnsi="宋体" w:cs="宋体"/>
          <w:color w:val="auto"/>
          <w:highlight w:val="none"/>
        </w:rPr>
        <w:t>串通投标，其投标无效：</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1.不同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的投标文件由同一单位或者个人编制；</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2.不同</w:t>
      </w:r>
      <w:r>
        <w:rPr>
          <w:rFonts w:hint="eastAsia" w:ascii="宋体" w:hAnsi="宋体" w:cs="宋体"/>
          <w:color w:val="auto"/>
          <w:highlight w:val="none"/>
          <w:lang w:eastAsia="zh-CN"/>
        </w:rPr>
        <w:t>投标人</w:t>
      </w:r>
      <w:r>
        <w:rPr>
          <w:rFonts w:hint="eastAsia" w:ascii="宋体" w:hAnsi="宋体" w:cs="宋体"/>
          <w:color w:val="auto"/>
          <w:highlight w:val="none"/>
        </w:rPr>
        <w:t>委托同一单位或者个人办理投标事宜；</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3.不同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的投标文件载明的项目管理成员或者联系人员为同一人；</w:t>
      </w:r>
    </w:p>
    <w:p>
      <w:pPr>
        <w:widowControl/>
        <w:spacing w:line="312" w:lineRule="auto"/>
        <w:ind w:firstLine="480"/>
        <w:rPr>
          <w:rFonts w:ascii="宋体" w:hAnsi="宋体" w:cs="宋体"/>
          <w:color w:val="auto"/>
          <w:highlight w:val="none"/>
        </w:rPr>
      </w:pPr>
      <w:r>
        <w:rPr>
          <w:rFonts w:hint="eastAsia" w:ascii="宋体" w:hAnsi="宋体" w:cs="宋体"/>
          <w:color w:val="auto"/>
          <w:highlight w:val="none"/>
        </w:rPr>
        <w:t>4.不同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的投标文件异常一致或者投标报价呈规律性差异；</w:t>
      </w:r>
    </w:p>
    <w:p>
      <w:pPr>
        <w:widowControl/>
        <w:spacing w:line="312" w:lineRule="auto"/>
        <w:ind w:firstLine="480"/>
        <w:rPr>
          <w:rFonts w:hint="eastAsia"/>
          <w:color w:val="auto"/>
          <w:highlight w:val="none"/>
          <w:lang w:val="zh-CN"/>
        </w:rPr>
      </w:pPr>
      <w:r>
        <w:rPr>
          <w:rFonts w:hint="eastAsia" w:ascii="宋体" w:hAnsi="宋体" w:cs="宋体"/>
          <w:color w:val="auto"/>
          <w:highlight w:val="none"/>
        </w:rPr>
        <w:t>5.不同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的投标文件相互</w:t>
      </w:r>
      <w:r>
        <w:rPr>
          <w:rFonts w:hint="eastAsia" w:ascii="宋体" w:hAnsi="宋体" w:cs="宋体"/>
          <w:color w:val="auto"/>
          <w:highlight w:val="none"/>
          <w:lang w:val="en-US" w:eastAsia="zh-CN"/>
        </w:rPr>
        <w:t>上传标书</w:t>
      </w:r>
      <w:r>
        <w:rPr>
          <w:rFonts w:hint="eastAsia" w:ascii="宋体" w:hAnsi="宋体" w:cs="宋体"/>
          <w:color w:val="auto"/>
          <w:highlight w:val="none"/>
        </w:rPr>
        <w:t>。</w:t>
      </w:r>
      <w:bookmarkEnd w:id="932"/>
      <w:bookmarkEnd w:id="933"/>
      <w:bookmarkStart w:id="986" w:name="_Toc12079"/>
      <w:bookmarkStart w:id="987" w:name="_Toc19009"/>
      <w:bookmarkStart w:id="988" w:name="_Toc29727"/>
      <w:bookmarkStart w:id="989" w:name="_Toc8221"/>
      <w:bookmarkStart w:id="990" w:name="_Toc21350"/>
      <w:bookmarkStart w:id="991" w:name="_Toc13948"/>
      <w:bookmarkStart w:id="992" w:name="_Toc29233"/>
      <w:bookmarkStart w:id="993" w:name="_Toc9891"/>
      <w:bookmarkStart w:id="994" w:name="_Toc24952"/>
      <w:bookmarkStart w:id="995" w:name="_Toc5424"/>
      <w:bookmarkStart w:id="996" w:name="_Toc6811"/>
      <w:bookmarkStart w:id="997" w:name="_Toc2346"/>
      <w:bookmarkStart w:id="998" w:name="_Toc31476"/>
      <w:bookmarkStart w:id="999" w:name="_Toc6786"/>
      <w:bookmarkStart w:id="1000" w:name="_Toc6998"/>
      <w:bookmarkStart w:id="1001" w:name="_Toc2753"/>
      <w:bookmarkStart w:id="1002" w:name="_Toc22692"/>
      <w:bookmarkStart w:id="1003" w:name="_Toc15963"/>
      <w:bookmarkStart w:id="1004" w:name="_Toc22487"/>
      <w:bookmarkStart w:id="1005" w:name="_Toc21055"/>
      <w:bookmarkStart w:id="1006" w:name="_Toc12019"/>
      <w:bookmarkStart w:id="1007" w:name="_Toc3409"/>
      <w:bookmarkStart w:id="1008" w:name="_Toc11924"/>
      <w:bookmarkStart w:id="1009" w:name="_Toc10"/>
      <w:bookmarkStart w:id="1010" w:name="_Toc10740"/>
      <w:bookmarkStart w:id="1011" w:name="_Toc20951"/>
      <w:bookmarkStart w:id="1012" w:name="_Toc12338"/>
      <w:bookmarkStart w:id="1013" w:name="_Toc18436"/>
      <w:bookmarkStart w:id="1014" w:name="_Toc21613"/>
      <w:bookmarkStart w:id="1015" w:name="_Toc9181"/>
      <w:bookmarkStart w:id="1016" w:name="_Toc23764"/>
      <w:bookmarkStart w:id="1017" w:name="_Toc3583"/>
      <w:bookmarkStart w:id="1018" w:name="_Toc14386"/>
      <w:bookmarkStart w:id="1019" w:name="_Toc25156"/>
      <w:bookmarkStart w:id="1020" w:name="_Toc4116"/>
      <w:bookmarkStart w:id="1021" w:name="_Toc15825"/>
      <w:bookmarkStart w:id="1022" w:name="_Toc19268"/>
      <w:bookmarkStart w:id="1023" w:name="_Toc27434"/>
      <w:bookmarkStart w:id="1024" w:name="_Toc10123"/>
      <w:bookmarkStart w:id="1025" w:name="_Toc27395"/>
      <w:bookmarkStart w:id="1026" w:name="_Toc11472"/>
      <w:bookmarkStart w:id="1027" w:name="_Toc32471"/>
      <w:bookmarkStart w:id="1028" w:name="_Toc19257"/>
      <w:bookmarkStart w:id="1029" w:name="_Toc18870"/>
      <w:bookmarkStart w:id="1030" w:name="_Toc19304"/>
      <w:bookmarkStart w:id="1031" w:name="_Toc18455"/>
      <w:bookmarkStart w:id="1032" w:name="_Toc11540"/>
      <w:bookmarkStart w:id="1033" w:name="_Toc10485"/>
      <w:bookmarkStart w:id="1034" w:name="_Toc2605"/>
      <w:bookmarkStart w:id="1035" w:name="_Toc7563"/>
      <w:bookmarkStart w:id="1036" w:name="_Toc10388"/>
      <w:bookmarkStart w:id="1037" w:name="_Toc22259"/>
      <w:bookmarkStart w:id="1038" w:name="_Toc6295"/>
      <w:bookmarkStart w:id="1039" w:name="_Toc3385"/>
      <w:bookmarkStart w:id="1040" w:name="_Toc21758"/>
      <w:bookmarkStart w:id="1041" w:name="_Toc30553"/>
      <w:bookmarkStart w:id="1042" w:name="_Toc16056"/>
      <w:bookmarkStart w:id="1043" w:name="_Toc391298965"/>
      <w:bookmarkStart w:id="1044" w:name="_Toc10670"/>
      <w:bookmarkStart w:id="1045" w:name="_Toc23998"/>
      <w:bookmarkStart w:id="1046" w:name="_Toc3375"/>
      <w:bookmarkStart w:id="1047" w:name="_Toc7009"/>
      <w:bookmarkStart w:id="1048" w:name="_Toc25656"/>
      <w:bookmarkStart w:id="1049" w:name="_Toc11107"/>
      <w:bookmarkStart w:id="1050" w:name="_Toc1556"/>
      <w:bookmarkStart w:id="1051" w:name="_Toc32257"/>
      <w:bookmarkStart w:id="1052" w:name="_Toc9609"/>
      <w:bookmarkStart w:id="1053" w:name="_Toc26456"/>
      <w:bookmarkStart w:id="1054" w:name="_Toc662"/>
      <w:bookmarkStart w:id="1055" w:name="_Toc245"/>
      <w:bookmarkStart w:id="1056" w:name="_Toc15295"/>
    </w:p>
    <w:p>
      <w:pPr>
        <w:bidi w:val="0"/>
        <w:rPr>
          <w:rFonts w:hint="eastAsia"/>
          <w:lang w:val="zh-CN"/>
        </w:rPr>
      </w:pPr>
      <w:bookmarkStart w:id="1057" w:name="_Toc3502"/>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pStyle w:val="2"/>
        <w:numPr>
          <w:ilvl w:val="0"/>
          <w:numId w:val="0"/>
        </w:numPr>
        <w:spacing w:before="312" w:after="312"/>
        <w:jc w:val="center"/>
        <w:outlineLvl w:val="9"/>
        <w:rPr>
          <w:rFonts w:hint="eastAsia" w:ascii="宋体" w:hAnsi="宋体" w:cs="宋体"/>
          <w:color w:val="auto"/>
          <w:highlight w:val="none"/>
          <w:lang w:val="zh-CN"/>
        </w:rPr>
      </w:pPr>
    </w:p>
    <w:p>
      <w:pPr>
        <w:bidi w:val="0"/>
        <w:rPr>
          <w:rFonts w:hint="eastAsia"/>
          <w:lang w:val="zh-CN"/>
        </w:rPr>
      </w:pPr>
    </w:p>
    <w:p>
      <w:pPr>
        <w:pStyle w:val="47"/>
        <w:rPr>
          <w:rFonts w:hint="eastAsia"/>
          <w:lang w:val="zh-CN"/>
        </w:rPr>
      </w:pPr>
    </w:p>
    <w:p>
      <w:pPr>
        <w:rPr>
          <w:rFonts w:hint="eastAsia"/>
          <w:lang w:val="zh-CN"/>
        </w:rPr>
      </w:pPr>
    </w:p>
    <w:p>
      <w:pPr>
        <w:pStyle w:val="2"/>
        <w:numPr>
          <w:ilvl w:val="0"/>
          <w:numId w:val="0"/>
        </w:numPr>
        <w:spacing w:before="312" w:after="312"/>
        <w:jc w:val="center"/>
        <w:rPr>
          <w:rFonts w:hint="eastAsia" w:ascii="宋体" w:hAnsi="宋体" w:cs="宋体"/>
          <w:color w:val="auto"/>
          <w:highlight w:val="none"/>
          <w:lang w:val="zh-CN"/>
        </w:rPr>
      </w:pPr>
      <w:bookmarkStart w:id="1058" w:name="_Toc6829"/>
      <w:r>
        <w:rPr>
          <w:rFonts w:hint="eastAsia" w:ascii="宋体" w:hAnsi="宋体" w:cs="宋体"/>
          <w:color w:val="auto"/>
          <w:highlight w:val="none"/>
          <w:lang w:val="zh-CN"/>
        </w:rPr>
        <w:t xml:space="preserve">第五章  </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59" w:name="_Toc25963"/>
      <w:bookmarkStart w:id="1060" w:name="_Toc29250"/>
      <w:bookmarkStart w:id="1061" w:name="_Toc12950"/>
      <w:bookmarkStart w:id="1062" w:name="_Toc24583"/>
      <w:bookmarkStart w:id="1063" w:name="_Toc10276"/>
      <w:bookmarkStart w:id="1064" w:name="_Toc32577"/>
      <w:bookmarkStart w:id="1065" w:name="_Toc6903"/>
      <w:bookmarkStart w:id="1066" w:name="_Toc20389"/>
      <w:bookmarkStart w:id="1067" w:name="_Toc7361"/>
      <w:bookmarkStart w:id="1068" w:name="_Toc20673"/>
      <w:bookmarkStart w:id="1069" w:name="_Toc9250"/>
      <w:bookmarkStart w:id="1070" w:name="_Toc32036"/>
      <w:bookmarkStart w:id="1071" w:name="_Toc19483"/>
      <w:bookmarkStart w:id="1072" w:name="_Toc17425"/>
      <w:bookmarkStart w:id="1073" w:name="_Toc10444"/>
      <w:bookmarkStart w:id="1074" w:name="_Toc12620"/>
      <w:bookmarkStart w:id="1075" w:name="_Toc3065"/>
      <w:bookmarkStart w:id="1076" w:name="_Toc17266"/>
      <w:bookmarkStart w:id="1077" w:name="_Toc11201"/>
      <w:bookmarkStart w:id="1078" w:name="_Toc7962"/>
      <w:bookmarkStart w:id="1079" w:name="_Toc8633"/>
      <w:r>
        <w:rPr>
          <w:rFonts w:hint="eastAsia" w:ascii="宋体" w:hAnsi="宋体" w:cs="宋体"/>
          <w:color w:val="auto"/>
          <w:highlight w:val="none"/>
          <w:lang w:val="zh-CN"/>
        </w:rPr>
        <w:t>合同条款及格式</w:t>
      </w:r>
      <w:bookmarkEnd w:id="1057"/>
      <w:bookmarkEnd w:id="1058"/>
    </w:p>
    <w:p>
      <w:pPr>
        <w:ind w:firstLine="0" w:firstLineChars="0"/>
        <w:rPr>
          <w:rFonts w:ascii="宋体" w:hAnsi="宋体"/>
          <w:b/>
          <w:bCs/>
          <w:color w:val="auto"/>
          <w:kern w:val="0"/>
          <w:sz w:val="72"/>
          <w:szCs w:val="72"/>
          <w:highlight w:val="none"/>
        </w:rPr>
      </w:pPr>
      <w:bookmarkStart w:id="1080" w:name="_Toc6502"/>
      <w:bookmarkStart w:id="1081" w:name="_Toc5891"/>
      <w:bookmarkStart w:id="1082" w:name="_Toc11132"/>
      <w:bookmarkStart w:id="1083" w:name="_Toc22009"/>
      <w:bookmarkStart w:id="1084" w:name="_Toc6249"/>
      <w:bookmarkStart w:id="1085" w:name="_Toc13985"/>
      <w:bookmarkStart w:id="1086" w:name="_Toc81372965"/>
      <w:bookmarkStart w:id="1087" w:name="_Toc16627"/>
      <w:bookmarkStart w:id="1088" w:name="_Toc2375"/>
      <w:bookmarkStart w:id="1089" w:name="_Toc7230"/>
      <w:bookmarkStart w:id="1090" w:name="_Toc8199"/>
      <w:bookmarkStart w:id="1091" w:name="_Toc25530"/>
      <w:bookmarkStart w:id="1092" w:name="_Toc10223"/>
      <w:bookmarkStart w:id="1093" w:name="_Toc80157776"/>
      <w:bookmarkStart w:id="1094" w:name="_Toc30991"/>
      <w:bookmarkStart w:id="1095" w:name="_Toc18785"/>
      <w:bookmarkStart w:id="1096" w:name="_Toc81372788"/>
      <w:bookmarkStart w:id="1097" w:name="_Toc18678"/>
      <w:bookmarkStart w:id="1098" w:name="_Toc28792"/>
      <w:bookmarkStart w:id="1099" w:name="_Toc9100"/>
      <w:bookmarkStart w:id="1100" w:name="_Toc24158"/>
      <w:bookmarkStart w:id="1101" w:name="_Toc84325982"/>
      <w:bookmarkStart w:id="1102" w:name="_Toc31703"/>
      <w:bookmarkStart w:id="1103" w:name="_Toc25691"/>
      <w:bookmarkStart w:id="1104" w:name="_Toc30463"/>
      <w:bookmarkStart w:id="1105" w:name="_Toc2988"/>
      <w:bookmarkStart w:id="1106" w:name="_Toc28685"/>
      <w:bookmarkStart w:id="1107" w:name="_Toc31326"/>
      <w:bookmarkStart w:id="1108" w:name="_Toc16586"/>
      <w:bookmarkStart w:id="1109" w:name="_Toc9121"/>
      <w:bookmarkStart w:id="1110" w:name="_Toc20014"/>
      <w:bookmarkStart w:id="1111" w:name="_Toc9086"/>
      <w:bookmarkStart w:id="1112" w:name="_Toc3667"/>
      <w:bookmarkStart w:id="1113" w:name="_Toc5287"/>
    </w:p>
    <w:p>
      <w:pPr>
        <w:pStyle w:val="2"/>
        <w:numPr>
          <w:ilvl w:val="255"/>
          <w:numId w:val="0"/>
        </w:numPr>
        <w:spacing w:before="312" w:after="312"/>
        <w:jc w:val="both"/>
        <w:outlineLvl w:val="9"/>
        <w:rPr>
          <w:color w:val="auto"/>
          <w:sz w:val="72"/>
          <w:szCs w:val="72"/>
          <w:highlight w:val="none"/>
        </w:rPr>
      </w:pPr>
      <w:bookmarkStart w:id="1114" w:name="_Toc28071"/>
      <w:bookmarkStart w:id="1115" w:name="_Toc14393"/>
      <w:bookmarkStart w:id="1116" w:name="_Toc26965"/>
      <w:bookmarkStart w:id="1117" w:name="_Toc13734"/>
      <w:bookmarkStart w:id="1118" w:name="_Toc18832"/>
      <w:bookmarkStart w:id="1119" w:name="_Toc4349"/>
      <w:bookmarkStart w:id="1120" w:name="_Toc7466"/>
      <w:bookmarkStart w:id="1121" w:name="_Toc29735"/>
      <w:bookmarkStart w:id="1122" w:name="_Toc2265"/>
    </w:p>
    <w:p>
      <w:pPr>
        <w:pStyle w:val="2"/>
        <w:numPr>
          <w:ilvl w:val="255"/>
          <w:numId w:val="0"/>
        </w:numPr>
        <w:spacing w:before="312" w:after="312"/>
        <w:outlineLvl w:val="1"/>
        <w:rPr>
          <w:color w:val="auto"/>
          <w:sz w:val="72"/>
          <w:szCs w:val="72"/>
          <w:highlight w:val="none"/>
        </w:rPr>
      </w:pPr>
      <w:bookmarkStart w:id="1123" w:name="_Toc18205"/>
      <w:bookmarkStart w:id="1124" w:name="_Toc310"/>
      <w:bookmarkStart w:id="1125" w:name="_Toc20445"/>
      <w:bookmarkStart w:id="1126" w:name="_Toc7462"/>
      <w:r>
        <w:rPr>
          <w:rFonts w:hint="eastAsia"/>
          <w:color w:val="auto"/>
          <w:sz w:val="72"/>
          <w:szCs w:val="72"/>
          <w:highlight w:val="none"/>
        </w:rPr>
        <w:t>采 购 合 同</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ind w:firstLine="482"/>
        <w:rPr>
          <w:rFonts w:ascii="宋体" w:hAnsi="宋体"/>
          <w:color w:val="auto"/>
          <w:highlight w:val="none"/>
        </w:rPr>
      </w:pPr>
      <w:r>
        <w:rPr>
          <w:rFonts w:hint="eastAsia" w:ascii="宋体" w:hAnsi="宋体"/>
          <w:b/>
          <w:color w:val="auto"/>
          <w:highlight w:val="none"/>
        </w:rPr>
        <w:t xml:space="preserve"> </w:t>
      </w:r>
    </w:p>
    <w:p>
      <w:pPr>
        <w:ind w:firstLine="482"/>
        <w:rPr>
          <w:rFonts w:ascii="宋体" w:hAnsi="宋体"/>
          <w:color w:val="auto"/>
          <w:highlight w:val="none"/>
        </w:rPr>
      </w:pPr>
      <w:r>
        <w:rPr>
          <w:rFonts w:hint="eastAsia" w:ascii="宋体" w:hAnsi="宋体"/>
          <w:b/>
          <w:color w:val="auto"/>
          <w:highlight w:val="none"/>
        </w:rPr>
        <w:t xml:space="preserve">               </w:t>
      </w:r>
    </w:p>
    <w:p>
      <w:pP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pPr>
        <w:ind w:firstLine="480"/>
        <w:rPr>
          <w:rFonts w:ascii="宋体" w:hAnsi="宋体"/>
          <w:color w:val="auto"/>
          <w:highlight w:val="none"/>
        </w:rPr>
      </w:pPr>
    </w:p>
    <w:p>
      <w:pPr>
        <w:ind w:firstLine="480"/>
        <w:rPr>
          <w:rFonts w:ascii="宋体" w:hAnsi="宋体"/>
          <w:color w:val="auto"/>
          <w:highlight w:val="none"/>
        </w:rPr>
      </w:pPr>
    </w:p>
    <w:p>
      <w:pP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pPr>
        <w:snapToGrid w:val="0"/>
        <w:spacing w:before="119" w:line="272" w:lineRule="atLeast"/>
        <w:ind w:firstLine="0" w:firstLineChars="0"/>
        <w:rPr>
          <w:rFonts w:ascii="宋体" w:hAnsi="宋体"/>
          <w:color w:val="auto"/>
          <w:highlight w:val="none"/>
        </w:rPr>
      </w:pPr>
    </w:p>
    <w:p>
      <w:pPr>
        <w:snapToGrid w:val="0"/>
        <w:spacing w:before="119" w:line="272" w:lineRule="atLeast"/>
        <w:ind w:firstLine="480"/>
        <w:rPr>
          <w:rFonts w:ascii="宋体" w:hAnsi="宋体"/>
          <w:color w:val="auto"/>
          <w:highlight w:val="none"/>
        </w:rPr>
      </w:pPr>
    </w:p>
    <w:p>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（以下称甲方）　</w:t>
      </w:r>
    </w:p>
    <w:p>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lang w:eastAsia="zh-CN"/>
        </w:rPr>
        <w:t>中标人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（以下称乙方）　  　     </w:t>
      </w:r>
    </w:p>
    <w:p>
      <w:pPr>
        <w:snapToGrid w:val="0"/>
        <w:spacing w:before="119" w:line="272" w:lineRule="atLeast"/>
        <w:ind w:left="958" w:firstLine="480"/>
        <w:jc w:val="center"/>
        <w:rPr>
          <w:rFonts w:ascii="宋体" w:hAnsi="宋体"/>
          <w:color w:val="auto"/>
          <w:highlight w:val="none"/>
        </w:rPr>
      </w:pPr>
    </w:p>
    <w:p>
      <w:pPr>
        <w:pStyle w:val="34"/>
        <w:ind w:left="0"/>
        <w:rPr>
          <w:color w:val="auto"/>
          <w:highlight w:val="none"/>
        </w:rPr>
      </w:pPr>
    </w:p>
    <w:p>
      <w:pPr>
        <w:ind w:firstLine="480"/>
        <w:rPr>
          <w:color w:val="auto"/>
          <w:highlight w:val="none"/>
        </w:rPr>
      </w:pPr>
    </w:p>
    <w:p>
      <w:pPr>
        <w:ind w:firstLine="480"/>
        <w:rPr>
          <w:color w:val="auto"/>
          <w:highlight w:val="none"/>
        </w:rPr>
      </w:pPr>
    </w:p>
    <w:p>
      <w:pPr>
        <w:snapToGrid w:val="0"/>
        <w:spacing w:before="119" w:line="272" w:lineRule="atLeast"/>
        <w:ind w:left="958" w:firstLine="480"/>
        <w:jc w:val="center"/>
        <w:rPr>
          <w:rFonts w:ascii="宋体" w:hAnsi="宋体"/>
          <w:color w:val="auto"/>
          <w:highlight w:val="none"/>
        </w:rPr>
      </w:pPr>
    </w:p>
    <w:p>
      <w:pPr>
        <w:pStyle w:val="18"/>
        <w:ind w:left="480"/>
        <w:rPr>
          <w:rFonts w:hint="default"/>
          <w:color w:val="auto"/>
          <w:highlight w:val="none"/>
        </w:rPr>
      </w:pPr>
    </w:p>
    <w:p>
      <w:pP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pPr>
        <w:snapToGrid w:val="0"/>
        <w:spacing w:before="119" w:line="272" w:lineRule="atLeast"/>
        <w:ind w:left="958" w:firstLine="480"/>
        <w:rPr>
          <w:rFonts w:ascii="宋体" w:hAnsi="宋体"/>
          <w:color w:val="auto"/>
          <w:highlight w:val="none"/>
        </w:rPr>
      </w:pPr>
    </w:p>
    <w:p>
      <w:pPr>
        <w:snapToGrid w:val="0"/>
        <w:spacing w:before="119" w:line="272" w:lineRule="atLeast"/>
        <w:ind w:firstLine="1200" w:firstLineChars="500"/>
        <w:rPr>
          <w:rFonts w:cs="宋体"/>
          <w:bCs/>
          <w:color w:val="auto"/>
          <w:highlight w:val="none"/>
          <w:lang w:bidi="ar"/>
        </w:rPr>
      </w:pPr>
      <w:r>
        <w:rPr>
          <w:rFonts w:hint="eastAsia" w:ascii="宋体" w:hAnsi="宋体"/>
          <w:color w:val="auto"/>
          <w:highlight w:val="none"/>
        </w:rPr>
        <w:t>签署日期：</w:t>
      </w:r>
      <w:r>
        <w:rPr>
          <w:rFonts w:hint="eastAsia" w:ascii="宋体" w:hAnsi="宋体"/>
          <w:color w:val="auto"/>
          <w:highlight w:val="none"/>
          <w:u w:val="single"/>
        </w:rPr>
        <w:t xml:space="preserve">                                         </w:t>
      </w:r>
    </w:p>
    <w:p>
      <w:pPr>
        <w:pStyle w:val="38"/>
        <w:widowControl w:val="0"/>
        <w:spacing w:before="0" w:beforeAutospacing="0" w:after="0" w:afterAutospacing="0" w:line="312" w:lineRule="auto"/>
        <w:ind w:firstLine="0" w:firstLineChars="0"/>
        <w:jc w:val="center"/>
        <w:rPr>
          <w:rFonts w:cs="宋体"/>
          <w:b/>
          <w:bCs/>
          <w:color w:val="auto"/>
          <w:kern w:val="2"/>
          <w:sz w:val="28"/>
          <w:szCs w:val="28"/>
          <w:highlight w:val="none"/>
          <w:lang w:bidi="ar"/>
        </w:rPr>
      </w:pPr>
      <w:r>
        <w:rPr>
          <w:rFonts w:hint="eastAsia" w:cs="宋体"/>
          <w:b/>
          <w:bCs/>
          <w:color w:val="auto"/>
          <w:sz w:val="28"/>
          <w:szCs w:val="28"/>
          <w:highlight w:val="none"/>
          <w:lang w:eastAsia="zh-CN"/>
        </w:rPr>
        <w:t>2023年龙游县老旧小区改造提升工程-阳光小区未来社区布展展陈项目合同</w:t>
      </w:r>
    </w:p>
    <w:p>
      <w:pPr>
        <w:pStyle w:val="38"/>
        <w:widowControl w:val="0"/>
        <w:spacing w:before="0" w:beforeAutospacing="0" w:after="0" w:afterAutospacing="0" w:line="312" w:lineRule="auto"/>
        <w:ind w:firstLine="480" w:firstLineChars="0"/>
        <w:rPr>
          <w:rFonts w:hint="eastAsia" w:ascii="宋体" w:hAnsi="宋体" w:eastAsia="宋体" w:cs="宋体"/>
          <w:bCs/>
          <w:color w:val="auto"/>
          <w:kern w:val="2"/>
          <w:sz w:val="21"/>
          <w:szCs w:val="21"/>
          <w:highlight w:val="none"/>
          <w:lang w:bidi="ar"/>
        </w:rPr>
      </w:pP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Pr>
        <w:keepNext w:val="0"/>
        <w:keepLines w:val="0"/>
        <w:pageBreakBefore w:val="0"/>
        <w:widowControl w:val="0"/>
        <w:kinsoku/>
        <w:wordWrap/>
        <w:overflowPunct/>
        <w:topLinePunct w:val="0"/>
        <w:autoSpaceDE/>
        <w:autoSpaceDN/>
        <w:bidi w:val="0"/>
        <w:adjustRightInd/>
        <w:spacing w:line="312" w:lineRule="auto"/>
        <w:ind w:left="0" w:firstLine="480" w:firstLineChars="200"/>
        <w:textAlignment w:val="auto"/>
        <w:rPr>
          <w:rFonts w:hint="eastAsia" w:hAnsi="宋体" w:cs="宋体"/>
          <w:color w:val="auto"/>
          <w:sz w:val="24"/>
          <w:szCs w:val="24"/>
          <w:highlight w:val="none"/>
          <w:lang w:val="en-US" w:eastAsia="zh-CN"/>
        </w:rPr>
      </w:pPr>
      <w:bookmarkStart w:id="1127" w:name="_Toc2689"/>
      <w:bookmarkStart w:id="1128" w:name="_Toc29433"/>
      <w:bookmarkStart w:id="1129" w:name="_Toc25708"/>
      <w:bookmarkStart w:id="1130" w:name="_Toc21987"/>
      <w:bookmarkStart w:id="1131" w:name="_Toc13586"/>
      <w:bookmarkStart w:id="1132" w:name="_Toc24484"/>
      <w:r>
        <w:rPr>
          <w:rFonts w:hint="eastAsia" w:hAnsi="宋体" w:cs="宋体"/>
          <w:color w:val="auto"/>
          <w:sz w:val="24"/>
          <w:szCs w:val="24"/>
          <w:highlight w:val="none"/>
          <w:lang w:val="en-US" w:eastAsia="zh-CN"/>
        </w:rPr>
        <w:t>甲方：</w:t>
      </w:r>
    </w:p>
    <w:p>
      <w:pPr>
        <w:keepNext w:val="0"/>
        <w:keepLines w:val="0"/>
        <w:pageBreakBefore w:val="0"/>
        <w:widowControl w:val="0"/>
        <w:kinsoku/>
        <w:wordWrap/>
        <w:overflowPunct/>
        <w:topLinePunct w:val="0"/>
        <w:autoSpaceDE/>
        <w:autoSpaceDN/>
        <w:bidi w:val="0"/>
        <w:adjustRightIn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kern w:val="0"/>
          <w:sz w:val="24"/>
          <w:szCs w:val="24"/>
          <w:lang w:bidi="ar"/>
        </w:rPr>
      </w:pPr>
      <w:r>
        <w:rPr>
          <w:rFonts w:hint="eastAsia" w:ascii="宋体" w:hAnsi="宋体" w:cs="宋体"/>
          <w:kern w:val="0"/>
          <w:sz w:val="24"/>
          <w:szCs w:val="24"/>
          <w:u w:val="single"/>
          <w:lang w:bidi="ar"/>
        </w:rPr>
        <w:t xml:space="preserve">    </w:t>
      </w:r>
      <w:r>
        <w:rPr>
          <w:rFonts w:hint="eastAsia" w:ascii="宋体" w:hAnsi="宋体" w:eastAsia="宋体" w:cs="宋体"/>
          <w:kern w:val="0"/>
          <w:sz w:val="24"/>
          <w:szCs w:val="24"/>
          <w:lang w:val="en-US" w:bidi="ar"/>
        </w:rPr>
        <w:t>年</w:t>
      </w:r>
      <w:r>
        <w:rPr>
          <w:rFonts w:hint="eastAsia" w:ascii="宋体" w:hAnsi="宋体" w:cs="宋体"/>
          <w:kern w:val="0"/>
          <w:sz w:val="24"/>
          <w:szCs w:val="24"/>
          <w:u w:val="single"/>
          <w:lang w:bidi="ar"/>
        </w:rPr>
        <w:t xml:space="preserve">     </w:t>
      </w:r>
      <w:r>
        <w:rPr>
          <w:rFonts w:hint="eastAsia" w:ascii="宋体" w:hAnsi="宋体" w:cs="宋体"/>
          <w:kern w:val="0"/>
          <w:sz w:val="24"/>
          <w:szCs w:val="24"/>
          <w:u w:val="single"/>
          <w:lang w:val="en-US" w:eastAsia="zh-CN" w:bidi="ar"/>
        </w:rPr>
        <w:t>月</w:t>
      </w:r>
      <w:r>
        <w:rPr>
          <w:rFonts w:hint="eastAsia" w:ascii="宋体" w:hAnsi="宋体" w:cs="宋体"/>
          <w:kern w:val="0"/>
          <w:sz w:val="24"/>
          <w:szCs w:val="24"/>
          <w:u w:val="single"/>
          <w:lang w:bidi="ar"/>
        </w:rPr>
        <w:t xml:space="preserve">    </w:t>
      </w:r>
      <w:r>
        <w:rPr>
          <w:rFonts w:hint="eastAsia" w:ascii="宋体" w:hAnsi="宋体" w:eastAsia="宋体" w:cs="宋体"/>
          <w:kern w:val="0"/>
          <w:sz w:val="24"/>
          <w:szCs w:val="24"/>
          <w:lang w:val="en-US" w:bidi="ar"/>
        </w:rPr>
        <w:t>日</w:t>
      </w:r>
      <w:r>
        <w:rPr>
          <w:rFonts w:hint="eastAsia" w:ascii="宋体" w:hAnsi="宋体" w:eastAsia="宋体" w:cs="宋体"/>
          <w:kern w:val="0"/>
          <w:sz w:val="24"/>
          <w:szCs w:val="24"/>
          <w:lang w:bidi="ar"/>
        </w:rPr>
        <w:t>，</w:t>
      </w:r>
      <w:r>
        <w:rPr>
          <w:rFonts w:hint="eastAsia" w:ascii="宋体" w:hAnsi="宋体" w:eastAsia="宋体" w:cs="宋体"/>
          <w:kern w:val="0"/>
          <w:sz w:val="24"/>
          <w:szCs w:val="24"/>
          <w:u w:val="none"/>
          <w:lang w:bidi="ar"/>
        </w:rPr>
        <w:t xml:space="preserve"> （采购人）</w:t>
      </w:r>
      <w:r>
        <w:rPr>
          <w:rFonts w:hint="eastAsia" w:ascii="宋体" w:hAnsi="宋体" w:eastAsia="宋体" w:cs="宋体"/>
          <w:kern w:val="0"/>
          <w:sz w:val="24"/>
          <w:szCs w:val="24"/>
          <w:lang w:bidi="ar"/>
        </w:rPr>
        <w:t>以</w:t>
      </w:r>
      <w:r>
        <w:rPr>
          <w:rFonts w:hint="eastAsia" w:ascii="宋体" w:hAnsi="宋体" w:eastAsia="宋体" w:cs="宋体"/>
          <w:kern w:val="0"/>
          <w:sz w:val="24"/>
          <w:szCs w:val="24"/>
          <w:u w:val="single"/>
          <w:lang w:bidi="ar"/>
        </w:rPr>
        <w:t>（采购方式）</w:t>
      </w:r>
      <w:r>
        <w:rPr>
          <w:rFonts w:hint="eastAsia" w:ascii="宋体" w:hAnsi="宋体" w:eastAsia="宋体" w:cs="宋体"/>
          <w:kern w:val="0"/>
          <w:sz w:val="24"/>
          <w:szCs w:val="24"/>
          <w:u w:val="none"/>
          <w:lang w:bidi="ar"/>
        </w:rPr>
        <w:t xml:space="preserve"> </w:t>
      </w:r>
      <w:r>
        <w:rPr>
          <w:rFonts w:hint="eastAsia" w:ascii="宋体" w:hAnsi="宋体" w:eastAsia="宋体" w:cs="宋体"/>
          <w:kern w:val="0"/>
          <w:sz w:val="24"/>
          <w:szCs w:val="24"/>
          <w:lang w:bidi="ar"/>
        </w:rPr>
        <w:t>对</w:t>
      </w:r>
      <w:r>
        <w:rPr>
          <w:rFonts w:hint="eastAsia" w:ascii="宋体" w:hAnsi="宋体" w:eastAsia="宋体" w:cs="宋体"/>
          <w:kern w:val="0"/>
          <w:sz w:val="24"/>
          <w:szCs w:val="24"/>
          <w:u w:val="single"/>
          <w:lang w:bidi="ar"/>
        </w:rPr>
        <w:t xml:space="preserve"> （项目名称、编号）</w:t>
      </w:r>
      <w:r>
        <w:rPr>
          <w:rFonts w:hint="eastAsia" w:ascii="宋体" w:hAnsi="宋体" w:eastAsia="宋体" w:cs="宋体"/>
          <w:kern w:val="0"/>
          <w:sz w:val="24"/>
          <w:szCs w:val="24"/>
          <w:lang w:bidi="ar"/>
        </w:rPr>
        <w:t>项目进行了采购。经</w:t>
      </w:r>
      <w:r>
        <w:rPr>
          <w:rFonts w:hint="eastAsia" w:ascii="宋体" w:hAnsi="宋体" w:eastAsia="宋体" w:cs="宋体"/>
          <w:kern w:val="0"/>
          <w:sz w:val="24"/>
          <w:szCs w:val="24"/>
          <w:u w:val="single"/>
          <w:lang w:bidi="ar"/>
        </w:rPr>
        <w:t xml:space="preserve">（相关评定主体名称） </w:t>
      </w:r>
      <w:r>
        <w:rPr>
          <w:rFonts w:hint="eastAsia" w:ascii="宋体" w:hAnsi="宋体" w:eastAsia="宋体" w:cs="宋体"/>
          <w:kern w:val="0"/>
          <w:sz w:val="24"/>
          <w:szCs w:val="24"/>
          <w:lang w:bidi="ar"/>
        </w:rPr>
        <w:t>评定，</w:t>
      </w:r>
      <w:r>
        <w:rPr>
          <w:rFonts w:hint="eastAsia" w:ascii="宋体" w:hAnsi="宋体" w:eastAsia="宋体" w:cs="宋体"/>
          <w:kern w:val="0"/>
          <w:sz w:val="24"/>
          <w:szCs w:val="24"/>
          <w:u w:val="none"/>
          <w:lang w:bidi="ar"/>
        </w:rPr>
        <w:t xml:space="preserve"> </w:t>
      </w:r>
      <w:r>
        <w:rPr>
          <w:rFonts w:hint="eastAsia" w:ascii="宋体" w:hAnsi="宋体" w:eastAsia="宋体" w:cs="宋体"/>
          <w:kern w:val="0"/>
          <w:sz w:val="24"/>
          <w:szCs w:val="24"/>
          <w:u w:val="single"/>
          <w:lang w:bidi="ar"/>
        </w:rPr>
        <w:t xml:space="preserve"> （中标或者成交</w:t>
      </w:r>
      <w:r>
        <w:rPr>
          <w:rFonts w:hint="eastAsia" w:ascii="宋体" w:hAnsi="宋体" w:cs="宋体"/>
          <w:kern w:val="0"/>
          <w:sz w:val="24"/>
          <w:szCs w:val="24"/>
          <w:u w:val="single"/>
          <w:lang w:val="en-US" w:eastAsia="zh-CN" w:bidi="ar"/>
        </w:rPr>
        <w:t>供应商</w:t>
      </w:r>
      <w:r>
        <w:rPr>
          <w:rFonts w:hint="eastAsia" w:ascii="宋体" w:hAnsi="宋体" w:eastAsia="宋体" w:cs="宋体"/>
          <w:kern w:val="0"/>
          <w:sz w:val="24"/>
          <w:szCs w:val="24"/>
          <w:u w:val="single"/>
          <w:lang w:bidi="ar"/>
        </w:rPr>
        <w:t>名称）</w:t>
      </w:r>
      <w:r>
        <w:rPr>
          <w:rFonts w:hint="eastAsia" w:ascii="宋体" w:hAnsi="宋体" w:eastAsia="宋体" w:cs="宋体"/>
          <w:kern w:val="0"/>
          <w:sz w:val="24"/>
          <w:szCs w:val="24"/>
          <w:lang w:bidi="ar"/>
        </w:rPr>
        <w:t>为该项目中</w:t>
      </w:r>
      <w:r>
        <w:rPr>
          <w:rFonts w:hint="eastAsia" w:ascii="宋体" w:hAnsi="宋体" w:eastAsia="宋体" w:cs="宋体"/>
          <w:kern w:val="0"/>
          <w:sz w:val="24"/>
          <w:szCs w:val="24"/>
          <w:u w:val="none"/>
          <w:lang w:bidi="ar"/>
        </w:rPr>
        <w:t>标或者成交</w:t>
      </w:r>
      <w:r>
        <w:rPr>
          <w:rFonts w:hint="eastAsia" w:ascii="宋体" w:hAnsi="宋体" w:cs="宋体"/>
          <w:kern w:val="0"/>
          <w:sz w:val="24"/>
          <w:szCs w:val="24"/>
          <w:u w:val="none"/>
          <w:lang w:val="en-US" w:eastAsia="zh-CN" w:bidi="ar"/>
        </w:rPr>
        <w:t>供应商</w:t>
      </w:r>
      <w:r>
        <w:rPr>
          <w:rFonts w:hint="eastAsia" w:ascii="宋体" w:hAnsi="宋体" w:eastAsia="宋体" w:cs="宋体"/>
          <w:kern w:val="0"/>
          <w:sz w:val="24"/>
          <w:szCs w:val="24"/>
          <w:u w:val="none"/>
          <w:lang w:bidi="ar"/>
        </w:rPr>
        <w:t>。现于</w:t>
      </w:r>
      <w:r>
        <w:rPr>
          <w:rFonts w:hint="eastAsia" w:ascii="宋体" w:hAnsi="宋体" w:eastAsia="宋体" w:cs="宋体"/>
          <w:kern w:val="0"/>
          <w:sz w:val="24"/>
          <w:szCs w:val="24"/>
          <w:lang w:bidi="ar"/>
        </w:rPr>
        <w:t>中标或者成交通知书发出之日起</w:t>
      </w:r>
      <w:r>
        <w:rPr>
          <w:rFonts w:hint="eastAsia" w:ascii="宋体" w:hAnsi="宋体" w:eastAsia="宋体" w:cs="宋体"/>
          <w:kern w:val="0"/>
          <w:sz w:val="24"/>
          <w:szCs w:val="24"/>
          <w:lang w:val="en-US" w:eastAsia="zh-CN" w:bidi="ar"/>
        </w:rPr>
        <w:t>30天</w:t>
      </w:r>
      <w:r>
        <w:rPr>
          <w:rFonts w:hint="eastAsia" w:ascii="宋体" w:hAnsi="宋体" w:eastAsia="宋体" w:cs="宋体"/>
          <w:kern w:val="0"/>
          <w:sz w:val="24"/>
          <w:szCs w:val="24"/>
          <w:lang w:bidi="ar"/>
        </w:rPr>
        <w:t>内，按照</w:t>
      </w:r>
      <w:r>
        <w:rPr>
          <w:rFonts w:hint="eastAsia" w:ascii="宋体" w:hAnsi="宋体" w:cs="宋体"/>
          <w:kern w:val="0"/>
          <w:sz w:val="24"/>
          <w:szCs w:val="24"/>
          <w:lang w:eastAsia="zh-CN" w:bidi="ar"/>
        </w:rPr>
        <w:t>招标文件</w:t>
      </w:r>
      <w:r>
        <w:rPr>
          <w:rFonts w:hint="eastAsia" w:ascii="宋体" w:hAnsi="宋体" w:eastAsia="宋体" w:cs="宋体"/>
          <w:kern w:val="0"/>
          <w:sz w:val="24"/>
          <w:szCs w:val="24"/>
          <w:lang w:bidi="ar"/>
        </w:rPr>
        <w:t>等确定的事项签订本合同。</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bidi="ar"/>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lang w:bidi="ar"/>
        </w:rPr>
        <w:t xml:space="preserve">   （采购人）   </w:t>
      </w:r>
      <w:r>
        <w:rPr>
          <w:rFonts w:hint="eastAsia" w:ascii="宋体" w:hAnsi="宋体" w:eastAsia="宋体" w:cs="宋体"/>
          <w:kern w:val="0"/>
          <w:sz w:val="24"/>
          <w:szCs w:val="24"/>
          <w:lang w:val="en-US" w:bidi="ar"/>
        </w:rPr>
        <w:t>(以下简称：甲方)和</w:t>
      </w:r>
      <w:r>
        <w:rPr>
          <w:rFonts w:hint="eastAsia" w:ascii="宋体" w:hAnsi="宋体" w:eastAsia="宋体" w:cs="宋体"/>
          <w:kern w:val="0"/>
          <w:sz w:val="24"/>
          <w:szCs w:val="24"/>
          <w:u w:val="single"/>
          <w:lang w:bidi="ar"/>
        </w:rPr>
        <w:t xml:space="preserve">   （中标或者成交</w:t>
      </w:r>
      <w:r>
        <w:rPr>
          <w:rFonts w:hint="eastAsia" w:ascii="宋体" w:hAnsi="宋体" w:cs="宋体"/>
          <w:kern w:val="0"/>
          <w:sz w:val="24"/>
          <w:szCs w:val="24"/>
          <w:u w:val="single"/>
          <w:lang w:val="en-US" w:eastAsia="zh-CN" w:bidi="ar"/>
        </w:rPr>
        <w:t>供应商</w:t>
      </w:r>
      <w:r>
        <w:rPr>
          <w:rFonts w:hint="eastAsia" w:ascii="宋体" w:hAnsi="宋体" w:eastAsia="宋体" w:cs="宋体"/>
          <w:kern w:val="0"/>
          <w:sz w:val="24"/>
          <w:szCs w:val="24"/>
          <w:u w:val="single"/>
          <w:lang w:bidi="ar"/>
        </w:rPr>
        <w:t xml:space="preserve">名称）   </w:t>
      </w:r>
      <w:r>
        <w:rPr>
          <w:rFonts w:hint="eastAsia" w:ascii="宋体" w:hAnsi="宋体" w:eastAsia="宋体" w:cs="宋体"/>
          <w:kern w:val="0"/>
          <w:sz w:val="24"/>
          <w:szCs w:val="24"/>
          <w:lang w:val="en-US" w:bidi="ar"/>
        </w:rPr>
        <w:t>(以下简称：乙方)协商一致，约定以下合同</w:t>
      </w:r>
      <w:r>
        <w:rPr>
          <w:rFonts w:hint="eastAsia" w:ascii="宋体" w:hAnsi="宋体" w:eastAsia="宋体" w:cs="宋体"/>
          <w:kern w:val="0"/>
          <w:sz w:val="24"/>
          <w:szCs w:val="24"/>
          <w:lang w:bidi="ar"/>
        </w:rPr>
        <w:t>条款，以兹共同遵守、全面履行。</w:t>
      </w:r>
    </w:p>
    <w:p>
      <w:pPr>
        <w:keepNext w:val="0"/>
        <w:keepLines w:val="0"/>
        <w:pageBreakBefore w:val="0"/>
        <w:widowControl w:val="0"/>
        <w:tabs>
          <w:tab w:val="left" w:pos="720"/>
          <w:tab w:val="left" w:pos="5925"/>
        </w:tabs>
        <w:kinsoku/>
        <w:wordWrap/>
        <w:overflowPunct/>
        <w:topLinePunct w:val="0"/>
        <w:autoSpaceDE/>
        <w:autoSpaceDN/>
        <w:bidi w:val="0"/>
        <w:snapToGrid w:val="0"/>
        <w:spacing w:line="312" w:lineRule="auto"/>
        <w:textAlignment w:val="auto"/>
        <w:outlineLvl w:val="1"/>
        <w:rPr>
          <w:rFonts w:ascii="宋体" w:hAnsi="宋体" w:cs="宋体"/>
          <w:sz w:val="24"/>
        </w:rPr>
      </w:pPr>
      <w:bookmarkStart w:id="1133" w:name="_Toc28190"/>
      <w:bookmarkStart w:id="1134" w:name="_Toc6194"/>
      <w:r>
        <w:rPr>
          <w:rFonts w:hint="eastAsia" w:ascii="宋体" w:hAnsi="宋体" w:cs="宋体"/>
          <w:b/>
          <w:sz w:val="24"/>
        </w:rPr>
        <w:t>一、</w:t>
      </w:r>
      <w:r>
        <w:rPr>
          <w:rFonts w:hint="eastAsia" w:ascii="宋体" w:hAnsi="宋体" w:cs="宋体"/>
          <w:b/>
          <w:sz w:val="24"/>
          <w:lang w:eastAsia="zh-CN"/>
        </w:rPr>
        <w:t>项目</w:t>
      </w:r>
      <w:r>
        <w:rPr>
          <w:rFonts w:hint="eastAsia" w:ascii="宋体" w:hAnsi="宋体" w:cs="宋体"/>
          <w:b/>
          <w:sz w:val="24"/>
        </w:rPr>
        <w:t>概况</w:t>
      </w:r>
      <w:bookmarkEnd w:id="1133"/>
      <w:bookmarkEnd w:id="1134"/>
    </w:p>
    <w:p>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1、</w:t>
      </w:r>
      <w:r>
        <w:rPr>
          <w:rFonts w:hint="eastAsia" w:ascii="宋体" w:hAnsi="宋体" w:eastAsia="宋体" w:cs="宋体"/>
          <w:sz w:val="24"/>
          <w:lang w:eastAsia="zh-CN"/>
        </w:rPr>
        <w:t>项目</w:t>
      </w:r>
      <w:r>
        <w:rPr>
          <w:rFonts w:hint="eastAsia" w:ascii="宋体" w:hAnsi="宋体" w:eastAsia="宋体" w:cs="宋体"/>
          <w:sz w:val="24"/>
        </w:rPr>
        <w:t>名称：</w:t>
      </w:r>
      <w:r>
        <w:rPr>
          <w:rFonts w:hint="eastAsia" w:ascii="宋体" w:hAnsi="宋体" w:cs="宋体"/>
          <w:sz w:val="24"/>
          <w:u w:val="single"/>
        </w:rPr>
        <w:t xml:space="preserve">                                               </w:t>
      </w:r>
      <w:r>
        <w:rPr>
          <w:rFonts w:hint="eastAsia" w:ascii="宋体" w:hAnsi="宋体" w:cs="宋体"/>
          <w:sz w:val="24"/>
          <w:u w:val="single"/>
          <w:lang w:eastAsia="zh-CN"/>
        </w:rPr>
        <w:t>。</w:t>
      </w:r>
    </w:p>
    <w:p>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项目</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u w:val="single"/>
          <w:lang w:eastAsia="zh-CN"/>
        </w:rPr>
        <w:t>。</w:t>
      </w:r>
    </w:p>
    <w:p>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b w:val="0"/>
          <w:bCs w:val="0"/>
          <w:sz w:val="24"/>
        </w:rPr>
        <w:t>3、</w:t>
      </w:r>
      <w:r>
        <w:rPr>
          <w:rFonts w:hint="eastAsia" w:ascii="宋体" w:hAnsi="宋体" w:cs="宋体"/>
          <w:b w:val="0"/>
          <w:bCs w:val="0"/>
          <w:sz w:val="24"/>
          <w:lang w:eastAsia="zh-CN"/>
        </w:rPr>
        <w:t>项目</w:t>
      </w:r>
      <w:r>
        <w:rPr>
          <w:rFonts w:hint="eastAsia" w:ascii="宋体" w:hAnsi="宋体" w:cs="宋体"/>
          <w:b w:val="0"/>
          <w:bCs w:val="0"/>
          <w:sz w:val="24"/>
        </w:rPr>
        <w:t>主要内容：</w:t>
      </w:r>
      <w:r>
        <w:rPr>
          <w:rFonts w:hint="eastAsia" w:ascii="宋体" w:hAnsi="宋体" w:cs="宋体"/>
          <w:b w:val="0"/>
          <w:bCs w:val="0"/>
          <w:sz w:val="24"/>
          <w:u w:val="single"/>
        </w:rPr>
        <w:t xml:space="preserve">                                         </w:t>
      </w:r>
      <w:r>
        <w:rPr>
          <w:rFonts w:hint="eastAsia" w:ascii="宋体" w:hAnsi="宋体" w:cs="宋体"/>
          <w:b w:val="0"/>
          <w:bCs w:val="0"/>
          <w:sz w:val="24"/>
          <w:u w:val="single"/>
          <w:lang w:eastAsia="zh-CN"/>
        </w:rPr>
        <w:t>。</w:t>
      </w:r>
    </w:p>
    <w:p>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b w:val="0"/>
          <w:bCs w:val="0"/>
          <w:sz w:val="24"/>
        </w:rPr>
        <w:t>4、工程量：甲方提供的施工图纸及工程量清单（</w:t>
      </w:r>
      <w:r>
        <w:rPr>
          <w:rFonts w:hint="eastAsia" w:ascii="宋体" w:hAnsi="宋体" w:cs="宋体"/>
          <w:b w:val="0"/>
          <w:bCs w:val="0"/>
          <w:sz w:val="24"/>
          <w:lang w:val="en-US" w:eastAsia="zh-CN"/>
        </w:rPr>
        <w:t>招标</w:t>
      </w:r>
      <w:r>
        <w:rPr>
          <w:rFonts w:hint="eastAsia" w:ascii="宋体" w:hAnsi="宋体" w:cs="宋体"/>
          <w:b w:val="0"/>
          <w:bCs w:val="0"/>
          <w:sz w:val="24"/>
        </w:rPr>
        <w:t>文件中所属的全部内容）</w:t>
      </w:r>
      <w:r>
        <w:rPr>
          <w:rFonts w:hint="eastAsia" w:ascii="宋体" w:hAnsi="宋体" w:cs="宋体"/>
          <w:b w:val="0"/>
          <w:bCs w:val="0"/>
          <w:sz w:val="24"/>
          <w:lang w:eastAsia="zh-CN"/>
        </w:rPr>
        <w:t>。</w:t>
      </w:r>
    </w:p>
    <w:p>
      <w:pPr>
        <w:keepNext w:val="0"/>
        <w:keepLines w:val="0"/>
        <w:pageBreakBefore w:val="0"/>
        <w:widowControl w:val="0"/>
        <w:tabs>
          <w:tab w:val="left" w:pos="5925"/>
        </w:tabs>
        <w:kinsoku/>
        <w:wordWrap/>
        <w:overflowPunct/>
        <w:topLinePunct w:val="0"/>
        <w:autoSpaceDE/>
        <w:autoSpaceDN/>
        <w:bidi w:val="0"/>
        <w:snapToGrid w:val="0"/>
        <w:spacing w:line="312" w:lineRule="auto"/>
        <w:textAlignment w:val="auto"/>
        <w:rPr>
          <w:rFonts w:ascii="宋体" w:hAnsi="宋体" w:cs="宋体"/>
          <w:b w:val="0"/>
          <w:bCs w:val="0"/>
          <w:sz w:val="24"/>
        </w:rPr>
      </w:pPr>
      <w:r>
        <w:rPr>
          <w:rFonts w:hint="eastAsia" w:ascii="宋体" w:hAnsi="宋体" w:cs="宋体"/>
          <w:b w:val="0"/>
          <w:bCs w:val="0"/>
          <w:sz w:val="24"/>
        </w:rPr>
        <w:t>二、工期：</w:t>
      </w:r>
      <w:r>
        <w:rPr>
          <w:rFonts w:hint="eastAsia" w:ascii="宋体" w:hAnsi="宋体" w:cs="宋体"/>
          <w:b w:val="0"/>
          <w:bCs w:val="0"/>
          <w:color w:val="auto"/>
          <w:kern w:val="2"/>
          <w:sz w:val="24"/>
          <w:szCs w:val="24"/>
          <w:lang w:val="en-US" w:eastAsia="zh-CN" w:bidi="ar"/>
        </w:rPr>
        <w:t>自合同签订生效之日起30天完成设计布展并通过验收。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482" w:firstLineChars="200"/>
        <w:jc w:val="both"/>
        <w:textAlignment w:val="auto"/>
        <w:outlineLvl w:val="1"/>
        <w:rPr>
          <w:rFonts w:hint="default" w:ascii="宋体" w:hAnsi="宋体" w:eastAsia="宋体" w:cs="宋体"/>
          <w:b/>
          <w:bCs w:val="0"/>
          <w:color w:val="auto"/>
          <w:kern w:val="2"/>
          <w:sz w:val="24"/>
          <w:szCs w:val="24"/>
          <w:lang w:val="en-US"/>
        </w:rPr>
      </w:pPr>
      <w:bookmarkStart w:id="1135" w:name="_Toc1816"/>
      <w:bookmarkStart w:id="1136" w:name="_Toc17121"/>
      <w:bookmarkStart w:id="1137" w:name="_Toc10586"/>
      <w:r>
        <w:rPr>
          <w:rFonts w:hint="eastAsia" w:ascii="宋体" w:hAnsi="宋体" w:cs="宋体"/>
          <w:b/>
          <w:bCs w:val="0"/>
          <w:color w:val="auto"/>
          <w:kern w:val="2"/>
          <w:sz w:val="24"/>
          <w:szCs w:val="24"/>
          <w:lang w:val="en-US" w:eastAsia="zh-CN" w:bidi="ar"/>
        </w:rPr>
        <w:t>三</w:t>
      </w:r>
      <w:r>
        <w:rPr>
          <w:rFonts w:hint="eastAsia" w:ascii="宋体" w:hAnsi="宋体" w:eastAsia="宋体" w:cs="宋体"/>
          <w:b/>
          <w:bCs w:val="0"/>
          <w:color w:val="auto"/>
          <w:kern w:val="2"/>
          <w:sz w:val="24"/>
          <w:szCs w:val="24"/>
          <w:lang w:val="en-US" w:eastAsia="zh-CN" w:bidi="ar"/>
        </w:rPr>
        <w:t>、合同价</w:t>
      </w:r>
      <w:r>
        <w:rPr>
          <w:rFonts w:hint="eastAsia" w:ascii="宋体" w:hAnsi="宋体" w:eastAsia="宋体" w:cs="宋体"/>
          <w:b/>
          <w:bCs w:val="0"/>
          <w:color w:val="auto"/>
          <w:kern w:val="2"/>
          <w:sz w:val="24"/>
          <w:szCs w:val="24"/>
          <w:lang w:val="en-US" w:eastAsia="zh-CN" w:bidi="ar"/>
        </w:rPr>
        <w:tab/>
      </w:r>
      <w:bookmarkEnd w:id="1135"/>
      <w:r>
        <w:rPr>
          <w:rFonts w:hint="eastAsia" w:ascii="宋体" w:hAnsi="宋体" w:eastAsia="宋体" w:cs="宋体"/>
          <w:b/>
          <w:bCs w:val="0"/>
          <w:color w:val="auto"/>
          <w:kern w:val="2"/>
          <w:sz w:val="24"/>
          <w:szCs w:val="24"/>
          <w:lang w:val="en-US" w:eastAsia="zh-CN" w:bidi="ar"/>
        </w:rPr>
        <w:t>及结算方式</w:t>
      </w:r>
      <w:bookmarkEnd w:id="1136"/>
      <w:bookmarkEnd w:id="1137"/>
    </w:p>
    <w:p>
      <w:pPr>
        <w:adjustRightInd w:val="0"/>
        <w:snapToGrid w:val="0"/>
        <w:spacing w:beforeLines="0" w:line="400" w:lineRule="exact"/>
        <w:rPr>
          <w:rFonts w:hint="eastAsia" w:ascii="宋体" w:hAnsi="宋体" w:eastAsia="宋体" w:cs="宋体"/>
          <w:color w:val="auto"/>
          <w:kern w:val="2"/>
          <w:sz w:val="24"/>
          <w:szCs w:val="24"/>
        </w:rPr>
      </w:pPr>
      <w:r>
        <w:rPr>
          <w:rFonts w:hint="eastAsia" w:ascii="宋体" w:hAnsi="宋体" w:eastAsia="宋体" w:cs="宋体"/>
          <w:bCs w:val="0"/>
          <w:color w:val="auto"/>
          <w:kern w:val="2"/>
          <w:sz w:val="24"/>
          <w:szCs w:val="24"/>
          <w:lang w:val="en-US" w:eastAsia="zh-CN" w:bidi="ar"/>
        </w:rPr>
        <w:t>1.合同价为：人民币（大写）：</w:t>
      </w:r>
      <w:r>
        <w:rPr>
          <w:rFonts w:hint="eastAsia" w:ascii="宋体" w:hAnsi="宋体" w:eastAsia="宋体" w:cs="宋体"/>
          <w:bCs w:val="0"/>
          <w:color w:val="auto"/>
          <w:kern w:val="2"/>
          <w:sz w:val="24"/>
          <w:szCs w:val="24"/>
          <w:u w:val="single"/>
          <w:lang w:val="en-US" w:eastAsia="zh-CN" w:bidi="ar"/>
        </w:rPr>
        <w:t xml:space="preserve">           </w:t>
      </w:r>
      <w:r>
        <w:rPr>
          <w:rFonts w:hint="eastAsia" w:ascii="宋体" w:hAnsi="宋体" w:eastAsia="宋体" w:cs="宋体"/>
          <w:bCs w:val="0"/>
          <w:color w:val="auto"/>
          <w:kern w:val="2"/>
          <w:sz w:val="24"/>
          <w:szCs w:val="24"/>
          <w:u w:val="none"/>
          <w:lang w:val="en-US" w:eastAsia="zh-CN" w:bidi="ar"/>
        </w:rPr>
        <w:t>元整； 小写：</w:t>
      </w:r>
      <w:r>
        <w:rPr>
          <w:rFonts w:hint="eastAsia" w:ascii="宋体" w:hAnsi="宋体" w:eastAsia="宋体" w:cs="宋体"/>
          <w:bCs w:val="0"/>
          <w:color w:val="auto"/>
          <w:kern w:val="2"/>
          <w:sz w:val="24"/>
          <w:szCs w:val="24"/>
          <w:lang w:val="en-US" w:eastAsia="zh-CN" w:bidi="ar"/>
        </w:rPr>
        <w:t>（¥</w:t>
      </w:r>
      <w:r>
        <w:rPr>
          <w:rFonts w:hint="eastAsia" w:ascii="宋体" w:hAnsi="宋体" w:eastAsia="宋体" w:cs="宋体"/>
          <w:bCs w:val="0"/>
          <w:color w:val="auto"/>
          <w:kern w:val="2"/>
          <w:sz w:val="24"/>
          <w:szCs w:val="24"/>
          <w:u w:val="none"/>
          <w:lang w:val="en-US" w:eastAsia="zh-CN" w:bidi="ar"/>
        </w:rPr>
        <w:t xml:space="preserve"> </w:t>
      </w:r>
      <w:r>
        <w:rPr>
          <w:rFonts w:hint="eastAsia" w:ascii="宋体" w:hAnsi="宋体" w:eastAsia="宋体" w:cs="宋体"/>
          <w:bCs w:val="0"/>
          <w:color w:val="auto"/>
          <w:kern w:val="2"/>
          <w:sz w:val="24"/>
          <w:szCs w:val="24"/>
          <w:u w:val="single"/>
          <w:lang w:val="en-US" w:eastAsia="zh-CN" w:bidi="ar"/>
        </w:rPr>
        <w:t xml:space="preserve">           </w:t>
      </w:r>
      <w:r>
        <w:rPr>
          <w:rFonts w:hint="eastAsia" w:ascii="宋体" w:hAnsi="宋体" w:eastAsia="宋体" w:cs="宋体"/>
          <w:bCs w:val="0"/>
          <w:color w:val="auto"/>
          <w:kern w:val="2"/>
          <w:sz w:val="24"/>
          <w:szCs w:val="24"/>
          <w:lang w:val="en-US" w:eastAsia="zh-CN" w:bidi="ar"/>
        </w:rPr>
        <w:t>元）</w:t>
      </w:r>
      <w:r>
        <w:rPr>
          <w:rFonts w:hint="eastAsia" w:ascii="宋体" w:hAnsi="宋体" w:cs="宋体"/>
          <w:bCs w:val="0"/>
          <w:color w:val="auto"/>
          <w:kern w:val="2"/>
          <w:sz w:val="24"/>
          <w:szCs w:val="24"/>
          <w:lang w:val="en-US" w:eastAsia="zh-CN" w:bidi="ar"/>
        </w:rPr>
        <w:t>；</w:t>
      </w:r>
      <w:r>
        <w:rPr>
          <w:rFonts w:hint="eastAsia" w:ascii="宋体" w:hAnsi="宋体" w:cs="宋体"/>
          <w:color w:val="auto"/>
          <w:kern w:val="2"/>
          <w:sz w:val="24"/>
          <w:szCs w:val="24"/>
          <w:lang w:val="en-US" w:eastAsia="zh-CN" w:bidi="ar"/>
        </w:rPr>
        <w:t>下浮率</w:t>
      </w:r>
      <w:r>
        <w:rPr>
          <w:rFonts w:hint="eastAsia" w:ascii="宋体" w:hAnsi="宋体" w:eastAsia="宋体" w:cs="宋体"/>
          <w:color w:val="auto"/>
          <w:kern w:val="2"/>
          <w:sz w:val="24"/>
          <w:szCs w:val="24"/>
          <w:lang w:val="en-US" w:eastAsia="zh-CN" w:bidi="ar"/>
        </w:rPr>
        <w:t>(大写)：</w:t>
      </w:r>
      <w:r>
        <w:rPr>
          <w:rFonts w:hint="eastAsia" w:ascii="宋体" w:hAnsi="宋体" w:cs="宋体"/>
          <w:color w:val="auto"/>
          <w:kern w:val="2"/>
          <w:sz w:val="24"/>
          <w:szCs w:val="24"/>
          <w:lang w:val="en-US" w:eastAsia="zh-CN" w:bidi="ar"/>
        </w:rPr>
        <w:t>百分之</w:t>
      </w:r>
      <w:r>
        <w:rPr>
          <w:rFonts w:hint="eastAsia" w:ascii="宋体" w:hAnsi="宋体" w:eastAsia="宋体" w:cs="宋体"/>
          <w:bCs w:val="0"/>
          <w:color w:val="auto"/>
          <w:kern w:val="2"/>
          <w:sz w:val="24"/>
          <w:szCs w:val="24"/>
          <w:u w:val="single"/>
          <w:lang w:val="en-US" w:eastAsia="zh-CN" w:bidi="ar"/>
        </w:rPr>
        <w:t xml:space="preserve">           </w:t>
      </w:r>
      <w:r>
        <w:rPr>
          <w:rFonts w:hint="eastAsia" w:ascii="宋体" w:hAnsi="宋体" w:cs="宋体"/>
          <w:color w:val="auto"/>
          <w:kern w:val="2"/>
          <w:sz w:val="24"/>
          <w:szCs w:val="24"/>
          <w:u w:val="none"/>
          <w:lang w:val="en-US" w:eastAsia="zh-CN" w:bidi="ar"/>
        </w:rPr>
        <w:t>；</w:t>
      </w:r>
      <w:r>
        <w:rPr>
          <w:rFonts w:hint="eastAsia" w:ascii="宋体" w:hAnsi="宋体" w:eastAsia="宋体" w:cs="宋体"/>
          <w:color w:val="auto"/>
          <w:kern w:val="2"/>
          <w:sz w:val="24"/>
          <w:szCs w:val="24"/>
          <w:lang w:val="en-US" w:eastAsia="zh-CN" w:bidi="ar"/>
        </w:rPr>
        <w:t>（小写）</w:t>
      </w:r>
      <w:r>
        <w:rPr>
          <w:rFonts w:hint="eastAsia" w:ascii="宋体" w:hAnsi="宋体" w:cs="宋体"/>
          <w:color w:val="auto"/>
          <w:kern w:val="2"/>
          <w:sz w:val="24"/>
          <w:szCs w:val="24"/>
          <w:lang w:val="en-US" w:eastAsia="zh-CN" w:bidi="ar"/>
        </w:rPr>
        <w:t>：</w:t>
      </w:r>
      <w:r>
        <w:rPr>
          <w:rFonts w:hint="eastAsia" w:ascii="宋体" w:hAnsi="宋体" w:eastAsia="宋体" w:cs="宋体"/>
          <w:bCs w:val="0"/>
          <w:color w:val="auto"/>
          <w:kern w:val="2"/>
          <w:sz w:val="24"/>
          <w:szCs w:val="24"/>
          <w:u w:val="single"/>
          <w:lang w:val="en-US" w:eastAsia="zh-CN" w:bidi="ar"/>
        </w:rPr>
        <w:t xml:space="preserve">           </w:t>
      </w:r>
      <w:r>
        <w:rPr>
          <w:rFonts w:hint="eastAsia" w:ascii="宋体" w:hAnsi="宋体" w:cs="宋体"/>
          <w:color w:val="auto"/>
          <w:kern w:val="2"/>
          <w:sz w:val="24"/>
          <w:szCs w:val="24"/>
          <w:u w:val="none"/>
          <w:lang w:val="en-US" w:eastAsia="zh-CN" w:bidi="ar"/>
        </w:rPr>
        <w:t xml:space="preserve"> %</w:t>
      </w:r>
      <w:r>
        <w:rPr>
          <w:rFonts w:hint="eastAsia" w:ascii="宋体" w:hAnsi="宋体" w:cs="宋体"/>
          <w:color w:val="auto"/>
          <w:kern w:val="2"/>
          <w:sz w:val="24"/>
          <w:szCs w:val="24"/>
          <w:lang w:val="en-US" w:eastAsia="zh-CN" w:bidi="ar"/>
        </w:rPr>
        <w:t>。</w:t>
      </w:r>
    </w:p>
    <w:p>
      <w:pPr>
        <w:pStyle w:val="38"/>
        <w:keepNext w:val="0"/>
        <w:keepLines w:val="0"/>
        <w:pageBreakBefore w:val="0"/>
        <w:widowControl w:val="0"/>
        <w:kinsoku/>
        <w:wordWrap/>
        <w:overflowPunct/>
        <w:topLinePunct w:val="0"/>
        <w:autoSpaceDE/>
        <w:autoSpaceDN/>
        <w:bidi w:val="0"/>
        <w:spacing w:before="0" w:beforeAutospacing="0" w:after="0" w:afterAutospacing="0" w:line="312" w:lineRule="auto"/>
        <w:ind w:firstLine="480" w:firstLineChars="200"/>
        <w:textAlignment w:val="auto"/>
        <w:outlineLvl w:val="2"/>
        <w:rPr>
          <w:rFonts w:hint="eastAsia" w:ascii="宋体" w:hAnsi="宋体" w:eastAsia="宋体" w:cs="宋体"/>
          <w:bCs/>
          <w:color w:val="auto"/>
          <w:kern w:val="2"/>
          <w:sz w:val="24"/>
          <w:szCs w:val="24"/>
          <w:lang w:val="zh-CN" w:bidi="ar"/>
        </w:rPr>
      </w:pPr>
      <w:bookmarkStart w:id="1138" w:name="_Toc3732"/>
      <w:r>
        <w:rPr>
          <w:rFonts w:hint="eastAsia" w:cs="宋体"/>
          <w:bCs/>
          <w:color w:val="auto"/>
          <w:kern w:val="2"/>
          <w:szCs w:val="24"/>
          <w:lang w:val="en-US" w:eastAsia="zh-CN" w:bidi="ar"/>
        </w:rPr>
        <w:t>2.</w:t>
      </w:r>
      <w:r>
        <w:rPr>
          <w:rFonts w:hint="eastAsia" w:ascii="宋体" w:hAnsi="宋体" w:eastAsia="宋体" w:cs="宋体"/>
          <w:bCs/>
          <w:color w:val="auto"/>
          <w:kern w:val="2"/>
          <w:sz w:val="24"/>
          <w:szCs w:val="24"/>
          <w:lang w:val="zh-CN" w:bidi="ar"/>
        </w:rPr>
        <w:t>合同价款的结算方式</w:t>
      </w:r>
      <w:bookmarkEnd w:id="1138"/>
    </w:p>
    <w:p>
      <w:pPr>
        <w:adjustRightInd w:val="0"/>
        <w:snapToGrid w:val="0"/>
        <w:spacing w:line="288" w:lineRule="auto"/>
        <w:ind w:firstLine="480" w:firstLineChars="200"/>
        <w:rPr>
          <w:rFonts w:hint="eastAsia" w:ascii="宋体" w:hAnsi="宋体" w:eastAsia="宋体" w:cs="宋体"/>
          <w:bCs/>
          <w:color w:val="auto"/>
          <w:sz w:val="24"/>
          <w:szCs w:val="24"/>
          <w:lang w:val="en-US" w:eastAsia="zh-CN" w:bidi="ar"/>
        </w:rPr>
      </w:pPr>
      <w:r>
        <w:rPr>
          <w:rFonts w:hint="eastAsia" w:ascii="宋体" w:hAnsi="宋体" w:eastAsia="宋体" w:cs="宋体"/>
          <w:bCs/>
          <w:color w:val="auto"/>
          <w:sz w:val="24"/>
          <w:szCs w:val="24"/>
          <w:lang w:val="en-US" w:eastAsia="zh-CN" w:bidi="ar"/>
        </w:rPr>
        <w:t>本项目的合同价根据甲方提供的</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作为结算依据。结算价根据总价下浮率进行下浮。（下浮率=（</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-投标报价）/</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×100%）</w:t>
      </w:r>
      <w:r>
        <w:rPr>
          <w:rFonts w:hint="eastAsia" w:ascii="宋体" w:hAnsi="宋体" w:cs="宋体"/>
          <w:bCs/>
          <w:color w:val="auto"/>
          <w:sz w:val="24"/>
          <w:szCs w:val="24"/>
          <w:lang w:val="en-US" w:eastAsia="zh-CN" w:bidi="ar"/>
        </w:rPr>
        <w:t>；</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2.1</w:t>
      </w:r>
      <w:r>
        <w:rPr>
          <w:rFonts w:hint="eastAsia" w:ascii="宋体" w:hAnsi="宋体" w:cs="宋体"/>
          <w:bCs/>
          <w:color w:val="auto"/>
          <w:sz w:val="24"/>
          <w:szCs w:val="24"/>
          <w:lang w:val="en-US" w:eastAsia="zh-CN" w:bidi="ar"/>
        </w:rPr>
        <w:t>硬装（装饰工程及安装工程）</w:t>
      </w:r>
      <w:r>
        <w:rPr>
          <w:rFonts w:hint="eastAsia" w:ascii="宋体" w:hAnsi="宋体" w:eastAsia="宋体" w:cs="宋体"/>
          <w:bCs/>
          <w:color w:val="auto"/>
          <w:sz w:val="24"/>
          <w:szCs w:val="24"/>
          <w:lang w:val="en-US" w:eastAsia="zh-CN" w:bidi="ar"/>
        </w:rPr>
        <w:t>结算依据：按照乙方实际完成工程量×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中的综合单价+相关规费和税金=总价，结算价=总价×（1-下浮率），并</w:t>
      </w:r>
      <w:r>
        <w:rPr>
          <w:rFonts w:hint="eastAsia" w:ascii="宋体" w:hAnsi="宋体" w:eastAsia="宋体" w:cs="宋体"/>
          <w:bCs/>
          <w:color w:val="auto"/>
          <w:kern w:val="2"/>
          <w:szCs w:val="24"/>
          <w:lang w:val="en-US" w:eastAsia="zh-CN" w:bidi="ar"/>
        </w:rPr>
        <w:t>委托第三方审核，</w:t>
      </w:r>
      <w:r>
        <w:rPr>
          <w:rFonts w:hint="eastAsia" w:ascii="宋体" w:hAnsi="宋体" w:eastAsia="宋体" w:cs="宋体"/>
          <w:bCs/>
          <w:color w:val="auto"/>
          <w:sz w:val="24"/>
          <w:szCs w:val="24"/>
          <w:lang w:val="en-US" w:eastAsia="zh-CN" w:bidi="ar"/>
        </w:rPr>
        <w:t>其中不包含暂列金额；</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2.2</w:t>
      </w:r>
      <w:r>
        <w:rPr>
          <w:rFonts w:hint="eastAsia" w:ascii="宋体" w:hAnsi="宋体" w:cs="宋体"/>
          <w:sz w:val="24"/>
          <w:szCs w:val="24"/>
          <w:lang w:val="en-US" w:eastAsia="zh-CN"/>
        </w:rPr>
        <w:t>软装</w:t>
      </w:r>
      <w:r>
        <w:rPr>
          <w:rFonts w:hint="eastAsia" w:ascii="宋体" w:hAnsi="宋体" w:eastAsia="宋体" w:cs="宋体"/>
          <w:color w:val="auto"/>
          <w:spacing w:val="-4"/>
          <w:sz w:val="24"/>
          <w:szCs w:val="24"/>
          <w:lang w:val="en-US" w:eastAsia="zh-CN"/>
        </w:rPr>
        <w:t>（含展陈布展、家器具、文创等）</w:t>
      </w:r>
      <w:r>
        <w:rPr>
          <w:rFonts w:hint="eastAsia" w:ascii="宋体" w:hAnsi="宋体" w:cs="宋体"/>
          <w:color w:val="auto"/>
          <w:sz w:val="24"/>
          <w:szCs w:val="24"/>
          <w:lang w:val="en-US" w:eastAsia="zh-CN"/>
        </w:rPr>
        <w:t>结算依据</w:t>
      </w:r>
      <w:r>
        <w:rPr>
          <w:rFonts w:hint="eastAsia" w:ascii="宋体" w:hAnsi="宋体" w:eastAsia="宋体" w:cs="宋体"/>
          <w:bCs/>
          <w:color w:val="auto"/>
          <w:sz w:val="24"/>
          <w:szCs w:val="24"/>
          <w:lang w:val="en-US" w:eastAsia="zh-CN" w:bidi="ar"/>
        </w:rPr>
        <w:t>：按照乙方实际完成的采购</w:t>
      </w:r>
      <w:r>
        <w:rPr>
          <w:rFonts w:hint="eastAsia" w:ascii="宋体" w:hAnsi="宋体" w:cs="宋体"/>
          <w:bCs/>
          <w:color w:val="auto"/>
          <w:sz w:val="24"/>
          <w:szCs w:val="24"/>
          <w:lang w:val="en-US" w:eastAsia="zh-CN" w:bidi="ar"/>
        </w:rPr>
        <w:t>数</w:t>
      </w:r>
      <w:r>
        <w:rPr>
          <w:rFonts w:hint="eastAsia" w:ascii="宋体" w:hAnsi="宋体" w:eastAsia="宋体" w:cs="宋体"/>
          <w:bCs/>
          <w:color w:val="auto"/>
          <w:sz w:val="24"/>
          <w:szCs w:val="24"/>
          <w:lang w:val="en-US" w:eastAsia="zh-CN" w:bidi="ar"/>
        </w:rPr>
        <w:t>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中的综合单价=总价，结算价=总价×（1-下浮率）；</w:t>
      </w:r>
    </w:p>
    <w:p>
      <w:pPr>
        <w:keepNext w:val="0"/>
        <w:keepLines w:val="0"/>
        <w:widowControl w:val="0"/>
        <w:suppressLineNumbers w:val="0"/>
        <w:spacing w:before="0" w:beforeLines="0" w:beforeAutospacing="0" w:after="0" w:afterAutospacing="0" w:line="312" w:lineRule="auto"/>
        <w:ind w:left="0" w:right="0" w:firstLine="480" w:firstLineChars="200"/>
        <w:jc w:val="both"/>
        <w:outlineLvl w:val="2"/>
        <w:rPr>
          <w:rFonts w:hint="eastAsia" w:ascii="宋体" w:hAnsi="宋体" w:cs="宋体"/>
          <w:b w:val="0"/>
          <w:bCs w:val="0"/>
          <w:sz w:val="24"/>
          <w:szCs w:val="24"/>
          <w:lang w:val="en-US" w:eastAsia="zh-CN"/>
        </w:rPr>
      </w:pPr>
      <w:bookmarkStart w:id="1139" w:name="_Toc5372"/>
      <w:r>
        <w:rPr>
          <w:rFonts w:hint="eastAsia" w:ascii="宋体" w:hAnsi="宋体" w:cs="宋体"/>
          <w:b w:val="0"/>
          <w:bCs w:val="0"/>
          <w:color w:val="auto"/>
          <w:sz w:val="24"/>
          <w:szCs w:val="24"/>
          <w:lang w:val="en-US" w:eastAsia="zh-CN"/>
        </w:rPr>
        <w:t>3.</w:t>
      </w:r>
      <w:r>
        <w:rPr>
          <w:rFonts w:hint="eastAsia" w:ascii="宋体" w:hAnsi="宋体" w:cs="宋体"/>
          <w:b w:val="0"/>
          <w:bCs w:val="0"/>
          <w:sz w:val="24"/>
          <w:szCs w:val="24"/>
          <w:lang w:val="en-US" w:eastAsia="zh-CN"/>
        </w:rPr>
        <w:t>合同变更估价的原则</w:t>
      </w:r>
      <w:bookmarkEnd w:id="1139"/>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Cs/>
          <w:color w:val="auto"/>
          <w:kern w:val="2"/>
          <w:sz w:val="24"/>
          <w:szCs w:val="24"/>
          <w:lang w:val="en-US" w:eastAsia="zh-CN" w:bidi="ar"/>
        </w:rPr>
      </w:pPr>
      <w:bookmarkStart w:id="1140" w:name="_Toc20054"/>
      <w:bookmarkStart w:id="1141" w:name="_Toc12374"/>
      <w:r>
        <w:rPr>
          <w:rFonts w:hint="eastAsia" w:ascii="宋体" w:hAnsi="宋体" w:cs="宋体"/>
          <w:bCs/>
          <w:color w:val="auto"/>
          <w:kern w:val="2"/>
          <w:sz w:val="24"/>
          <w:szCs w:val="24"/>
          <w:lang w:val="en-US" w:eastAsia="zh-CN" w:bidi="ar"/>
        </w:rPr>
        <w:t>3.1</w:t>
      </w:r>
      <w:r>
        <w:rPr>
          <w:rFonts w:hint="eastAsia" w:ascii="宋体" w:hAnsi="宋体" w:eastAsia="宋体" w:cs="宋体"/>
          <w:bCs/>
          <w:color w:val="auto"/>
          <w:kern w:val="2"/>
          <w:sz w:val="24"/>
          <w:szCs w:val="24"/>
          <w:lang w:val="en-US" w:eastAsia="zh-CN" w:bidi="ar"/>
        </w:rPr>
        <w:t>已标价清单中有适用于变更工作的子目，采用该子目的单价计算变更费用；</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3.2</w:t>
      </w:r>
      <w:r>
        <w:rPr>
          <w:rFonts w:hint="eastAsia" w:ascii="宋体" w:hAnsi="宋体" w:eastAsia="宋体" w:cs="宋体"/>
          <w:bCs/>
          <w:color w:val="auto"/>
          <w:kern w:val="2"/>
          <w:sz w:val="24"/>
          <w:szCs w:val="24"/>
          <w:lang w:val="en-US" w:eastAsia="zh-CN" w:bidi="ar"/>
        </w:rPr>
        <w:t>无适用于变更工作的子目，但有类似子目，可参照类似子目的单价，由甲方商定或</w:t>
      </w:r>
    </w:p>
    <w:p>
      <w:pPr>
        <w:keepNext w:val="0"/>
        <w:keepLines w:val="0"/>
        <w:pageBreakBefore w:val="0"/>
        <w:kinsoku/>
        <w:wordWrap/>
        <w:overflowPunct/>
        <w:topLinePunct w:val="0"/>
        <w:autoSpaceDE/>
        <w:autoSpaceDN/>
        <w:bidi w:val="0"/>
        <w:snapToGrid/>
        <w:spacing w:beforeLines="0" w:line="312" w:lineRule="auto"/>
        <w:ind w:left="0" w:leftChars="0" w:firstLine="0" w:firstLineChars="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确定单价;</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3.3</w:t>
      </w:r>
      <w:r>
        <w:rPr>
          <w:rFonts w:hint="eastAsia" w:ascii="宋体" w:hAnsi="宋体" w:eastAsia="宋体" w:cs="宋体"/>
          <w:bCs/>
          <w:color w:val="auto"/>
          <w:kern w:val="2"/>
          <w:sz w:val="24"/>
          <w:szCs w:val="24"/>
          <w:lang w:val="en-US" w:eastAsia="zh-CN" w:bidi="ar"/>
        </w:rPr>
        <w:t>标价清单中无适用或类似子目的单价，可按照成本加利润的原则，由甲方询价确定</w:t>
      </w:r>
    </w:p>
    <w:p>
      <w:pPr>
        <w:keepNext w:val="0"/>
        <w:keepLines w:val="0"/>
        <w:pageBreakBefore w:val="0"/>
        <w:kinsoku/>
        <w:wordWrap/>
        <w:overflowPunct/>
        <w:topLinePunct w:val="0"/>
        <w:autoSpaceDE/>
        <w:autoSpaceDN/>
        <w:bidi w:val="0"/>
        <w:snapToGrid/>
        <w:spacing w:beforeLines="0" w:line="312" w:lineRule="auto"/>
        <w:ind w:left="0" w:leftChars="0" w:firstLine="0" w:firstLineChars="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单价。</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3.4</w:t>
      </w:r>
      <w:r>
        <w:rPr>
          <w:rFonts w:hint="eastAsia" w:ascii="宋体" w:hAnsi="宋体" w:eastAsia="宋体" w:cs="宋体"/>
          <w:bCs/>
          <w:color w:val="auto"/>
          <w:kern w:val="2"/>
          <w:sz w:val="24"/>
          <w:szCs w:val="24"/>
          <w:lang w:val="en-US" w:eastAsia="zh-CN" w:bidi="ar"/>
        </w:rPr>
        <w:t>合同金额占合同总价2%及以上的清单，其数量增减超过本项目的总数量15%及以上，</w:t>
      </w:r>
    </w:p>
    <w:p>
      <w:pPr>
        <w:keepNext w:val="0"/>
        <w:keepLines w:val="0"/>
        <w:pageBreakBefore w:val="0"/>
        <w:kinsoku/>
        <w:wordWrap/>
        <w:overflowPunct/>
        <w:topLinePunct w:val="0"/>
        <w:autoSpaceDE/>
        <w:autoSpaceDN/>
        <w:bidi w:val="0"/>
        <w:snapToGrid/>
        <w:spacing w:beforeLines="0" w:line="312" w:lineRule="auto"/>
        <w:ind w:left="0" w:leftChars="0" w:firstLine="0" w:firstLineChars="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综合单价下浮率在总价下浮率范围内，套总价下浮率；综合单价下浮率超过总价下浮率的按综</w:t>
      </w:r>
    </w:p>
    <w:p>
      <w:pPr>
        <w:keepNext w:val="0"/>
        <w:keepLines w:val="0"/>
        <w:pageBreakBefore w:val="0"/>
        <w:kinsoku/>
        <w:wordWrap/>
        <w:overflowPunct/>
        <w:topLinePunct w:val="0"/>
        <w:autoSpaceDE/>
        <w:autoSpaceDN/>
        <w:bidi w:val="0"/>
        <w:snapToGrid/>
        <w:spacing w:beforeLines="0" w:line="312" w:lineRule="auto"/>
        <w:ind w:left="0" w:leftChars="0" w:firstLine="0" w:firstLineChars="0"/>
        <w:textAlignment w:val="auto"/>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合单价下浮率，单价下浮率=1-中标单价÷审定预算单价*100%。</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、货款支付</w:t>
      </w:r>
      <w:bookmarkEnd w:id="1140"/>
      <w:bookmarkEnd w:id="1141"/>
    </w:p>
    <w:p>
      <w:pPr>
        <w:pStyle w:val="76"/>
        <w:spacing w:line="288" w:lineRule="auto"/>
        <w:ind w:firstLine="480" w:firstLineChars="200"/>
        <w:rPr>
          <w:rFonts w:hint="eastAsia" w:ascii="宋体" w:hAnsi="宋体" w:eastAsia="宋体" w:cs="宋体"/>
          <w:bCs/>
          <w:color w:val="auto"/>
          <w:kern w:val="2"/>
          <w:szCs w:val="24"/>
          <w:lang w:bidi="ar"/>
        </w:rPr>
      </w:pPr>
      <w:r>
        <w:rPr>
          <w:rFonts w:hint="eastAsia" w:ascii="宋体" w:hAnsi="宋体" w:eastAsia="宋体" w:cs="宋体"/>
          <w:bCs/>
          <w:color w:val="auto"/>
          <w:kern w:val="2"/>
          <w:sz w:val="24"/>
          <w:szCs w:val="24"/>
          <w:lang w:bidi="ar"/>
        </w:rPr>
        <w:t>合同签订后15日内支付合同金额的</w:t>
      </w:r>
      <w:r>
        <w:rPr>
          <w:rFonts w:hint="eastAsia" w:ascii="宋体" w:hAnsi="宋体" w:eastAsia="宋体" w:cs="宋体"/>
          <w:bCs/>
          <w:color w:val="auto"/>
          <w:kern w:val="2"/>
          <w:sz w:val="24"/>
          <w:szCs w:val="24"/>
          <w:lang w:val="en-US" w:eastAsia="zh-CN" w:bidi="ar"/>
        </w:rPr>
        <w:t>30</w:t>
      </w:r>
      <w:r>
        <w:rPr>
          <w:rFonts w:hint="eastAsia" w:ascii="宋体" w:hAnsi="宋体" w:eastAsia="宋体" w:cs="宋体"/>
          <w:bCs/>
          <w:color w:val="auto"/>
          <w:kern w:val="2"/>
          <w:sz w:val="24"/>
          <w:szCs w:val="24"/>
          <w:lang w:bidi="ar"/>
        </w:rPr>
        <w:t>%作为</w:t>
      </w:r>
      <w:r>
        <w:rPr>
          <w:rFonts w:hint="eastAsia" w:ascii="宋体" w:hAnsi="宋体" w:eastAsia="宋体" w:cs="宋体"/>
          <w:bCs/>
          <w:color w:val="auto"/>
          <w:kern w:val="2"/>
          <w:sz w:val="24"/>
          <w:szCs w:val="24"/>
          <w:lang w:eastAsia="zh-CN" w:bidi="ar"/>
        </w:rPr>
        <w:t>备料款</w:t>
      </w:r>
      <w:r>
        <w:rPr>
          <w:rFonts w:hint="eastAsia" w:ascii="宋体" w:hAnsi="宋体" w:eastAsia="宋体" w:cs="宋体"/>
          <w:bCs/>
          <w:color w:val="auto"/>
          <w:kern w:val="2"/>
          <w:sz w:val="24"/>
          <w:szCs w:val="24"/>
          <w:lang w:bidi="ar"/>
        </w:rPr>
        <w:t>（不扣回），</w:t>
      </w:r>
      <w:r>
        <w:rPr>
          <w:rFonts w:hint="eastAsia" w:ascii="宋体" w:hAnsi="宋体" w:eastAsia="宋体" w:cs="宋体"/>
          <w:bCs/>
          <w:color w:val="auto"/>
          <w:kern w:val="2"/>
          <w:szCs w:val="24"/>
          <w:lang w:bidi="ar"/>
        </w:rPr>
        <w:t>项目</w:t>
      </w:r>
      <w:r>
        <w:rPr>
          <w:rFonts w:hint="eastAsia" w:ascii="宋体" w:hAnsi="宋体" w:eastAsia="宋体" w:cs="宋体"/>
          <w:bCs/>
          <w:color w:val="auto"/>
          <w:kern w:val="2"/>
          <w:szCs w:val="24"/>
          <w:lang w:val="en-US" w:eastAsia="zh-CN" w:bidi="ar"/>
        </w:rPr>
        <w:t>装修基层</w:t>
      </w:r>
      <w:r>
        <w:rPr>
          <w:rFonts w:hint="eastAsia" w:ascii="宋体" w:hAnsi="宋体" w:eastAsia="宋体" w:cs="宋体"/>
          <w:bCs/>
          <w:color w:val="auto"/>
          <w:kern w:val="2"/>
          <w:szCs w:val="24"/>
          <w:lang w:bidi="ar"/>
        </w:rPr>
        <w:t>完成时支付至合同金额的</w:t>
      </w:r>
      <w:r>
        <w:rPr>
          <w:rFonts w:hint="eastAsia" w:ascii="宋体" w:hAnsi="宋体" w:eastAsia="宋体" w:cs="宋体"/>
          <w:bCs/>
          <w:color w:val="auto"/>
          <w:kern w:val="2"/>
          <w:szCs w:val="24"/>
          <w:lang w:val="en-US" w:eastAsia="zh-CN" w:bidi="ar"/>
        </w:rPr>
        <w:t>50</w:t>
      </w:r>
      <w:r>
        <w:rPr>
          <w:rFonts w:hint="eastAsia" w:ascii="宋体" w:hAnsi="宋体" w:eastAsia="宋体" w:cs="宋体"/>
          <w:bCs/>
          <w:color w:val="auto"/>
          <w:kern w:val="2"/>
          <w:szCs w:val="24"/>
          <w:lang w:bidi="ar"/>
        </w:rPr>
        <w:t>%，</w:t>
      </w:r>
      <w:r>
        <w:rPr>
          <w:rFonts w:hint="eastAsia" w:ascii="宋体" w:hAnsi="宋体" w:eastAsia="宋体" w:cs="宋体"/>
          <w:bCs/>
          <w:color w:val="auto"/>
          <w:kern w:val="2"/>
          <w:szCs w:val="24"/>
          <w:lang w:val="en-US" w:eastAsia="zh-CN" w:bidi="ar"/>
        </w:rPr>
        <w:t>软装进场布置支付至合同价款的70%，家器具购置完成，设备安装调试完成</w:t>
      </w:r>
      <w:r>
        <w:rPr>
          <w:rFonts w:hint="eastAsia" w:ascii="宋体" w:hAnsi="宋体" w:eastAsia="宋体" w:cs="宋体"/>
          <w:bCs/>
          <w:color w:val="auto"/>
          <w:kern w:val="2"/>
          <w:szCs w:val="24"/>
          <w:lang w:bidi="ar"/>
        </w:rPr>
        <w:t>并经采购人组织验收合格并通过试运行支付至</w:t>
      </w:r>
      <w:r>
        <w:rPr>
          <w:rFonts w:hint="eastAsia" w:ascii="宋体" w:hAnsi="宋体" w:eastAsia="宋体" w:cs="宋体"/>
          <w:bCs/>
          <w:color w:val="auto"/>
          <w:kern w:val="2"/>
          <w:szCs w:val="24"/>
          <w:lang w:val="en-US" w:eastAsia="zh-CN" w:bidi="ar"/>
        </w:rPr>
        <w:t>合同价款的85%，整体项目结算审核完成支付至</w:t>
      </w:r>
      <w:r>
        <w:rPr>
          <w:rFonts w:hint="eastAsia" w:ascii="宋体" w:hAnsi="宋体" w:eastAsia="宋体" w:cs="宋体"/>
          <w:bCs/>
          <w:color w:val="auto"/>
          <w:kern w:val="2"/>
          <w:szCs w:val="24"/>
          <w:lang w:bidi="ar"/>
        </w:rPr>
        <w:t>结算款项的</w:t>
      </w:r>
      <w:r>
        <w:rPr>
          <w:rFonts w:hint="eastAsia" w:ascii="宋体" w:hAnsi="宋体" w:eastAsia="宋体" w:cs="宋体"/>
          <w:bCs/>
          <w:color w:val="auto"/>
          <w:kern w:val="2"/>
          <w:szCs w:val="24"/>
          <w:lang w:val="en-US" w:eastAsia="zh-CN" w:bidi="ar"/>
        </w:rPr>
        <w:t>100</w:t>
      </w:r>
      <w:r>
        <w:rPr>
          <w:rFonts w:hint="eastAsia" w:ascii="宋体" w:hAnsi="宋体" w:eastAsia="宋体" w:cs="宋体"/>
          <w:bCs/>
          <w:color w:val="auto"/>
          <w:kern w:val="2"/>
          <w:szCs w:val="24"/>
          <w:lang w:bidi="ar"/>
        </w:rPr>
        <w:t>%。</w:t>
      </w:r>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2" w:firstLineChars="200"/>
        <w:textAlignment w:val="auto"/>
        <w:outlineLvl w:val="1"/>
        <w:rPr>
          <w:rFonts w:hint="eastAsia" w:ascii="宋体" w:hAnsi="宋体" w:eastAsia="宋体" w:cs="宋体"/>
          <w:b/>
          <w:bCs w:val="0"/>
          <w:color w:val="auto"/>
          <w:kern w:val="2"/>
          <w:sz w:val="24"/>
          <w:szCs w:val="24"/>
          <w:lang w:val="zh-CN" w:eastAsia="zh-CN" w:bidi="ar"/>
        </w:rPr>
      </w:pPr>
      <w:bookmarkStart w:id="1142" w:name="_Toc15149"/>
      <w:bookmarkStart w:id="1143" w:name="_Toc9563"/>
      <w:r>
        <w:rPr>
          <w:rFonts w:hint="eastAsia" w:cs="宋体"/>
          <w:b/>
          <w:bCs w:val="0"/>
          <w:color w:val="auto"/>
          <w:kern w:val="2"/>
          <w:sz w:val="24"/>
          <w:szCs w:val="24"/>
          <w:lang w:val="zh-CN" w:eastAsia="zh-CN" w:bidi="ar"/>
        </w:rPr>
        <w:t>七</w:t>
      </w:r>
      <w:r>
        <w:rPr>
          <w:rFonts w:hint="eastAsia" w:ascii="宋体" w:hAnsi="宋体" w:eastAsia="宋体" w:cs="宋体"/>
          <w:b/>
          <w:bCs w:val="0"/>
          <w:color w:val="auto"/>
          <w:kern w:val="2"/>
          <w:sz w:val="24"/>
          <w:szCs w:val="24"/>
          <w:lang w:val="zh-CN" w:eastAsia="zh-CN" w:bidi="ar"/>
        </w:rPr>
        <w:t>、项目负责人</w:t>
      </w:r>
      <w:bookmarkEnd w:id="1142"/>
      <w:bookmarkEnd w:id="1143"/>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0" w:firstLineChars="200"/>
        <w:textAlignment w:val="auto"/>
        <w:outlineLvl w:val="2"/>
        <w:rPr>
          <w:rFonts w:hint="eastAsia" w:ascii="宋体" w:hAnsi="宋体" w:eastAsia="宋体" w:cs="宋体"/>
          <w:bCs/>
          <w:color w:val="auto"/>
          <w:kern w:val="2"/>
          <w:sz w:val="24"/>
          <w:szCs w:val="24"/>
          <w:lang w:val="en-US" w:eastAsia="zh-CN" w:bidi="ar"/>
        </w:rPr>
      </w:pPr>
      <w:bookmarkStart w:id="1144" w:name="_Toc15596"/>
      <w:r>
        <w:rPr>
          <w:rFonts w:hint="eastAsia" w:ascii="宋体" w:hAnsi="宋体" w:eastAsia="宋体" w:cs="宋体"/>
          <w:bCs/>
          <w:color w:val="auto"/>
          <w:kern w:val="2"/>
          <w:sz w:val="24"/>
          <w:szCs w:val="24"/>
          <w:lang w:val="en-US" w:eastAsia="zh-CN" w:bidi="ar"/>
        </w:rPr>
        <w:t>1.</w:t>
      </w:r>
      <w:r>
        <w:rPr>
          <w:rFonts w:hint="eastAsia" w:ascii="宋体" w:hAnsi="宋体" w:eastAsia="宋体" w:cs="宋体"/>
          <w:b w:val="0"/>
          <w:bCs/>
          <w:color w:val="auto"/>
          <w:kern w:val="2"/>
          <w:sz w:val="24"/>
          <w:szCs w:val="24"/>
          <w:lang w:val="en-US" w:eastAsia="zh-CN" w:bidi="ar"/>
        </w:rPr>
        <w:t>项目负责人</w:t>
      </w:r>
      <w:bookmarkEnd w:id="1144"/>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0" w:firstLineChars="200"/>
        <w:textAlignment w:val="auto"/>
        <w:rPr>
          <w:rFonts w:hint="eastAsia" w:ascii="宋体" w:hAnsi="宋体" w:eastAsia="宋体" w:cs="宋体"/>
          <w:bCs/>
          <w:color w:val="auto"/>
          <w:kern w:val="2"/>
          <w:sz w:val="24"/>
          <w:szCs w:val="24"/>
          <w:lang w:val="en-US" w:bidi="ar"/>
        </w:rPr>
      </w:pPr>
      <w:r>
        <w:rPr>
          <w:rFonts w:hint="eastAsia" w:ascii="宋体" w:hAnsi="宋体" w:eastAsia="宋体" w:cs="宋体"/>
          <w:bCs/>
          <w:color w:val="auto"/>
          <w:kern w:val="2"/>
          <w:sz w:val="24"/>
          <w:szCs w:val="24"/>
          <w:lang w:val="en-US" w:bidi="ar"/>
        </w:rPr>
        <w:t>姓名：</w:t>
      </w:r>
      <w:r>
        <w:rPr>
          <w:rFonts w:hint="eastAsia" w:ascii="宋体" w:hAnsi="宋体" w:eastAsia="宋体" w:cs="宋体"/>
          <w:bCs/>
          <w:color w:val="auto"/>
          <w:kern w:val="2"/>
          <w:sz w:val="24"/>
          <w:szCs w:val="24"/>
          <w:u w:val="single"/>
          <w:lang w:val="en-US" w:bidi="ar"/>
        </w:rPr>
        <w:t xml:space="preserve">           </w:t>
      </w:r>
      <w:r>
        <w:rPr>
          <w:rFonts w:hint="eastAsia" w:ascii="宋体" w:hAnsi="宋体" w:eastAsia="宋体" w:cs="宋体"/>
          <w:bCs/>
          <w:color w:val="auto"/>
          <w:kern w:val="2"/>
          <w:sz w:val="24"/>
          <w:szCs w:val="24"/>
          <w:lang w:val="en-US" w:bidi="ar"/>
        </w:rPr>
        <w:t>；</w:t>
      </w:r>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0" w:firstLineChars="200"/>
        <w:textAlignment w:val="auto"/>
        <w:rPr>
          <w:rFonts w:hint="eastAsia" w:ascii="宋体" w:hAnsi="宋体" w:eastAsia="宋体" w:cs="宋体"/>
          <w:bCs/>
          <w:color w:val="auto"/>
          <w:kern w:val="2"/>
          <w:sz w:val="24"/>
          <w:szCs w:val="24"/>
          <w:lang w:val="en-US" w:bidi="ar"/>
        </w:rPr>
      </w:pPr>
      <w:r>
        <w:rPr>
          <w:rFonts w:hint="eastAsia" w:ascii="宋体" w:hAnsi="宋体" w:eastAsia="宋体" w:cs="宋体"/>
          <w:bCs/>
          <w:color w:val="auto"/>
          <w:kern w:val="2"/>
          <w:sz w:val="24"/>
          <w:szCs w:val="24"/>
          <w:lang w:val="en-US" w:bidi="ar"/>
        </w:rPr>
        <w:t>执业资格及等级：</w:t>
      </w:r>
      <w:r>
        <w:rPr>
          <w:rFonts w:hint="eastAsia" w:ascii="宋体" w:hAnsi="宋体" w:eastAsia="宋体" w:cs="宋体"/>
          <w:bCs/>
          <w:color w:val="auto"/>
          <w:kern w:val="2"/>
          <w:sz w:val="24"/>
          <w:szCs w:val="24"/>
          <w:u w:val="single"/>
          <w:lang w:val="en-US" w:bidi="ar"/>
        </w:rPr>
        <w:t xml:space="preserve">           </w:t>
      </w:r>
      <w:r>
        <w:rPr>
          <w:rFonts w:hint="eastAsia" w:ascii="宋体" w:hAnsi="宋体" w:eastAsia="宋体" w:cs="宋体"/>
          <w:bCs/>
          <w:color w:val="auto"/>
          <w:kern w:val="2"/>
          <w:sz w:val="24"/>
          <w:szCs w:val="24"/>
          <w:lang w:val="en-US" w:bidi="ar"/>
        </w:rPr>
        <w:t>；</w:t>
      </w:r>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0" w:firstLineChars="200"/>
        <w:textAlignment w:val="auto"/>
        <w:rPr>
          <w:rFonts w:hint="eastAsia" w:ascii="宋体" w:hAnsi="宋体" w:eastAsia="宋体" w:cs="宋体"/>
          <w:bCs/>
          <w:color w:val="auto"/>
          <w:kern w:val="2"/>
          <w:sz w:val="24"/>
          <w:szCs w:val="24"/>
          <w:lang w:val="en-US" w:bidi="ar"/>
        </w:rPr>
      </w:pPr>
      <w:r>
        <w:rPr>
          <w:rFonts w:hint="eastAsia" w:ascii="宋体" w:hAnsi="宋体" w:eastAsia="宋体" w:cs="宋体"/>
          <w:bCs/>
          <w:color w:val="auto"/>
          <w:kern w:val="2"/>
          <w:sz w:val="24"/>
          <w:szCs w:val="24"/>
          <w:lang w:val="en-US" w:bidi="ar"/>
        </w:rPr>
        <w:t>联系电话：</w:t>
      </w:r>
      <w:r>
        <w:rPr>
          <w:rFonts w:hint="eastAsia" w:ascii="宋体" w:hAnsi="宋体" w:eastAsia="宋体" w:cs="宋体"/>
          <w:bCs/>
          <w:color w:val="auto"/>
          <w:kern w:val="2"/>
          <w:sz w:val="24"/>
          <w:szCs w:val="24"/>
          <w:u w:val="single"/>
          <w:lang w:val="en-US" w:bidi="ar"/>
        </w:rPr>
        <w:t xml:space="preserve">           </w:t>
      </w:r>
      <w:r>
        <w:rPr>
          <w:rFonts w:hint="eastAsia" w:ascii="宋体" w:hAnsi="宋体" w:eastAsia="宋体" w:cs="宋体"/>
          <w:bCs/>
          <w:color w:val="auto"/>
          <w:kern w:val="2"/>
          <w:sz w:val="24"/>
          <w:szCs w:val="24"/>
          <w:u w:val="none"/>
          <w:lang w:val="en-US" w:bidi="ar"/>
        </w:rPr>
        <w:t xml:space="preserve"> </w:t>
      </w:r>
      <w:r>
        <w:rPr>
          <w:rFonts w:hint="eastAsia" w:ascii="宋体" w:hAnsi="宋体" w:eastAsia="宋体" w:cs="宋体"/>
          <w:bCs/>
          <w:color w:val="auto"/>
          <w:kern w:val="2"/>
          <w:sz w:val="24"/>
          <w:szCs w:val="24"/>
          <w:lang w:val="en-US" w:bidi="ar"/>
        </w:rPr>
        <w:t>；</w:t>
      </w:r>
    </w:p>
    <w:p>
      <w:pPr>
        <w:pStyle w:val="38"/>
        <w:keepNext w:val="0"/>
        <w:keepLines w:val="0"/>
        <w:pageBreakBefore w:val="0"/>
        <w:widowControl w:val="0"/>
        <w:kinsoku/>
        <w:wordWrap/>
        <w:overflowPunct/>
        <w:topLinePunct w:val="0"/>
        <w:bidi w:val="0"/>
        <w:spacing w:before="0" w:beforeLines="0" w:beforeAutospacing="0" w:after="0" w:afterAutospacing="0" w:line="312" w:lineRule="auto"/>
        <w:ind w:firstLine="480" w:firstLineChars="200"/>
        <w:textAlignment w:val="auto"/>
        <w:outlineLvl w:val="2"/>
        <w:rPr>
          <w:rFonts w:hint="eastAsia" w:ascii="宋体" w:hAnsi="宋体" w:eastAsia="宋体" w:cs="宋体"/>
          <w:bCs/>
          <w:color w:val="auto"/>
          <w:kern w:val="2"/>
          <w:sz w:val="24"/>
          <w:szCs w:val="24"/>
          <w:lang w:val="en-US" w:bidi="ar"/>
        </w:rPr>
      </w:pPr>
      <w:bookmarkStart w:id="1145" w:name="_Toc30792"/>
      <w:r>
        <w:rPr>
          <w:rFonts w:hint="eastAsia" w:ascii="宋体" w:hAnsi="宋体" w:eastAsia="宋体" w:cs="宋体"/>
          <w:bCs/>
          <w:color w:val="auto"/>
          <w:kern w:val="2"/>
          <w:sz w:val="24"/>
          <w:szCs w:val="24"/>
          <w:lang w:val="en-US" w:eastAsia="zh-CN" w:bidi="ar"/>
        </w:rPr>
        <w:t>2.乙方</w:t>
      </w:r>
      <w:r>
        <w:rPr>
          <w:rFonts w:hint="eastAsia" w:ascii="宋体" w:hAnsi="宋体" w:eastAsia="宋体" w:cs="宋体"/>
          <w:bCs/>
          <w:color w:val="auto"/>
          <w:kern w:val="2"/>
          <w:sz w:val="24"/>
          <w:szCs w:val="24"/>
          <w:lang w:val="en-US" w:bidi="ar"/>
        </w:rPr>
        <w:t>更换项目负责人的，应提前</w:t>
      </w:r>
      <w:r>
        <w:rPr>
          <w:rFonts w:hint="eastAsia" w:ascii="宋体" w:hAnsi="宋体" w:eastAsia="宋体" w:cs="宋体"/>
          <w:bCs/>
          <w:color w:val="auto"/>
          <w:kern w:val="2"/>
          <w:sz w:val="24"/>
          <w:szCs w:val="24"/>
          <w:u w:val="none"/>
          <w:lang w:val="en-US" w:bidi="ar"/>
        </w:rPr>
        <w:t xml:space="preserve"> 7 </w:t>
      </w:r>
      <w:r>
        <w:rPr>
          <w:rFonts w:hint="eastAsia" w:ascii="宋体" w:hAnsi="宋体" w:eastAsia="宋体" w:cs="宋体"/>
          <w:bCs/>
          <w:color w:val="auto"/>
          <w:kern w:val="2"/>
          <w:sz w:val="24"/>
          <w:szCs w:val="24"/>
          <w:lang w:val="en-US" w:bidi="ar"/>
        </w:rPr>
        <w:t>天书面通知</w:t>
      </w:r>
      <w:r>
        <w:rPr>
          <w:rFonts w:hint="eastAsia" w:ascii="宋体" w:hAnsi="宋体" w:eastAsia="宋体" w:cs="宋体"/>
          <w:bCs/>
          <w:color w:val="auto"/>
          <w:kern w:val="2"/>
          <w:sz w:val="24"/>
          <w:szCs w:val="24"/>
          <w:lang w:val="en-US" w:eastAsia="zh-CN" w:bidi="ar"/>
        </w:rPr>
        <w:t>甲方</w:t>
      </w:r>
      <w:r>
        <w:rPr>
          <w:rFonts w:hint="eastAsia" w:ascii="宋体" w:hAnsi="宋体" w:eastAsia="宋体" w:cs="宋体"/>
          <w:bCs/>
          <w:color w:val="auto"/>
          <w:kern w:val="2"/>
          <w:sz w:val="24"/>
          <w:szCs w:val="24"/>
          <w:lang w:val="en-US" w:bidi="ar"/>
        </w:rPr>
        <w:t>。</w:t>
      </w:r>
      <w:bookmarkEnd w:id="1145"/>
    </w:p>
    <w:p>
      <w:pPr>
        <w:pStyle w:val="38"/>
        <w:keepNext w:val="0"/>
        <w:keepLines w:val="0"/>
        <w:pageBreakBefore w:val="0"/>
        <w:kinsoku/>
        <w:wordWrap/>
        <w:overflowPunct/>
        <w:topLinePunct w:val="0"/>
        <w:bidi w:val="0"/>
        <w:spacing w:before="0" w:beforeLines="0" w:beforeAutospacing="0" w:after="0" w:afterAutospacing="0" w:line="312" w:lineRule="auto"/>
        <w:ind w:firstLine="480" w:firstLineChars="200"/>
        <w:textAlignment w:val="auto"/>
        <w:rPr>
          <w:rFonts w:hint="eastAsia" w:ascii="宋体" w:hAnsi="宋体" w:eastAsia="宋体" w:cs="宋体"/>
          <w:bCs/>
          <w:color w:val="auto"/>
          <w:kern w:val="2"/>
          <w:sz w:val="24"/>
          <w:szCs w:val="24"/>
          <w:u w:val="none"/>
          <w:lang w:val="en-US" w:bidi="ar"/>
        </w:rPr>
      </w:pPr>
      <w:r>
        <w:rPr>
          <w:rFonts w:hint="eastAsia" w:ascii="宋体" w:hAnsi="宋体" w:eastAsia="宋体" w:cs="宋体"/>
          <w:bCs/>
          <w:color w:val="auto"/>
          <w:kern w:val="2"/>
          <w:sz w:val="24"/>
          <w:szCs w:val="24"/>
          <w:lang w:val="en-US" w:eastAsia="zh-CN" w:bidi="ar"/>
        </w:rPr>
        <w:t>3.乙方</w:t>
      </w:r>
      <w:r>
        <w:rPr>
          <w:rFonts w:hint="eastAsia" w:ascii="宋体" w:hAnsi="宋体" w:eastAsia="宋体" w:cs="宋体"/>
          <w:bCs/>
          <w:color w:val="auto"/>
          <w:kern w:val="2"/>
          <w:sz w:val="24"/>
          <w:szCs w:val="24"/>
          <w:lang w:val="en-US" w:bidi="ar"/>
        </w:rPr>
        <w:t>擅自更换项目负责人的违约责任：</w:t>
      </w:r>
      <w:r>
        <w:rPr>
          <w:rFonts w:hint="eastAsia" w:ascii="宋体" w:hAnsi="宋体" w:eastAsia="宋体" w:cs="宋体"/>
          <w:bCs/>
          <w:color w:val="auto"/>
          <w:kern w:val="2"/>
          <w:sz w:val="24"/>
          <w:szCs w:val="24"/>
          <w:u w:val="none"/>
          <w:lang w:val="en-US" w:bidi="ar"/>
        </w:rPr>
        <w:t>未经</w:t>
      </w:r>
      <w:r>
        <w:rPr>
          <w:rFonts w:hint="eastAsia" w:ascii="宋体" w:hAnsi="宋体" w:eastAsia="宋体" w:cs="宋体"/>
          <w:bCs/>
          <w:color w:val="auto"/>
          <w:kern w:val="2"/>
          <w:sz w:val="24"/>
          <w:szCs w:val="24"/>
          <w:lang w:val="en-US" w:eastAsia="zh-CN" w:bidi="ar"/>
        </w:rPr>
        <w:t>甲方</w:t>
      </w:r>
      <w:r>
        <w:rPr>
          <w:rFonts w:hint="eastAsia" w:ascii="宋体" w:hAnsi="宋体" w:eastAsia="宋体" w:cs="宋体"/>
          <w:bCs/>
          <w:color w:val="auto"/>
          <w:kern w:val="2"/>
          <w:sz w:val="24"/>
          <w:szCs w:val="24"/>
          <w:u w:val="none"/>
          <w:lang w:val="en-US" w:bidi="ar"/>
        </w:rPr>
        <w:t>书面同意，</w:t>
      </w:r>
      <w:r>
        <w:rPr>
          <w:rFonts w:hint="eastAsia" w:ascii="宋体" w:hAnsi="宋体" w:eastAsia="宋体" w:cs="宋体"/>
          <w:bCs/>
          <w:color w:val="auto"/>
          <w:kern w:val="2"/>
          <w:sz w:val="24"/>
          <w:szCs w:val="24"/>
          <w:u w:val="none"/>
          <w:lang w:val="en-US" w:eastAsia="zh-CN" w:bidi="ar"/>
        </w:rPr>
        <w:t>乙方</w:t>
      </w:r>
      <w:r>
        <w:rPr>
          <w:rFonts w:hint="eastAsia" w:ascii="宋体" w:hAnsi="宋体" w:eastAsia="宋体" w:cs="宋体"/>
          <w:bCs/>
          <w:color w:val="auto"/>
          <w:kern w:val="2"/>
          <w:sz w:val="24"/>
          <w:szCs w:val="24"/>
          <w:u w:val="none"/>
          <w:lang w:val="en-US" w:bidi="ar"/>
        </w:rPr>
        <w:t>不得撤换项目负责人，否则，</w:t>
      </w:r>
      <w:r>
        <w:rPr>
          <w:rFonts w:hint="eastAsia" w:ascii="宋体" w:hAnsi="宋体" w:eastAsia="宋体" w:cs="宋体"/>
          <w:bCs/>
          <w:color w:val="auto"/>
          <w:kern w:val="2"/>
          <w:sz w:val="24"/>
          <w:szCs w:val="24"/>
          <w:u w:val="none"/>
          <w:lang w:val="en-US" w:eastAsia="zh-CN" w:bidi="ar"/>
        </w:rPr>
        <w:t>乙方</w:t>
      </w:r>
      <w:r>
        <w:rPr>
          <w:rFonts w:hint="eastAsia" w:ascii="宋体" w:hAnsi="宋体" w:eastAsia="宋体" w:cs="宋体"/>
          <w:bCs/>
          <w:color w:val="auto"/>
          <w:kern w:val="2"/>
          <w:sz w:val="24"/>
          <w:szCs w:val="24"/>
          <w:u w:val="none"/>
          <w:lang w:val="en-US" w:bidi="ar"/>
        </w:rPr>
        <w:t>向</w:t>
      </w:r>
      <w:r>
        <w:rPr>
          <w:rFonts w:hint="eastAsia" w:ascii="宋体" w:hAnsi="宋体" w:eastAsia="宋体" w:cs="宋体"/>
          <w:bCs/>
          <w:color w:val="auto"/>
          <w:kern w:val="2"/>
          <w:sz w:val="24"/>
          <w:szCs w:val="24"/>
          <w:u w:val="none"/>
          <w:lang w:val="en-US" w:eastAsia="zh-CN" w:bidi="ar"/>
        </w:rPr>
        <w:t>甲方</w:t>
      </w:r>
      <w:r>
        <w:rPr>
          <w:rFonts w:hint="eastAsia" w:ascii="宋体" w:hAnsi="宋体" w:eastAsia="宋体" w:cs="宋体"/>
          <w:bCs/>
          <w:color w:val="auto"/>
          <w:kern w:val="2"/>
          <w:sz w:val="24"/>
          <w:szCs w:val="24"/>
          <w:u w:val="none"/>
          <w:lang w:val="en-US" w:bidi="ar"/>
        </w:rPr>
        <w:t>支付人员撤换金（伍万元人民币），并在七日内恢复原有人员。</w:t>
      </w:r>
    </w:p>
    <w:p>
      <w:pPr>
        <w:outlineLvl w:val="1"/>
        <w:rPr>
          <w:rFonts w:hint="eastAsia" w:ascii="宋体" w:hAnsi="宋体" w:eastAsia="宋体" w:cs="宋体"/>
          <w:b/>
          <w:bCs/>
          <w:sz w:val="24"/>
          <w:szCs w:val="24"/>
          <w:lang w:val="en-US" w:eastAsia="zh-CN"/>
        </w:rPr>
      </w:pPr>
      <w:bookmarkStart w:id="1146" w:name="_Toc919"/>
      <w:bookmarkStart w:id="1147" w:name="_Toc20027"/>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、知识产权</w:t>
      </w:r>
      <w:bookmarkEnd w:id="1146"/>
      <w:bookmarkEnd w:id="1147"/>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48" w:name="_Toc18877"/>
      <w:bookmarkStart w:id="1149" w:name="_Toc17726"/>
      <w:r>
        <w:rPr>
          <w:rFonts w:hint="eastAsia" w:ascii="宋体" w:hAnsi="宋体" w:eastAsia="宋体" w:cs="宋体"/>
          <w:b/>
          <w:bCs/>
          <w:sz w:val="24"/>
          <w:szCs w:val="24"/>
          <w:lang w:eastAsia="zh-CN"/>
        </w:rPr>
        <w:t>九、</w:t>
      </w:r>
      <w:bookmarkEnd w:id="1148"/>
      <w:bookmarkEnd w:id="1149"/>
      <w:bookmarkStart w:id="1150" w:name="_Toc6280"/>
      <w:bookmarkStart w:id="1151" w:name="_Toc24275"/>
      <w:r>
        <w:rPr>
          <w:rFonts w:hint="eastAsia" w:ascii="宋体" w:hAnsi="宋体" w:eastAsia="宋体" w:cs="宋体"/>
          <w:b/>
          <w:bCs/>
          <w:sz w:val="24"/>
          <w:szCs w:val="24"/>
          <w:lang w:val="en-US" w:eastAsia="zh-CN"/>
        </w:rPr>
        <w:t>履约保证金</w:t>
      </w:r>
      <w:bookmarkEnd w:id="1150"/>
      <w:bookmarkEnd w:id="1151"/>
    </w:p>
    <w:p>
      <w:pPr>
        <w:pStyle w:val="16"/>
        <w:widowControl w:val="0"/>
        <w:adjustRightInd/>
        <w:snapToGrid/>
        <w:spacing w:before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缴纳金额：</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缴纳，为合同价格的1.0%</w:t>
      </w:r>
      <w:r>
        <w:rPr>
          <w:rFonts w:hint="eastAsia" w:ascii="宋体" w:hAnsi="宋体" w:eastAsia="宋体" w:cs="宋体"/>
          <w:color w:val="auto"/>
          <w:sz w:val="24"/>
          <w:szCs w:val="24"/>
          <w:highlight w:val="none"/>
          <w:lang w:eastAsia="zh-CN"/>
        </w:rPr>
        <w:t>，即人民币</w:t>
      </w:r>
      <w:r>
        <w:rPr>
          <w:rFonts w:hint="eastAsia" w:ascii="宋体" w:hAnsi="宋体" w:eastAsia="宋体" w:cs="宋体"/>
          <w:color w:val="auto"/>
          <w:sz w:val="24"/>
          <w:szCs w:val="24"/>
          <w:highlight w:val="none"/>
          <w:lang w:val="zh-CN" w:eastAsia="zh-CN"/>
        </w:rPr>
        <w:t>（大写）：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元整；小写：（¥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pPr>
        <w:pStyle w:val="16"/>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缴纳方式：汇票/支票/银行转账/银行保函/保险保函。</w:t>
      </w:r>
    </w:p>
    <w:p>
      <w:pPr>
        <w:pStyle w:val="16"/>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缴纳时间：本项目中标通知书发出后30个自然日内缴纳。</w:t>
      </w:r>
    </w:p>
    <w:p>
      <w:pPr>
        <w:pStyle w:val="16"/>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退还条件：履约保证金在整个项目验收合格后7个工作日内退还（不计息）。</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val="0"/>
          <w:sz w:val="24"/>
          <w:szCs w:val="24"/>
          <w:lang w:val="en-US" w:eastAsia="zh-CN"/>
        </w:rPr>
      </w:pPr>
      <w:bookmarkStart w:id="1152" w:name="_Toc23322"/>
      <w:bookmarkStart w:id="1153" w:name="_Toc18863"/>
      <w:r>
        <w:rPr>
          <w:rFonts w:hint="eastAsia" w:ascii="宋体" w:hAnsi="宋体" w:cs="宋体"/>
          <w:b/>
          <w:bCs w:val="0"/>
          <w:color w:val="auto"/>
          <w:kern w:val="2"/>
          <w:sz w:val="24"/>
          <w:szCs w:val="24"/>
          <w:highlight w:val="none"/>
          <w:lang w:val="en-US" w:eastAsia="zh-CN" w:bidi="ar-SA"/>
        </w:rPr>
        <w:t>十</w:t>
      </w:r>
      <w:r>
        <w:rPr>
          <w:rFonts w:hint="eastAsia" w:ascii="宋体" w:hAnsi="宋体" w:eastAsia="宋体" w:cs="宋体"/>
          <w:b/>
          <w:bCs w:val="0"/>
          <w:sz w:val="24"/>
          <w:szCs w:val="24"/>
          <w:lang w:val="en-US" w:eastAsia="zh-CN"/>
        </w:rPr>
        <w:t>、转包或分包</w:t>
      </w:r>
      <w:bookmarkEnd w:id="1152"/>
      <w:bookmarkEnd w:id="1153"/>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outlineLvl w:val="2"/>
        <w:rPr>
          <w:rFonts w:hint="eastAsia" w:ascii="宋体" w:hAnsi="宋体" w:eastAsia="宋体" w:cs="宋体"/>
          <w:color w:val="auto"/>
          <w:sz w:val="24"/>
          <w:szCs w:val="24"/>
          <w:highlight w:val="none"/>
        </w:rPr>
      </w:pPr>
      <w:bookmarkStart w:id="1154" w:name="_Toc2035"/>
      <w:r>
        <w:rPr>
          <w:rFonts w:hint="eastAsia" w:ascii="宋体" w:hAnsi="宋体" w:eastAsia="宋体" w:cs="宋体"/>
          <w:color w:val="auto"/>
          <w:sz w:val="24"/>
          <w:szCs w:val="24"/>
          <w:highlight w:val="none"/>
        </w:rPr>
        <w:t>1.本合同范围的货物，应由乙方直接供应，不得转让他人供应；</w:t>
      </w:r>
      <w:bookmarkEnd w:id="1154"/>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55" w:name="_Toc3711"/>
      <w:bookmarkStart w:id="1156" w:name="_Toc6416"/>
      <w:r>
        <w:rPr>
          <w:rFonts w:hint="eastAsia" w:ascii="宋体" w:hAnsi="宋体" w:cs="宋体"/>
          <w:b/>
          <w:bCs/>
          <w:sz w:val="24"/>
          <w:szCs w:val="24"/>
          <w:lang w:val="en-US" w:eastAsia="zh-CN"/>
        </w:rPr>
        <w:t>十一</w:t>
      </w:r>
      <w:r>
        <w:rPr>
          <w:rFonts w:hint="eastAsia" w:ascii="宋体" w:hAnsi="宋体" w:eastAsia="宋体" w:cs="宋体"/>
          <w:b/>
          <w:bCs/>
          <w:sz w:val="24"/>
          <w:szCs w:val="24"/>
          <w:lang w:val="en-US" w:eastAsia="zh-CN"/>
        </w:rPr>
        <w:t>、质保期</w:t>
      </w:r>
      <w:bookmarkEnd w:id="1155"/>
      <w:bookmarkEnd w:id="1156"/>
    </w:p>
    <w:p>
      <w:pPr>
        <w:pStyle w:val="76"/>
        <w:spacing w:beforeLines="0" w:line="312" w:lineRule="auto"/>
        <w:ind w:firstLine="480" w:firstLineChars="200"/>
        <w:rPr>
          <w:rStyle w:val="163"/>
          <w:rFonts w:ascii="宋体" w:hAnsi="宋体" w:eastAsia="宋体" w:cs="宋体"/>
          <w:szCs w:val="24"/>
        </w:rPr>
      </w:pPr>
      <w:r>
        <w:rPr>
          <w:rStyle w:val="163"/>
          <w:rFonts w:hint="eastAsia" w:ascii="宋体" w:hAnsi="宋体" w:eastAsia="宋体" w:cs="宋体"/>
          <w:szCs w:val="24"/>
          <w:lang w:val="en-US" w:eastAsia="zh-CN"/>
        </w:rPr>
        <w:t>1.质保期：</w:t>
      </w:r>
      <w:r>
        <w:rPr>
          <w:rStyle w:val="163"/>
          <w:rFonts w:hint="eastAsia" w:ascii="宋体" w:hAnsi="宋体" w:eastAsia="宋体" w:cs="宋体"/>
          <w:szCs w:val="24"/>
          <w:u w:val="single"/>
          <w:lang w:val="en-US" w:eastAsia="zh-CN"/>
        </w:rPr>
        <w:t xml:space="preserve">    </w:t>
      </w:r>
      <w:r>
        <w:rPr>
          <w:rStyle w:val="163"/>
          <w:rFonts w:hint="eastAsia" w:ascii="宋体" w:hAnsi="宋体" w:eastAsia="宋体" w:cs="宋体"/>
          <w:szCs w:val="24"/>
          <w:lang w:val="en-US" w:eastAsia="zh-CN"/>
        </w:rPr>
        <w:t>年</w:t>
      </w:r>
      <w:r>
        <w:rPr>
          <w:rStyle w:val="163"/>
          <w:rFonts w:hint="eastAsia" w:ascii="宋体" w:hAnsi="宋体" w:eastAsia="宋体" w:cs="宋体"/>
          <w:szCs w:val="24"/>
        </w:rPr>
        <w:t>。如厂家提供的质保期超过上述要求的，按厂家的质保期执行。自项目整体验收合格之日起计，质保期内，与质保和维修相关的所有费用均由</w:t>
      </w:r>
      <w:r>
        <w:rPr>
          <w:rStyle w:val="163"/>
          <w:rFonts w:hint="eastAsia" w:ascii="宋体" w:hAnsi="宋体" w:eastAsia="宋体" w:cs="宋体"/>
          <w:szCs w:val="24"/>
          <w:lang w:eastAsia="zh-CN"/>
        </w:rPr>
        <w:t>投标人</w:t>
      </w:r>
      <w:r>
        <w:rPr>
          <w:rStyle w:val="163"/>
          <w:rFonts w:hint="eastAsia" w:ascii="宋体" w:hAnsi="宋体" w:eastAsia="宋体" w:cs="宋体"/>
          <w:szCs w:val="24"/>
        </w:rPr>
        <w:t>承担。</w:t>
      </w:r>
    </w:p>
    <w:p>
      <w:pPr>
        <w:pStyle w:val="76"/>
        <w:spacing w:beforeLines="0" w:line="312" w:lineRule="auto"/>
        <w:ind w:firstLine="480" w:firstLineChars="200"/>
        <w:rPr>
          <w:rStyle w:val="163"/>
          <w:rFonts w:ascii="宋体" w:hAnsi="宋体" w:eastAsia="宋体" w:cs="宋体"/>
          <w:szCs w:val="24"/>
        </w:rPr>
      </w:pPr>
      <w:r>
        <w:rPr>
          <w:rStyle w:val="163"/>
          <w:rFonts w:hint="eastAsia" w:ascii="宋体" w:hAnsi="宋体" w:eastAsia="宋体" w:cs="宋体"/>
          <w:szCs w:val="24"/>
          <w:lang w:val="en-US" w:eastAsia="zh-CN"/>
        </w:rPr>
        <w:t>2.</w:t>
      </w:r>
      <w:r>
        <w:rPr>
          <w:rStyle w:val="163"/>
          <w:rFonts w:hint="eastAsia" w:ascii="宋体" w:hAnsi="宋体" w:eastAsia="宋体" w:cs="宋体"/>
          <w:szCs w:val="24"/>
        </w:rPr>
        <w:t>国家主管部门或者行业标准对货物本身有更高要求的，从其规定并在合同中约定，</w:t>
      </w:r>
      <w:r>
        <w:rPr>
          <w:rStyle w:val="163"/>
          <w:rFonts w:hint="eastAsia" w:ascii="宋体" w:hAnsi="宋体" w:eastAsia="宋体" w:cs="宋体"/>
          <w:szCs w:val="24"/>
          <w:lang w:val="en-US" w:eastAsia="zh-CN"/>
        </w:rPr>
        <w:t>乙方</w:t>
      </w:r>
      <w:r>
        <w:rPr>
          <w:rStyle w:val="163"/>
          <w:rFonts w:hint="eastAsia" w:ascii="宋体" w:hAnsi="宋体" w:eastAsia="宋体" w:cs="宋体"/>
          <w:szCs w:val="24"/>
        </w:rPr>
        <w:t>亦可提报更长的质保期。</w:t>
      </w:r>
    </w:p>
    <w:p>
      <w:pPr>
        <w:pStyle w:val="76"/>
        <w:spacing w:beforeLines="0" w:line="312" w:lineRule="auto"/>
        <w:ind w:firstLine="480" w:firstLineChars="200"/>
        <w:rPr>
          <w:rStyle w:val="163"/>
          <w:rFonts w:ascii="宋体" w:hAnsi="宋体" w:eastAsia="宋体" w:cs="宋体"/>
          <w:szCs w:val="24"/>
        </w:rPr>
      </w:pPr>
      <w:r>
        <w:rPr>
          <w:rStyle w:val="163"/>
          <w:rFonts w:hint="eastAsia" w:ascii="宋体" w:hAnsi="宋体" w:eastAsia="宋体" w:cs="宋体"/>
          <w:szCs w:val="24"/>
          <w:lang w:val="en-US" w:eastAsia="zh-CN"/>
        </w:rPr>
        <w:t>3.</w:t>
      </w:r>
      <w:r>
        <w:rPr>
          <w:rStyle w:val="163"/>
          <w:rFonts w:hint="eastAsia" w:ascii="宋体" w:hAnsi="宋体" w:eastAsia="宋体" w:cs="宋体"/>
          <w:szCs w:val="24"/>
        </w:rPr>
        <w:t>质量保证期内，如果证实货物是有缺陷的，包括潜在的缺陷或者使用不符合要求的材料等，</w:t>
      </w:r>
      <w:r>
        <w:rPr>
          <w:rStyle w:val="163"/>
          <w:rFonts w:hint="eastAsia" w:ascii="宋体" w:hAnsi="宋体" w:eastAsia="宋体" w:cs="宋体"/>
          <w:szCs w:val="24"/>
          <w:lang w:eastAsia="zh-CN"/>
        </w:rPr>
        <w:t>投标人</w:t>
      </w:r>
      <w:r>
        <w:rPr>
          <w:rStyle w:val="163"/>
          <w:rFonts w:hint="eastAsia" w:ascii="宋体" w:hAnsi="宋体" w:eastAsia="宋体" w:cs="宋体"/>
          <w:szCs w:val="24"/>
        </w:rPr>
        <w:t>应立即免费维修或者更换有缺陷的货物或者部件，保证达到合同规定的技术以及性能要求。如果</w:t>
      </w:r>
      <w:r>
        <w:rPr>
          <w:rStyle w:val="163"/>
          <w:rFonts w:hint="eastAsia" w:ascii="宋体" w:hAnsi="宋体" w:eastAsia="宋体" w:cs="宋体"/>
          <w:szCs w:val="24"/>
          <w:lang w:eastAsia="zh-CN"/>
        </w:rPr>
        <w:t>投标人</w:t>
      </w:r>
      <w:r>
        <w:rPr>
          <w:rStyle w:val="163"/>
          <w:rFonts w:hint="eastAsia" w:ascii="宋体" w:hAnsi="宋体" w:eastAsia="宋体" w:cs="宋体"/>
          <w:szCs w:val="24"/>
        </w:rPr>
        <w:t>在收到通知后5天内没有弥补缺陷，</w:t>
      </w:r>
      <w:r>
        <w:rPr>
          <w:rStyle w:val="163"/>
          <w:rFonts w:hint="eastAsia" w:ascii="宋体" w:hAnsi="宋体" w:eastAsia="宋体" w:cs="宋体"/>
          <w:szCs w:val="24"/>
          <w:lang w:eastAsia="zh-CN"/>
        </w:rPr>
        <w:t>甲方</w:t>
      </w:r>
      <w:r>
        <w:rPr>
          <w:rStyle w:val="163"/>
          <w:rFonts w:hint="eastAsia" w:ascii="宋体" w:hAnsi="宋体" w:eastAsia="宋体" w:cs="宋体"/>
          <w:szCs w:val="24"/>
        </w:rPr>
        <w:t>可自行采取必要的补救措施，但风险和费用由</w:t>
      </w:r>
      <w:r>
        <w:rPr>
          <w:rStyle w:val="163"/>
          <w:rFonts w:hint="eastAsia" w:ascii="宋体" w:hAnsi="宋体" w:eastAsia="宋体" w:cs="宋体"/>
          <w:szCs w:val="24"/>
          <w:lang w:eastAsia="zh-CN"/>
        </w:rPr>
        <w:t>乙方</w:t>
      </w:r>
      <w:r>
        <w:rPr>
          <w:rStyle w:val="163"/>
          <w:rFonts w:hint="eastAsia" w:ascii="宋体" w:hAnsi="宋体" w:eastAsia="宋体" w:cs="宋体"/>
          <w:szCs w:val="24"/>
        </w:rPr>
        <w:t>承担，</w:t>
      </w:r>
      <w:r>
        <w:rPr>
          <w:rStyle w:val="163"/>
          <w:rFonts w:hint="eastAsia" w:ascii="宋体" w:hAnsi="宋体" w:eastAsia="宋体" w:cs="宋体"/>
          <w:szCs w:val="24"/>
          <w:lang w:eastAsia="zh-CN"/>
        </w:rPr>
        <w:t>甲方</w:t>
      </w:r>
      <w:r>
        <w:rPr>
          <w:rStyle w:val="163"/>
          <w:rFonts w:hint="eastAsia" w:ascii="宋体" w:hAnsi="宋体" w:eastAsia="宋体" w:cs="宋体"/>
          <w:szCs w:val="24"/>
        </w:rPr>
        <w:t>同时保留通过法律途径进行索赔的权利。</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57" w:name="_Toc12717"/>
      <w:bookmarkStart w:id="1158" w:name="_Toc26795"/>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、包装和运输</w:t>
      </w:r>
      <w:bookmarkEnd w:id="1157"/>
      <w:bookmarkEnd w:id="1158"/>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1.乙方应在货物发运前对其进行满足运输距离等要求包装，以保证货物安全运达甲方指定地点。</w:t>
      </w:r>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3.乙方在货物发运手续办理完毕后24小时内或货到甲方48小时前通知甲方，以准备接货。</w:t>
      </w:r>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outlineLvl w:val="2"/>
        <w:rPr>
          <w:rFonts w:hint="eastAsia" w:ascii="宋体" w:hAnsi="宋体" w:eastAsia="宋体" w:cs="宋体"/>
          <w:color w:val="auto"/>
          <w:sz w:val="24"/>
          <w:szCs w:val="24"/>
          <w:highlight w:val="none"/>
        </w:rPr>
      </w:pPr>
      <w:bookmarkStart w:id="1159" w:name="_Toc31989"/>
      <w:r>
        <w:rPr>
          <w:rFonts w:hint="eastAsia" w:ascii="宋体" w:hAnsi="宋体" w:eastAsia="宋体" w:cs="宋体"/>
          <w:color w:val="auto"/>
          <w:sz w:val="24"/>
          <w:szCs w:val="24"/>
          <w:highlight w:val="none"/>
        </w:rPr>
        <w:t>4.货物在交付甲方前发生的风险均由乙方负责。</w:t>
      </w:r>
      <w:bookmarkEnd w:id="1159"/>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60" w:name="_Toc17407"/>
      <w:bookmarkStart w:id="1161" w:name="_Toc21243"/>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、税费</w:t>
      </w:r>
      <w:bookmarkEnd w:id="1160"/>
      <w:bookmarkEnd w:id="1161"/>
    </w:p>
    <w:p>
      <w:pPr>
        <w:pStyle w:val="16"/>
        <w:keepNext w:val="0"/>
        <w:keepLines w:val="0"/>
        <w:pageBreakBefore w:val="0"/>
        <w:widowControl w:val="0"/>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62" w:name="_Toc939"/>
      <w:bookmarkStart w:id="1163" w:name="_Toc15783"/>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、质量保证及售后服务</w:t>
      </w:r>
      <w:bookmarkEnd w:id="1162"/>
      <w:bookmarkEnd w:id="1163"/>
    </w:p>
    <w:p>
      <w:pPr>
        <w:pStyle w:val="76"/>
        <w:spacing w:beforeLines="0" w:line="312"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1.</w:t>
      </w:r>
      <w:r>
        <w:rPr>
          <w:rStyle w:val="163"/>
          <w:rFonts w:hint="eastAsia" w:ascii="宋体" w:hAnsi="宋体" w:eastAsia="宋体" w:cs="宋体"/>
          <w:szCs w:val="24"/>
          <w:lang w:eastAsia="zh-CN"/>
        </w:rPr>
        <w:t>乙方</w:t>
      </w:r>
      <w:r>
        <w:rPr>
          <w:rStyle w:val="163"/>
          <w:rFonts w:hint="eastAsia" w:ascii="宋体" w:hAnsi="宋体" w:eastAsia="宋体" w:cs="宋体"/>
          <w:szCs w:val="24"/>
        </w:rPr>
        <w:t>所投产品必须为全新的、符合国家有关质量标准的产品；产品的保修期自验收合格之日起三年，质保期间，</w:t>
      </w:r>
      <w:r>
        <w:rPr>
          <w:rStyle w:val="163"/>
          <w:rFonts w:hint="eastAsia" w:ascii="宋体" w:hAnsi="宋体" w:eastAsia="宋体" w:cs="宋体"/>
          <w:szCs w:val="24"/>
          <w:lang w:eastAsia="zh-CN"/>
        </w:rPr>
        <w:t>乙方</w:t>
      </w:r>
      <w:r>
        <w:rPr>
          <w:rStyle w:val="163"/>
          <w:rFonts w:hint="eastAsia" w:ascii="宋体" w:hAnsi="宋体" w:eastAsia="宋体" w:cs="宋体"/>
          <w:szCs w:val="24"/>
        </w:rPr>
        <w:t>应免费负责维护；质保期后长期提供良好的技术支持。</w:t>
      </w:r>
    </w:p>
    <w:p>
      <w:pPr>
        <w:pStyle w:val="76"/>
        <w:spacing w:beforeLines="0" w:line="312"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2.</w:t>
      </w:r>
      <w:r>
        <w:rPr>
          <w:rStyle w:val="163"/>
          <w:rFonts w:hint="eastAsia" w:ascii="宋体" w:hAnsi="宋体" w:eastAsia="宋体" w:cs="宋体"/>
          <w:szCs w:val="24"/>
        </w:rPr>
        <w:t>质量保证期自</w:t>
      </w:r>
      <w:r>
        <w:rPr>
          <w:rStyle w:val="163"/>
          <w:rFonts w:hint="eastAsia" w:ascii="宋体" w:hAnsi="宋体" w:eastAsia="宋体" w:cs="宋体"/>
          <w:szCs w:val="24"/>
          <w:lang w:eastAsia="zh-CN"/>
        </w:rPr>
        <w:t>甲方</w:t>
      </w:r>
      <w:r>
        <w:rPr>
          <w:rStyle w:val="163"/>
          <w:rFonts w:hint="eastAsia" w:ascii="宋体" w:hAnsi="宋体" w:eastAsia="宋体" w:cs="宋体"/>
          <w:szCs w:val="24"/>
        </w:rPr>
        <w:t>（或其被委托人）在验收报告上签署“验收合格”之日起计算；质量保证期内免费维修更换配件；</w:t>
      </w:r>
      <w:r>
        <w:rPr>
          <w:rStyle w:val="163"/>
          <w:rFonts w:hint="eastAsia" w:ascii="宋体" w:hAnsi="宋体" w:eastAsia="宋体" w:cs="宋体"/>
          <w:szCs w:val="24"/>
          <w:lang w:eastAsia="zh-CN"/>
        </w:rPr>
        <w:t>乙方</w:t>
      </w:r>
      <w:r>
        <w:rPr>
          <w:rStyle w:val="163"/>
          <w:rFonts w:hint="eastAsia" w:ascii="宋体" w:hAnsi="宋体" w:eastAsia="宋体" w:cs="宋体"/>
          <w:szCs w:val="24"/>
        </w:rPr>
        <w:t>须提供详细的售后服务承诺及准确有效的服务机构联系方式。</w:t>
      </w:r>
    </w:p>
    <w:p>
      <w:pPr>
        <w:pStyle w:val="76"/>
        <w:spacing w:beforeLines="0" w:line="312"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3.</w:t>
      </w:r>
      <w:r>
        <w:rPr>
          <w:rStyle w:val="163"/>
          <w:rFonts w:hint="eastAsia" w:ascii="宋体" w:hAnsi="宋体" w:eastAsia="宋体" w:cs="宋体"/>
          <w:szCs w:val="24"/>
          <w:lang w:eastAsia="zh-CN"/>
        </w:rPr>
        <w:t>乙方</w:t>
      </w:r>
      <w:r>
        <w:rPr>
          <w:rStyle w:val="163"/>
          <w:rFonts w:hint="eastAsia" w:ascii="宋体" w:hAnsi="宋体" w:eastAsia="宋体" w:cs="宋体"/>
          <w:szCs w:val="24"/>
        </w:rPr>
        <w:t>能提供24小时全天候召修服务，接到故障通知后3小时以内到达现场履行维修服务义务，12小时解决问题，若不能在12小时内解决，须提供同等性能、同等配置的产品替换，质量保证期内的维修发生的一切费用由</w:t>
      </w:r>
      <w:r>
        <w:rPr>
          <w:rStyle w:val="163"/>
          <w:rFonts w:hint="eastAsia" w:ascii="宋体" w:hAnsi="宋体" w:eastAsia="宋体" w:cs="宋体"/>
          <w:szCs w:val="24"/>
          <w:lang w:eastAsia="zh-CN"/>
        </w:rPr>
        <w:t>乙方</w:t>
      </w:r>
      <w:r>
        <w:rPr>
          <w:rStyle w:val="163"/>
          <w:rFonts w:hint="eastAsia" w:ascii="宋体" w:hAnsi="宋体" w:eastAsia="宋体" w:cs="宋体"/>
          <w:szCs w:val="24"/>
        </w:rPr>
        <w:t>承担。</w:t>
      </w:r>
    </w:p>
    <w:p>
      <w:pPr>
        <w:pStyle w:val="76"/>
        <w:spacing w:beforeLines="0" w:line="312"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4.</w:t>
      </w:r>
      <w:r>
        <w:rPr>
          <w:rStyle w:val="163"/>
          <w:rFonts w:hint="eastAsia" w:ascii="宋体" w:hAnsi="宋体" w:eastAsia="宋体" w:cs="宋体"/>
          <w:szCs w:val="24"/>
        </w:rPr>
        <w:t>备品备件及耗材要求：该产品所需要的所有配件，</w:t>
      </w:r>
      <w:r>
        <w:rPr>
          <w:rStyle w:val="163"/>
          <w:rFonts w:hint="eastAsia" w:ascii="宋体" w:hAnsi="宋体" w:eastAsia="宋体" w:cs="宋体"/>
          <w:szCs w:val="24"/>
          <w:lang w:eastAsia="zh-CN"/>
        </w:rPr>
        <w:t>乙方</w:t>
      </w:r>
      <w:r>
        <w:rPr>
          <w:rStyle w:val="163"/>
          <w:rFonts w:hint="eastAsia" w:ascii="宋体" w:hAnsi="宋体" w:eastAsia="宋体" w:cs="宋体"/>
          <w:szCs w:val="24"/>
        </w:rPr>
        <w:t>应常年备货。</w:t>
      </w:r>
      <w:r>
        <w:rPr>
          <w:rStyle w:val="163"/>
          <w:rFonts w:hint="eastAsia" w:ascii="宋体" w:hAnsi="宋体" w:eastAsia="宋体" w:cs="宋体"/>
          <w:szCs w:val="24"/>
          <w:lang w:eastAsia="zh-CN"/>
        </w:rPr>
        <w:t>乙方</w:t>
      </w:r>
      <w:r>
        <w:rPr>
          <w:rStyle w:val="163"/>
          <w:rFonts w:hint="eastAsia" w:ascii="宋体" w:hAnsi="宋体" w:eastAsia="宋体" w:cs="宋体"/>
          <w:szCs w:val="24"/>
        </w:rPr>
        <w:t>在免费保修期内免费提供保证产品正常运行的全部备件及维护。</w:t>
      </w:r>
    </w:p>
    <w:p>
      <w:pPr>
        <w:pStyle w:val="76"/>
        <w:spacing w:beforeLines="0" w:line="312" w:lineRule="auto"/>
        <w:ind w:firstLine="480" w:firstLineChars="200"/>
        <w:rPr>
          <w:rStyle w:val="163"/>
          <w:rFonts w:hint="eastAsia" w:ascii="宋体" w:hAnsi="宋体" w:eastAsia="宋体" w:cs="宋体"/>
          <w:szCs w:val="24"/>
        </w:rPr>
      </w:pPr>
      <w:r>
        <w:rPr>
          <w:rStyle w:val="163"/>
          <w:rFonts w:hint="eastAsia" w:ascii="宋体" w:hAnsi="宋体" w:eastAsia="宋体" w:cs="宋体"/>
          <w:szCs w:val="24"/>
          <w:lang w:val="en-US" w:eastAsia="zh-CN"/>
        </w:rPr>
        <w:t>5.</w:t>
      </w:r>
      <w:r>
        <w:rPr>
          <w:rStyle w:val="163"/>
          <w:rFonts w:hint="eastAsia" w:ascii="宋体" w:hAnsi="宋体" w:eastAsia="宋体" w:cs="宋体"/>
          <w:szCs w:val="24"/>
        </w:rPr>
        <w:t>在</w:t>
      </w:r>
      <w:r>
        <w:rPr>
          <w:rStyle w:val="163"/>
          <w:rFonts w:hint="eastAsia" w:ascii="宋体" w:hAnsi="宋体" w:eastAsia="宋体" w:cs="宋体"/>
          <w:szCs w:val="24"/>
          <w:lang w:eastAsia="zh-CN"/>
        </w:rPr>
        <w:t>乙方</w:t>
      </w:r>
      <w:r>
        <w:rPr>
          <w:rStyle w:val="163"/>
          <w:rFonts w:hint="eastAsia" w:ascii="宋体" w:hAnsi="宋体" w:eastAsia="宋体" w:cs="宋体"/>
          <w:szCs w:val="24"/>
        </w:rPr>
        <w:t>承诺的质保期内，因产品制造质量不良而产生损坏或不能正常工作，</w:t>
      </w:r>
      <w:r>
        <w:rPr>
          <w:rStyle w:val="163"/>
          <w:rFonts w:hint="eastAsia" w:ascii="宋体" w:hAnsi="宋体" w:eastAsia="宋体" w:cs="宋体"/>
          <w:szCs w:val="24"/>
          <w:lang w:eastAsia="zh-CN"/>
        </w:rPr>
        <w:t>乙方</w:t>
      </w:r>
      <w:r>
        <w:rPr>
          <w:rStyle w:val="163"/>
          <w:rFonts w:hint="eastAsia" w:ascii="宋体" w:hAnsi="宋体" w:eastAsia="宋体" w:cs="宋体"/>
          <w:szCs w:val="24"/>
        </w:rPr>
        <w:t>应免费给以维修、更换和正常保养。在质量保证期满以后，应该保证提供备件和保养服务。</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lang w:val="en-US" w:eastAsia="zh-CN"/>
        </w:rPr>
      </w:pPr>
      <w:bookmarkStart w:id="1164" w:name="_Toc22273"/>
      <w:bookmarkStart w:id="1165" w:name="_Toc4676"/>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、验收</w:t>
      </w:r>
      <w:bookmarkEnd w:id="1164"/>
      <w:bookmarkEnd w:id="1165"/>
    </w:p>
    <w:p>
      <w:pPr>
        <w:keepNext w:val="0"/>
        <w:keepLines w:val="0"/>
        <w:pageBreakBefore w:val="0"/>
        <w:widowControl w:val="0"/>
        <w:kinsoku/>
        <w:wordWrap/>
        <w:overflowPunct/>
        <w:topLinePunct w:val="0"/>
        <w:autoSpaceDE w:val="0"/>
        <w:autoSpaceDN/>
        <w:bidi w:val="0"/>
        <w:adjustRightInd w:val="0"/>
        <w:snapToGrid w:val="0"/>
        <w:spacing w:beforeLines="0" w:line="312" w:lineRule="auto"/>
        <w:ind w:left="0" w:leftChars="0" w:firstLine="480" w:firstLineChars="200"/>
        <w:textAlignment w:val="auto"/>
        <w:rPr>
          <w:rFonts w:hint="eastAsia" w:ascii="宋体" w:hAnsi="宋体" w:eastAsia="宋体" w:cs="宋体"/>
          <w:bCs/>
          <w:color w:val="auto"/>
          <w:lang w:eastAsia="zh-CN" w:bidi="ar"/>
        </w:rPr>
      </w:pPr>
      <w:r>
        <w:rPr>
          <w:rFonts w:hint="eastAsia" w:ascii="宋体" w:hAnsi="宋体" w:eastAsia="宋体" w:cs="宋体"/>
          <w:bCs/>
          <w:color w:val="auto"/>
          <w:lang w:val="en-US" w:eastAsia="zh-CN" w:bidi="ar"/>
        </w:rPr>
        <w:t>1.由</w:t>
      </w:r>
      <w:r>
        <w:rPr>
          <w:rFonts w:hint="eastAsia" w:ascii="宋体" w:hAnsi="宋体" w:cs="宋体"/>
          <w:bCs/>
          <w:color w:val="auto"/>
          <w:lang w:val="en-US" w:eastAsia="zh-CN" w:bidi="ar"/>
        </w:rPr>
        <w:t>甲方</w:t>
      </w:r>
      <w:r>
        <w:rPr>
          <w:rFonts w:hint="eastAsia" w:ascii="宋体" w:hAnsi="宋体" w:eastAsia="宋体" w:cs="宋体"/>
          <w:bCs/>
          <w:color w:val="auto"/>
          <w:lang w:val="en-US" w:eastAsia="zh-CN" w:bidi="ar"/>
        </w:rPr>
        <w:t>负责组织竣工验收小组。验收组组长由</w:t>
      </w:r>
      <w:r>
        <w:rPr>
          <w:rFonts w:hint="eastAsia" w:ascii="宋体" w:hAnsi="宋体" w:cs="宋体"/>
          <w:bCs/>
          <w:color w:val="auto"/>
          <w:lang w:val="en-US" w:eastAsia="zh-CN" w:bidi="ar"/>
        </w:rPr>
        <w:t>甲方法定代表人</w:t>
      </w:r>
      <w:r>
        <w:rPr>
          <w:rFonts w:hint="eastAsia" w:ascii="宋体" w:hAnsi="宋体" w:eastAsia="宋体" w:cs="宋体"/>
          <w:bCs/>
          <w:color w:val="auto"/>
          <w:lang w:val="en-US" w:eastAsia="zh-CN" w:bidi="ar"/>
        </w:rPr>
        <w:t>或其委托的负责人担任。</w:t>
      </w:r>
      <w:r>
        <w:rPr>
          <w:rFonts w:hint="eastAsia" w:ascii="宋体" w:hAnsi="宋体" w:cs="宋体"/>
          <w:bCs/>
          <w:color w:val="auto"/>
          <w:lang w:val="en-US" w:eastAsia="zh-CN" w:bidi="ar"/>
        </w:rPr>
        <w:t>其他验收组成员由甲方自行组成。</w:t>
      </w:r>
    </w:p>
    <w:p>
      <w:pPr>
        <w:keepNext w:val="0"/>
        <w:keepLines w:val="0"/>
        <w:pageBreakBefore w:val="0"/>
        <w:widowControl w:val="0"/>
        <w:kinsoku/>
        <w:wordWrap/>
        <w:overflowPunct/>
        <w:topLinePunct w:val="0"/>
        <w:autoSpaceDE w:val="0"/>
        <w:autoSpaceDN/>
        <w:bidi w:val="0"/>
        <w:adjustRightInd w:val="0"/>
        <w:snapToGrid w:val="0"/>
        <w:spacing w:beforeLines="0" w:line="312" w:lineRule="auto"/>
        <w:ind w:left="0" w:leftChars="0" w:firstLine="480" w:firstLineChars="200"/>
        <w:textAlignment w:val="auto"/>
        <w:rPr>
          <w:rFonts w:hint="eastAsia" w:ascii="宋体" w:hAnsi="宋体" w:eastAsia="宋体" w:cs="宋体"/>
          <w:bCs/>
          <w:color w:val="auto"/>
          <w:lang w:eastAsia="zh-CN" w:bidi="ar"/>
        </w:rPr>
      </w:pPr>
      <w:r>
        <w:rPr>
          <w:rFonts w:hint="eastAsia" w:ascii="宋体" w:hAnsi="宋体" w:eastAsia="宋体" w:cs="宋体"/>
          <w:bCs/>
          <w:color w:val="auto"/>
          <w:lang w:val="en-US" w:eastAsia="zh-CN" w:bidi="ar"/>
        </w:rPr>
        <w:t>2.验收委员会或验收组，负责审查工程建设的各个环节，听取</w:t>
      </w:r>
      <w:r>
        <w:rPr>
          <w:rFonts w:hint="eastAsia" w:ascii="宋体" w:hAnsi="宋体" w:cs="宋体"/>
          <w:bCs/>
          <w:color w:val="auto"/>
          <w:lang w:val="en-US" w:eastAsia="zh-CN" w:bidi="ar"/>
        </w:rPr>
        <w:t>乙方</w:t>
      </w:r>
      <w:r>
        <w:rPr>
          <w:rFonts w:hint="eastAsia" w:ascii="宋体" w:hAnsi="宋体" w:eastAsia="宋体" w:cs="宋体"/>
          <w:bCs/>
          <w:color w:val="auto"/>
          <w:lang w:val="en-US" w:eastAsia="zh-CN" w:bidi="ar"/>
        </w:rPr>
        <w:t>的工作报告，审阅</w:t>
      </w:r>
      <w:r>
        <w:rPr>
          <w:rFonts w:hint="eastAsia" w:ascii="宋体" w:hAnsi="宋体" w:cs="宋体"/>
          <w:bCs/>
          <w:color w:val="auto"/>
          <w:lang w:val="en-US" w:eastAsia="zh-CN" w:bidi="ar"/>
        </w:rPr>
        <w:t>项目</w:t>
      </w:r>
      <w:r>
        <w:rPr>
          <w:rFonts w:hint="eastAsia" w:ascii="宋体" w:hAnsi="宋体" w:eastAsia="宋体" w:cs="宋体"/>
          <w:bCs/>
          <w:color w:val="auto"/>
          <w:lang w:val="en-US" w:eastAsia="zh-CN" w:bidi="ar"/>
        </w:rPr>
        <w:t>档案资料并实地察验</w:t>
      </w:r>
      <w:r>
        <w:rPr>
          <w:rFonts w:hint="eastAsia" w:ascii="宋体" w:hAnsi="宋体" w:cs="宋体"/>
          <w:bCs/>
          <w:color w:val="auto"/>
          <w:lang w:val="en-US" w:eastAsia="zh-CN" w:bidi="ar"/>
        </w:rPr>
        <w:t>装修、软装施工</w:t>
      </w:r>
      <w:r>
        <w:rPr>
          <w:rFonts w:hint="eastAsia" w:ascii="宋体" w:hAnsi="宋体" w:eastAsia="宋体" w:cs="宋体"/>
          <w:bCs/>
          <w:color w:val="auto"/>
          <w:lang w:val="en-US" w:eastAsia="zh-CN" w:bidi="ar"/>
        </w:rPr>
        <w:t>安装情况，并对</w:t>
      </w:r>
      <w:r>
        <w:rPr>
          <w:rFonts w:hint="eastAsia" w:ascii="宋体" w:hAnsi="宋体" w:cs="宋体"/>
          <w:bCs/>
          <w:color w:val="auto"/>
          <w:lang w:val="en-US" w:eastAsia="zh-CN" w:bidi="ar"/>
        </w:rPr>
        <w:t>项目</w:t>
      </w:r>
      <w:r>
        <w:rPr>
          <w:rFonts w:hint="eastAsia" w:ascii="宋体" w:hAnsi="宋体" w:eastAsia="宋体" w:cs="宋体"/>
          <w:bCs/>
          <w:color w:val="auto"/>
          <w:lang w:val="en-US" w:eastAsia="zh-CN" w:bidi="ar"/>
        </w:rPr>
        <w:t>设计、</w:t>
      </w:r>
      <w:r>
        <w:rPr>
          <w:rFonts w:hint="eastAsia" w:ascii="宋体" w:hAnsi="宋体" w:cs="宋体"/>
          <w:bCs/>
          <w:color w:val="auto"/>
          <w:lang w:val="en-US" w:eastAsia="zh-CN" w:bidi="ar"/>
        </w:rPr>
        <w:t>装修、软装</w:t>
      </w:r>
      <w:r>
        <w:rPr>
          <w:rFonts w:hint="eastAsia" w:ascii="宋体" w:hAnsi="宋体" w:eastAsia="宋体" w:cs="宋体"/>
          <w:bCs/>
          <w:color w:val="auto"/>
          <w:lang w:val="en-US" w:eastAsia="zh-CN" w:bidi="ar"/>
        </w:rPr>
        <w:t>施工和设备质量等方面作出全面的评价。不合格的工程不予验收；对遗留问题提出具体解决意见，限期落实完成。</w:t>
      </w:r>
    </w:p>
    <w:p>
      <w:pPr>
        <w:keepNext w:val="0"/>
        <w:keepLines w:val="0"/>
        <w:pageBreakBefore w:val="0"/>
        <w:widowControl w:val="0"/>
        <w:kinsoku/>
        <w:wordWrap/>
        <w:overflowPunct/>
        <w:topLinePunct w:val="0"/>
        <w:autoSpaceDE w:val="0"/>
        <w:autoSpaceDN/>
        <w:bidi w:val="0"/>
        <w:adjustRightInd w:val="0"/>
        <w:snapToGrid w:val="0"/>
        <w:spacing w:beforeLines="0" w:line="312" w:lineRule="auto"/>
        <w:ind w:left="0" w:leftChars="0" w:firstLine="480" w:firstLineChars="200"/>
        <w:textAlignment w:val="auto"/>
        <w:rPr>
          <w:rFonts w:hint="eastAsia" w:ascii="宋体" w:hAnsi="宋体" w:cs="宋体"/>
          <w:bCs/>
          <w:color w:val="auto"/>
          <w:lang w:eastAsia="zh-CN" w:bidi="ar"/>
        </w:rPr>
      </w:pPr>
      <w:r>
        <w:rPr>
          <w:rFonts w:hint="eastAsia" w:ascii="宋体" w:hAnsi="宋体" w:eastAsia="宋体" w:cs="宋体"/>
          <w:bCs/>
          <w:color w:val="auto"/>
          <w:lang w:val="en-US" w:eastAsia="zh-CN" w:bidi="ar"/>
        </w:rPr>
        <w:t>3.所有竣工验收的项目（工程）在办理验收手续之前，必须对所有财产和物资进行清点</w:t>
      </w:r>
      <w:r>
        <w:rPr>
          <w:rFonts w:hint="eastAsia" w:ascii="宋体" w:hAnsi="宋体" w:cs="宋体"/>
          <w:bCs/>
          <w:color w:val="auto"/>
          <w:lang w:val="en-US" w:eastAsia="zh-CN" w:bidi="ar"/>
        </w:rPr>
        <w:t>。</w:t>
      </w:r>
    </w:p>
    <w:p>
      <w:pPr>
        <w:widowControl w:val="0"/>
        <w:autoSpaceDE w:val="0"/>
        <w:adjustRightInd w:val="0"/>
        <w:snapToGrid w:val="0"/>
        <w:spacing w:beforeLines="0" w:line="312" w:lineRule="auto"/>
        <w:ind w:firstLine="480"/>
        <w:rPr>
          <w:rFonts w:hint="eastAsia" w:ascii="宋体" w:hAnsi="宋体" w:eastAsia="宋体" w:cs="宋体"/>
          <w:bCs/>
          <w:color w:val="auto"/>
          <w:szCs w:val="24"/>
          <w:lang w:bidi="ar"/>
        </w:rPr>
      </w:pPr>
      <w:r>
        <w:rPr>
          <w:rFonts w:hint="eastAsia" w:ascii="宋体" w:hAnsi="宋体" w:eastAsia="宋体" w:cs="宋体"/>
          <w:bCs/>
          <w:color w:val="auto"/>
          <w:szCs w:val="24"/>
          <w:lang w:val="en-US" w:eastAsia="zh-CN" w:bidi="ar"/>
        </w:rPr>
        <w:t>4.</w:t>
      </w:r>
      <w:r>
        <w:rPr>
          <w:rFonts w:hint="eastAsia" w:ascii="宋体" w:hAnsi="宋体" w:eastAsia="宋体" w:cs="宋体"/>
          <w:bCs/>
          <w:color w:val="auto"/>
          <w:szCs w:val="24"/>
          <w:lang w:bidi="ar"/>
        </w:rPr>
        <w:t>验收标准：执行的国家相关标准、行业标准、地方标准</w:t>
      </w:r>
      <w:r>
        <w:rPr>
          <w:rFonts w:hint="eastAsia" w:ascii="宋体" w:hAnsi="宋体" w:eastAsia="宋体" w:cs="宋体"/>
          <w:bCs/>
          <w:color w:val="auto"/>
          <w:szCs w:val="24"/>
          <w:lang w:eastAsia="zh-CN" w:bidi="ar"/>
        </w:rPr>
        <w:t>或者其他</w:t>
      </w:r>
      <w:r>
        <w:rPr>
          <w:rFonts w:hint="eastAsia" w:ascii="宋体" w:hAnsi="宋体" w:eastAsia="宋体" w:cs="宋体"/>
          <w:bCs/>
          <w:color w:val="auto"/>
          <w:szCs w:val="24"/>
          <w:lang w:bidi="ar"/>
        </w:rPr>
        <w:t>标准、规范。</w:t>
      </w:r>
    </w:p>
    <w:p>
      <w:pPr>
        <w:autoSpaceDE w:val="0"/>
        <w:adjustRightInd w:val="0"/>
        <w:snapToGrid w:val="0"/>
        <w:spacing w:beforeLines="0" w:line="312" w:lineRule="auto"/>
        <w:ind w:firstLine="480"/>
        <w:outlineLvl w:val="2"/>
        <w:rPr>
          <w:rFonts w:hint="eastAsia" w:ascii="宋体" w:hAnsi="宋体" w:eastAsia="宋体" w:cs="宋体"/>
          <w:bCs/>
          <w:color w:val="auto"/>
          <w:sz w:val="24"/>
          <w:szCs w:val="24"/>
          <w:lang w:bidi="ar"/>
        </w:rPr>
      </w:pPr>
      <w:bookmarkStart w:id="1166" w:name="_Toc29632"/>
      <w:r>
        <w:rPr>
          <w:rFonts w:hint="eastAsia" w:ascii="宋体" w:hAnsi="宋体" w:eastAsia="宋体" w:cs="宋体"/>
          <w:bCs/>
          <w:color w:val="auto"/>
          <w:szCs w:val="24"/>
          <w:lang w:val="en-US" w:eastAsia="zh-CN" w:bidi="ar"/>
        </w:rPr>
        <w:t>5.</w:t>
      </w:r>
      <w:r>
        <w:rPr>
          <w:rFonts w:hint="eastAsia" w:ascii="宋体" w:hAnsi="宋体" w:eastAsia="宋体" w:cs="宋体"/>
          <w:bCs/>
          <w:color w:val="auto"/>
          <w:szCs w:val="24"/>
          <w:lang w:bidi="ar"/>
        </w:rPr>
        <w:t>质量要求：达到国家验收规范一次性验收合格标准。</w:t>
      </w:r>
      <w:bookmarkEnd w:id="1166"/>
    </w:p>
    <w:p>
      <w:pPr>
        <w:keepNext w:val="0"/>
        <w:keepLines w:val="0"/>
        <w:pageBreakBefore w:val="0"/>
        <w:kinsoku/>
        <w:wordWrap/>
        <w:overflowPunct/>
        <w:topLinePunct w:val="0"/>
        <w:autoSpaceDE/>
        <w:autoSpaceDN/>
        <w:bidi w:val="0"/>
        <w:snapToGrid/>
        <w:spacing w:beforeLines="0" w:line="312" w:lineRule="auto"/>
        <w:ind w:left="0" w:leftChars="0" w:firstLine="482" w:firstLineChars="200"/>
        <w:textAlignment w:val="auto"/>
        <w:outlineLvl w:val="1"/>
        <w:rPr>
          <w:rFonts w:hint="eastAsia" w:ascii="宋体" w:hAnsi="宋体" w:eastAsia="宋体" w:cs="宋体"/>
          <w:b/>
          <w:bCs/>
          <w:sz w:val="24"/>
          <w:szCs w:val="24"/>
          <w:lang w:val="en-US" w:eastAsia="zh-CN"/>
        </w:rPr>
      </w:pPr>
      <w:bookmarkStart w:id="1167" w:name="_Toc17518"/>
      <w:bookmarkStart w:id="1168" w:name="_Toc30776"/>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、货物包装、发运及运输</w:t>
      </w:r>
      <w:bookmarkEnd w:id="1167"/>
      <w:bookmarkEnd w:id="1168"/>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outlineLvl w:val="2"/>
        <w:rPr>
          <w:rFonts w:hint="eastAsia" w:ascii="宋体" w:hAnsi="宋体" w:eastAsia="宋体" w:cs="宋体"/>
          <w:sz w:val="24"/>
          <w:szCs w:val="24"/>
        </w:rPr>
      </w:pPr>
      <w:bookmarkStart w:id="1169" w:name="_Toc23567"/>
      <w:r>
        <w:rPr>
          <w:rFonts w:hint="eastAsia" w:ascii="宋体" w:hAnsi="宋体" w:eastAsia="宋体" w:cs="宋体"/>
          <w:sz w:val="24"/>
          <w:szCs w:val="24"/>
        </w:rPr>
        <w:t>2.使用说明书、质量检验证明书以及清单一并附于货物内。</w:t>
      </w:r>
      <w:bookmarkEnd w:id="1169"/>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outlineLvl w:val="2"/>
        <w:rPr>
          <w:rFonts w:hint="eastAsia" w:ascii="宋体" w:hAnsi="宋体" w:eastAsia="宋体" w:cs="宋体"/>
          <w:sz w:val="24"/>
          <w:szCs w:val="24"/>
        </w:rPr>
      </w:pPr>
      <w:bookmarkStart w:id="1170" w:name="_Toc15585"/>
      <w:r>
        <w:rPr>
          <w:rFonts w:hint="eastAsia" w:ascii="宋体" w:hAnsi="宋体" w:eastAsia="宋体" w:cs="宋体"/>
          <w:sz w:val="24"/>
          <w:szCs w:val="24"/>
        </w:rPr>
        <w:t>4.货物在交付甲方前发生的风险均由乙方负责。</w:t>
      </w:r>
      <w:bookmarkEnd w:id="1170"/>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outlineLvl w:val="1"/>
        <w:rPr>
          <w:rFonts w:hint="eastAsia" w:ascii="宋体" w:hAnsi="宋体" w:eastAsia="宋体" w:cs="宋体"/>
          <w:b/>
          <w:bCs/>
          <w:sz w:val="24"/>
          <w:szCs w:val="24"/>
        </w:rPr>
      </w:pPr>
      <w:bookmarkStart w:id="1171" w:name="_Toc32363"/>
      <w:bookmarkStart w:id="1172" w:name="_Toc5439"/>
      <w:r>
        <w:rPr>
          <w:rFonts w:hint="eastAsia" w:ascii="宋体" w:hAnsi="宋体" w:eastAsia="宋体" w:cs="宋体"/>
          <w:b/>
          <w:bCs/>
          <w:sz w:val="24"/>
          <w:szCs w:val="24"/>
        </w:rPr>
        <w:t>十</w:t>
      </w:r>
      <w:r>
        <w:rPr>
          <w:rFonts w:hint="eastAsia" w:ascii="宋体" w:hAnsi="宋体" w:cs="宋体"/>
          <w:b/>
          <w:bCs/>
          <w:sz w:val="24"/>
          <w:szCs w:val="24"/>
          <w:lang w:val="en-US" w:eastAsia="zh-CN"/>
        </w:rPr>
        <w:t>七</w:t>
      </w:r>
      <w:r>
        <w:rPr>
          <w:rFonts w:hint="eastAsia" w:ascii="宋体" w:hAnsi="宋体" w:eastAsia="宋体" w:cs="宋体"/>
          <w:b/>
          <w:bCs/>
          <w:sz w:val="24"/>
          <w:szCs w:val="24"/>
        </w:rPr>
        <w:t>、违约责任</w:t>
      </w:r>
      <w:bookmarkEnd w:id="1171"/>
      <w:bookmarkEnd w:id="1172"/>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2.甲方无故逾期验收和办理货款支付手续的,甲方应按逾期付款总额每日万分之五向乙方支付违约金。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outlineLvl w:val="1"/>
        <w:rPr>
          <w:rFonts w:hint="eastAsia" w:ascii="宋体" w:hAnsi="宋体" w:eastAsia="宋体" w:cs="宋体"/>
          <w:b/>
          <w:bCs/>
          <w:sz w:val="24"/>
          <w:szCs w:val="24"/>
        </w:rPr>
      </w:pPr>
      <w:bookmarkStart w:id="1173" w:name="_Toc17901"/>
      <w:bookmarkStart w:id="1174" w:name="_Toc1494"/>
      <w:r>
        <w:rPr>
          <w:rFonts w:hint="eastAsia" w:ascii="宋体" w:hAnsi="宋体" w:cs="宋体"/>
          <w:b/>
          <w:bCs/>
          <w:sz w:val="24"/>
          <w:szCs w:val="24"/>
          <w:lang w:val="en-US" w:eastAsia="zh-CN"/>
        </w:rPr>
        <w:t>十八</w:t>
      </w:r>
      <w:r>
        <w:rPr>
          <w:rFonts w:hint="eastAsia" w:ascii="宋体" w:hAnsi="宋体" w:eastAsia="宋体" w:cs="宋体"/>
          <w:b/>
          <w:bCs/>
          <w:sz w:val="24"/>
          <w:szCs w:val="24"/>
        </w:rPr>
        <w:t>、不可抗力事件处理</w:t>
      </w:r>
      <w:bookmarkEnd w:id="1173"/>
      <w:bookmarkEnd w:id="1174"/>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keepNext w:val="0"/>
        <w:keepLines w:val="0"/>
        <w:pageBreakBefore w:val="0"/>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sz w:val="24"/>
          <w:szCs w:val="24"/>
        </w:rPr>
      </w:pPr>
      <w:bookmarkStart w:id="1175" w:name="_Toc28101"/>
      <w:bookmarkStart w:id="1176" w:name="_Toc18540"/>
      <w:r>
        <w:rPr>
          <w:rFonts w:hint="eastAsia" w:ascii="宋体" w:hAnsi="宋体" w:cs="宋体"/>
          <w:b/>
          <w:bCs/>
          <w:sz w:val="24"/>
          <w:szCs w:val="24"/>
          <w:lang w:val="en-US" w:eastAsia="zh-CN"/>
        </w:rPr>
        <w:t>十九</w:t>
      </w:r>
      <w:r>
        <w:rPr>
          <w:rFonts w:hint="eastAsia" w:ascii="宋体" w:hAnsi="宋体" w:eastAsia="宋体" w:cs="宋体"/>
          <w:b/>
          <w:bCs/>
          <w:sz w:val="24"/>
          <w:szCs w:val="24"/>
        </w:rPr>
        <w:t>、诉讼</w:t>
      </w:r>
      <w:bookmarkEnd w:id="1175"/>
      <w:bookmarkEnd w:id="1176"/>
    </w:p>
    <w:p>
      <w:pPr>
        <w:keepNext w:val="0"/>
        <w:keepLines w:val="0"/>
        <w:pageBreakBefore w:val="0"/>
        <w:kinsoku/>
        <w:wordWrap/>
        <w:overflowPunct/>
        <w:topLinePunct w:val="0"/>
        <w:autoSpaceDE/>
        <w:autoSpaceDN/>
        <w:bidi w:val="0"/>
        <w:snapToGrid/>
        <w:spacing w:beforeLines="0" w:line="312"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adjustRightInd w:val="0"/>
        <w:snapToGrid/>
        <w:spacing w:beforeLines="0" w:line="312" w:lineRule="auto"/>
        <w:ind w:firstLine="480"/>
        <w:textAlignment w:val="auto"/>
        <w:outlineLvl w:val="1"/>
        <w:rPr>
          <w:rFonts w:hint="eastAsia" w:ascii="宋体" w:hAnsi="宋体" w:eastAsia="宋体" w:cs="宋体"/>
          <w:b/>
          <w:bCs/>
          <w:color w:val="000000"/>
          <w:sz w:val="24"/>
          <w:szCs w:val="24"/>
        </w:rPr>
      </w:pPr>
      <w:bookmarkStart w:id="1177" w:name="_Toc5397"/>
      <w:bookmarkStart w:id="1178" w:name="_Toc32585"/>
      <w:r>
        <w:rPr>
          <w:rFonts w:hint="eastAsia" w:ascii="宋体" w:hAnsi="宋体" w:cs="宋体"/>
          <w:b/>
          <w:bCs/>
          <w:color w:val="000000"/>
          <w:sz w:val="24"/>
          <w:szCs w:val="24"/>
          <w:lang w:val="en-US" w:eastAsia="zh-CN"/>
        </w:rPr>
        <w:t>二十</w:t>
      </w:r>
      <w:r>
        <w:rPr>
          <w:rFonts w:hint="eastAsia" w:ascii="宋体" w:hAnsi="宋体" w:eastAsia="宋体" w:cs="宋体"/>
          <w:b/>
          <w:bCs/>
          <w:color w:val="000000"/>
          <w:sz w:val="24"/>
          <w:szCs w:val="24"/>
        </w:rPr>
        <w:t>、合同生效及其它</w:t>
      </w:r>
      <w:bookmarkEnd w:id="1177"/>
      <w:bookmarkEnd w:id="1178"/>
    </w:p>
    <w:p>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1.合同经双方法定代表人签字或授权代表签字并加盖单位公章后生效。</w:t>
      </w:r>
    </w:p>
    <w:p>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2.本合同甲乙双方若发生纠纷应协商解决，协商不成的，由甲方所在地人民法院处理。</w:t>
      </w:r>
    </w:p>
    <w:p>
      <w:pPr>
        <w:keepNext w:val="0"/>
        <w:keepLines w:val="0"/>
        <w:widowControl w:val="0"/>
        <w:suppressLineNumbers w:val="0"/>
        <w:spacing w:before="0" w:beforeLines="0" w:beforeAutospacing="0" w:after="0" w:afterLines="0" w:afterAutospacing="0" w:line="312" w:lineRule="auto"/>
        <w:ind w:left="0" w:right="0" w:firstLine="480" w:firstLineChars="200"/>
        <w:jc w:val="both"/>
        <w:outlineLvl w:val="2"/>
        <w:rPr>
          <w:rFonts w:hint="eastAsia" w:ascii="宋体" w:hAnsi="宋体" w:eastAsia="宋体" w:cs="Times New Roman"/>
          <w:kern w:val="2"/>
          <w:sz w:val="24"/>
          <w:szCs w:val="24"/>
        </w:rPr>
      </w:pPr>
      <w:bookmarkStart w:id="1179" w:name="_Toc27590"/>
      <w:r>
        <w:rPr>
          <w:rFonts w:hint="eastAsia" w:ascii="宋体" w:hAnsi="宋体" w:eastAsia="宋体" w:cs="宋体"/>
          <w:kern w:val="2"/>
          <w:sz w:val="24"/>
          <w:szCs w:val="24"/>
          <w:lang w:val="en-US" w:eastAsia="zh-CN" w:bidi="ar"/>
        </w:rPr>
        <w:t>3.本合同未尽事宜，遵照《民法典》有关条文执行。</w:t>
      </w:r>
      <w:bookmarkEnd w:id="1179"/>
    </w:p>
    <w:p>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4.本合同一式柒份，具有同等法律效力，甲乙双方各执三份，</w:t>
      </w:r>
      <w:r>
        <w:rPr>
          <w:rFonts w:hint="eastAsia" w:ascii="宋体" w:hAnsi="宋体" w:cs="宋体"/>
          <w:kern w:val="2"/>
          <w:sz w:val="24"/>
          <w:szCs w:val="24"/>
          <w:lang w:val="en-US" w:eastAsia="zh-CN" w:bidi="ar"/>
        </w:rPr>
        <w:t>浙江新诚信工程咨询有限公司</w:t>
      </w:r>
      <w:r>
        <w:rPr>
          <w:rFonts w:hint="eastAsia" w:ascii="宋体" w:hAnsi="宋体" w:eastAsia="宋体" w:cs="宋体"/>
          <w:kern w:val="2"/>
          <w:sz w:val="24"/>
          <w:szCs w:val="24"/>
          <w:lang w:val="en-US" w:eastAsia="zh-CN" w:bidi="ar"/>
        </w:rPr>
        <w:t>留存一份。</w:t>
      </w:r>
      <w:bookmarkStart w:id="1180" w:name="_Toc21836"/>
    </w:p>
    <w:p>
      <w:pPr>
        <w:spacing w:beforeLines="0" w:line="312"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签署页，本页无正文：</w:t>
      </w:r>
    </w:p>
    <w:bookmarkEnd w:id="1180"/>
    <w:tbl>
      <w:tblPr>
        <w:tblStyle w:val="41"/>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 xml:space="preserve">甲方（盖章）：                    </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 xml:space="preserve">乙方（盖章）：                    </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法定代表人或授权</w:t>
            </w:r>
          </w:p>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法定代表人或授权</w:t>
            </w:r>
          </w:p>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地址：</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地址：</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联系方式：</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联系方式：</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开户银行：</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开户银行：</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账号：</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账号：</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2024</w:t>
            </w:r>
            <w:r>
              <w:rPr>
                <w:rFonts w:hint="eastAsia" w:ascii="宋体" w:hAnsi="宋体" w:eastAsia="宋体" w:cs="宋体"/>
                <w:sz w:val="24"/>
                <w:szCs w:val="24"/>
              </w:rPr>
              <w:t>年  月  日</w:t>
            </w:r>
          </w:p>
        </w:tc>
        <w:tc>
          <w:tcPr>
            <w:tcW w:w="4643" w:type="dxa"/>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eastAsia="zh-CN"/>
              </w:rPr>
              <w:t>2024</w:t>
            </w:r>
            <w:r>
              <w:rPr>
                <w:rFonts w:hint="eastAsia" w:ascii="宋体" w:hAnsi="宋体" w:eastAsia="宋体" w:cs="宋体"/>
                <w:sz w:val="24"/>
                <w:szCs w:val="24"/>
              </w:rPr>
              <w:t>年  月  日</w:t>
            </w:r>
          </w:p>
        </w:tc>
      </w:tr>
      <w:tr>
        <w:tblPrEx>
          <w:tblCellMar>
            <w:top w:w="0" w:type="dxa"/>
            <w:left w:w="108" w:type="dxa"/>
            <w:bottom w:w="0" w:type="dxa"/>
            <w:right w:w="108" w:type="dxa"/>
          </w:tblCellMar>
        </w:tblPrEx>
        <w:trPr>
          <w:trHeight w:val="680" w:hRule="atLeast"/>
        </w:trPr>
        <w:tc>
          <w:tcPr>
            <w:tcW w:w="9286" w:type="dxa"/>
            <w:gridSpan w:val="2"/>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p>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 xml:space="preserve">采购代理机构（盖章）： </w:t>
            </w:r>
          </w:p>
        </w:tc>
      </w:tr>
      <w:tr>
        <w:tblPrEx>
          <w:tblCellMar>
            <w:top w:w="0" w:type="dxa"/>
            <w:left w:w="108" w:type="dxa"/>
            <w:bottom w:w="0" w:type="dxa"/>
            <w:right w:w="108" w:type="dxa"/>
          </w:tblCellMar>
        </w:tblPrEx>
        <w:trPr>
          <w:trHeight w:val="680" w:hRule="atLeast"/>
        </w:trPr>
        <w:tc>
          <w:tcPr>
            <w:tcW w:w="9286" w:type="dxa"/>
            <w:gridSpan w:val="2"/>
            <w:tcBorders>
              <w:top w:val="nil"/>
              <w:left w:val="nil"/>
              <w:bottom w:val="nil"/>
              <w:right w:val="nil"/>
            </w:tcBorders>
            <w:noWrap w:val="0"/>
            <w:vAlign w:val="center"/>
          </w:tcPr>
          <w:p>
            <w:pPr>
              <w:keepNext w:val="0"/>
              <w:keepLines w:val="0"/>
              <w:suppressLineNumbers w:val="0"/>
              <w:spacing w:before="0" w:beforeLines="0" w:beforeAutospacing="0" w:after="0" w:afterAutospacing="0" w:line="312" w:lineRule="auto"/>
              <w:ind w:left="0" w:right="0" w:firstLine="240" w:firstLineChars="100"/>
              <w:rPr>
                <w:rFonts w:hint="default"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eastAsia="zh-CN"/>
              </w:rPr>
              <w:t>2024</w:t>
            </w:r>
            <w:r>
              <w:rPr>
                <w:rFonts w:hint="eastAsia" w:ascii="宋体" w:hAnsi="宋体" w:eastAsia="宋体" w:cs="宋体"/>
                <w:sz w:val="24"/>
                <w:szCs w:val="24"/>
                <w:lang w:val="zh-CN"/>
              </w:rPr>
              <w:t>年  月  日</w:t>
            </w:r>
          </w:p>
        </w:tc>
      </w:tr>
    </w:tbl>
    <w:p>
      <w:pPr>
        <w:bidi w:val="0"/>
        <w:ind w:left="0" w:leftChars="0" w:firstLine="0" w:firstLineChars="0"/>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rPr>
          <w:rFonts w:hint="eastAsia"/>
        </w:rPr>
      </w:pPr>
    </w:p>
    <w:p>
      <w:pPr>
        <w:pStyle w:val="40"/>
        <w:rPr>
          <w:rFonts w:hint="eastAsia"/>
        </w:rPr>
      </w:pPr>
    </w:p>
    <w:p>
      <w:pPr>
        <w:ind w:left="0" w:leftChars="0" w:firstLine="0" w:firstLineChars="0"/>
        <w:rPr>
          <w:rFonts w:hint="eastAsia"/>
        </w:rPr>
      </w:pPr>
    </w:p>
    <w:p>
      <w:pPr>
        <w:pStyle w:val="2"/>
        <w:numPr>
          <w:ilvl w:val="0"/>
          <w:numId w:val="0"/>
        </w:numPr>
        <w:spacing w:before="312" w:after="312"/>
        <w:jc w:val="center"/>
        <w:rPr>
          <w:rFonts w:ascii="宋体" w:cs="宋体"/>
          <w:color w:val="auto"/>
          <w:highlight w:val="none"/>
        </w:rPr>
      </w:pPr>
      <w:bookmarkStart w:id="1181" w:name="_Toc13518"/>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投标文件格式</w:t>
      </w:r>
      <w:bookmarkEnd w:id="1059"/>
      <w:bookmarkEnd w:id="1060"/>
      <w:bookmarkEnd w:id="1061"/>
      <w:bookmarkEnd w:id="1062"/>
      <w:bookmarkEnd w:id="1063"/>
      <w:bookmarkEnd w:id="1064"/>
      <w:bookmarkEnd w:id="1065"/>
      <w:bookmarkEnd w:id="1127"/>
      <w:bookmarkEnd w:id="1128"/>
      <w:bookmarkEnd w:id="1129"/>
      <w:bookmarkEnd w:id="1130"/>
      <w:bookmarkEnd w:id="1131"/>
      <w:bookmarkEnd w:id="1132"/>
      <w:bookmarkEnd w:id="1181"/>
    </w:p>
    <w:p>
      <w:pPr>
        <w:spacing w:line="420" w:lineRule="exact"/>
        <w:ind w:firstLine="480"/>
        <w:rPr>
          <w:rFonts w:ascii="宋体" w:cs="宋体"/>
          <w:color w:val="auto"/>
          <w:highlight w:val="none"/>
        </w:rPr>
      </w:pPr>
    </w:p>
    <w:tbl>
      <w:tblPr>
        <w:tblStyle w:val="41"/>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153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pPr>
              <w:keepNext w:val="0"/>
              <w:keepLines w:val="0"/>
              <w:suppressLineNumbers w:val="0"/>
              <w:snapToGrid w:val="0"/>
              <w:spacing w:before="0" w:beforeAutospacing="0" w:after="0" w:afterAutospacing="0" w:line="420" w:lineRule="exact"/>
              <w:ind w:left="0" w:right="0" w:firstLine="602"/>
              <w:jc w:val="center"/>
              <w:rPr>
                <w:rFonts w:hint="default" w:ascii="宋体" w:cs="宋体"/>
                <w:b/>
                <w:color w:val="auto"/>
                <w:sz w:val="30"/>
                <w:highlight w:val="none"/>
              </w:rPr>
            </w:pPr>
          </w:p>
          <w:p>
            <w:pPr>
              <w:pStyle w:val="16"/>
              <w:keepNext w:val="0"/>
              <w:keepLines w:val="0"/>
              <w:suppressLineNumbers w:val="0"/>
              <w:spacing w:before="0" w:beforeAutospacing="0" w:after="0" w:afterAutospacing="0"/>
              <w:ind w:left="0" w:right="0" w:firstLine="480"/>
              <w:rPr>
                <w:rFonts w:hint="default"/>
                <w:color w:val="auto"/>
                <w:highlight w:val="none"/>
              </w:rPr>
            </w:pPr>
          </w:p>
          <w:p>
            <w:pPr>
              <w:pStyle w:val="16"/>
              <w:keepNext w:val="0"/>
              <w:keepLines w:val="0"/>
              <w:suppressLineNumbers w:val="0"/>
              <w:spacing w:before="0" w:beforeAutospacing="0" w:after="0" w:afterAutospacing="0" w:line="720" w:lineRule="auto"/>
              <w:ind w:left="0" w:right="0" w:firstLine="0" w:firstLineChars="0"/>
              <w:jc w:val="center"/>
              <w:rPr>
                <w:rFonts w:hint="default" w:ascii="宋体" w:hAnsi="宋体" w:cs="宋体"/>
                <w:b/>
                <w:color w:val="auto"/>
                <w:sz w:val="44"/>
                <w:szCs w:val="44"/>
                <w:highlight w:val="none"/>
                <w:lang w:val="zh-CN"/>
              </w:rPr>
            </w:pPr>
          </w:p>
          <w:p>
            <w:pPr>
              <w:pStyle w:val="16"/>
              <w:keepNext w:val="0"/>
              <w:keepLines w:val="0"/>
              <w:suppressLineNumbers w:val="0"/>
              <w:spacing w:before="0" w:beforeAutospacing="0" w:after="0" w:afterAutospacing="0" w:line="720" w:lineRule="auto"/>
              <w:ind w:left="0" w:right="0" w:firstLine="0" w:firstLineChars="0"/>
              <w:jc w:val="center"/>
              <w:rPr>
                <w:rFonts w:hint="default" w:ascii="宋体" w:hAnsi="宋体" w:cs="宋体"/>
                <w:b/>
                <w:color w:val="auto"/>
                <w:sz w:val="44"/>
                <w:szCs w:val="44"/>
                <w:highlight w:val="none"/>
              </w:rPr>
            </w:pPr>
            <w:r>
              <w:rPr>
                <w:rFonts w:hint="eastAsia" w:ascii="宋体" w:hAnsi="宋体" w:cs="宋体"/>
                <w:b/>
                <w:color w:val="auto"/>
                <w:sz w:val="36"/>
                <w:szCs w:val="36"/>
                <w:highlight w:val="none"/>
                <w:lang w:val="zh-CN"/>
              </w:rPr>
              <w:t>2023年龙游县老旧小区改造提升工程-阳光小区未来社区布展展陈项目</w:t>
            </w:r>
            <w:r>
              <w:rPr>
                <w:rFonts w:hint="eastAsia" w:ascii="宋体" w:hAnsi="宋体" w:cs="宋体"/>
                <w:b/>
                <w:color w:val="auto"/>
                <w:sz w:val="36"/>
                <w:szCs w:val="36"/>
                <w:highlight w:val="none"/>
              </w:rPr>
              <w:t xml:space="preserve">    </w:t>
            </w:r>
            <w:r>
              <w:rPr>
                <w:rFonts w:hint="eastAsia" w:ascii="宋体" w:hAnsi="宋体" w:cs="宋体"/>
                <w:b/>
                <w:color w:val="auto"/>
                <w:sz w:val="44"/>
                <w:szCs w:val="44"/>
                <w:highlight w:val="none"/>
              </w:rPr>
              <w:t xml:space="preserve">    </w:t>
            </w:r>
          </w:p>
          <w:p>
            <w:pPr>
              <w:pStyle w:val="40"/>
              <w:keepNext w:val="0"/>
              <w:keepLines w:val="0"/>
              <w:suppressLineNumbers w:val="0"/>
              <w:spacing w:before="0" w:beforeAutospacing="0" w:afterAutospacing="0"/>
              <w:ind w:left="0" w:right="0"/>
              <w:rPr>
                <w:rFonts w:hint="default"/>
              </w:rPr>
            </w:pPr>
          </w:p>
          <w:p>
            <w:pPr>
              <w:pStyle w:val="16"/>
              <w:keepNext w:val="0"/>
              <w:keepLines w:val="0"/>
              <w:suppressLineNumbers w:val="0"/>
              <w:spacing w:before="0" w:beforeAutospacing="0" w:after="0" w:afterAutospacing="0" w:line="720" w:lineRule="auto"/>
              <w:ind w:left="0" w:right="0" w:firstLine="0" w:firstLineChars="0"/>
              <w:jc w:val="center"/>
              <w:rPr>
                <w:rFonts w:hint="default" w:ascii="宋体" w:cs="宋体"/>
                <w:b/>
                <w:color w:val="auto"/>
                <w:sz w:val="44"/>
                <w:szCs w:val="44"/>
                <w:highlight w:val="none"/>
              </w:rPr>
            </w:pPr>
            <w:r>
              <w:rPr>
                <w:rFonts w:hint="eastAsia" w:ascii="宋体" w:hAnsi="宋体" w:cs="宋体"/>
                <w:b/>
                <w:color w:val="auto"/>
                <w:sz w:val="44"/>
                <w:szCs w:val="44"/>
                <w:highlight w:val="none"/>
              </w:rPr>
              <w:t>资格审查文件/资信技术文件</w:t>
            </w:r>
            <w:r>
              <w:rPr>
                <w:rFonts w:hint="default" w:ascii="宋体" w:hAnsi="宋体" w:cs="宋体"/>
                <w:b/>
                <w:color w:val="auto"/>
                <w:sz w:val="44"/>
                <w:szCs w:val="44"/>
                <w:highlight w:val="none"/>
              </w:rPr>
              <w:t>/</w:t>
            </w:r>
            <w:r>
              <w:rPr>
                <w:rFonts w:hint="eastAsia" w:ascii="宋体" w:hAnsi="宋体" w:cs="宋体"/>
                <w:b/>
                <w:color w:val="auto"/>
                <w:sz w:val="44"/>
                <w:szCs w:val="44"/>
                <w:highlight w:val="none"/>
              </w:rPr>
              <w:t>商务报价文件</w:t>
            </w:r>
          </w:p>
          <w:p>
            <w:pPr>
              <w:keepNext w:val="0"/>
              <w:keepLines w:val="0"/>
              <w:suppressLineNumbers w:val="0"/>
              <w:spacing w:before="0" w:beforeAutospacing="0" w:after="0" w:afterAutospacing="0" w:line="420" w:lineRule="exact"/>
              <w:ind w:left="0" w:right="0" w:firstLine="643"/>
              <w:jc w:val="center"/>
              <w:rPr>
                <w:rFonts w:hint="default" w:ascii="宋体" w:cs="宋体"/>
                <w:b/>
                <w:color w:val="auto"/>
                <w:sz w:val="32"/>
                <w:highlight w:val="none"/>
              </w:rPr>
            </w:pPr>
          </w:p>
          <w:p>
            <w:pPr>
              <w:pStyle w:val="21"/>
              <w:keepNext w:val="0"/>
              <w:keepLines w:val="0"/>
              <w:suppressLineNumbers w:val="0"/>
              <w:spacing w:before="0" w:beforeAutospacing="0" w:after="0" w:afterAutospacing="0"/>
              <w:ind w:left="0" w:leftChars="0" w:right="0" w:firstLine="0" w:firstLineChars="0"/>
              <w:rPr>
                <w:rFonts w:hint="default"/>
                <w:color w:val="auto"/>
                <w:highlight w:val="none"/>
              </w:rPr>
            </w:pPr>
          </w:p>
          <w:p>
            <w:pPr>
              <w:pStyle w:val="21"/>
              <w:keepNext w:val="0"/>
              <w:keepLines w:val="0"/>
              <w:suppressLineNumbers w:val="0"/>
              <w:spacing w:before="0" w:beforeAutospacing="0" w:after="0" w:afterAutospacing="0"/>
              <w:ind w:left="960" w:right="0" w:hanging="480"/>
              <w:rPr>
                <w:rFonts w:hint="default"/>
                <w:color w:val="auto"/>
                <w:highlight w:val="none"/>
              </w:rPr>
            </w:pPr>
          </w:p>
          <w:p>
            <w:pPr>
              <w:keepNext w:val="0"/>
              <w:keepLines w:val="0"/>
              <w:suppressLineNumbers w:val="0"/>
              <w:spacing w:before="0" w:beforeAutospacing="0" w:after="0" w:afterAutospacing="0" w:line="420" w:lineRule="exact"/>
              <w:ind w:left="0" w:right="0" w:firstLine="0" w:firstLineChars="0"/>
              <w:rPr>
                <w:rFonts w:hint="default" w:ascii="宋体" w:cs="宋体"/>
                <w:b/>
                <w:color w:val="auto"/>
                <w:sz w:val="32"/>
                <w:highlight w:val="none"/>
              </w:rPr>
            </w:pPr>
          </w:p>
          <w:p>
            <w:pPr>
              <w:keepNext w:val="0"/>
              <w:keepLines w:val="0"/>
              <w:suppressLineNumbers w:val="0"/>
              <w:spacing w:before="0" w:beforeAutospacing="0" w:after="0" w:afterAutospacing="0" w:line="360" w:lineRule="auto"/>
              <w:ind w:left="0" w:right="0" w:firstLine="640"/>
              <w:rPr>
                <w:rFonts w:hint="default"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LYCG2024XCX-002</w:t>
            </w:r>
            <w:r>
              <w:rPr>
                <w:rFonts w:hint="default" w:ascii="宋体" w:hAnsi="宋体" w:cs="宋体"/>
                <w:color w:val="auto"/>
                <w:sz w:val="32"/>
                <w:highlight w:val="none"/>
                <w:u w:val="single"/>
              </w:rPr>
              <w:t xml:space="preserve">                     </w:t>
            </w:r>
          </w:p>
          <w:p>
            <w:pPr>
              <w:keepNext w:val="0"/>
              <w:keepLines w:val="0"/>
              <w:suppressLineNumbers w:val="0"/>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rPr>
              <w:t>投</w:t>
            </w:r>
            <w:r>
              <w:rPr>
                <w:rFonts w:hint="default" w:ascii="宋体" w:hAnsi="宋体" w:cs="宋体"/>
                <w:color w:val="auto"/>
                <w:sz w:val="32"/>
                <w:highlight w:val="none"/>
              </w:rPr>
              <w:t xml:space="preserve"> </w:t>
            </w:r>
            <w:r>
              <w:rPr>
                <w:rFonts w:hint="eastAsia" w:ascii="宋体" w:hAnsi="宋体" w:cs="宋体"/>
                <w:color w:val="auto"/>
                <w:sz w:val="32"/>
                <w:highlight w:val="none"/>
              </w:rPr>
              <w:t>标</w:t>
            </w:r>
            <w:r>
              <w:rPr>
                <w:rFonts w:hint="default" w:ascii="宋体" w:hAnsi="宋体" w:cs="宋体"/>
                <w:color w:val="auto"/>
                <w:sz w:val="32"/>
                <w:highlight w:val="none"/>
              </w:rPr>
              <w:t xml:space="preserve"> </w:t>
            </w:r>
            <w:r>
              <w:rPr>
                <w:rFonts w:hint="eastAsia" w:ascii="宋体" w:hAnsi="宋体" w:cs="宋体"/>
                <w:color w:val="auto"/>
                <w:sz w:val="32"/>
                <w:highlight w:val="none"/>
              </w:rPr>
              <w:t>人：</w:t>
            </w:r>
            <w:r>
              <w:rPr>
                <w:rFonts w:hint="default"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hint="default" w:ascii="宋体" w:hAnsi="宋体" w:cs="宋体"/>
                <w:color w:val="auto"/>
                <w:sz w:val="32"/>
                <w:highlight w:val="none"/>
                <w:u w:val="single"/>
              </w:rPr>
              <w:t xml:space="preserve">          </w:t>
            </w:r>
          </w:p>
          <w:p>
            <w:pPr>
              <w:keepNext w:val="0"/>
              <w:keepLines w:val="0"/>
              <w:suppressLineNumbers w:val="0"/>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rPr>
              <w:t>法定代表人或授权代表人签字或盖章：</w:t>
            </w:r>
          </w:p>
          <w:p>
            <w:pPr>
              <w:keepNext w:val="0"/>
              <w:keepLines w:val="0"/>
              <w:suppressLineNumbers w:val="0"/>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color w:val="auto"/>
                <w:sz w:val="32"/>
                <w:highlight w:val="none"/>
              </w:rPr>
            </w:pPr>
            <w:r>
              <w:rPr>
                <w:rFonts w:hint="eastAsia" w:ascii="宋体" w:hAnsi="宋体" w:cs="宋体"/>
                <w:color w:val="auto"/>
                <w:sz w:val="32"/>
                <w:highlight w:val="none"/>
              </w:rPr>
              <w:t>二</w:t>
            </w:r>
            <w:r>
              <w:rPr>
                <w:rFonts w:hint="default" w:ascii="宋体" w:hAnsi="宋体" w:cs="宋体"/>
                <w:color w:val="auto"/>
                <w:sz w:val="32"/>
                <w:highlight w:val="none"/>
              </w:rPr>
              <w:t xml:space="preserve">  </w:t>
            </w:r>
            <w:r>
              <w:rPr>
                <w:rFonts w:hint="eastAsia" w:ascii="宋体" w:hAnsi="宋体" w:cs="宋体"/>
                <w:color w:val="auto"/>
                <w:sz w:val="32"/>
                <w:highlight w:val="none"/>
              </w:rPr>
              <w:t>〇</w:t>
            </w:r>
            <w:r>
              <w:rPr>
                <w:rFonts w:hint="default" w:ascii="宋体" w:hAnsi="宋体" w:cs="宋体"/>
                <w:color w:val="auto"/>
                <w:sz w:val="32"/>
                <w:highlight w:val="none"/>
              </w:rPr>
              <w:t xml:space="preserve"> </w:t>
            </w:r>
            <w:r>
              <w:rPr>
                <w:rFonts w:hint="eastAsia" w:ascii="宋体" w:hAnsi="宋体" w:cs="宋体"/>
                <w:color w:val="auto"/>
                <w:sz w:val="32"/>
                <w:highlight w:val="none"/>
              </w:rPr>
              <w:t>二</w:t>
            </w:r>
            <w:r>
              <w:rPr>
                <w:rFonts w:hint="default" w:ascii="宋体" w:hAnsi="宋体" w:cs="宋体"/>
                <w:color w:val="auto"/>
                <w:sz w:val="32"/>
                <w:highlight w:val="none"/>
              </w:rPr>
              <w:t xml:space="preserve"> </w:t>
            </w:r>
            <w:r>
              <w:rPr>
                <w:rFonts w:hint="eastAsia" w:ascii="宋体" w:hAnsi="宋体" w:cs="宋体"/>
                <w:color w:val="auto"/>
                <w:sz w:val="32"/>
                <w:highlight w:val="none"/>
                <w:lang w:val="en-US" w:eastAsia="zh-CN"/>
              </w:rPr>
              <w:t>四</w:t>
            </w:r>
            <w:r>
              <w:rPr>
                <w:rFonts w:hint="eastAsia" w:ascii="宋体" w:hAnsi="宋体" w:cs="宋体"/>
                <w:color w:val="auto"/>
                <w:sz w:val="32"/>
                <w:highlight w:val="none"/>
              </w:rPr>
              <w:t>年</w:t>
            </w:r>
            <w:r>
              <w:rPr>
                <w:rFonts w:hint="default" w:ascii="宋体" w:hAnsi="宋体" w:cs="宋体"/>
                <w:color w:val="auto"/>
                <w:sz w:val="32"/>
                <w:highlight w:val="none"/>
              </w:rPr>
              <w:t xml:space="preserve">    </w:t>
            </w:r>
            <w:r>
              <w:rPr>
                <w:rFonts w:hint="eastAsia" w:ascii="宋体" w:hAnsi="宋体" w:cs="宋体"/>
                <w:color w:val="auto"/>
                <w:sz w:val="32"/>
                <w:highlight w:val="none"/>
              </w:rPr>
              <w:t>月</w:t>
            </w:r>
            <w:r>
              <w:rPr>
                <w:rFonts w:hint="default" w:ascii="宋体" w:hAnsi="宋体" w:cs="宋体"/>
                <w:color w:val="auto"/>
                <w:sz w:val="32"/>
                <w:highlight w:val="none"/>
              </w:rPr>
              <w:t xml:space="preserve">    </w:t>
            </w:r>
            <w:r>
              <w:rPr>
                <w:rFonts w:hint="eastAsia" w:ascii="宋体" w:hAnsi="宋体" w:cs="宋体"/>
                <w:color w:val="auto"/>
                <w:sz w:val="32"/>
                <w:highlight w:val="none"/>
              </w:rPr>
              <w:t>日</w:t>
            </w:r>
          </w:p>
          <w:p>
            <w:pPr>
              <w:keepNext w:val="0"/>
              <w:keepLines w:val="0"/>
              <w:suppressLineNumbers w:val="0"/>
              <w:spacing w:before="0" w:beforeAutospacing="0" w:after="0" w:afterAutospacing="0" w:line="360" w:lineRule="auto"/>
              <w:ind w:left="0" w:right="0" w:firstLine="0" w:firstLineChars="0"/>
              <w:jc w:val="center"/>
              <w:rPr>
                <w:rFonts w:hint="default" w:ascii="宋体" w:cs="宋体"/>
                <w:b/>
                <w:color w:val="auto"/>
                <w:sz w:val="32"/>
                <w:szCs w:val="32"/>
                <w:highlight w:val="none"/>
                <w:u w:val="single"/>
              </w:rPr>
            </w:pPr>
            <w:r>
              <w:rPr>
                <w:rFonts w:hint="default" w:ascii="宋体" w:hAnsi="宋体" w:cs="宋体"/>
                <w:b/>
                <w:color w:val="auto"/>
                <w:sz w:val="32"/>
                <w:szCs w:val="32"/>
                <w:highlight w:val="none"/>
              </w:rPr>
              <w:t xml:space="preserve"> </w:t>
            </w:r>
          </w:p>
          <w:p>
            <w:pPr>
              <w:keepNext w:val="0"/>
              <w:keepLines w:val="0"/>
              <w:suppressLineNumbers w:val="0"/>
              <w:adjustRightInd w:val="0"/>
              <w:snapToGrid w:val="0"/>
              <w:spacing w:before="0" w:beforeAutospacing="0" w:after="0" w:afterAutospacing="0" w:line="360" w:lineRule="auto"/>
              <w:ind w:left="0" w:right="0" w:firstLine="480"/>
              <w:rPr>
                <w:rFonts w:hint="default" w:ascii="宋体" w:cs="宋体"/>
                <w:color w:val="auto"/>
                <w:highlight w:val="none"/>
              </w:rPr>
            </w:pPr>
          </w:p>
        </w:tc>
      </w:t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tbl>
    <w:p>
      <w:pPr>
        <w:spacing w:line="420" w:lineRule="exact"/>
        <w:ind w:firstLine="0" w:firstLineChars="0"/>
        <w:rPr>
          <w:rFonts w:ascii="宋体" w:hAnsi="宋体" w:cs="宋体"/>
          <w:b/>
          <w:color w:val="auto"/>
          <w:sz w:val="32"/>
          <w:szCs w:val="32"/>
          <w:highlight w:val="none"/>
        </w:rPr>
      </w:pPr>
      <w:bookmarkStart w:id="1182" w:name="_Toc9524"/>
      <w:bookmarkStart w:id="1183" w:name="_Toc1326"/>
      <w:bookmarkStart w:id="1184" w:name="_Toc25875"/>
      <w:bookmarkStart w:id="1185" w:name="_Toc29704"/>
      <w:bookmarkStart w:id="1186" w:name="_Toc12354"/>
      <w:bookmarkStart w:id="1187" w:name="_Toc4817"/>
      <w:bookmarkStart w:id="1188" w:name="_Toc10307"/>
      <w:bookmarkStart w:id="1189" w:name="_Toc11308"/>
      <w:bookmarkStart w:id="1190" w:name="_Toc23053"/>
      <w:bookmarkStart w:id="1191" w:name="_Toc6528"/>
      <w:bookmarkStart w:id="1192" w:name="_Toc32303"/>
      <w:bookmarkStart w:id="1193" w:name="_Toc4689"/>
      <w:bookmarkStart w:id="1194" w:name="_Toc17238"/>
      <w:bookmarkStart w:id="1195" w:name="_Toc2846"/>
      <w:bookmarkStart w:id="1196" w:name="_Toc5538"/>
      <w:bookmarkStart w:id="1197" w:name="_Toc29180"/>
      <w:bookmarkStart w:id="1198" w:name="_Toc7350"/>
      <w:bookmarkStart w:id="1199" w:name="_Toc24445"/>
      <w:bookmarkStart w:id="1200" w:name="_Toc604"/>
      <w:bookmarkStart w:id="1201" w:name="_Toc11529"/>
      <w:bookmarkStart w:id="1202" w:name="_Toc22794"/>
      <w:bookmarkStart w:id="1203" w:name="_Toc10033"/>
      <w:bookmarkStart w:id="1204" w:name="_Toc19399"/>
      <w:bookmarkStart w:id="1205" w:name="_Toc28611"/>
      <w:bookmarkStart w:id="1206" w:name="_Toc12435"/>
      <w:bookmarkStart w:id="1207" w:name="_Toc30554"/>
      <w:bookmarkStart w:id="1208" w:name="_Toc12360"/>
      <w:bookmarkStart w:id="1209" w:name="_Toc21306"/>
      <w:bookmarkStart w:id="1210" w:name="_Toc16833"/>
      <w:bookmarkStart w:id="1211" w:name="_Toc11828"/>
      <w:bookmarkStart w:id="1212" w:name="_Toc200"/>
      <w:bookmarkStart w:id="1213" w:name="_Toc11509"/>
      <w:bookmarkStart w:id="1214" w:name="_Toc28518"/>
      <w:bookmarkStart w:id="1215" w:name="_Toc14603"/>
      <w:bookmarkStart w:id="1216" w:name="_Toc376"/>
      <w:bookmarkStart w:id="1217" w:name="_Toc7080"/>
      <w:bookmarkStart w:id="1218" w:name="_Toc281"/>
      <w:bookmarkStart w:id="1219" w:name="_Toc12327"/>
      <w:bookmarkStart w:id="1220" w:name="_Toc8049"/>
      <w:bookmarkStart w:id="1221" w:name="_Toc17646"/>
      <w:bookmarkStart w:id="1222" w:name="_Toc10659"/>
      <w:bookmarkStart w:id="1223" w:name="_Toc17640"/>
      <w:bookmarkStart w:id="1224" w:name="_Toc28264"/>
      <w:bookmarkStart w:id="1225" w:name="_Toc3853"/>
      <w:bookmarkStart w:id="1226" w:name="_Toc9488"/>
      <w:bookmarkStart w:id="1227" w:name="_Toc17212"/>
      <w:bookmarkStart w:id="1228" w:name="_Toc16560"/>
      <w:bookmarkStart w:id="1229" w:name="_Toc12744"/>
      <w:bookmarkStart w:id="1230" w:name="_Toc8146"/>
      <w:bookmarkStart w:id="1231" w:name="_Toc9088"/>
      <w:bookmarkStart w:id="1232" w:name="_Toc3014"/>
      <w:bookmarkStart w:id="1233" w:name="_Toc18270"/>
      <w:bookmarkStart w:id="1234" w:name="_Toc7501"/>
      <w:bookmarkStart w:id="1235" w:name="_Toc25770"/>
      <w:bookmarkStart w:id="1236" w:name="_Toc25350"/>
    </w:p>
    <w:p>
      <w:pPr>
        <w:spacing w:line="420" w:lineRule="exact"/>
        <w:ind w:firstLine="0" w:firstLineChars="0"/>
        <w:jc w:val="center"/>
        <w:outlineLvl w:val="9"/>
        <w:rPr>
          <w:rFonts w:hint="eastAsia" w:ascii="宋体" w:hAnsi="宋体" w:cs="宋体"/>
          <w:b/>
          <w:color w:val="auto"/>
          <w:sz w:val="32"/>
          <w:szCs w:val="32"/>
          <w:highlight w:val="none"/>
        </w:rPr>
      </w:pPr>
      <w:bookmarkStart w:id="1237" w:name="_Toc15901"/>
      <w:bookmarkStart w:id="1238" w:name="_Toc13206"/>
      <w:bookmarkStart w:id="1239" w:name="_Toc7789"/>
      <w:bookmarkStart w:id="1240" w:name="_Toc13672"/>
      <w:bookmarkStart w:id="1241" w:name="_Toc28085"/>
      <w:bookmarkStart w:id="1242" w:name="_Toc5336"/>
    </w:p>
    <w:p>
      <w:pPr>
        <w:spacing w:line="420" w:lineRule="exact"/>
        <w:ind w:firstLine="0" w:firstLineChars="0"/>
        <w:jc w:val="center"/>
        <w:outlineLvl w:val="9"/>
        <w:rPr>
          <w:rFonts w:hint="eastAsia" w:ascii="宋体" w:hAnsi="宋体" w:cs="宋体"/>
          <w:b/>
          <w:color w:val="auto"/>
          <w:sz w:val="32"/>
          <w:szCs w:val="32"/>
          <w:highlight w:val="none"/>
        </w:rPr>
      </w:pPr>
    </w:p>
    <w:p>
      <w:pPr>
        <w:spacing w:line="420" w:lineRule="exact"/>
        <w:ind w:firstLine="0" w:firstLineChars="0"/>
        <w:jc w:val="center"/>
        <w:outlineLvl w:val="1"/>
        <w:rPr>
          <w:rFonts w:ascii="宋体" w:cs="宋体"/>
          <w:b/>
          <w:color w:val="auto"/>
          <w:sz w:val="32"/>
          <w:szCs w:val="32"/>
          <w:highlight w:val="none"/>
        </w:rPr>
      </w:pPr>
      <w:bookmarkStart w:id="1243" w:name="_Toc32273"/>
      <w:bookmarkStart w:id="1244" w:name="_Toc28007"/>
      <w:r>
        <w:rPr>
          <w:rFonts w:hint="eastAsia" w:ascii="宋体" w:hAnsi="宋体" w:cs="宋体"/>
          <w:b/>
          <w:color w:val="auto"/>
          <w:sz w:val="32"/>
          <w:szCs w:val="32"/>
          <w:highlight w:val="none"/>
        </w:rPr>
        <w:t>资格审查文件封面格式</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37"/>
      <w:bookmarkEnd w:id="1238"/>
      <w:bookmarkEnd w:id="1239"/>
      <w:bookmarkEnd w:id="1240"/>
      <w:bookmarkEnd w:id="1241"/>
      <w:bookmarkEnd w:id="1242"/>
      <w:bookmarkEnd w:id="1243"/>
      <w:bookmarkEnd w:id="1244"/>
    </w:p>
    <w:p>
      <w:pPr>
        <w:pStyle w:val="24"/>
        <w:spacing w:line="420" w:lineRule="exact"/>
        <w:ind w:left="120" w:leftChars="50" w:firstLine="3855" w:firstLineChars="1200"/>
        <w:jc w:val="left"/>
        <w:rPr>
          <w:rFonts w:ascii="宋体" w:hAnsi="宋体" w:eastAsia="宋体" w:cs="宋体"/>
          <w:color w:val="auto"/>
          <w:sz w:val="32"/>
          <w:highlight w:val="none"/>
        </w:rPr>
      </w:pPr>
    </w:p>
    <w:p>
      <w:pPr>
        <w:spacing w:line="420" w:lineRule="exact"/>
        <w:ind w:firstLine="640"/>
        <w:jc w:val="center"/>
        <w:rPr>
          <w:rFonts w:ascii="宋体" w:hAnsi="宋体" w:cs="宋体"/>
          <w:color w:val="auto"/>
          <w:sz w:val="32"/>
          <w:szCs w:val="32"/>
          <w:highlight w:val="none"/>
        </w:rPr>
      </w:pPr>
      <w:bookmarkStart w:id="1245" w:name="_Toc11140"/>
      <w:bookmarkStart w:id="1246" w:name="_Toc23596"/>
      <w:bookmarkStart w:id="1247" w:name="_Toc11547"/>
      <w:bookmarkStart w:id="1248" w:name="_Toc3021"/>
      <w:bookmarkStart w:id="1249" w:name="_Toc23167"/>
      <w:bookmarkStart w:id="1250" w:name="_Toc23179"/>
      <w:bookmarkStart w:id="1251" w:name="_Toc2832"/>
      <w:bookmarkStart w:id="1252" w:name="_Toc24406"/>
      <w:bookmarkStart w:id="1253" w:name="_Toc9383"/>
      <w:bookmarkStart w:id="1254" w:name="_Toc12833"/>
      <w:bookmarkStart w:id="1255" w:name="_Toc10048"/>
      <w:bookmarkStart w:id="1256" w:name="_Toc17517"/>
      <w:bookmarkStart w:id="1257" w:name="_Toc15243"/>
    </w:p>
    <w:p>
      <w:pPr>
        <w:spacing w:line="420" w:lineRule="exact"/>
        <w:ind w:firstLine="0" w:firstLineChars="0"/>
        <w:jc w:val="center"/>
        <w:outlineLvl w:val="0"/>
        <w:rPr>
          <w:rFonts w:ascii="宋体" w:cs="宋体"/>
          <w:color w:val="auto"/>
          <w:sz w:val="84"/>
          <w:highlight w:val="none"/>
        </w:rPr>
      </w:pPr>
      <w:bookmarkStart w:id="1258" w:name="_Toc25822"/>
      <w:bookmarkStart w:id="1259" w:name="_Toc5295"/>
      <w:bookmarkStart w:id="1260" w:name="_Toc29203"/>
      <w:bookmarkStart w:id="1261" w:name="_Toc11443"/>
      <w:bookmarkStart w:id="1262" w:name="_Toc24758"/>
      <w:bookmarkStart w:id="1263" w:name="_Toc6529"/>
      <w:bookmarkStart w:id="1264" w:name="_Toc10166"/>
      <w:bookmarkStart w:id="1265" w:name="_Toc7907"/>
      <w:bookmarkStart w:id="1266" w:name="_Toc16708"/>
      <w:bookmarkStart w:id="1267" w:name="_Toc22746"/>
      <w:bookmarkStart w:id="1268" w:name="_Toc18581"/>
      <w:bookmarkStart w:id="1269" w:name="_Toc14016"/>
      <w:bookmarkStart w:id="1270" w:name="_Toc21045"/>
      <w:bookmarkStart w:id="1271" w:name="_Toc23737"/>
      <w:bookmarkStart w:id="1272" w:name="_Toc5013"/>
      <w:bookmarkStart w:id="1273" w:name="_Toc19366"/>
      <w:bookmarkStart w:id="1274" w:name="_Toc15041"/>
      <w:bookmarkStart w:id="1275" w:name="_Toc20109"/>
      <w:bookmarkStart w:id="1276" w:name="_Toc13263"/>
      <w:bookmarkStart w:id="1277" w:name="_Toc16551"/>
      <w:bookmarkStart w:id="1278" w:name="_Toc27636"/>
      <w:bookmarkStart w:id="1279" w:name="_Toc22222"/>
      <w:bookmarkStart w:id="1280" w:name="_Toc26916"/>
      <w:bookmarkStart w:id="1281" w:name="_Toc4032"/>
      <w:bookmarkStart w:id="1282" w:name="_Toc31502"/>
      <w:bookmarkStart w:id="1283" w:name="_Toc3613"/>
      <w:bookmarkStart w:id="1284" w:name="_Toc11955"/>
      <w:bookmarkStart w:id="1285" w:name="_Toc12516"/>
      <w:bookmarkStart w:id="1286" w:name="_Toc13432"/>
      <w:bookmarkStart w:id="1287" w:name="_Toc6691"/>
      <w:bookmarkStart w:id="1288" w:name="_Toc21815"/>
      <w:r>
        <w:rPr>
          <w:rFonts w:hint="eastAsia" w:ascii="宋体" w:hAnsi="宋体" w:cs="宋体"/>
          <w:color w:val="auto"/>
          <w:sz w:val="32"/>
          <w:szCs w:val="32"/>
          <w:highlight w:val="none"/>
        </w:rPr>
        <w:t>正本或副本</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pPr>
        <w:spacing w:line="420" w:lineRule="exact"/>
        <w:ind w:firstLine="883"/>
        <w:rPr>
          <w:rFonts w:ascii="宋体" w:cs="宋体"/>
          <w:b/>
          <w:color w:val="auto"/>
          <w:sz w:val="44"/>
          <w:szCs w:val="44"/>
          <w:highlight w:val="none"/>
        </w:rPr>
      </w:pPr>
    </w:p>
    <w:p>
      <w:pPr>
        <w:ind w:firstLine="480"/>
        <w:rPr>
          <w:rFonts w:ascii="宋体" w:cs="宋体"/>
          <w:color w:val="auto"/>
          <w:highlight w:val="none"/>
        </w:rPr>
      </w:pPr>
    </w:p>
    <w:p>
      <w:pPr>
        <w:ind w:firstLine="480"/>
        <w:rPr>
          <w:color w:val="auto"/>
          <w:highlight w:val="none"/>
        </w:rPr>
      </w:pPr>
    </w:p>
    <w:p>
      <w:pPr>
        <w:spacing w:line="240" w:lineRule="auto"/>
        <w:ind w:firstLine="0" w:firstLineChars="0"/>
        <w:jc w:val="center"/>
        <w:rPr>
          <w:rFonts w:ascii="宋体" w:cs="宋体"/>
          <w:b/>
          <w:bCs/>
          <w:color w:val="auto"/>
          <w:sz w:val="72"/>
          <w:szCs w:val="72"/>
          <w:highlight w:val="none"/>
        </w:rPr>
      </w:pPr>
    </w:p>
    <w:p>
      <w:pPr>
        <w:spacing w:line="240" w:lineRule="auto"/>
        <w:ind w:firstLine="0" w:firstLineChars="0"/>
        <w:jc w:val="center"/>
        <w:outlineLvl w:val="9"/>
        <w:rPr>
          <w:rFonts w:ascii="宋体" w:hAnsi="宋体" w:cs="宋体"/>
          <w:b/>
          <w:bCs/>
          <w:color w:val="auto"/>
          <w:sz w:val="72"/>
          <w:szCs w:val="72"/>
          <w:highlight w:val="none"/>
        </w:rPr>
      </w:pPr>
      <w:bookmarkStart w:id="1289" w:name="_Toc30482"/>
      <w:bookmarkStart w:id="1290" w:name="_Toc3909"/>
      <w:bookmarkStart w:id="1291" w:name="_Toc13778"/>
      <w:bookmarkStart w:id="1292" w:name="_Toc17103"/>
      <w:bookmarkStart w:id="1293" w:name="_Toc9615"/>
      <w:bookmarkStart w:id="1294" w:name="_Toc12971"/>
      <w:bookmarkStart w:id="1295" w:name="_Toc9382"/>
      <w:bookmarkStart w:id="1296" w:name="_Toc10973"/>
      <w:bookmarkStart w:id="1297" w:name="_Toc14717"/>
      <w:bookmarkStart w:id="1298" w:name="_Toc1119"/>
      <w:bookmarkStart w:id="1299" w:name="_Toc21130"/>
      <w:bookmarkStart w:id="1300" w:name="_Toc22676"/>
      <w:bookmarkStart w:id="1301" w:name="_Toc32671"/>
      <w:bookmarkStart w:id="1302" w:name="_Toc24965"/>
      <w:bookmarkStart w:id="1303" w:name="_Toc20980"/>
      <w:bookmarkStart w:id="1304" w:name="_Toc9452"/>
      <w:bookmarkStart w:id="1305" w:name="_Toc18988"/>
      <w:bookmarkStart w:id="1306" w:name="_Toc28094"/>
      <w:bookmarkStart w:id="1307" w:name="_Toc7385"/>
      <w:bookmarkStart w:id="1308" w:name="_Toc25155"/>
      <w:bookmarkStart w:id="1309" w:name="_Toc25413"/>
      <w:bookmarkStart w:id="1310" w:name="_Toc23683"/>
      <w:bookmarkStart w:id="1311" w:name="_Toc29862"/>
      <w:bookmarkStart w:id="1312" w:name="_Toc763"/>
      <w:bookmarkStart w:id="1313" w:name="_Toc19225"/>
      <w:bookmarkStart w:id="1314" w:name="_Toc14388"/>
      <w:bookmarkStart w:id="1315" w:name="_Toc7133"/>
      <w:bookmarkStart w:id="1316" w:name="_Toc3004"/>
      <w:bookmarkStart w:id="1317" w:name="_Toc6503"/>
      <w:bookmarkStart w:id="1318" w:name="_Toc6549"/>
      <w:bookmarkStart w:id="1319" w:name="_Toc32422"/>
      <w:bookmarkStart w:id="1320" w:name="_Toc1679"/>
      <w:bookmarkStart w:id="1321" w:name="_Toc1203"/>
      <w:bookmarkStart w:id="1322" w:name="_Toc8823"/>
      <w:bookmarkStart w:id="1323" w:name="_Toc3356"/>
      <w:bookmarkStart w:id="1324" w:name="_Toc28487"/>
      <w:bookmarkStart w:id="1325" w:name="_Toc27148"/>
      <w:bookmarkStart w:id="1326" w:name="_Toc20930"/>
      <w:bookmarkStart w:id="1327" w:name="_Toc3072"/>
      <w:bookmarkStart w:id="1328" w:name="_Toc1266"/>
      <w:bookmarkStart w:id="1329" w:name="_Toc13471"/>
    </w:p>
    <w:p>
      <w:pPr>
        <w:spacing w:line="240" w:lineRule="auto"/>
        <w:ind w:firstLine="0" w:firstLineChars="0"/>
        <w:jc w:val="center"/>
        <w:outlineLvl w:val="1"/>
        <w:rPr>
          <w:rFonts w:ascii="宋体" w:hAnsi="宋体" w:cs="宋体"/>
          <w:b/>
          <w:bCs/>
          <w:color w:val="auto"/>
          <w:sz w:val="72"/>
          <w:szCs w:val="72"/>
          <w:highlight w:val="none"/>
        </w:rPr>
      </w:pPr>
      <w:bookmarkStart w:id="1330" w:name="_Toc7038"/>
      <w:bookmarkStart w:id="1331" w:name="_Toc28255"/>
      <w:bookmarkStart w:id="1332" w:name="_Toc13955"/>
      <w:bookmarkStart w:id="1333" w:name="_Toc17817"/>
      <w:r>
        <w:rPr>
          <w:rFonts w:hint="eastAsia" w:ascii="宋体" w:hAnsi="宋体" w:cs="宋体"/>
          <w:b/>
          <w:bCs/>
          <w:color w:val="auto"/>
          <w:sz w:val="72"/>
          <w:szCs w:val="72"/>
          <w:highlight w:val="none"/>
        </w:rPr>
        <w:t>资格审查文件</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pPr>
        <w:spacing w:line="240" w:lineRule="auto"/>
        <w:ind w:firstLine="883"/>
        <w:jc w:val="center"/>
        <w:rPr>
          <w:rFonts w:ascii="宋体" w:cs="宋体"/>
          <w:b/>
          <w:bCs/>
          <w:color w:val="auto"/>
          <w:sz w:val="44"/>
          <w:szCs w:val="44"/>
          <w:highlight w:val="none"/>
        </w:rPr>
      </w:pPr>
    </w:p>
    <w:p>
      <w:pPr>
        <w:ind w:firstLine="0" w:firstLineChars="0"/>
        <w:rPr>
          <w:rFonts w:ascii="宋体" w:cs="宋体"/>
          <w:color w:val="auto"/>
          <w:highlight w:val="none"/>
        </w:rPr>
      </w:pPr>
    </w:p>
    <w:p>
      <w:pPr>
        <w:pStyle w:val="16"/>
        <w:ind w:firstLine="0" w:firstLineChars="0"/>
        <w:rPr>
          <w:color w:val="auto"/>
          <w:highlight w:val="none"/>
        </w:rPr>
      </w:pPr>
    </w:p>
    <w:p>
      <w:pPr>
        <w:pStyle w:val="40"/>
        <w:ind w:firstLine="210"/>
        <w:rPr>
          <w:color w:val="auto"/>
          <w:highlight w:val="none"/>
        </w:rPr>
      </w:pPr>
    </w:p>
    <w:p>
      <w:pPr>
        <w:ind w:firstLine="0" w:firstLineChars="0"/>
        <w:rPr>
          <w:color w:val="auto"/>
          <w:highlight w:val="none"/>
        </w:rPr>
      </w:pPr>
    </w:p>
    <w:p>
      <w:pPr>
        <w:pStyle w:val="16"/>
        <w:ind w:firstLine="480"/>
        <w:rPr>
          <w:color w:val="auto"/>
          <w:highlight w:val="none"/>
        </w:rPr>
      </w:pPr>
    </w:p>
    <w:p>
      <w:pPr>
        <w:ind w:firstLine="0" w:firstLineChars="0"/>
        <w:rPr>
          <w:rFonts w:ascii="宋体" w:cs="宋体"/>
          <w:color w:val="auto"/>
          <w:highlight w:val="none"/>
        </w:rPr>
      </w:pPr>
    </w:p>
    <w:p>
      <w:pPr>
        <w:pStyle w:val="21"/>
        <w:ind w:left="960" w:hanging="480"/>
        <w:rPr>
          <w:color w:val="auto"/>
          <w:highlight w:val="none"/>
        </w:rPr>
      </w:pPr>
    </w:p>
    <w:p>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LYCG2024XCX-002</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pPr>
        <w:spacing w:line="360" w:lineRule="auto"/>
        <w:ind w:firstLine="0" w:firstLineChars="0"/>
        <w:jc w:val="center"/>
        <w:rPr>
          <w:rFonts w:hint="eastAsia" w:ascii="宋体" w:hAnsi="宋体" w:cs="宋体"/>
          <w:b/>
          <w:bCs/>
          <w:color w:val="auto"/>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四</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Start w:id="1334" w:name="_Toc29376"/>
      <w:bookmarkStart w:id="1335" w:name="_Toc7719"/>
      <w:bookmarkStart w:id="1336" w:name="_Toc1232"/>
      <w:bookmarkStart w:id="1337" w:name="_Toc20801"/>
      <w:bookmarkStart w:id="1338" w:name="_Toc24235"/>
      <w:bookmarkStart w:id="1339" w:name="_Toc5390"/>
      <w:bookmarkStart w:id="1340" w:name="_Toc15730"/>
      <w:bookmarkStart w:id="1341" w:name="_Toc21837"/>
      <w:bookmarkStart w:id="1342" w:name="_Toc25911"/>
      <w:bookmarkStart w:id="1343" w:name="_Toc17387"/>
      <w:bookmarkStart w:id="1344" w:name="_Toc444"/>
      <w:bookmarkStart w:id="1345" w:name="_Toc12249"/>
      <w:bookmarkStart w:id="1346" w:name="_Toc8510"/>
      <w:bookmarkStart w:id="1347" w:name="_Toc20500"/>
      <w:bookmarkStart w:id="1348" w:name="_Toc9011"/>
      <w:bookmarkStart w:id="1349" w:name="_Toc8186"/>
      <w:bookmarkStart w:id="1350" w:name="_Toc20539"/>
      <w:bookmarkStart w:id="1351" w:name="_Toc4036"/>
      <w:bookmarkStart w:id="1352" w:name="_Toc11906"/>
      <w:bookmarkStart w:id="1353" w:name="_Toc30313"/>
      <w:bookmarkStart w:id="1354" w:name="_Toc5796"/>
      <w:bookmarkStart w:id="1355" w:name="_Toc8370"/>
      <w:bookmarkStart w:id="1356" w:name="_Toc20081"/>
      <w:bookmarkStart w:id="1357" w:name="_Toc17255"/>
      <w:bookmarkStart w:id="1358" w:name="_Toc7464"/>
      <w:bookmarkStart w:id="1359" w:name="_Toc10122"/>
      <w:bookmarkStart w:id="1360" w:name="_Toc11131"/>
      <w:bookmarkStart w:id="1361" w:name="_Toc32566"/>
      <w:bookmarkStart w:id="1362" w:name="_Toc32042"/>
      <w:bookmarkStart w:id="1363" w:name="_Toc213"/>
      <w:bookmarkStart w:id="1364" w:name="_Toc5606"/>
      <w:bookmarkStart w:id="1365" w:name="_Toc30078"/>
      <w:bookmarkStart w:id="1366" w:name="_Toc4371"/>
      <w:bookmarkStart w:id="1367" w:name="_Toc32139"/>
      <w:bookmarkStart w:id="1368" w:name="_Toc12291"/>
      <w:bookmarkStart w:id="1369" w:name="_Toc12011"/>
      <w:bookmarkStart w:id="1370" w:name="_Toc8034"/>
      <w:bookmarkStart w:id="1371" w:name="_Toc11776"/>
      <w:bookmarkStart w:id="1372" w:name="_Toc10995"/>
      <w:bookmarkStart w:id="1373" w:name="_Toc8060"/>
      <w:bookmarkStart w:id="1374" w:name="_Toc28787"/>
      <w:bookmarkStart w:id="1375" w:name="_Toc19203"/>
      <w:bookmarkStart w:id="1376" w:name="_Toc4899"/>
      <w:bookmarkStart w:id="1377" w:name="_Toc17940_WPSOffice_Level1"/>
      <w:bookmarkStart w:id="1378" w:name="_Toc4948_WPSOffice_Level1"/>
      <w:bookmarkStart w:id="1379" w:name="_Toc17197"/>
      <w:bookmarkStart w:id="1380" w:name="_Toc15895"/>
      <w:bookmarkStart w:id="1381" w:name="_Toc7492_WPSOffice_Level1"/>
      <w:bookmarkStart w:id="1382" w:name="_Toc29011"/>
      <w:bookmarkStart w:id="1383" w:name="_Toc6738"/>
    </w:p>
    <w:p>
      <w:pPr>
        <w:ind w:firstLine="0" w:firstLineChars="0"/>
        <w:jc w:val="left"/>
        <w:outlineLvl w:val="1"/>
        <w:rPr>
          <w:rFonts w:ascii="宋体" w:cs="宋体"/>
          <w:b/>
          <w:bCs/>
          <w:color w:val="auto"/>
          <w:highlight w:val="none"/>
        </w:rPr>
      </w:pPr>
      <w:bookmarkStart w:id="1384" w:name="_Toc13850"/>
      <w:bookmarkStart w:id="1385" w:name="_Toc31006"/>
      <w:r>
        <w:rPr>
          <w:rFonts w:hint="eastAsia" w:ascii="宋体" w:hAnsi="宋体" w:cs="宋体"/>
          <w:b/>
          <w:bCs/>
          <w:color w:val="auto"/>
          <w:highlight w:val="none"/>
        </w:rPr>
        <w:t>附件</w:t>
      </w:r>
      <w:r>
        <w:rPr>
          <w:rFonts w:ascii="宋体" w:hAnsi="宋体" w:cs="宋体"/>
          <w:b/>
          <w:bCs/>
          <w:color w:val="auto"/>
          <w:highlight w:val="none"/>
        </w:rPr>
        <w:t>1</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84"/>
      <w:bookmarkEnd w:id="1385"/>
    </w:p>
    <w:p>
      <w:pPr>
        <w:ind w:firstLine="0" w:firstLineChars="0"/>
        <w:jc w:val="center"/>
        <w:rPr>
          <w:b/>
          <w:bCs/>
          <w:color w:val="auto"/>
          <w:sz w:val="30"/>
          <w:szCs w:val="30"/>
          <w:highlight w:val="none"/>
          <w:lang w:val="en-GB"/>
        </w:rPr>
      </w:pPr>
      <w:r>
        <w:rPr>
          <w:rFonts w:hint="eastAsia"/>
          <w:b/>
          <w:bCs/>
          <w:color w:val="auto"/>
          <w:sz w:val="30"/>
          <w:szCs w:val="30"/>
          <w:highlight w:val="none"/>
          <w:lang w:val="en-GB" w:eastAsia="zh-CN"/>
        </w:rPr>
        <w:t>投标人</w:t>
      </w:r>
      <w:r>
        <w:rPr>
          <w:rFonts w:hint="eastAsia"/>
          <w:b/>
          <w:bCs/>
          <w:color w:val="auto"/>
          <w:sz w:val="30"/>
          <w:szCs w:val="30"/>
          <w:highlight w:val="none"/>
          <w:lang w:val="en-GB"/>
        </w:rPr>
        <w:t>基本情况表</w:t>
      </w:r>
    </w:p>
    <w:tbl>
      <w:tblPr>
        <w:tblStyle w:val="41"/>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189"/>
        <w:gridCol w:w="1353"/>
        <w:gridCol w:w="742"/>
        <w:gridCol w:w="543"/>
        <w:gridCol w:w="1281"/>
        <w:gridCol w:w="1101"/>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lang w:eastAsia="zh-CN"/>
              </w:rPr>
              <w:t>投标人</w:t>
            </w:r>
            <w:r>
              <w:rPr>
                <w:rFonts w:hint="eastAsia"/>
                <w:color w:val="auto"/>
                <w:highlight w:val="none"/>
              </w:rPr>
              <w:t>名称</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注册地址</w:t>
            </w:r>
          </w:p>
        </w:tc>
        <w:tc>
          <w:tcPr>
            <w:tcW w:w="3827"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rPr>
                <w:rFonts w:hint="default"/>
                <w:color w:val="auto"/>
                <w:highlight w:val="none"/>
              </w:rPr>
            </w:pPr>
            <w:r>
              <w:rPr>
                <w:rFonts w:hint="eastAsia"/>
                <w:color w:val="auto"/>
                <w:highlight w:val="none"/>
              </w:rPr>
              <w:t>邮政编码</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联系方式</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 系 人</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传    真</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移动电话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电子邮箱</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网    址</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组织结构</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法定代表人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技术负责人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成立时间</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5481"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统一社会信用代码</w:t>
            </w:r>
          </w:p>
        </w:tc>
        <w:tc>
          <w:tcPr>
            <w:tcW w:w="254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其中</w:t>
            </w: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注册职业资格</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254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高级职称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注册资本</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中级职称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开户银行</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初级职称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账    号</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    他</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经营范围</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p>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p>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bl>
    <w:p>
      <w:pPr>
        <w:ind w:firstLine="0" w:firstLineChars="0"/>
        <w:jc w:val="center"/>
        <w:rPr>
          <w:b/>
          <w:bCs/>
          <w:color w:val="auto"/>
          <w:sz w:val="30"/>
          <w:szCs w:val="30"/>
          <w:highlight w:val="none"/>
        </w:rPr>
      </w:pPr>
    </w:p>
    <w:p>
      <w:pPr>
        <w:ind w:firstLine="4320" w:firstLineChars="1800"/>
        <w:rPr>
          <w:color w:val="auto"/>
          <w:highlight w:val="none"/>
        </w:rPr>
      </w:pP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pPr>
        <w:ind w:firstLine="4320" w:firstLineChars="1800"/>
        <w:rPr>
          <w:color w:val="auto"/>
          <w:highlight w:val="none"/>
        </w:rPr>
      </w:pPr>
      <w:r>
        <w:rPr>
          <w:rFonts w:hint="eastAsia"/>
          <w:color w:val="auto"/>
          <w:highlight w:val="none"/>
        </w:rPr>
        <w:t>法定代表人或授权代理人（签字或盖章）：</w:t>
      </w:r>
    </w:p>
    <w:p>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2024</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ind w:firstLine="0" w:firstLineChars="0"/>
        <w:jc w:val="left"/>
        <w:rPr>
          <w:rFonts w:ascii="宋体" w:hAnsi="宋体" w:cs="宋体"/>
          <w:b/>
          <w:bCs/>
          <w:color w:val="auto"/>
          <w:highlight w:val="none"/>
        </w:rPr>
      </w:pPr>
      <w:bookmarkStart w:id="1386" w:name="_Toc11920"/>
      <w:bookmarkStart w:id="1387" w:name="_Toc11280"/>
      <w:bookmarkStart w:id="1388" w:name="_Toc11824"/>
      <w:bookmarkStart w:id="1389" w:name="_Toc24787"/>
      <w:bookmarkStart w:id="1390" w:name="_Toc7082"/>
      <w:bookmarkStart w:id="1391" w:name="_Toc28692"/>
      <w:bookmarkStart w:id="1392" w:name="_Toc27191"/>
      <w:bookmarkStart w:id="1393" w:name="_Toc2533"/>
      <w:bookmarkStart w:id="1394" w:name="_Toc18350"/>
      <w:bookmarkStart w:id="1395" w:name="_Toc675"/>
      <w:bookmarkStart w:id="1396" w:name="_Toc2572"/>
      <w:bookmarkStart w:id="1397" w:name="_Toc28874"/>
      <w:bookmarkStart w:id="1398" w:name="_Toc6689"/>
      <w:bookmarkStart w:id="1399" w:name="_Toc32311"/>
      <w:bookmarkStart w:id="1400" w:name="_Toc24391"/>
      <w:bookmarkStart w:id="1401" w:name="_Toc54"/>
      <w:bookmarkStart w:id="1402" w:name="_Toc14816"/>
      <w:bookmarkStart w:id="1403" w:name="_Toc11875"/>
      <w:bookmarkStart w:id="1404" w:name="_Toc13190"/>
    </w:p>
    <w:p>
      <w:pPr>
        <w:ind w:firstLine="0" w:firstLineChars="0"/>
        <w:jc w:val="left"/>
        <w:rPr>
          <w:rFonts w:ascii="宋体" w:hAnsi="宋体" w:cs="宋体"/>
          <w:b/>
          <w:bCs/>
          <w:color w:val="auto"/>
          <w:highlight w:val="none"/>
        </w:rPr>
      </w:pPr>
    </w:p>
    <w:p>
      <w:pPr>
        <w:ind w:firstLine="0" w:firstLineChars="0"/>
        <w:jc w:val="left"/>
        <w:rPr>
          <w:rFonts w:ascii="宋体" w:hAnsi="宋体" w:cs="宋体"/>
          <w:b/>
          <w:bCs/>
          <w:color w:val="auto"/>
          <w:highlight w:val="none"/>
        </w:rPr>
      </w:pPr>
    </w:p>
    <w:p>
      <w:pPr>
        <w:ind w:firstLine="0" w:firstLineChars="0"/>
        <w:jc w:val="left"/>
        <w:rPr>
          <w:rFonts w:ascii="宋体" w:hAnsi="宋体" w:cs="宋体"/>
          <w:b/>
          <w:bCs/>
          <w:color w:val="auto"/>
          <w:highlight w:val="none"/>
        </w:rPr>
      </w:pPr>
      <w:bookmarkStart w:id="1405" w:name="_Toc32586"/>
    </w:p>
    <w:p>
      <w:pPr>
        <w:ind w:firstLine="0" w:firstLineChars="0"/>
        <w:jc w:val="left"/>
        <w:outlineLvl w:val="1"/>
        <w:rPr>
          <w:rFonts w:ascii="宋体" w:hAnsi="宋体" w:cs="宋体"/>
          <w:b/>
          <w:bCs/>
          <w:color w:val="auto"/>
          <w:sz w:val="30"/>
          <w:szCs w:val="30"/>
          <w:highlight w:val="none"/>
        </w:rPr>
      </w:pPr>
      <w:bookmarkStart w:id="1406" w:name="_Toc8652"/>
      <w:bookmarkStart w:id="1407" w:name="_Toc26663"/>
      <w:bookmarkStart w:id="1408" w:name="_Toc13270"/>
      <w:bookmarkStart w:id="1409" w:name="_Toc19934"/>
      <w:bookmarkStart w:id="1410" w:name="_Toc18783"/>
      <w:bookmarkStart w:id="1411" w:name="_Toc29986"/>
      <w:bookmarkStart w:id="1412" w:name="_Toc1629"/>
      <w:bookmarkStart w:id="1413" w:name="_Toc16143"/>
      <w:bookmarkStart w:id="1414" w:name="_Toc28056"/>
      <w:bookmarkStart w:id="1415" w:name="_Toc30863"/>
      <w:bookmarkStart w:id="1416" w:name="_Toc7894"/>
      <w:bookmarkStart w:id="1417" w:name="_Toc984"/>
      <w:r>
        <w:rPr>
          <w:rFonts w:hint="eastAsia" w:ascii="宋体" w:hAnsi="宋体" w:cs="宋体"/>
          <w:b/>
          <w:bCs/>
          <w:color w:val="auto"/>
          <w:highlight w:val="none"/>
        </w:rPr>
        <w:t>附件2</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ind w:firstLine="0" w:firstLineChars="0"/>
        <w:jc w:val="center"/>
        <w:rPr>
          <w:b/>
          <w:bCs/>
          <w:color w:val="auto"/>
          <w:sz w:val="30"/>
          <w:szCs w:val="30"/>
          <w:highlight w:val="none"/>
          <w:lang w:val="en-GB"/>
        </w:rPr>
      </w:pPr>
      <w:bookmarkStart w:id="1418" w:name="_Toc30725"/>
      <w:bookmarkStart w:id="1419" w:name="_Toc22805"/>
      <w:r>
        <w:rPr>
          <w:rFonts w:hint="eastAsia"/>
          <w:b/>
          <w:bCs/>
          <w:color w:val="auto"/>
          <w:sz w:val="30"/>
          <w:szCs w:val="30"/>
          <w:highlight w:val="none"/>
          <w:lang w:val="en-GB"/>
        </w:rPr>
        <w:t>符合参加国企采购活动应当具备的一般条件的承诺函</w:t>
      </w:r>
      <w:bookmarkEnd w:id="1418"/>
      <w:bookmarkEnd w:id="1419"/>
    </w:p>
    <w:p>
      <w:pPr>
        <w:spacing w:line="360" w:lineRule="auto"/>
        <w:ind w:firstLine="48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w:t>
      </w:r>
      <w:r>
        <w:rPr>
          <w:rFonts w:hint="eastAsia" w:ascii="宋体" w:hAnsi="宋体" w:cs="宋体"/>
          <w:color w:val="auto"/>
          <w:highlight w:val="none"/>
        </w:rPr>
        <w:t>：</w:t>
      </w:r>
    </w:p>
    <w:p>
      <w:pPr>
        <w:pStyle w:val="37"/>
        <w:spacing w:line="360" w:lineRule="auto"/>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rFonts w:hint="eastAsia"/>
          <w:color w:val="auto"/>
          <w:highlight w:val="none"/>
        </w:rPr>
        <w:t>国企</w:t>
      </w:r>
      <w:r>
        <w:rPr>
          <w:color w:val="auto"/>
          <w:highlight w:val="none"/>
        </w:rPr>
        <w:t>采购活动，郑重承诺：</w:t>
      </w:r>
    </w:p>
    <w:p>
      <w:pPr>
        <w:pStyle w:val="37"/>
        <w:spacing w:line="360" w:lineRule="auto"/>
        <w:ind w:firstLine="480"/>
        <w:outlineLvl w:val="1"/>
        <w:rPr>
          <w:rFonts w:ascii="宋体" w:hAnsi="宋体" w:cs="宋体"/>
          <w:color w:val="auto"/>
          <w:highlight w:val="none"/>
        </w:rPr>
      </w:pPr>
      <w:bookmarkStart w:id="1420" w:name="_Toc23978"/>
      <w:bookmarkStart w:id="1421" w:name="_Toc12442"/>
      <w:bookmarkStart w:id="1422" w:name="_Toc30342"/>
      <w:bookmarkStart w:id="1423" w:name="_Toc9122"/>
      <w:bookmarkStart w:id="1424" w:name="_Toc3835"/>
      <w:bookmarkStart w:id="1425" w:name="_Toc25013"/>
      <w:bookmarkStart w:id="1426" w:name="_Toc29987"/>
      <w:bookmarkStart w:id="1427" w:name="_Toc1673"/>
      <w:bookmarkStart w:id="1428" w:name="_Toc1529"/>
      <w:bookmarkStart w:id="1429" w:name="_Toc29125"/>
      <w:bookmarkStart w:id="1430" w:name="_Toc30156"/>
      <w:bookmarkStart w:id="1431" w:name="_Toc21843"/>
      <w:bookmarkStart w:id="1432" w:name="_Toc1454"/>
      <w:bookmarkStart w:id="1433" w:name="_Toc16964"/>
      <w:r>
        <w:rPr>
          <w:rFonts w:hint="eastAsia" w:ascii="宋体" w:hAnsi="宋体" w:cs="宋体"/>
          <w:color w:val="auto"/>
          <w:highlight w:val="none"/>
        </w:rPr>
        <w:t>一、</w:t>
      </w:r>
      <w:r>
        <w:rPr>
          <w:rFonts w:hint="eastAsia" w:ascii="宋体" w:hAnsi="宋体" w:cs="宋体"/>
          <w:color w:val="auto"/>
          <w:highlight w:val="none"/>
          <w:lang w:eastAsia="zh-CN"/>
        </w:rPr>
        <w:t>满足《龙游县国有企业采购管理办法》（龙政办发〔2021〕58号）第十二条规定；</w:t>
      </w:r>
      <w:r>
        <w:rPr>
          <w:rFonts w:hint="eastAsia" w:ascii="宋体" w:hAnsi="宋体" w:cs="宋体"/>
          <w:color w:val="auto"/>
          <w:highlight w:val="none"/>
        </w:rPr>
        <w:t>的条件：</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5.参加国企采购活动前三年内，在经营活动中没有重大违法记录；</w:t>
      </w:r>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pPr>
        <w:pStyle w:val="37"/>
        <w:spacing w:line="360" w:lineRule="auto"/>
        <w:ind w:firstLine="480"/>
        <w:outlineLvl w:val="1"/>
        <w:rPr>
          <w:rFonts w:ascii="宋体" w:hAnsi="宋体" w:cs="宋体"/>
          <w:color w:val="auto"/>
          <w:highlight w:val="none"/>
        </w:rPr>
      </w:pPr>
      <w:bookmarkStart w:id="1434" w:name="_Toc12965"/>
      <w:bookmarkStart w:id="1435" w:name="_Toc19560"/>
      <w:bookmarkStart w:id="1436" w:name="_Toc24871"/>
      <w:bookmarkStart w:id="1437" w:name="_Toc5539"/>
      <w:bookmarkStart w:id="1438" w:name="_Toc23243"/>
      <w:bookmarkStart w:id="1439" w:name="_Toc8236"/>
      <w:bookmarkStart w:id="1440" w:name="_Toc23111"/>
      <w:bookmarkStart w:id="1441" w:name="_Toc12333"/>
      <w:bookmarkStart w:id="1442" w:name="_Toc7014"/>
      <w:bookmarkStart w:id="1443" w:name="_Toc22036"/>
      <w:bookmarkStart w:id="1444" w:name="_Toc26374"/>
      <w:bookmarkStart w:id="1445" w:name="_Toc10962"/>
      <w:bookmarkStart w:id="1446" w:name="_Toc5546"/>
      <w:bookmarkStart w:id="1447" w:name="_Toc7002"/>
      <w:r>
        <w:rPr>
          <w:rFonts w:hint="eastAsia" w:ascii="宋体" w:hAnsi="宋体" w:cs="宋体"/>
          <w:color w:val="auto"/>
          <w:highlight w:val="none"/>
        </w:rPr>
        <w:t>三、没有下列情形：</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pPr>
        <w:pStyle w:val="37"/>
        <w:spacing w:line="360" w:lineRule="auto"/>
        <w:ind w:firstLine="480"/>
        <w:rPr>
          <w:rFonts w:ascii="宋体" w:hAnsi="宋体" w:cs="宋体"/>
          <w:color w:val="auto"/>
          <w:highlight w:val="none"/>
        </w:rPr>
      </w:pPr>
      <w:r>
        <w:rPr>
          <w:rFonts w:hint="eastAsia" w:ascii="宋体" w:hAnsi="宋体" w:cs="宋体"/>
          <w:color w:val="auto"/>
          <w:highlight w:val="none"/>
        </w:rPr>
        <w:t>单位负责人为同一人或者存在直接控股、管理关系的不同</w:t>
      </w:r>
      <w:r>
        <w:rPr>
          <w:rFonts w:hint="eastAsia" w:ascii="宋体" w:hAnsi="宋体" w:cs="宋体"/>
          <w:color w:val="auto"/>
          <w:highlight w:val="none"/>
          <w:lang w:eastAsia="zh-CN"/>
        </w:rPr>
        <w:t>投标人</w:t>
      </w:r>
      <w:r>
        <w:rPr>
          <w:rFonts w:hint="eastAsia" w:ascii="宋体" w:hAnsi="宋体" w:cs="宋体"/>
          <w:color w:val="auto"/>
          <w:highlight w:val="none"/>
        </w:rPr>
        <w:t>参加同一合同项下的国企采购活动的；</w:t>
      </w:r>
    </w:p>
    <w:p>
      <w:pPr>
        <w:pStyle w:val="37"/>
        <w:spacing w:line="360" w:lineRule="auto"/>
        <w:ind w:firstLine="480"/>
        <w:rPr>
          <w:rFonts w:ascii="宋体" w:hAnsi="宋体" w:cs="宋体"/>
          <w:color w:val="auto"/>
          <w:highlight w:val="none"/>
        </w:rPr>
      </w:pPr>
    </w:p>
    <w:p>
      <w:pPr>
        <w:pStyle w:val="37"/>
        <w:spacing w:line="360" w:lineRule="auto"/>
        <w:ind w:firstLine="480"/>
        <w:rPr>
          <w:rFonts w:hAnsi="宋体"/>
          <w:color w:val="auto"/>
          <w:sz w:val="28"/>
          <w:szCs w:val="28"/>
          <w:highlight w:val="none"/>
        </w:rPr>
      </w:pPr>
      <w:r>
        <w:rPr>
          <w:rFonts w:hint="eastAsia" w:ascii="宋体" w:hAnsi="宋体" w:cs="宋体"/>
          <w:color w:val="auto"/>
          <w:highlight w:val="none"/>
        </w:rPr>
        <w:t>我方对上述承诺的内容事项真实性负责，如有虚假，由我方承担相关法律责任。</w:t>
      </w:r>
    </w:p>
    <w:p>
      <w:pPr>
        <w:ind w:firstLine="4320" w:firstLineChars="1800"/>
        <w:rPr>
          <w:color w:val="auto"/>
          <w:highlight w:val="none"/>
        </w:rPr>
      </w:pPr>
    </w:p>
    <w:p>
      <w:pPr>
        <w:ind w:firstLine="4320" w:firstLineChars="1800"/>
        <w:rPr>
          <w:color w:val="auto"/>
          <w:highlight w:val="none"/>
        </w:rPr>
      </w:pP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pPr>
        <w:ind w:firstLine="4320" w:firstLineChars="1800"/>
        <w:rPr>
          <w:color w:val="auto"/>
          <w:highlight w:val="none"/>
        </w:rPr>
      </w:pPr>
      <w:r>
        <w:rPr>
          <w:rFonts w:hint="eastAsia"/>
          <w:color w:val="auto"/>
          <w:highlight w:val="none"/>
        </w:rPr>
        <w:t>法定代表人或授权代理人（签字或盖章）：</w:t>
      </w:r>
    </w:p>
    <w:p>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2024</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ind w:firstLine="0" w:firstLineChars="0"/>
        <w:jc w:val="center"/>
        <w:rPr>
          <w:b/>
          <w:bCs/>
          <w:color w:val="auto"/>
          <w:sz w:val="30"/>
          <w:szCs w:val="30"/>
          <w:highlight w:val="none"/>
        </w:rPr>
      </w:pPr>
    </w:p>
    <w:p>
      <w:pPr>
        <w:pStyle w:val="21"/>
        <w:ind w:left="1082" w:hanging="602"/>
        <w:rPr>
          <w:b/>
          <w:bCs/>
          <w:color w:val="auto"/>
          <w:sz w:val="30"/>
          <w:szCs w:val="30"/>
          <w:highlight w:val="none"/>
        </w:rPr>
      </w:pPr>
    </w:p>
    <w:p>
      <w:pPr>
        <w:pStyle w:val="21"/>
        <w:ind w:left="1082" w:hanging="602"/>
        <w:rPr>
          <w:b/>
          <w:bCs/>
          <w:color w:val="auto"/>
          <w:sz w:val="30"/>
          <w:szCs w:val="30"/>
          <w:highlight w:val="none"/>
        </w:rPr>
      </w:pPr>
    </w:p>
    <w:p>
      <w:pPr>
        <w:pStyle w:val="21"/>
        <w:ind w:left="0" w:leftChars="0" w:firstLine="0" w:firstLineChars="0"/>
        <w:rPr>
          <w:b/>
          <w:bCs/>
          <w:color w:val="auto"/>
          <w:sz w:val="30"/>
          <w:szCs w:val="30"/>
          <w:highlight w:val="none"/>
        </w:rPr>
      </w:pPr>
    </w:p>
    <w:p>
      <w:pPr>
        <w:spacing w:line="420" w:lineRule="exact"/>
        <w:ind w:firstLine="0" w:firstLineChars="0"/>
        <w:jc w:val="center"/>
        <w:rPr>
          <w:rFonts w:ascii="宋体" w:hAnsi="宋体" w:cs="宋体"/>
          <w:b/>
          <w:color w:val="auto"/>
          <w:sz w:val="32"/>
          <w:szCs w:val="32"/>
          <w:highlight w:val="none"/>
        </w:rPr>
      </w:pPr>
      <w:bookmarkStart w:id="1448" w:name="_Toc29188"/>
      <w:bookmarkStart w:id="1449" w:name="_Toc3537"/>
      <w:bookmarkStart w:id="1450" w:name="_Toc16263"/>
      <w:bookmarkStart w:id="1451" w:name="_Toc13645"/>
      <w:bookmarkStart w:id="1452" w:name="_Toc15718"/>
      <w:bookmarkStart w:id="1453" w:name="_Toc1864"/>
      <w:bookmarkStart w:id="1454" w:name="_Toc23415"/>
      <w:bookmarkStart w:id="1455" w:name="_Toc11177"/>
      <w:bookmarkStart w:id="1456" w:name="_Toc6704"/>
      <w:bookmarkStart w:id="1457" w:name="_Toc23824"/>
      <w:bookmarkStart w:id="1458" w:name="_Toc2026"/>
      <w:bookmarkStart w:id="1459" w:name="_Toc13161"/>
      <w:bookmarkStart w:id="1460" w:name="_Toc21736"/>
      <w:bookmarkStart w:id="1461" w:name="_Toc694"/>
      <w:bookmarkStart w:id="1462" w:name="_Toc23844"/>
      <w:bookmarkStart w:id="1463" w:name="_Toc21343"/>
      <w:bookmarkStart w:id="1464" w:name="_Toc26305"/>
      <w:bookmarkStart w:id="1465" w:name="_Toc24544"/>
      <w:bookmarkStart w:id="1466" w:name="_Toc3679"/>
      <w:bookmarkStart w:id="1467" w:name="_Toc31494"/>
      <w:bookmarkStart w:id="1468" w:name="_Toc22777"/>
      <w:bookmarkStart w:id="1469" w:name="_Toc9266"/>
    </w:p>
    <w:p>
      <w:pPr>
        <w:spacing w:line="420" w:lineRule="exact"/>
        <w:ind w:firstLine="0" w:firstLineChars="0"/>
        <w:jc w:val="both"/>
        <w:rPr>
          <w:rFonts w:ascii="宋体" w:hAnsi="宋体" w:cs="宋体"/>
          <w:b/>
          <w:color w:val="auto"/>
          <w:sz w:val="32"/>
          <w:szCs w:val="32"/>
          <w:highlight w:val="none"/>
        </w:rPr>
      </w:pPr>
      <w:bookmarkStart w:id="1470" w:name="_Toc32499"/>
      <w:bookmarkStart w:id="1471" w:name="_Toc26772"/>
      <w:bookmarkStart w:id="1472" w:name="_Toc3556"/>
      <w:bookmarkStart w:id="1473" w:name="_Toc1142"/>
      <w:bookmarkStart w:id="1975" w:name="_GoBack"/>
      <w:bookmarkEnd w:id="1975"/>
    </w:p>
    <w:p>
      <w:pPr>
        <w:ind w:firstLine="0" w:firstLineChars="0"/>
        <w:jc w:val="left"/>
        <w:outlineLvl w:val="2"/>
        <w:rPr>
          <w:b/>
          <w:bCs/>
          <w:color w:val="auto"/>
          <w:sz w:val="30"/>
          <w:szCs w:val="30"/>
          <w:highlight w:val="none"/>
        </w:rPr>
      </w:pPr>
      <w:bookmarkStart w:id="1474" w:name="_Toc19658"/>
      <w:bookmarkStart w:id="1475" w:name="_Toc10280"/>
      <w:bookmarkStart w:id="1476" w:name="_Toc20104"/>
      <w:bookmarkStart w:id="1477" w:name="_Toc26617"/>
      <w:bookmarkStart w:id="1478" w:name="_Toc2784"/>
      <w:bookmarkStart w:id="1479" w:name="_Toc718"/>
      <w:bookmarkStart w:id="1480" w:name="_Toc28232"/>
      <w:bookmarkStart w:id="1481" w:name="_Toc27462"/>
      <w:bookmarkStart w:id="1482" w:name="_Toc9226"/>
      <w:bookmarkStart w:id="1483" w:name="_Toc5926"/>
      <w:bookmarkStart w:id="1484" w:name="_Toc31432"/>
      <w:bookmarkStart w:id="1485" w:name="_Toc16681"/>
      <w:bookmarkStart w:id="1486" w:name="_Toc25259"/>
      <w:bookmarkStart w:id="1487" w:name="_Toc21678"/>
      <w:bookmarkStart w:id="1488" w:name="_Toc29662"/>
      <w:bookmarkStart w:id="1489" w:name="_Toc26472"/>
      <w:bookmarkStart w:id="1490" w:name="_Toc14419"/>
      <w:bookmarkStart w:id="1491" w:name="_Toc23837"/>
      <w:bookmarkStart w:id="1492" w:name="_Toc19930"/>
      <w:bookmarkStart w:id="1493" w:name="_Toc1634"/>
      <w:bookmarkStart w:id="1494" w:name="_Toc8127"/>
      <w:bookmarkStart w:id="1495" w:name="_Toc23900"/>
      <w:bookmarkStart w:id="1496" w:name="_Toc27762"/>
      <w:bookmarkStart w:id="1497" w:name="_Toc25736"/>
      <w:bookmarkStart w:id="1498" w:name="_Toc15860"/>
      <w:bookmarkStart w:id="1499" w:name="_Toc17325"/>
      <w:bookmarkStart w:id="1500" w:name="_Toc9240"/>
      <w:bookmarkStart w:id="1501" w:name="_Toc30141"/>
      <w:r>
        <w:rPr>
          <w:rFonts w:hint="eastAsia" w:ascii="宋体" w:hAnsi="宋体" w:cs="宋体"/>
          <w:b/>
          <w:bCs/>
          <w:color w:val="auto"/>
          <w:highlight w:val="none"/>
        </w:rPr>
        <w:t>附件</w:t>
      </w:r>
      <w:bookmarkEnd w:id="1474"/>
      <w:bookmarkEnd w:id="1475"/>
      <w:bookmarkEnd w:id="1476"/>
      <w:bookmarkEnd w:id="1477"/>
      <w:bookmarkEnd w:id="1478"/>
      <w:bookmarkEnd w:id="1479"/>
      <w:bookmarkEnd w:id="1480"/>
      <w:bookmarkEnd w:id="1481"/>
      <w:bookmarkEnd w:id="1482"/>
      <w:bookmarkEnd w:id="1483"/>
      <w:r>
        <w:rPr>
          <w:rFonts w:hint="eastAsia" w:ascii="宋体" w:hAnsi="宋体" w:cs="宋体"/>
          <w:b/>
          <w:bCs/>
          <w:color w:val="auto"/>
          <w:highlight w:val="none"/>
        </w:rPr>
        <w:t>3</w:t>
      </w:r>
      <w:bookmarkEnd w:id="1484"/>
      <w:bookmarkEnd w:id="1485"/>
      <w:bookmarkEnd w:id="1486"/>
      <w:bookmarkEnd w:id="1487"/>
      <w:bookmarkEnd w:id="1488"/>
      <w:bookmarkEnd w:id="1489"/>
      <w:bookmarkEnd w:id="1490"/>
      <w:bookmarkEnd w:id="1491"/>
      <w:bookmarkEnd w:id="1492"/>
      <w:bookmarkEnd w:id="1493"/>
      <w:bookmarkEnd w:id="1494"/>
      <w:bookmarkEnd w:id="1495"/>
    </w:p>
    <w:p>
      <w:pPr>
        <w:ind w:firstLine="0" w:firstLineChars="0"/>
        <w:jc w:val="center"/>
        <w:rPr>
          <w:b/>
          <w:bCs/>
          <w:color w:val="auto"/>
          <w:sz w:val="30"/>
          <w:szCs w:val="30"/>
          <w:highlight w:val="none"/>
          <w:lang w:val="en-GB"/>
        </w:rPr>
      </w:pPr>
      <w:r>
        <w:rPr>
          <w:rFonts w:hint="eastAsia"/>
          <w:b/>
          <w:bCs/>
          <w:color w:val="auto"/>
          <w:sz w:val="30"/>
          <w:szCs w:val="30"/>
          <w:highlight w:val="none"/>
          <w:lang w:val="en-GB"/>
        </w:rPr>
        <w:t>投标函</w:t>
      </w:r>
    </w:p>
    <w:p>
      <w:pPr>
        <w:adjustRightInd w:val="0"/>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 ：</w:t>
      </w:r>
    </w:p>
    <w:p>
      <w:pPr>
        <w:ind w:firstLine="480"/>
        <w:rPr>
          <w:rFonts w:ascii="宋体" w:cs="宋体"/>
          <w:color w:val="auto"/>
          <w:highlight w:val="none"/>
        </w:rPr>
      </w:pPr>
      <w:r>
        <w:rPr>
          <w:rFonts w:ascii="宋体" w:hAnsi="宋体" w:cs="宋体"/>
          <w:color w:val="auto"/>
          <w:highlight w:val="none"/>
          <w:u w:val="single"/>
        </w:rPr>
        <w:t>(</w:t>
      </w:r>
      <w:r>
        <w:rPr>
          <w:rFonts w:hint="eastAsia" w:ascii="宋体" w:hAnsi="宋体" w:cs="宋体"/>
          <w:color w:val="auto"/>
          <w:highlight w:val="none"/>
          <w:u w:val="single"/>
          <w:lang w:eastAsia="zh-CN"/>
        </w:rPr>
        <w:t>投标人</w:t>
      </w:r>
      <w:r>
        <w:rPr>
          <w:rFonts w:hint="eastAsia" w:ascii="宋体" w:hAnsi="宋体" w:cs="宋体"/>
          <w:color w:val="auto"/>
          <w:highlight w:val="none"/>
          <w:u w:val="single"/>
        </w:rPr>
        <w:t>全称</w:t>
      </w:r>
      <w:r>
        <w:rPr>
          <w:rFonts w:ascii="宋体" w:hAnsi="宋体" w:cs="宋体"/>
          <w:color w:val="auto"/>
          <w:highlight w:val="none"/>
          <w:u w:val="single"/>
        </w:rPr>
        <w:t>)</w:t>
      </w:r>
      <w:r>
        <w:rPr>
          <w:rFonts w:hint="eastAsia" w:ascii="宋体" w:hAnsi="宋体" w:cs="宋体"/>
          <w:color w:val="auto"/>
          <w:highlight w:val="none"/>
        </w:rPr>
        <w:t>授权</w:t>
      </w:r>
      <w:r>
        <w:rPr>
          <w:rFonts w:ascii="宋体" w:hAnsi="宋体" w:cs="宋体"/>
          <w:color w:val="auto"/>
          <w:highlight w:val="none"/>
          <w:u w:val="single"/>
        </w:rPr>
        <w:t>(</w:t>
      </w:r>
      <w:r>
        <w:rPr>
          <w:rFonts w:hint="eastAsia" w:ascii="宋体" w:hAnsi="宋体" w:cs="宋体"/>
          <w:color w:val="auto"/>
          <w:highlight w:val="none"/>
          <w:u w:val="single"/>
        </w:rPr>
        <w:t>全权代表姓名</w:t>
      </w:r>
      <w:r>
        <w:rPr>
          <w:rFonts w:ascii="宋体" w:hAnsi="宋体" w:cs="宋体"/>
          <w:color w:val="auto"/>
          <w:highlight w:val="none"/>
          <w:u w:val="single"/>
        </w:rPr>
        <w:t>)</w:t>
      </w:r>
      <w:r>
        <w:rPr>
          <w:rFonts w:hint="eastAsia" w:ascii="宋体" w:hAnsi="宋体" w:cs="宋体"/>
          <w:color w:val="auto"/>
          <w:highlight w:val="none"/>
          <w:u w:val="single"/>
        </w:rPr>
        <w:t xml:space="preserve">  </w:t>
      </w:r>
      <w:r>
        <w:rPr>
          <w:rFonts w:ascii="宋体" w:hAnsi="宋体" w:cs="宋体"/>
          <w:color w:val="auto"/>
          <w:highlight w:val="none"/>
          <w:u w:val="single"/>
        </w:rPr>
        <w:t>(</w:t>
      </w:r>
      <w:r>
        <w:rPr>
          <w:rFonts w:hint="eastAsia" w:ascii="宋体" w:hAnsi="宋体" w:cs="宋体"/>
          <w:color w:val="auto"/>
          <w:highlight w:val="none"/>
        </w:rPr>
        <w:t>职务、职称</w:t>
      </w:r>
      <w:r>
        <w:rPr>
          <w:rFonts w:ascii="宋体" w:hAnsi="宋体" w:cs="宋体"/>
          <w:color w:val="auto"/>
          <w:highlight w:val="none"/>
        </w:rPr>
        <w:t>)</w:t>
      </w:r>
      <w:r>
        <w:rPr>
          <w:rFonts w:hint="eastAsia" w:ascii="宋体" w:hAnsi="宋体" w:cs="宋体"/>
          <w:color w:val="auto"/>
          <w:highlight w:val="none"/>
        </w:rPr>
        <w:t>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.我方同意在</w:t>
      </w:r>
      <w:r>
        <w:rPr>
          <w:rFonts w:hint="eastAsia" w:ascii="宋体" w:hAnsi="宋体" w:cs="宋体"/>
          <w:color w:val="auto"/>
          <w:highlight w:val="none"/>
          <w:lang w:eastAsia="zh-CN"/>
        </w:rPr>
        <w:t>投标人</w:t>
      </w:r>
      <w:r>
        <w:rPr>
          <w:rFonts w:hint="eastAsia" w:ascii="宋体" w:hAnsi="宋体" w:cs="宋体"/>
          <w:color w:val="auto"/>
          <w:highlight w:val="none"/>
        </w:rPr>
        <w:t>投标须知规定的开标日期起遵守本投标书中的承诺且在投标有效期满之前均具有约束力。</w:t>
      </w:r>
    </w:p>
    <w:p>
      <w:pP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.我方承诺已经具备《中华人民共和国政府采购法》中规定的参加国企采购活动的</w:t>
      </w:r>
      <w:r>
        <w:rPr>
          <w:rFonts w:hint="eastAsia" w:ascii="宋体" w:hAnsi="宋体" w:cs="宋体"/>
          <w:color w:val="auto"/>
          <w:highlight w:val="none"/>
          <w:lang w:eastAsia="zh-CN"/>
        </w:rPr>
        <w:t>投标人</w:t>
      </w:r>
      <w:r>
        <w:rPr>
          <w:rFonts w:hint="eastAsia" w:ascii="宋体" w:hAnsi="宋体" w:cs="宋体"/>
          <w:color w:val="auto"/>
          <w:highlight w:val="none"/>
        </w:rPr>
        <w:t>应当具备的条件：</w:t>
      </w:r>
    </w:p>
    <w:p>
      <w:pPr>
        <w:ind w:firstLine="480"/>
        <w:rPr>
          <w:rFonts w:ascii="宋体" w:cs="宋体"/>
          <w:color w:val="auto"/>
          <w:highlight w:val="none"/>
        </w:rPr>
      </w:pPr>
      <w:bookmarkStart w:id="1502" w:name="_Toc28368_WPSOffice_Level1"/>
      <w:bookmarkStart w:id="1503" w:name="_Toc26282_WPSOffice_Level1"/>
      <w:bookmarkStart w:id="1504" w:name="_Toc28494_WPSOffice_Level1"/>
      <w:r>
        <w:rPr>
          <w:rFonts w:ascii="宋体" w:hAnsi="宋体" w:cs="宋体"/>
          <w:color w:val="auto"/>
          <w:highlight w:val="none"/>
        </w:rPr>
        <w:t>(1)</w:t>
      </w:r>
      <w:r>
        <w:rPr>
          <w:rFonts w:hint="eastAsia" w:ascii="宋体" w:hAnsi="宋体" w:cs="宋体"/>
          <w:color w:val="auto"/>
          <w:highlight w:val="none"/>
        </w:rPr>
        <w:t>具有独立承担民事责任的能力；</w:t>
      </w:r>
      <w:bookmarkEnd w:id="1502"/>
      <w:bookmarkEnd w:id="1503"/>
      <w:bookmarkEnd w:id="1504"/>
    </w:p>
    <w:p>
      <w:pPr>
        <w:ind w:firstLine="480"/>
        <w:rPr>
          <w:rFonts w:ascii="宋体" w:cs="宋体"/>
          <w:color w:val="auto"/>
          <w:highlight w:val="none"/>
        </w:rPr>
      </w:pPr>
      <w:bookmarkStart w:id="1505" w:name="_Toc8560_WPSOffice_Level1"/>
      <w:bookmarkStart w:id="1506" w:name="_Toc3878_WPSOffice_Level1"/>
      <w:bookmarkStart w:id="1507" w:name="_Toc7471_WPSOffice_Level1"/>
      <w:r>
        <w:rPr>
          <w:rFonts w:ascii="宋体" w:hAnsi="宋体" w:cs="宋体"/>
          <w:color w:val="auto"/>
          <w:highlight w:val="none"/>
        </w:rPr>
        <w:t>(2)</w:t>
      </w:r>
      <w:r>
        <w:rPr>
          <w:rFonts w:hint="eastAsia" w:ascii="宋体" w:hAnsi="宋体" w:cs="宋体"/>
          <w:color w:val="auto"/>
          <w:highlight w:val="none"/>
        </w:rPr>
        <w:t>遵守国家法律、行政法规，具有良好的信誉和商业道德；</w:t>
      </w:r>
      <w:bookmarkEnd w:id="1505"/>
      <w:bookmarkEnd w:id="1506"/>
      <w:bookmarkEnd w:id="1507"/>
    </w:p>
    <w:p>
      <w:pPr>
        <w:ind w:firstLine="480"/>
        <w:rPr>
          <w:rFonts w:ascii="宋体" w:cs="宋体"/>
          <w:color w:val="auto"/>
          <w:highlight w:val="none"/>
        </w:rPr>
      </w:pPr>
      <w:bookmarkStart w:id="1508" w:name="_Toc29658_WPSOffice_Level1"/>
      <w:bookmarkStart w:id="1509" w:name="_Toc19337_WPSOffice_Level1"/>
      <w:bookmarkStart w:id="1510" w:name="_Toc12874_WPSOffice_Level1"/>
      <w:r>
        <w:rPr>
          <w:rFonts w:ascii="宋体" w:hAnsi="宋体" w:cs="宋体"/>
          <w:color w:val="auto"/>
          <w:highlight w:val="none"/>
        </w:rPr>
        <w:t>(3)</w:t>
      </w:r>
      <w:r>
        <w:rPr>
          <w:rFonts w:hint="eastAsia" w:ascii="宋体" w:hAnsi="宋体" w:cs="宋体"/>
          <w:color w:val="auto"/>
          <w:highlight w:val="none"/>
        </w:rPr>
        <w:t>具有履行合同的能力和良好</w:t>
      </w:r>
      <w:r>
        <w:rPr>
          <w:rFonts w:hint="eastAsia" w:ascii="宋体" w:hAnsi="宋体" w:cs="宋体"/>
          <w:color w:val="auto"/>
          <w:highlight w:val="none"/>
          <w:lang w:eastAsia="zh-CN"/>
        </w:rPr>
        <w:t>的</w:t>
      </w:r>
      <w:r>
        <w:rPr>
          <w:rFonts w:hint="eastAsia" w:ascii="宋体" w:hAnsi="宋体" w:cs="宋体"/>
          <w:color w:val="auto"/>
          <w:highlight w:val="none"/>
        </w:rPr>
        <w:t>履行合同记录；</w:t>
      </w:r>
      <w:bookmarkEnd w:id="1508"/>
      <w:bookmarkEnd w:id="1509"/>
      <w:bookmarkEnd w:id="1510"/>
    </w:p>
    <w:p>
      <w:pPr>
        <w:ind w:firstLine="480"/>
        <w:rPr>
          <w:rFonts w:ascii="宋体" w:cs="宋体"/>
          <w:color w:val="auto"/>
          <w:highlight w:val="none"/>
        </w:rPr>
      </w:pPr>
      <w:bookmarkStart w:id="1511" w:name="_Toc14982_WPSOffice_Level1"/>
      <w:bookmarkStart w:id="1512" w:name="_Toc9908_WPSOffice_Level1"/>
      <w:bookmarkStart w:id="1513" w:name="_Toc23978_WPSOffice_Level1"/>
      <w:r>
        <w:rPr>
          <w:rFonts w:ascii="宋体" w:hAnsi="宋体" w:cs="宋体"/>
          <w:color w:val="auto"/>
          <w:highlight w:val="none"/>
        </w:rPr>
        <w:t>(4)</w:t>
      </w:r>
      <w:r>
        <w:rPr>
          <w:rFonts w:hint="eastAsia" w:ascii="宋体" w:hAnsi="宋体" w:cs="宋体"/>
          <w:color w:val="auto"/>
          <w:highlight w:val="none"/>
        </w:rPr>
        <w:t>良好的资金、财务状况；</w:t>
      </w:r>
      <w:bookmarkEnd w:id="1511"/>
      <w:bookmarkEnd w:id="1512"/>
      <w:bookmarkEnd w:id="1513"/>
    </w:p>
    <w:p>
      <w:pPr>
        <w:ind w:firstLine="480"/>
        <w:rPr>
          <w:rFonts w:ascii="宋体" w:cs="宋体"/>
          <w:color w:val="auto"/>
          <w:highlight w:val="none"/>
        </w:rPr>
      </w:pPr>
      <w:bookmarkStart w:id="1514" w:name="_Toc19486_WPSOffice_Level1"/>
      <w:bookmarkStart w:id="1515" w:name="_Toc1715_WPSOffice_Level1"/>
      <w:bookmarkStart w:id="1516" w:name="_Toc14576_WPSOffice_Level1"/>
      <w:r>
        <w:rPr>
          <w:rFonts w:ascii="宋体" w:hAnsi="宋体" w:cs="宋体"/>
          <w:color w:val="auto"/>
          <w:highlight w:val="none"/>
        </w:rPr>
        <w:t>(5)</w:t>
      </w:r>
      <w:r>
        <w:rPr>
          <w:rFonts w:hint="eastAsia" w:ascii="宋体" w:hAnsi="宋体" w:cs="宋体"/>
          <w:color w:val="auto"/>
          <w:highlight w:val="none"/>
        </w:rPr>
        <w:t>提供的产品和服务符合中国政府规定的相应标准和环保标准；</w:t>
      </w:r>
      <w:bookmarkEnd w:id="1514"/>
      <w:bookmarkEnd w:id="1515"/>
      <w:bookmarkEnd w:id="1516"/>
    </w:p>
    <w:p>
      <w:pPr>
        <w:ind w:firstLine="480"/>
        <w:rPr>
          <w:rFonts w:ascii="宋体" w:cs="宋体"/>
          <w:color w:val="auto"/>
          <w:highlight w:val="none"/>
        </w:rPr>
      </w:pPr>
      <w:bookmarkStart w:id="1517" w:name="_Toc21916_WPSOffice_Level1"/>
      <w:bookmarkStart w:id="1518" w:name="_Toc31563_WPSOffice_Level1"/>
      <w:bookmarkStart w:id="1519" w:name="_Toc22738_WPSOffice_Level1"/>
      <w:r>
        <w:rPr>
          <w:rFonts w:ascii="宋体" w:hAnsi="宋体" w:cs="宋体"/>
          <w:color w:val="auto"/>
          <w:highlight w:val="none"/>
        </w:rPr>
        <w:t>(6)</w:t>
      </w:r>
      <w:r>
        <w:rPr>
          <w:rFonts w:hint="eastAsia" w:ascii="宋体" w:hAnsi="宋体" w:cs="宋体"/>
          <w:color w:val="auto"/>
          <w:highlight w:val="none"/>
        </w:rPr>
        <w:t>没有违反国企采购法规、政策的记录；</w:t>
      </w:r>
      <w:bookmarkEnd w:id="1517"/>
      <w:bookmarkEnd w:id="1518"/>
      <w:bookmarkEnd w:id="1519"/>
    </w:p>
    <w:p>
      <w:pPr>
        <w:ind w:firstLine="480"/>
        <w:rPr>
          <w:rFonts w:ascii="宋体" w:cs="宋体"/>
          <w:color w:val="auto"/>
          <w:highlight w:val="none"/>
        </w:rPr>
      </w:pPr>
      <w:bookmarkStart w:id="1520" w:name="_Toc12445_WPSOffice_Level1"/>
      <w:bookmarkStart w:id="1521" w:name="_Toc12415_WPSOffice_Level1"/>
      <w:bookmarkStart w:id="1522" w:name="_Toc15073_WPSOffice_Level1"/>
      <w:r>
        <w:rPr>
          <w:rFonts w:ascii="宋体" w:hAnsi="宋体" w:cs="宋体"/>
          <w:color w:val="auto"/>
          <w:highlight w:val="none"/>
        </w:rPr>
        <w:t>(7)</w:t>
      </w:r>
      <w:r>
        <w:rPr>
          <w:rFonts w:hint="eastAsia" w:ascii="宋体" w:hAnsi="宋体" w:cs="宋体"/>
          <w:color w:val="auto"/>
          <w:highlight w:val="none"/>
        </w:rPr>
        <w:t>没有发生重大经济纠纷和走私犯罪记录。</w:t>
      </w:r>
      <w:bookmarkEnd w:id="1520"/>
      <w:bookmarkEnd w:id="1521"/>
      <w:bookmarkEnd w:id="1522"/>
    </w:p>
    <w:p>
      <w:pPr>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.提供编制和提交招标文件须知规定的电子投标文件，具体内容为：</w:t>
      </w:r>
    </w:p>
    <w:p>
      <w:pP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资格审查文件；</w:t>
      </w:r>
    </w:p>
    <w:p>
      <w:pPr>
        <w:ind w:firstLine="48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zh-CN"/>
        </w:rPr>
        <w:t>资信技术</w:t>
      </w:r>
      <w:r>
        <w:rPr>
          <w:rFonts w:hint="eastAsia" w:ascii="宋体" w:hAnsi="宋体" w:cs="宋体"/>
          <w:color w:val="auto"/>
          <w:highlight w:val="none"/>
        </w:rPr>
        <w:t>文件；</w:t>
      </w:r>
    </w:p>
    <w:p>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商务报价</w:t>
      </w:r>
      <w:r>
        <w:rPr>
          <w:rFonts w:hint="eastAsia" w:ascii="宋体" w:hAnsi="宋体" w:cs="宋体"/>
          <w:color w:val="auto"/>
          <w:highlight w:val="none"/>
          <w:lang w:val="zh-CN"/>
        </w:rPr>
        <w:t>文件</w:t>
      </w:r>
      <w:r>
        <w:rPr>
          <w:rFonts w:hint="eastAsia" w:ascii="宋体" w:hAnsi="宋体" w:cs="宋体"/>
          <w:color w:val="auto"/>
          <w:highlight w:val="none"/>
        </w:rPr>
        <w:t>；</w:t>
      </w:r>
    </w:p>
    <w:p>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投标须知要求</w:t>
      </w:r>
      <w:r>
        <w:rPr>
          <w:rFonts w:hint="eastAsia" w:ascii="宋体" w:hAnsi="宋体" w:cs="宋体"/>
          <w:color w:val="auto"/>
          <w:highlight w:val="none"/>
          <w:lang w:eastAsia="zh-CN"/>
        </w:rPr>
        <w:t>投标人</w:t>
      </w:r>
      <w:r>
        <w:rPr>
          <w:rFonts w:hint="eastAsia" w:ascii="宋体" w:hAnsi="宋体" w:cs="宋体"/>
          <w:color w:val="auto"/>
          <w:highlight w:val="none"/>
        </w:rPr>
        <w:t>提交的全部文件；</w:t>
      </w:r>
    </w:p>
    <w:p>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w:t>
      </w:r>
      <w:r>
        <w:rPr>
          <w:rFonts w:hint="eastAsia" w:ascii="宋体" w:hAnsi="宋体" w:cs="宋体"/>
          <w:color w:val="auto"/>
          <w:highlight w:val="none"/>
        </w:rPr>
        <w:t>按招标文件要求提供和交付的货物和服务的投标报价详见开标一览表；</w:t>
      </w:r>
    </w:p>
    <w:p>
      <w:pP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6</w:t>
      </w:r>
      <w:r>
        <w:rPr>
          <w:rFonts w:ascii="宋体" w:hAnsi="宋体" w:cs="宋体"/>
          <w:color w:val="auto"/>
          <w:highlight w:val="none"/>
        </w:rPr>
        <w:t>)</w:t>
      </w:r>
      <w:r>
        <w:rPr>
          <w:rFonts w:hint="eastAsia" w:ascii="宋体" w:hAnsi="宋体" w:cs="宋体"/>
          <w:color w:val="auto"/>
          <w:highlight w:val="none"/>
        </w:rPr>
        <w:t>保证忠实地执行双方所签订的合同，并承担合同规定的责任和义务；</w:t>
      </w:r>
    </w:p>
    <w:p>
      <w:pPr>
        <w:ind w:firstLine="480"/>
        <w:outlineLvl w:val="2"/>
        <w:rPr>
          <w:rFonts w:ascii="宋体" w:cs="宋体"/>
          <w:color w:val="auto"/>
          <w:highlight w:val="none"/>
        </w:rPr>
      </w:pPr>
      <w:bookmarkStart w:id="1523" w:name="_Toc10326"/>
      <w:r>
        <w:rPr>
          <w:rFonts w:ascii="宋体" w:hAnsi="宋体" w:cs="宋体"/>
          <w:color w:val="auto"/>
          <w:highlight w:val="none"/>
        </w:rPr>
        <w:t>(</w:t>
      </w: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保证遵守招标文件中的其他有关规定。</w:t>
      </w:r>
      <w:bookmarkEnd w:id="1523"/>
    </w:p>
    <w:p>
      <w:pPr>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.我方完全理解贵方不一定要接受最低价的投标。</w:t>
      </w:r>
    </w:p>
    <w:p>
      <w:pPr>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.我方愿意向贵方提供任何与该项投标有关的数据、情况和服务资料。若贵方需要，我方愿意提供我方</w:t>
      </w:r>
      <w:r>
        <w:rPr>
          <w:rFonts w:hint="eastAsia" w:ascii="宋体" w:hAnsi="宋体" w:cs="宋体"/>
          <w:color w:val="auto"/>
          <w:highlight w:val="none"/>
          <w:lang w:eastAsia="zh-CN"/>
        </w:rPr>
        <w:t>做出</w:t>
      </w:r>
      <w:r>
        <w:rPr>
          <w:rFonts w:hint="eastAsia" w:ascii="宋体" w:hAnsi="宋体" w:cs="宋体"/>
          <w:color w:val="auto"/>
          <w:highlight w:val="none"/>
        </w:rPr>
        <w:t>的一切承诺的证明材料。</w:t>
      </w:r>
    </w:p>
    <w:p>
      <w:pPr>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.我方已详细审核全部招标文件，包括招标文件修改书（如有的话）、参考资料及有关附件，确认无误。我方完全理解并接受招标文件的各项规定和要求，对招标文件的合理性、合法性不再有异议。</w:t>
      </w:r>
    </w:p>
    <w:p>
      <w:pPr>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.我方将严格遵守《中华人民共和国政府采购法》第七十七条规定，</w:t>
      </w:r>
      <w:r>
        <w:rPr>
          <w:rFonts w:hint="eastAsia" w:ascii="宋体" w:hAnsi="宋体" w:cs="宋体"/>
          <w:color w:val="auto"/>
          <w:highlight w:val="none"/>
          <w:lang w:eastAsia="zh-CN"/>
        </w:rPr>
        <w:t>投标人</w:t>
      </w:r>
      <w:r>
        <w:rPr>
          <w:rFonts w:hint="eastAsia" w:ascii="宋体" w:hAnsi="宋体" w:cs="宋体"/>
          <w:color w:val="auto"/>
          <w:highlight w:val="none"/>
        </w:rPr>
        <w:t>有下列情形之一的，处以采购金额</w:t>
      </w:r>
      <w:r>
        <w:rPr>
          <w:rFonts w:ascii="宋体" w:hAnsi="宋体" w:cs="宋体"/>
          <w:color w:val="auto"/>
          <w:highlight w:val="none"/>
        </w:rPr>
        <w:t>5</w:t>
      </w:r>
      <w:r>
        <w:rPr>
          <w:rFonts w:hint="eastAsia" w:ascii="宋体" w:hAnsi="宋体" w:cs="宋体"/>
          <w:color w:val="auto"/>
          <w:highlight w:val="none"/>
        </w:rPr>
        <w:t>‰以上</w:t>
      </w:r>
      <w:r>
        <w:rPr>
          <w:rFonts w:ascii="宋体" w:hAnsi="宋体" w:cs="宋体"/>
          <w:color w:val="auto"/>
          <w:highlight w:val="none"/>
        </w:rPr>
        <w:t>10</w:t>
      </w:r>
      <w:r>
        <w:rPr>
          <w:rFonts w:hint="eastAsia" w:ascii="宋体" w:hAnsi="宋体" w:cs="宋体"/>
          <w:color w:val="auto"/>
          <w:highlight w:val="none"/>
        </w:rPr>
        <w:t>‰以下的罚款，列入不良行为记录名单，在一至三年内禁止参加国企采购活动；有违法所得的，并处没收违法所得；情节严重的，由市场监督管理机关吊销营业执照；构成犯罪的，依法追究刑事责任：</w:t>
      </w:r>
    </w:p>
    <w:p>
      <w:pPr>
        <w:ind w:firstLine="480"/>
        <w:rPr>
          <w:rFonts w:ascii="宋体" w:cs="宋体"/>
          <w:color w:val="auto"/>
          <w:highlight w:val="none"/>
        </w:rPr>
      </w:pPr>
      <w:bookmarkStart w:id="1524" w:name="_Toc25395_WPSOffice_Level1"/>
      <w:bookmarkStart w:id="1525" w:name="_Toc7856_WPSOffice_Level1"/>
      <w:bookmarkStart w:id="1526" w:name="_Toc4442_WPSOffice_Level1"/>
      <w:r>
        <w:rPr>
          <w:rFonts w:ascii="宋体" w:hAnsi="宋体" w:cs="宋体"/>
          <w:color w:val="auto"/>
          <w:highlight w:val="none"/>
        </w:rPr>
        <w:t>(1)</w:t>
      </w:r>
      <w:r>
        <w:rPr>
          <w:rFonts w:hint="eastAsia" w:ascii="宋体" w:hAnsi="宋体" w:cs="宋体"/>
          <w:color w:val="auto"/>
          <w:highlight w:val="none"/>
        </w:rPr>
        <w:t>提供虚假材料谋取中标、成交的；</w:t>
      </w:r>
      <w:bookmarkEnd w:id="1524"/>
      <w:bookmarkEnd w:id="1525"/>
      <w:bookmarkEnd w:id="1526"/>
    </w:p>
    <w:p>
      <w:pPr>
        <w:ind w:firstLine="480"/>
        <w:rPr>
          <w:rFonts w:ascii="宋体" w:cs="宋体"/>
          <w:color w:val="auto"/>
          <w:highlight w:val="none"/>
        </w:rPr>
      </w:pPr>
      <w:bookmarkStart w:id="1527" w:name="_Toc17583_WPSOffice_Level1"/>
      <w:bookmarkStart w:id="1528" w:name="_Toc19322_WPSOffice_Level1"/>
      <w:bookmarkStart w:id="1529" w:name="_Toc23417_WPSOffice_Level1"/>
      <w:r>
        <w:rPr>
          <w:rFonts w:ascii="宋体" w:hAnsi="宋体" w:cs="宋体"/>
          <w:color w:val="auto"/>
          <w:highlight w:val="none"/>
        </w:rPr>
        <w:t>(2)</w:t>
      </w:r>
      <w:r>
        <w:rPr>
          <w:rFonts w:hint="eastAsia" w:ascii="宋体" w:hAnsi="宋体" w:cs="宋体"/>
          <w:color w:val="auto"/>
          <w:highlight w:val="none"/>
        </w:rPr>
        <w:t>采取不正当手段诋毁、排挤其他</w:t>
      </w:r>
      <w:r>
        <w:rPr>
          <w:rFonts w:hint="eastAsia" w:ascii="宋体" w:hAnsi="宋体" w:cs="宋体"/>
          <w:color w:val="auto"/>
          <w:highlight w:val="none"/>
          <w:lang w:eastAsia="zh-CN"/>
        </w:rPr>
        <w:t>投标人</w:t>
      </w:r>
      <w:r>
        <w:rPr>
          <w:rFonts w:hint="eastAsia" w:ascii="宋体" w:hAnsi="宋体" w:cs="宋体"/>
          <w:color w:val="auto"/>
          <w:highlight w:val="none"/>
        </w:rPr>
        <w:t>的；</w:t>
      </w:r>
      <w:bookmarkEnd w:id="1527"/>
      <w:bookmarkEnd w:id="1528"/>
      <w:bookmarkEnd w:id="1529"/>
    </w:p>
    <w:p>
      <w:pPr>
        <w:ind w:firstLine="480"/>
        <w:rPr>
          <w:rFonts w:ascii="宋体" w:cs="宋体"/>
          <w:color w:val="auto"/>
          <w:highlight w:val="none"/>
        </w:rPr>
      </w:pPr>
      <w:bookmarkStart w:id="1530" w:name="_Toc2563_WPSOffice_Level1"/>
      <w:bookmarkStart w:id="1531" w:name="_Toc15532_WPSOffice_Level1"/>
      <w:bookmarkStart w:id="1532" w:name="_Toc10338_WPSOffice_Level1"/>
      <w:r>
        <w:rPr>
          <w:rFonts w:ascii="宋体" w:hAnsi="宋体" w:cs="宋体"/>
          <w:color w:val="auto"/>
          <w:highlight w:val="none"/>
        </w:rPr>
        <w:t>(3)</w:t>
      </w:r>
      <w:r>
        <w:rPr>
          <w:rFonts w:hint="eastAsia" w:ascii="宋体" w:hAnsi="宋体" w:cs="宋体"/>
          <w:color w:val="auto"/>
          <w:highlight w:val="none"/>
        </w:rPr>
        <w:t>与采购人、</w:t>
      </w:r>
      <w:r>
        <w:rPr>
          <w:rFonts w:hint="eastAsia" w:ascii="宋体" w:hAnsi="宋体" w:cs="宋体"/>
          <w:color w:val="auto"/>
          <w:highlight w:val="none"/>
          <w:lang w:eastAsia="zh-CN"/>
        </w:rPr>
        <w:t>其他投标人</w:t>
      </w:r>
      <w:r>
        <w:rPr>
          <w:rFonts w:hint="eastAsia" w:ascii="宋体" w:hAnsi="宋体" w:cs="宋体"/>
          <w:color w:val="auto"/>
          <w:highlight w:val="none"/>
        </w:rPr>
        <w:t>或者招标代理机构恶意串通的；</w:t>
      </w:r>
      <w:bookmarkEnd w:id="1530"/>
      <w:bookmarkEnd w:id="1531"/>
      <w:bookmarkEnd w:id="1532"/>
    </w:p>
    <w:p>
      <w:pPr>
        <w:ind w:firstLine="480"/>
        <w:rPr>
          <w:rFonts w:ascii="宋体" w:cs="宋体"/>
          <w:color w:val="auto"/>
          <w:highlight w:val="none"/>
        </w:rPr>
      </w:pPr>
      <w:bookmarkStart w:id="1533" w:name="_Toc16860_WPSOffice_Level1"/>
      <w:bookmarkStart w:id="1534" w:name="_Toc17925_WPSOffice_Level1"/>
      <w:bookmarkStart w:id="1535" w:name="_Toc8669_WPSOffice_Level1"/>
      <w:r>
        <w:rPr>
          <w:rFonts w:ascii="宋体" w:hAnsi="宋体" w:cs="宋体"/>
          <w:color w:val="auto"/>
          <w:highlight w:val="none"/>
        </w:rPr>
        <w:t>(4)</w:t>
      </w:r>
      <w:r>
        <w:rPr>
          <w:rFonts w:hint="eastAsia" w:ascii="宋体" w:hAnsi="宋体" w:cs="宋体"/>
          <w:color w:val="auto"/>
          <w:highlight w:val="none"/>
        </w:rPr>
        <w:t>向采购人、招标代理机构行贿或者提供其他不正当利益的；</w:t>
      </w:r>
      <w:bookmarkEnd w:id="1533"/>
      <w:bookmarkEnd w:id="1534"/>
      <w:bookmarkEnd w:id="1535"/>
    </w:p>
    <w:p>
      <w:pPr>
        <w:ind w:firstLine="480"/>
        <w:rPr>
          <w:rFonts w:ascii="宋体" w:cs="宋体"/>
          <w:color w:val="auto"/>
          <w:highlight w:val="none"/>
        </w:rPr>
      </w:pPr>
      <w:bookmarkStart w:id="1536" w:name="_Toc20834_WPSOffice_Level1"/>
      <w:bookmarkStart w:id="1537" w:name="_Toc12118_WPSOffice_Level1"/>
      <w:bookmarkStart w:id="1538" w:name="_Toc10655_WPSOffice_Level1"/>
      <w:r>
        <w:rPr>
          <w:rFonts w:ascii="宋体" w:hAnsi="宋体" w:cs="宋体"/>
          <w:color w:val="auto"/>
          <w:highlight w:val="none"/>
        </w:rPr>
        <w:t>(5)</w:t>
      </w:r>
      <w:r>
        <w:rPr>
          <w:rFonts w:hint="eastAsia" w:ascii="宋体" w:hAnsi="宋体" w:cs="宋体"/>
          <w:color w:val="auto"/>
          <w:highlight w:val="none"/>
        </w:rPr>
        <w:t>在招标采购过程中与采购人进行协商谈判的；</w:t>
      </w:r>
      <w:bookmarkEnd w:id="1536"/>
      <w:bookmarkEnd w:id="1537"/>
      <w:bookmarkEnd w:id="1538"/>
    </w:p>
    <w:p>
      <w:pPr>
        <w:ind w:firstLine="480"/>
        <w:rPr>
          <w:rFonts w:ascii="宋体" w:cs="宋体"/>
          <w:color w:val="auto"/>
          <w:highlight w:val="none"/>
        </w:rPr>
      </w:pPr>
      <w:bookmarkStart w:id="1539" w:name="_Toc2385_WPSOffice_Level1"/>
      <w:bookmarkStart w:id="1540" w:name="_Toc14152_WPSOffice_Level1"/>
      <w:bookmarkStart w:id="1541" w:name="_Toc5988_WPSOffice_Level1"/>
      <w:r>
        <w:rPr>
          <w:rFonts w:ascii="宋体" w:hAnsi="宋体" w:cs="宋体"/>
          <w:color w:val="auto"/>
          <w:highlight w:val="none"/>
        </w:rPr>
        <w:t>(6)</w:t>
      </w:r>
      <w:r>
        <w:rPr>
          <w:rFonts w:hint="eastAsia" w:ascii="宋体" w:hAnsi="宋体" w:cs="宋体"/>
          <w:color w:val="auto"/>
          <w:highlight w:val="none"/>
        </w:rPr>
        <w:t>拒绝有关部门监督检查或提供虚假情况的。</w:t>
      </w:r>
      <w:bookmarkEnd w:id="1539"/>
      <w:bookmarkEnd w:id="1540"/>
      <w:bookmarkEnd w:id="1541"/>
    </w:p>
    <w:p>
      <w:pPr>
        <w:ind w:firstLine="480"/>
        <w:rPr>
          <w:rFonts w:asci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有前款第</w:t>
      </w:r>
      <w:r>
        <w:rPr>
          <w:rFonts w:ascii="宋体" w:hAnsi="宋体" w:cs="宋体"/>
          <w:color w:val="auto"/>
          <w:highlight w:val="none"/>
        </w:rPr>
        <w:t>(1)</w:t>
      </w:r>
      <w:r>
        <w:rPr>
          <w:rFonts w:hint="eastAsia" w:ascii="宋体" w:hAnsi="宋体" w:cs="宋体"/>
          <w:color w:val="auto"/>
          <w:highlight w:val="none"/>
        </w:rPr>
        <w:t>至</w:t>
      </w:r>
      <w:r>
        <w:rPr>
          <w:rFonts w:ascii="宋体" w:hAnsi="宋体" w:cs="宋体"/>
          <w:color w:val="auto"/>
          <w:highlight w:val="none"/>
        </w:rPr>
        <w:t>(4)</w:t>
      </w:r>
      <w:r>
        <w:rPr>
          <w:rFonts w:hint="eastAsia" w:ascii="宋体" w:hAnsi="宋体" w:cs="宋体"/>
          <w:color w:val="auto"/>
          <w:highlight w:val="none"/>
        </w:rPr>
        <w:t>项情形之一的，中标、成交无效。</w:t>
      </w:r>
    </w:p>
    <w:p>
      <w:pPr>
        <w:ind w:firstLine="480"/>
        <w:rPr>
          <w:rFonts w:ascii="宋体" w:cs="宋体"/>
          <w:color w:val="auto"/>
          <w:highlight w:val="none"/>
          <w:lang w:val="zh-CN"/>
        </w:rPr>
      </w:pPr>
    </w:p>
    <w:p>
      <w:pPr>
        <w:ind w:firstLine="480"/>
        <w:rPr>
          <w:rFonts w:ascii="宋体" w:cs="宋体"/>
          <w:color w:val="auto"/>
          <w:highlight w:val="none"/>
        </w:rPr>
      </w:pPr>
      <w:r>
        <w:rPr>
          <w:rFonts w:hint="eastAsia" w:ascii="宋体" w:hAnsi="宋体" w:cs="宋体"/>
          <w:color w:val="auto"/>
          <w:highlight w:val="none"/>
          <w:lang w:val="zh-CN"/>
        </w:rPr>
        <w:t>法定（授权）代表人（签字或盖章）：</w:t>
      </w:r>
      <w:r>
        <w:rPr>
          <w:rFonts w:ascii="宋体" w:hAnsi="宋体" w:cs="宋体"/>
          <w:color w:val="auto"/>
          <w:highlight w:val="none"/>
          <w:lang w:val="zh-CN"/>
        </w:rPr>
        <w:t xml:space="preserve">                    </w:t>
      </w:r>
      <w:r>
        <w:rPr>
          <w:rFonts w:ascii="宋体" w:cs="宋体"/>
          <w:color w:val="auto"/>
          <w:highlight w:val="none"/>
        </w:rPr>
        <w:tab/>
      </w:r>
    </w:p>
    <w:p>
      <w:pPr>
        <w:ind w:firstLine="480"/>
        <w:rPr>
          <w:rFonts w:ascii="宋体" w:cs="宋体"/>
          <w:color w:val="auto"/>
          <w:highlight w:val="none"/>
          <w:lang w:val="zh-CN"/>
        </w:rPr>
      </w:pPr>
      <w:r>
        <w:rPr>
          <w:rFonts w:hint="eastAsia" w:ascii="宋体" w:hAnsi="宋体" w:cs="宋体"/>
          <w:color w:val="auto"/>
          <w:highlight w:val="none"/>
          <w:lang w:val="zh-CN"/>
        </w:rPr>
        <w:t>投标人盖</w:t>
      </w:r>
      <w:r>
        <w:rPr>
          <w:rFonts w:ascii="宋体" w:hAnsi="宋体" w:cs="宋体"/>
          <w:color w:val="auto"/>
          <w:highlight w:val="none"/>
          <w:lang w:val="zh-CN"/>
        </w:rPr>
        <w:t xml:space="preserve"> </w:t>
      </w:r>
      <w:r>
        <w:rPr>
          <w:rFonts w:hint="eastAsia" w:ascii="宋体" w:hAnsi="宋体" w:cs="宋体"/>
          <w:color w:val="auto"/>
          <w:highlight w:val="none"/>
          <w:lang w:val="zh-CN"/>
        </w:rPr>
        <w:t>章：</w:t>
      </w:r>
      <w:r>
        <w:rPr>
          <w:rFonts w:ascii="宋体" w:hAnsi="宋体" w:cs="宋体"/>
          <w:color w:val="auto"/>
          <w:highlight w:val="none"/>
          <w:lang w:val="zh-CN"/>
        </w:rPr>
        <w:t xml:space="preserve">                       </w:t>
      </w:r>
    </w:p>
    <w:p>
      <w:pPr>
        <w:ind w:firstLine="480"/>
        <w:rPr>
          <w:rFonts w:ascii="宋体" w:cs="宋体"/>
          <w:color w:val="auto"/>
          <w:highlight w:val="none"/>
        </w:rPr>
      </w:pPr>
      <w:r>
        <w:rPr>
          <w:rFonts w:hint="eastAsia" w:ascii="宋体" w:hAnsi="宋体" w:cs="宋体"/>
          <w:color w:val="auto"/>
          <w:highlight w:val="none"/>
          <w:lang w:val="zh-CN"/>
        </w:rPr>
        <w:t>联系电话：</w:t>
      </w:r>
      <w:r>
        <w:rPr>
          <w:rFonts w:ascii="宋体" w:hAnsi="宋体" w:cs="宋体"/>
          <w:color w:val="auto"/>
          <w:highlight w:val="none"/>
          <w:lang w:val="zh-CN"/>
        </w:rPr>
        <w:t xml:space="preserve">           </w:t>
      </w:r>
      <w:r>
        <w:rPr>
          <w:rFonts w:hint="eastAsia" w:ascii="宋体" w:hAnsi="宋体" w:cs="宋体"/>
          <w:color w:val="auto"/>
          <w:highlight w:val="none"/>
          <w:lang w:val="zh-CN"/>
        </w:rPr>
        <w:t>传真：</w:t>
      </w:r>
      <w:r>
        <w:rPr>
          <w:rFonts w:ascii="宋体" w:hAnsi="宋体" w:cs="宋体"/>
          <w:color w:val="auto"/>
          <w:highlight w:val="none"/>
          <w:lang w:val="zh-CN"/>
        </w:rPr>
        <w:t xml:space="preserve">              </w:t>
      </w:r>
      <w:r>
        <w:rPr>
          <w:rFonts w:hint="eastAsia" w:ascii="宋体" w:hAnsi="宋体" w:cs="宋体"/>
          <w:color w:val="auto"/>
          <w:highlight w:val="none"/>
          <w:lang w:val="zh-CN"/>
        </w:rPr>
        <w:t>电子邮件：</w:t>
      </w:r>
      <w:r>
        <w:rPr>
          <w:rFonts w:ascii="宋体" w:hAnsi="宋体" w:cs="宋体"/>
          <w:color w:val="auto"/>
          <w:highlight w:val="none"/>
          <w:lang w:val="zh-CN"/>
        </w:rPr>
        <w:t xml:space="preserve">              </w:t>
      </w:r>
    </w:p>
    <w:p>
      <w:pPr>
        <w:ind w:firstLine="480"/>
        <w:rPr>
          <w:rFonts w:ascii="宋体" w:cs="宋体"/>
          <w:color w:val="auto"/>
          <w:highlight w:val="none"/>
        </w:rPr>
      </w:pPr>
      <w:r>
        <w:rPr>
          <w:rFonts w:hint="eastAsia" w:ascii="宋体" w:hAnsi="宋体" w:cs="宋体"/>
          <w:color w:val="auto"/>
          <w:highlight w:val="none"/>
          <w:lang w:val="zh-CN"/>
        </w:rPr>
        <w:t>联系地址：</w:t>
      </w:r>
      <w:r>
        <w:rPr>
          <w:rFonts w:ascii="宋体" w:hAnsi="宋体" w:cs="宋体"/>
          <w:color w:val="auto"/>
          <w:highlight w:val="none"/>
          <w:lang w:val="zh-CN"/>
        </w:rPr>
        <w:t xml:space="preserve">                                                    </w:t>
      </w:r>
    </w:p>
    <w:p>
      <w:pPr>
        <w:ind w:firstLine="480"/>
        <w:rPr>
          <w:rFonts w:ascii="宋体" w:cs="宋体"/>
          <w:color w:val="auto"/>
          <w:highlight w:val="none"/>
        </w:rPr>
      </w:pPr>
      <w:r>
        <w:rPr>
          <w:rFonts w:hint="eastAsia" w:ascii="宋体" w:hAnsi="宋体" w:cs="宋体"/>
          <w:color w:val="auto"/>
          <w:highlight w:val="none"/>
          <w:lang w:val="zh-CN"/>
        </w:rPr>
        <w:t>邮政编码：</w:t>
      </w:r>
      <w:r>
        <w:rPr>
          <w:rFonts w:ascii="宋体" w:hAnsi="宋体" w:cs="宋体"/>
          <w:color w:val="auto"/>
          <w:highlight w:val="none"/>
          <w:lang w:val="zh-CN"/>
        </w:rPr>
        <w:t xml:space="preserve">                     </w:t>
      </w:r>
      <w:r>
        <w:rPr>
          <w:rFonts w:hint="eastAsia" w:ascii="宋体" w:hAnsi="宋体" w:cs="宋体"/>
          <w:color w:val="auto"/>
          <w:highlight w:val="none"/>
          <w:lang w:val="zh-CN"/>
        </w:rPr>
        <w:t>传真号码：</w:t>
      </w:r>
      <w:r>
        <w:rPr>
          <w:rFonts w:ascii="宋体" w:hAnsi="宋体" w:cs="宋体"/>
          <w:color w:val="auto"/>
          <w:highlight w:val="none"/>
          <w:lang w:val="zh-CN"/>
        </w:rPr>
        <w:t xml:space="preserve">                     </w:t>
      </w:r>
    </w:p>
    <w:p>
      <w:pPr>
        <w:ind w:firstLine="480"/>
        <w:rPr>
          <w:rFonts w:ascii="宋体" w:cs="宋体"/>
          <w:color w:val="auto"/>
          <w:highlight w:val="none"/>
        </w:rPr>
      </w:pPr>
      <w:r>
        <w:rPr>
          <w:rFonts w:hint="eastAsia" w:ascii="宋体" w:hAnsi="宋体" w:cs="宋体"/>
          <w:color w:val="auto"/>
          <w:highlight w:val="none"/>
          <w:lang w:val="zh-CN"/>
        </w:rPr>
        <w:t>日期</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lang w:val="zh-CN"/>
        </w:rPr>
        <w:t>年</w:t>
      </w:r>
      <w:r>
        <w:rPr>
          <w:rFonts w:ascii="宋体" w:cs="宋体"/>
          <w:color w:val="auto"/>
          <w:highlight w:val="none"/>
        </w:rPr>
        <w:tab/>
      </w:r>
      <w:r>
        <w:rPr>
          <w:rFonts w:hint="eastAsia" w:ascii="宋体" w:cs="宋体"/>
          <w:color w:val="auto"/>
          <w:highlight w:val="none"/>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p>
    <w:p>
      <w:pPr>
        <w:ind w:firstLine="482"/>
        <w:rPr>
          <w:rFonts w:asci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注：未按照本投标响应函要求填报的将被视为非实质性响应，从而可能导致该投标文件被拒绝。</w:t>
      </w:r>
    </w:p>
    <w:p>
      <w:pPr>
        <w:ind w:firstLine="0" w:firstLineChars="0"/>
        <w:jc w:val="left"/>
        <w:rPr>
          <w:rFonts w:ascii="宋体" w:cs="宋体"/>
          <w:b/>
          <w:bCs/>
          <w:color w:val="auto"/>
          <w:highlight w:val="none"/>
        </w:rPr>
      </w:pPr>
      <w:bookmarkStart w:id="1542" w:name="_Toc7083"/>
    </w:p>
    <w:p>
      <w:pPr>
        <w:pStyle w:val="18"/>
        <w:ind w:left="480"/>
        <w:rPr>
          <w:rFonts w:hint="default"/>
          <w:color w:val="auto"/>
          <w:highlight w:val="none"/>
        </w:rPr>
      </w:pPr>
    </w:p>
    <w:p>
      <w:pPr>
        <w:pStyle w:val="51"/>
        <w:ind w:left="960" w:firstLine="0" w:firstLineChars="0"/>
        <w:rPr>
          <w:rFonts w:hAnsi="宋体" w:cs="宋体"/>
          <w:b/>
          <w:bCs/>
          <w:color w:val="auto"/>
          <w:highlight w:val="none"/>
        </w:rPr>
      </w:pPr>
    </w:p>
    <w:p>
      <w:pPr>
        <w:ind w:left="0" w:leftChars="0" w:firstLine="0" w:firstLineChars="0"/>
        <w:rPr>
          <w:color w:val="auto"/>
          <w:highlight w:val="none"/>
        </w:rPr>
      </w:pPr>
    </w:p>
    <w:p>
      <w:pPr>
        <w:ind w:firstLine="0" w:firstLineChars="0"/>
        <w:jc w:val="left"/>
        <w:outlineLvl w:val="9"/>
        <w:rPr>
          <w:rFonts w:hint="eastAsia" w:ascii="宋体" w:hAnsi="宋体" w:cs="宋体"/>
          <w:b/>
          <w:bCs/>
          <w:color w:val="auto"/>
          <w:highlight w:val="none"/>
        </w:rPr>
      </w:pPr>
      <w:bookmarkStart w:id="1543" w:name="_Toc25185"/>
      <w:bookmarkStart w:id="1544" w:name="_Toc11943"/>
      <w:bookmarkStart w:id="1545" w:name="_Toc22489"/>
      <w:bookmarkStart w:id="1546" w:name="_Toc4735"/>
      <w:bookmarkStart w:id="1547" w:name="_Toc23694"/>
      <w:bookmarkStart w:id="1548" w:name="_Toc32620"/>
      <w:bookmarkStart w:id="1549" w:name="_Toc5819"/>
      <w:bookmarkStart w:id="1550" w:name="_Toc12285"/>
      <w:bookmarkStart w:id="1551" w:name="_Toc7182"/>
      <w:bookmarkStart w:id="1552" w:name="_Toc20743"/>
      <w:bookmarkStart w:id="1553" w:name="_Toc16927"/>
      <w:bookmarkStart w:id="1554" w:name="_Toc17497"/>
      <w:bookmarkStart w:id="1555" w:name="_Toc32109"/>
      <w:bookmarkStart w:id="1556" w:name="_Toc13698"/>
      <w:bookmarkStart w:id="1557" w:name="_Toc15407"/>
      <w:bookmarkStart w:id="1558" w:name="_Toc2705"/>
      <w:bookmarkStart w:id="1559" w:name="_Toc1264"/>
      <w:bookmarkStart w:id="1560" w:name="_Toc16938"/>
      <w:bookmarkStart w:id="1561" w:name="_Toc27813"/>
      <w:bookmarkStart w:id="1562" w:name="_Toc30518"/>
      <w:bookmarkStart w:id="1563" w:name="_Toc31515"/>
      <w:bookmarkStart w:id="1564" w:name="_Toc14161"/>
      <w:bookmarkStart w:id="1565" w:name="_Toc3733"/>
      <w:bookmarkStart w:id="1566" w:name="_Toc13378"/>
      <w:bookmarkStart w:id="1567" w:name="_Toc2851"/>
      <w:bookmarkStart w:id="1568" w:name="_Toc27978"/>
      <w:bookmarkStart w:id="1569" w:name="_Toc2576"/>
      <w:bookmarkStart w:id="1570" w:name="_Toc17303"/>
      <w:bookmarkStart w:id="1571" w:name="_Toc28030"/>
      <w:bookmarkStart w:id="1572" w:name="_Toc14869"/>
    </w:p>
    <w:p>
      <w:pPr>
        <w:ind w:firstLine="0" w:firstLineChars="0"/>
        <w:jc w:val="left"/>
        <w:outlineLvl w:val="1"/>
        <w:rPr>
          <w:color w:val="auto"/>
          <w:highlight w:val="none"/>
        </w:rPr>
      </w:pPr>
      <w:bookmarkStart w:id="1573" w:name="_Toc19909"/>
      <w:bookmarkStart w:id="1574" w:name="_Toc16351"/>
      <w:r>
        <w:rPr>
          <w:rFonts w:hint="eastAsia" w:ascii="宋体" w:hAnsi="宋体" w:cs="宋体"/>
          <w:b/>
          <w:bCs/>
          <w:color w:val="auto"/>
          <w:highlight w:val="none"/>
        </w:rPr>
        <w:t>附件</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Pr>
          <w:rFonts w:hint="eastAsia" w:ascii="宋体" w:hAnsi="宋体" w:cs="宋体"/>
          <w:b/>
          <w:bCs/>
          <w:color w:val="auto"/>
          <w:highlight w:val="none"/>
        </w:rPr>
        <w:t>4</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pPr>
        <w:pStyle w:val="3"/>
        <w:numPr>
          <w:ilvl w:val="1"/>
          <w:numId w:val="0"/>
        </w:numPr>
        <w:spacing w:before="156" w:after="156"/>
        <w:rPr>
          <w:rFonts w:ascii="宋体" w:cs="宋体"/>
          <w:b/>
          <w:bCs w:val="0"/>
          <w:color w:val="auto"/>
          <w:szCs w:val="30"/>
          <w:highlight w:val="none"/>
        </w:rPr>
      </w:pPr>
      <w:bookmarkStart w:id="1575" w:name="_Toc1477"/>
      <w:bookmarkStart w:id="1576" w:name="_Toc27216"/>
      <w:bookmarkStart w:id="1577" w:name="_Toc28549"/>
      <w:bookmarkStart w:id="1578" w:name="_Toc13710"/>
      <w:bookmarkStart w:id="1579" w:name="_Toc21652"/>
      <w:bookmarkStart w:id="1580" w:name="_Toc17718"/>
      <w:bookmarkStart w:id="1581" w:name="_Toc24741"/>
      <w:bookmarkStart w:id="1582" w:name="_Toc30349"/>
      <w:bookmarkStart w:id="1583" w:name="_Toc27449"/>
      <w:bookmarkStart w:id="1584" w:name="_Toc20078"/>
      <w:bookmarkStart w:id="1585" w:name="_Toc20688"/>
      <w:bookmarkStart w:id="1586" w:name="_Toc5122"/>
      <w:bookmarkStart w:id="1587" w:name="_Toc19163"/>
      <w:bookmarkStart w:id="1588" w:name="_Toc11654"/>
      <w:bookmarkStart w:id="1589" w:name="_Toc8666"/>
      <w:bookmarkStart w:id="1590" w:name="_Toc12490"/>
      <w:bookmarkStart w:id="1591" w:name="_Toc22352"/>
      <w:bookmarkStart w:id="1592" w:name="_Toc14716"/>
      <w:bookmarkStart w:id="1593" w:name="_Toc12727"/>
      <w:bookmarkStart w:id="1594" w:name="_Toc17525"/>
      <w:bookmarkStart w:id="1595" w:name="_Toc25541"/>
      <w:bookmarkStart w:id="1596" w:name="_Toc18298"/>
      <w:bookmarkStart w:id="1597" w:name="_Toc27721"/>
      <w:bookmarkStart w:id="1598" w:name="_Toc27525"/>
      <w:bookmarkStart w:id="1599" w:name="_Toc22518"/>
      <w:bookmarkStart w:id="1600" w:name="_Toc32680"/>
      <w:bookmarkStart w:id="1601" w:name="_Toc4815"/>
      <w:bookmarkStart w:id="1602" w:name="_Toc11205"/>
      <w:bookmarkStart w:id="1603" w:name="_Toc7235"/>
      <w:bookmarkStart w:id="1604" w:name="_Toc27096"/>
      <w:bookmarkStart w:id="1605" w:name="_Toc17742"/>
      <w:bookmarkStart w:id="1606" w:name="_Toc4350"/>
      <w:r>
        <w:rPr>
          <w:rFonts w:hint="eastAsia" w:ascii="宋体" w:hAnsi="宋体" w:cs="宋体"/>
          <w:b/>
          <w:bCs w:val="0"/>
          <w:color w:val="auto"/>
          <w:szCs w:val="30"/>
          <w:highlight w:val="none"/>
        </w:rPr>
        <w:t>（一）法定代表人身份证明</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spacing w:line="440" w:lineRule="exact"/>
        <w:ind w:firstLine="400"/>
        <w:rPr>
          <w:rFonts w:ascii="宋体" w:cs="宋体"/>
          <w:color w:val="auto"/>
          <w:sz w:val="20"/>
          <w:szCs w:val="20"/>
          <w:highlight w:val="none"/>
        </w:rPr>
      </w:pPr>
    </w:p>
    <w:p>
      <w:pPr>
        <w:spacing w:line="440" w:lineRule="exact"/>
        <w:ind w:firstLine="480"/>
        <w:rPr>
          <w:rFonts w:ascii="宋体" w:cs="宋体"/>
          <w:color w:val="auto"/>
          <w:szCs w:val="21"/>
          <w:highlight w:val="none"/>
        </w:rPr>
      </w:pPr>
    </w:p>
    <w:p>
      <w:pPr>
        <w:spacing w:line="440" w:lineRule="exact"/>
        <w:ind w:firstLine="48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名称）的法定代表人。</w:t>
      </w:r>
    </w:p>
    <w:p>
      <w:pP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pPr>
        <w:spacing w:line="440" w:lineRule="exact"/>
        <w:ind w:firstLine="480"/>
        <w:rPr>
          <w:rFonts w:ascii="宋体" w:cs="宋体"/>
          <w:color w:val="auto"/>
          <w:szCs w:val="21"/>
          <w:highlight w:val="none"/>
        </w:rPr>
      </w:pPr>
    </w:p>
    <w:p>
      <w:pPr>
        <w:spacing w:line="440" w:lineRule="exact"/>
        <w:ind w:firstLine="480"/>
        <w:rPr>
          <w:rFonts w:ascii="宋体" w:cs="宋体"/>
          <w:color w:val="auto"/>
          <w:szCs w:val="21"/>
          <w:highlight w:val="none"/>
        </w:rPr>
      </w:pPr>
    </w:p>
    <w:p>
      <w:pP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1607" w:name="_Toc12719"/>
      <w:bookmarkStart w:id="1608" w:name="_Toc6331"/>
      <w:bookmarkStart w:id="1609" w:name="_Toc28523"/>
      <w:bookmarkStart w:id="1610" w:name="_Toc19264"/>
      <w:bookmarkStart w:id="1611" w:name="_Toc20713"/>
      <w:bookmarkStart w:id="1612" w:name="_Toc17763"/>
      <w:bookmarkStart w:id="1613" w:name="_Toc6606"/>
      <w:bookmarkStart w:id="1614" w:name="_Toc19917"/>
      <w:bookmarkStart w:id="1615" w:name="_Toc5923"/>
      <w:bookmarkStart w:id="1616" w:name="_Toc22110"/>
      <w:bookmarkStart w:id="1617" w:name="_Toc23723"/>
      <w:bookmarkStart w:id="1618" w:name="_Toc29845"/>
      <w:bookmarkStart w:id="1619" w:name="_Toc29594"/>
      <w:bookmarkStart w:id="1620" w:name="_Toc23675"/>
      <w:bookmarkStart w:id="1621" w:name="_Toc17015"/>
      <w:bookmarkStart w:id="1622" w:name="_Toc30751"/>
      <w:bookmarkStart w:id="1623" w:name="_Toc9135"/>
      <w:bookmarkStart w:id="1624" w:name="_Toc18941"/>
      <w:bookmarkStart w:id="1625" w:name="_Toc2147"/>
      <w:bookmarkStart w:id="1626" w:name="_Toc30289"/>
      <w:bookmarkStart w:id="1627" w:name="_Toc29931"/>
      <w:bookmarkStart w:id="1628" w:name="_Toc25026"/>
      <w:bookmarkStart w:id="1629" w:name="_Toc29611"/>
      <w:bookmarkStart w:id="1630" w:name="_Toc25643"/>
      <w:bookmarkStart w:id="1631" w:name="_Toc18739"/>
      <w:bookmarkStart w:id="1632" w:name="_Toc29612"/>
      <w:bookmarkStart w:id="1633" w:name="_Toc25188"/>
      <w:bookmarkStart w:id="1634" w:name="_Toc31160"/>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ascii="宋体" w:hAnsi="宋体" w:cs="宋体"/>
          <w:color w:val="auto"/>
          <w:szCs w:val="21"/>
          <w:highlight w:val="none"/>
        </w:rPr>
        <w:t xml:space="preserve">      </w:t>
      </w:r>
    </w:p>
    <w:p>
      <w:pPr>
        <w:ind w:firstLine="0" w:firstLineChars="0"/>
        <w:jc w:val="center"/>
        <w:rPr>
          <w:rFonts w:ascii="宋体" w:cs="宋体"/>
          <w:color w:val="auto"/>
          <w:szCs w:val="21"/>
          <w:highlight w:val="none"/>
        </w:rPr>
      </w:pPr>
    </w:p>
    <w:p>
      <w:pPr>
        <w:ind w:firstLine="0" w:firstLineChars="0"/>
        <w:jc w:val="center"/>
        <w:rPr>
          <w:rFonts w:ascii="宋体" w:cs="宋体"/>
          <w:color w:val="auto"/>
          <w:szCs w:val="21"/>
          <w:highlight w:val="none"/>
        </w:rPr>
      </w:pPr>
    </w:p>
    <w:p>
      <w:pPr>
        <w:pStyle w:val="51"/>
        <w:ind w:left="960" w:firstLine="560"/>
        <w:rPr>
          <w:rFonts w:hAnsi="宋体" w:cs="宋体"/>
          <w:color w:val="auto"/>
          <w:szCs w:val="21"/>
          <w:highlight w:val="none"/>
        </w:rPr>
      </w:pPr>
    </w:p>
    <w:p>
      <w:pPr>
        <w:ind w:firstLine="0" w:firstLineChars="0"/>
        <w:jc w:val="center"/>
        <w:rPr>
          <w:rFonts w:ascii="宋体" w:cs="宋体"/>
          <w:color w:val="auto"/>
          <w:szCs w:val="21"/>
          <w:highlight w:val="none"/>
        </w:rPr>
      </w:pPr>
    </w:p>
    <w:p>
      <w:pPr>
        <w:ind w:firstLine="0" w:firstLineChars="0"/>
        <w:jc w:val="center"/>
        <w:rPr>
          <w:rFonts w:ascii="宋体" w:cs="宋体"/>
          <w:color w:val="auto"/>
          <w:szCs w:val="21"/>
          <w:highlight w:val="none"/>
        </w:rPr>
      </w:pPr>
    </w:p>
    <w:p>
      <w:pPr>
        <w:ind w:firstLine="0" w:firstLineChars="0"/>
        <w:jc w:val="center"/>
        <w:rPr>
          <w:rFonts w:ascii="宋体" w:cs="宋体"/>
          <w:color w:val="auto"/>
          <w:szCs w:val="21"/>
          <w:highlight w:val="none"/>
        </w:rPr>
      </w:pPr>
    </w:p>
    <w:p>
      <w:pPr>
        <w:pStyle w:val="16"/>
        <w:ind w:firstLine="480"/>
        <w:rPr>
          <w:rFonts w:ascii="宋体" w:cs="宋体"/>
          <w:color w:val="auto"/>
          <w:szCs w:val="21"/>
          <w:highlight w:val="none"/>
        </w:rPr>
      </w:pPr>
    </w:p>
    <w:p>
      <w:pPr>
        <w:pStyle w:val="40"/>
        <w:ind w:firstLine="210"/>
        <w:rPr>
          <w:rFonts w:ascii="宋体" w:cs="宋体"/>
          <w:color w:val="auto"/>
          <w:highlight w:val="none"/>
        </w:rPr>
      </w:pPr>
    </w:p>
    <w:p>
      <w:pPr>
        <w:ind w:firstLine="480"/>
        <w:rPr>
          <w:color w:val="auto"/>
          <w:highlight w:val="none"/>
        </w:rPr>
      </w:pPr>
    </w:p>
    <w:p>
      <w:pPr>
        <w:ind w:firstLine="0" w:firstLineChars="0"/>
        <w:rPr>
          <w:rFonts w:ascii="宋体" w:cs="宋体"/>
          <w:color w:val="auto"/>
          <w:szCs w:val="21"/>
          <w:highlight w:val="none"/>
        </w:rPr>
      </w:pPr>
    </w:p>
    <w:p>
      <w:pPr>
        <w:pStyle w:val="18"/>
        <w:ind w:left="480"/>
        <w:rPr>
          <w:rFonts w:hint="default" w:cs="宋体"/>
          <w:color w:val="auto"/>
          <w:highlight w:val="none"/>
        </w:rPr>
      </w:pPr>
    </w:p>
    <w:p>
      <w:pPr>
        <w:pStyle w:val="19"/>
        <w:ind w:firstLine="480"/>
        <w:rPr>
          <w:rFonts w:ascii="宋体" w:cs="宋体"/>
          <w:color w:val="auto"/>
          <w:szCs w:val="21"/>
          <w:highlight w:val="none"/>
        </w:rPr>
      </w:pPr>
    </w:p>
    <w:p>
      <w:pPr>
        <w:pStyle w:val="20"/>
        <w:rPr>
          <w:rFonts w:ascii="宋体" w:cs="宋体"/>
          <w:color w:val="auto"/>
          <w:szCs w:val="21"/>
          <w:highlight w:val="none"/>
        </w:rPr>
      </w:pPr>
    </w:p>
    <w:p>
      <w:pPr>
        <w:pStyle w:val="20"/>
        <w:rPr>
          <w:rFonts w:ascii="宋体" w:cs="宋体"/>
          <w:color w:val="auto"/>
          <w:szCs w:val="21"/>
          <w:highlight w:val="none"/>
        </w:rPr>
      </w:pPr>
    </w:p>
    <w:p>
      <w:pPr>
        <w:ind w:firstLine="0" w:firstLineChars="0"/>
        <w:jc w:val="center"/>
        <w:outlineLvl w:val="0"/>
        <w:rPr>
          <w:b/>
          <w:bCs/>
          <w:color w:val="auto"/>
          <w:sz w:val="30"/>
          <w:szCs w:val="30"/>
          <w:highlight w:val="none"/>
        </w:rPr>
      </w:pPr>
      <w:bookmarkStart w:id="1635" w:name="_Toc23747"/>
      <w:bookmarkStart w:id="1636" w:name="_Toc27519"/>
      <w:bookmarkStart w:id="1637" w:name="_Toc7792"/>
      <w:bookmarkStart w:id="1638" w:name="_Toc29573"/>
      <w:bookmarkStart w:id="1639" w:name="_Toc21100"/>
      <w:bookmarkStart w:id="1640" w:name="_Toc27753"/>
      <w:bookmarkStart w:id="1641" w:name="_Toc8998"/>
      <w:bookmarkStart w:id="1642" w:name="_Toc13630"/>
      <w:bookmarkStart w:id="1643" w:name="_Toc27105"/>
      <w:bookmarkStart w:id="1644" w:name="_Toc32210"/>
      <w:bookmarkStart w:id="1645" w:name="_Toc28688"/>
      <w:bookmarkStart w:id="1646" w:name="_Toc23043"/>
      <w:bookmarkStart w:id="1647" w:name="_Toc28833"/>
      <w:bookmarkStart w:id="1648" w:name="_Toc3393"/>
      <w:bookmarkStart w:id="1649" w:name="_Toc19975"/>
      <w:bookmarkStart w:id="1650" w:name="_Toc3231"/>
      <w:bookmarkStart w:id="1651" w:name="_Toc28463"/>
      <w:bookmarkStart w:id="1652" w:name="_Toc9938"/>
      <w:bookmarkStart w:id="1653" w:name="_Toc16344"/>
      <w:bookmarkStart w:id="1654" w:name="_Toc31057"/>
      <w:bookmarkStart w:id="1655" w:name="_Toc8970"/>
      <w:bookmarkStart w:id="1656" w:name="_Toc2013"/>
      <w:bookmarkStart w:id="1657" w:name="_Toc11331"/>
      <w:bookmarkStart w:id="1658" w:name="_Toc14722"/>
      <w:bookmarkStart w:id="1659" w:name="_Toc31005"/>
      <w:bookmarkStart w:id="1660" w:name="_Toc16952"/>
      <w:bookmarkStart w:id="1661" w:name="_Toc32293"/>
      <w:bookmarkStart w:id="1662" w:name="_Toc7187"/>
      <w:r>
        <w:rPr>
          <w:rFonts w:hint="eastAsia"/>
          <w:b/>
          <w:bCs/>
          <w:color w:val="auto"/>
          <w:sz w:val="30"/>
          <w:szCs w:val="30"/>
          <w:highlight w:val="none"/>
          <w:lang w:val="en-GB"/>
        </w:rPr>
        <w:t>（二）授权委托书</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pPr>
        <w:snapToGrid w:val="0"/>
        <w:ind w:firstLine="482"/>
        <w:jc w:val="center"/>
        <w:rPr>
          <w:rFonts w:ascii="宋体" w:cs="宋体"/>
          <w:b/>
          <w:color w:val="auto"/>
          <w:highlight w:val="none"/>
        </w:rPr>
      </w:pPr>
    </w:p>
    <w:p>
      <w:pPr>
        <w:ind w:firstLine="48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lang w:val="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（投标人名称）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的法定代表人，现授权</w:t>
      </w:r>
    </w:p>
    <w:p>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w:t>
      </w:r>
    </w:p>
    <w:p>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标，以我方名义签署、澄清、说明、补正、提交、撤回、修改投标文件，签订合同和处理有关事宜，其法律后果由我方承担。</w:t>
      </w:r>
    </w:p>
    <w:p>
      <w:pPr>
        <w:ind w:firstLine="480"/>
        <w:rPr>
          <w:rFonts w:ascii="宋体" w:cs="宋体"/>
          <w:color w:val="auto"/>
          <w:highlight w:val="none"/>
          <w:lang w:val="zh-CN"/>
        </w:rPr>
      </w:pPr>
    </w:p>
    <w:p>
      <w:pPr>
        <w:ind w:firstLine="480"/>
        <w:rPr>
          <w:rFonts w:ascii="宋体" w:cs="宋体"/>
          <w:color w:val="auto"/>
          <w:highlight w:val="none"/>
          <w:lang w:val="zh-CN"/>
        </w:rPr>
      </w:pPr>
      <w:r>
        <w:rPr>
          <w:rFonts w:hint="eastAsia" w:ascii="宋体" w:hAnsi="宋体" w:cs="宋体"/>
          <w:color w:val="auto"/>
          <w:highlight w:val="none"/>
          <w:lang w:val="zh-CN"/>
        </w:rPr>
        <w:t>委托期限：202</w:t>
      </w:r>
      <w:r>
        <w:rPr>
          <w:rFonts w:hint="eastAsia" w:ascii="宋体" w:hAnsi="宋体" w:cs="宋体"/>
          <w:color w:val="auto"/>
          <w:highlight w:val="none"/>
          <w:lang w:val="en-US" w:eastAsia="zh-CN"/>
        </w:rPr>
        <w:t>4</w:t>
      </w:r>
      <w:r>
        <w:rPr>
          <w:rFonts w:hint="eastAsia" w:ascii="宋体" w:hAnsi="宋体" w:cs="宋体"/>
          <w:color w:val="auto"/>
          <w:highlight w:val="none"/>
          <w:lang w:val="zh-CN"/>
        </w:rPr>
        <w:t>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zh-CN"/>
        </w:rPr>
        <w:t>202</w:t>
      </w:r>
      <w:r>
        <w:rPr>
          <w:rFonts w:hint="eastAsia" w:ascii="宋体" w:hAnsi="宋体" w:cs="宋体"/>
          <w:color w:val="auto"/>
          <w:highlight w:val="none"/>
          <w:lang w:val="en-US" w:eastAsia="zh-CN"/>
        </w:rPr>
        <w:t>4</w:t>
      </w:r>
      <w:r>
        <w:rPr>
          <w:rFonts w:hint="eastAsia" w:ascii="宋体" w:hAnsi="宋体" w:cs="宋体"/>
          <w:color w:val="auto"/>
          <w:highlight w:val="none"/>
          <w:lang w:val="zh-CN"/>
        </w:rPr>
        <w:t>年</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zh-CN"/>
        </w:rPr>
        <w:t>日止。</w:t>
      </w:r>
    </w:p>
    <w:p>
      <w:pP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pPr>
        <w:snapToGrid w:val="0"/>
        <w:spacing w:line="312" w:lineRule="auto"/>
        <w:ind w:firstLine="0" w:firstLineChars="0"/>
        <w:rPr>
          <w:rFonts w:ascii="宋体" w:cs="宋体"/>
          <w:color w:val="auto"/>
          <w:highlight w:val="none"/>
          <w:lang w:val="zh-CN"/>
        </w:rPr>
      </w:pPr>
    </w:p>
    <w:p>
      <w:pPr>
        <w:snapToGrid w:val="0"/>
        <w:spacing w:line="312" w:lineRule="auto"/>
        <w:ind w:firstLine="480"/>
        <w:rPr>
          <w:rFonts w:ascii="宋体" w:cs="宋体"/>
          <w:color w:val="auto"/>
          <w:highlight w:val="none"/>
          <w:lang w:val="zh-CN"/>
        </w:rPr>
      </w:pPr>
    </w:p>
    <w:p>
      <w:pPr>
        <w:adjustRightInd w:val="0"/>
        <w:snapToGrid w:val="0"/>
        <w:spacing w:line="360" w:lineRule="auto"/>
        <w:ind w:firstLine="4080" w:firstLineChars="1700"/>
        <w:textAlignment w:val="baseline"/>
        <w:rPr>
          <w:rFonts w:asci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名称（盖章）</w:t>
      </w:r>
      <w:r>
        <w:rPr>
          <w:rFonts w:hint="eastAsia" w:ascii="宋体" w:hAnsi="宋体" w:cs="宋体"/>
          <w:color w:val="auto"/>
          <w:highlight w:val="none"/>
          <w:lang w:eastAsia="zh-CN"/>
        </w:rPr>
        <w:t>：</w:t>
      </w:r>
    </w:p>
    <w:p>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法定代表人（签字或盖章）</w:t>
      </w:r>
      <w:r>
        <w:rPr>
          <w:rFonts w:hint="eastAsia" w:ascii="宋体" w:hAnsi="宋体" w:cs="宋体"/>
          <w:color w:val="auto"/>
          <w:highlight w:val="none"/>
          <w:lang w:eastAsia="zh-CN"/>
        </w:rPr>
        <w:t>：</w:t>
      </w:r>
    </w:p>
    <w:p>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法定代表人移动电话</w:t>
      </w:r>
      <w:r>
        <w:rPr>
          <w:rFonts w:hint="eastAsia" w:ascii="宋体" w:hAnsi="宋体" w:cs="宋体"/>
          <w:color w:val="auto"/>
          <w:highlight w:val="none"/>
          <w:lang w:eastAsia="zh-CN"/>
        </w:rPr>
        <w:t>：</w:t>
      </w:r>
    </w:p>
    <w:p>
      <w:pPr>
        <w:adjustRightInd w:val="0"/>
        <w:snapToGrid w:val="0"/>
        <w:spacing w:line="360" w:lineRule="auto"/>
        <w:ind w:firstLine="4080" w:firstLineChars="1700"/>
        <w:textAlignment w:val="baseline"/>
        <w:rPr>
          <w:rFonts w:ascii="宋体" w:cs="宋体"/>
          <w:color w:val="auto"/>
          <w:highlight w:val="none"/>
          <w:lang w:val="zh-CN"/>
        </w:rPr>
      </w:pPr>
      <w:r>
        <w:rPr>
          <w:rFonts w:hint="eastAsia" w:ascii="宋体" w:hAnsi="宋体" w:cs="宋体"/>
          <w:color w:val="auto"/>
          <w:highlight w:val="none"/>
        </w:rPr>
        <w:t>授权代理人移动电话</w:t>
      </w:r>
      <w:r>
        <w:rPr>
          <w:rFonts w:hint="eastAsia" w:ascii="宋体" w:hAnsi="宋体" w:cs="宋体"/>
          <w:color w:val="auto"/>
          <w:highlight w:val="none"/>
          <w:lang w:eastAsia="zh-CN"/>
        </w:rPr>
        <w:t>：</w:t>
      </w:r>
    </w:p>
    <w:p>
      <w:pPr>
        <w:ind w:right="440" w:firstLine="4080" w:firstLineChars="1700"/>
        <w:rPr>
          <w:rFonts w:ascii="宋体" w:cs="宋体"/>
          <w:b/>
          <w:bCs/>
          <w:color w:val="auto"/>
          <w:highlight w:val="none"/>
        </w:rPr>
      </w:pPr>
      <w:r>
        <w:rPr>
          <w:rFonts w:hint="eastAsia" w:ascii="宋体" w:hAnsi="宋体" w:cs="宋体"/>
          <w:bCs/>
          <w:color w:val="auto"/>
          <w:highlight w:val="none"/>
        </w:rPr>
        <w:t>授权委托日期：</w:t>
      </w:r>
      <w:r>
        <w:rPr>
          <w:rFonts w:hint="eastAsia" w:ascii="宋体" w:hAnsi="宋体" w:cs="宋体"/>
          <w:bCs/>
          <w:color w:val="auto"/>
          <w:highlight w:val="none"/>
          <w:lang w:eastAsia="zh-CN"/>
        </w:rPr>
        <w:t>2024</w:t>
      </w:r>
      <w:r>
        <w:rPr>
          <w:rFonts w:hint="eastAsia" w:ascii="宋体" w:hAnsi="宋体" w:cs="宋体"/>
          <w:bCs/>
          <w:color w:val="auto"/>
          <w:highlight w:val="none"/>
        </w:rPr>
        <w:t>年</w:t>
      </w:r>
      <w:r>
        <w:rPr>
          <w:rFonts w:ascii="宋体" w:hAnsi="宋体" w:cs="宋体"/>
          <w:bCs/>
          <w:color w:val="auto"/>
          <w:highlight w:val="none"/>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pPr>
        <w:spacing w:line="360" w:lineRule="exact"/>
        <w:ind w:left="2699" w:firstLine="480"/>
        <w:rPr>
          <w:rFonts w:ascii="宋体" w:cs="宋体"/>
          <w:color w:val="auto"/>
          <w:kern w:val="0"/>
          <w:highlight w:val="none"/>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粘贴法人授权代表身份证复印影印件</w:t>
            </w: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pPr>
        <w:adjustRightInd w:val="0"/>
        <w:snapToGrid w:val="0"/>
        <w:spacing w:line="360" w:lineRule="exact"/>
        <w:ind w:firstLine="480"/>
        <w:jc w:val="center"/>
        <w:rPr>
          <w:rFonts w:ascii="宋体" w:cs="宋体"/>
          <w:color w:val="auto"/>
          <w:kern w:val="0"/>
          <w:highlight w:val="none"/>
          <w:lang w:val="zh-CN"/>
        </w:rPr>
      </w:pPr>
    </w:p>
    <w:p>
      <w:pPr>
        <w:adjustRightInd w:val="0"/>
        <w:snapToGrid w:val="0"/>
        <w:spacing w:line="360" w:lineRule="exact"/>
        <w:ind w:firstLine="480"/>
        <w:jc w:val="center"/>
        <w:rPr>
          <w:rFonts w:ascii="宋体" w:cs="宋体"/>
          <w:color w:val="auto"/>
          <w:kern w:val="0"/>
          <w:highlight w:val="none"/>
          <w:lang w:val="zh-CN"/>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粘贴法人身份证复印影印件</w:t>
            </w: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pPr>
        <w:spacing w:line="420" w:lineRule="exact"/>
        <w:ind w:firstLine="0" w:firstLineChars="0"/>
        <w:jc w:val="both"/>
        <w:outlineLvl w:val="9"/>
        <w:rPr>
          <w:rFonts w:hint="eastAsia" w:ascii="宋体" w:hAnsi="宋体" w:cs="宋体"/>
          <w:b/>
          <w:color w:val="auto"/>
          <w:sz w:val="32"/>
          <w:szCs w:val="32"/>
          <w:highlight w:val="none"/>
        </w:rPr>
      </w:pPr>
    </w:p>
    <w:p>
      <w:pPr>
        <w:ind w:firstLine="0" w:firstLineChars="0"/>
        <w:jc w:val="left"/>
        <w:outlineLvl w:val="9"/>
        <w:rPr>
          <w:rFonts w:hint="eastAsia" w:ascii="宋体" w:hAnsi="宋体" w:cs="宋体"/>
          <w:b/>
          <w:bCs/>
          <w:color w:val="auto"/>
          <w:highlight w:val="none"/>
        </w:rPr>
      </w:pPr>
    </w:p>
    <w:p>
      <w:pPr>
        <w:spacing w:line="420" w:lineRule="exact"/>
        <w:ind w:firstLine="0" w:firstLineChars="0"/>
        <w:jc w:val="center"/>
        <w:outlineLvl w:val="9"/>
        <w:rPr>
          <w:rFonts w:hint="eastAsia" w:ascii="宋体" w:hAnsi="宋体" w:cs="宋体"/>
          <w:b/>
          <w:color w:val="auto"/>
          <w:sz w:val="32"/>
          <w:szCs w:val="32"/>
          <w:highlight w:val="none"/>
        </w:rPr>
      </w:pPr>
    </w:p>
    <w:p>
      <w:pPr>
        <w:spacing w:line="420" w:lineRule="exact"/>
        <w:ind w:firstLine="0" w:firstLineChars="0"/>
        <w:jc w:val="center"/>
        <w:outlineLvl w:val="0"/>
        <w:rPr>
          <w:rFonts w:ascii="宋体" w:cs="宋体"/>
          <w:b/>
          <w:color w:val="auto"/>
          <w:sz w:val="32"/>
          <w:szCs w:val="32"/>
          <w:highlight w:val="none"/>
        </w:rPr>
      </w:pPr>
      <w:bookmarkStart w:id="1663" w:name="_Toc11125"/>
      <w:bookmarkStart w:id="1664" w:name="_Toc8680"/>
      <w:r>
        <w:rPr>
          <w:rFonts w:hint="eastAsia" w:ascii="宋体" w:hAnsi="宋体" w:cs="宋体"/>
          <w:b/>
          <w:color w:val="auto"/>
          <w:sz w:val="32"/>
          <w:szCs w:val="32"/>
          <w:highlight w:val="none"/>
        </w:rPr>
        <w:t>资信技术文件封面格式</w:t>
      </w:r>
      <w:bookmarkEnd w:id="1448"/>
      <w:bookmarkEnd w:id="1449"/>
      <w:bookmarkEnd w:id="1450"/>
      <w:bookmarkEnd w:id="1451"/>
      <w:bookmarkEnd w:id="1452"/>
      <w:bookmarkEnd w:id="1453"/>
      <w:bookmarkEnd w:id="1454"/>
      <w:bookmarkEnd w:id="1455"/>
      <w:bookmarkEnd w:id="1456"/>
      <w:bookmarkEnd w:id="1457"/>
      <w:bookmarkEnd w:id="1458"/>
      <w:bookmarkEnd w:id="1470"/>
      <w:bookmarkEnd w:id="1471"/>
      <w:bookmarkEnd w:id="1472"/>
      <w:bookmarkEnd w:id="1473"/>
      <w:bookmarkEnd w:id="1496"/>
      <w:bookmarkEnd w:id="1497"/>
      <w:bookmarkEnd w:id="1498"/>
      <w:bookmarkEnd w:id="1499"/>
      <w:bookmarkEnd w:id="1500"/>
      <w:bookmarkEnd w:id="1501"/>
      <w:bookmarkEnd w:id="1663"/>
      <w:bookmarkEnd w:id="1664"/>
    </w:p>
    <w:p>
      <w:pPr>
        <w:pStyle w:val="24"/>
        <w:spacing w:line="420" w:lineRule="exact"/>
        <w:ind w:left="120" w:leftChars="50" w:firstLine="3855" w:firstLineChars="1200"/>
        <w:jc w:val="left"/>
        <w:rPr>
          <w:rFonts w:ascii="宋体" w:hAnsi="宋体" w:eastAsia="宋体" w:cs="宋体"/>
          <w:color w:val="auto"/>
          <w:sz w:val="32"/>
          <w:highlight w:val="none"/>
        </w:rPr>
      </w:pPr>
    </w:p>
    <w:p>
      <w:pPr>
        <w:spacing w:line="420" w:lineRule="exact"/>
        <w:ind w:firstLine="640"/>
        <w:jc w:val="center"/>
        <w:rPr>
          <w:rFonts w:ascii="宋体" w:hAnsi="宋体" w:cs="宋体"/>
          <w:color w:val="auto"/>
          <w:sz w:val="32"/>
          <w:szCs w:val="32"/>
          <w:highlight w:val="none"/>
        </w:rPr>
      </w:pPr>
    </w:p>
    <w:p>
      <w:pPr>
        <w:spacing w:line="420" w:lineRule="exact"/>
        <w:ind w:firstLine="0" w:firstLineChars="0"/>
        <w:jc w:val="center"/>
        <w:outlineLvl w:val="0"/>
        <w:rPr>
          <w:rFonts w:ascii="宋体" w:cs="宋体"/>
          <w:color w:val="auto"/>
          <w:sz w:val="84"/>
          <w:highlight w:val="none"/>
        </w:rPr>
      </w:pPr>
      <w:bookmarkStart w:id="1665" w:name="_Toc17716"/>
      <w:bookmarkStart w:id="1666" w:name="_Toc5060"/>
      <w:bookmarkStart w:id="1667" w:name="_Toc16298"/>
      <w:bookmarkStart w:id="1668" w:name="_Toc26748"/>
      <w:bookmarkStart w:id="1669" w:name="_Toc16621"/>
      <w:bookmarkStart w:id="1670" w:name="_Toc7283"/>
      <w:bookmarkStart w:id="1671" w:name="_Toc2791"/>
      <w:bookmarkStart w:id="1672" w:name="_Toc27765"/>
      <w:bookmarkStart w:id="1673" w:name="_Toc32632"/>
      <w:bookmarkStart w:id="1674" w:name="_Toc25462"/>
      <w:bookmarkStart w:id="1675" w:name="_Toc20172"/>
      <w:bookmarkStart w:id="1676" w:name="_Toc9534"/>
      <w:bookmarkStart w:id="1677" w:name="_Toc28128"/>
      <w:bookmarkStart w:id="1678" w:name="_Toc27400"/>
      <w:bookmarkStart w:id="1679" w:name="_Toc26504"/>
      <w:bookmarkStart w:id="1680" w:name="_Toc31578"/>
      <w:bookmarkStart w:id="1681" w:name="_Toc22913"/>
      <w:bookmarkStart w:id="1682" w:name="_Toc24510"/>
      <w:bookmarkStart w:id="1683" w:name="_Toc8725"/>
      <w:bookmarkStart w:id="1684" w:name="_Toc18951"/>
      <w:bookmarkStart w:id="1685" w:name="_Toc31402"/>
      <w:bookmarkStart w:id="1686" w:name="_Toc28777"/>
      <w:bookmarkStart w:id="1687" w:name="_Toc25944"/>
      <w:r>
        <w:rPr>
          <w:rFonts w:hint="eastAsia" w:ascii="宋体" w:hAnsi="宋体" w:cs="宋体"/>
          <w:color w:val="auto"/>
          <w:sz w:val="32"/>
          <w:szCs w:val="32"/>
          <w:highlight w:val="none"/>
        </w:rPr>
        <w:t>正本或副本</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pPr>
        <w:spacing w:line="420" w:lineRule="exact"/>
        <w:ind w:firstLine="883"/>
        <w:rPr>
          <w:rFonts w:ascii="宋体" w:cs="宋体"/>
          <w:b/>
          <w:color w:val="auto"/>
          <w:sz w:val="44"/>
          <w:szCs w:val="44"/>
          <w:highlight w:val="none"/>
        </w:rPr>
      </w:pPr>
    </w:p>
    <w:p>
      <w:pPr>
        <w:ind w:firstLine="480"/>
        <w:rPr>
          <w:rFonts w:ascii="宋体" w:cs="宋体"/>
          <w:color w:val="auto"/>
          <w:highlight w:val="none"/>
        </w:rPr>
      </w:pPr>
    </w:p>
    <w:p>
      <w:pPr>
        <w:pStyle w:val="3"/>
        <w:numPr>
          <w:ilvl w:val="255"/>
          <w:numId w:val="0"/>
        </w:numPr>
        <w:spacing w:before="156" w:after="156"/>
        <w:jc w:val="both"/>
        <w:outlineLvl w:val="9"/>
        <w:rPr>
          <w:color w:val="auto"/>
          <w:highlight w:val="none"/>
        </w:rPr>
      </w:pPr>
    </w:p>
    <w:p>
      <w:pPr>
        <w:ind w:firstLine="480"/>
        <w:rPr>
          <w:color w:val="auto"/>
          <w:highlight w:val="none"/>
        </w:rPr>
      </w:pPr>
    </w:p>
    <w:p>
      <w:pPr>
        <w:spacing w:line="240" w:lineRule="auto"/>
        <w:ind w:firstLine="0" w:firstLineChars="0"/>
        <w:jc w:val="center"/>
        <w:rPr>
          <w:rFonts w:ascii="宋体" w:cs="宋体"/>
          <w:b/>
          <w:bCs/>
          <w:color w:val="auto"/>
          <w:sz w:val="72"/>
          <w:szCs w:val="72"/>
          <w:highlight w:val="none"/>
        </w:rPr>
      </w:pPr>
    </w:p>
    <w:p>
      <w:pPr>
        <w:spacing w:line="240" w:lineRule="auto"/>
        <w:ind w:firstLine="0" w:firstLineChars="0"/>
        <w:jc w:val="center"/>
        <w:outlineLvl w:val="1"/>
        <w:rPr>
          <w:rFonts w:ascii="宋体" w:cs="宋体"/>
          <w:b/>
          <w:bCs/>
          <w:color w:val="auto"/>
          <w:sz w:val="72"/>
          <w:szCs w:val="72"/>
          <w:highlight w:val="none"/>
        </w:rPr>
      </w:pPr>
      <w:bookmarkStart w:id="1688" w:name="_Toc22051"/>
      <w:bookmarkStart w:id="1689" w:name="_Toc29401"/>
      <w:bookmarkStart w:id="1690" w:name="_Toc23904"/>
      <w:bookmarkStart w:id="1691" w:name="_Toc32535"/>
      <w:bookmarkStart w:id="1692" w:name="_Toc19735"/>
      <w:bookmarkStart w:id="1693" w:name="_Toc13019"/>
      <w:bookmarkStart w:id="1694" w:name="_Toc15101"/>
      <w:bookmarkStart w:id="1695" w:name="_Toc32267"/>
      <w:bookmarkStart w:id="1696" w:name="_Toc5741"/>
      <w:bookmarkStart w:id="1697" w:name="_Toc18271"/>
      <w:bookmarkStart w:id="1698" w:name="_Toc11763"/>
      <w:bookmarkStart w:id="1699" w:name="_Toc8607"/>
      <w:bookmarkStart w:id="1700" w:name="_Toc4088"/>
      <w:bookmarkStart w:id="1701" w:name="_Toc8940"/>
      <w:bookmarkStart w:id="1702" w:name="_Toc8223"/>
      <w:bookmarkStart w:id="1703" w:name="_Toc11388"/>
      <w:bookmarkStart w:id="1704" w:name="_Toc22307"/>
      <w:bookmarkStart w:id="1705" w:name="_Toc22882"/>
      <w:bookmarkStart w:id="1706" w:name="_Toc25142"/>
      <w:bookmarkStart w:id="1707" w:name="_Toc4711"/>
      <w:bookmarkStart w:id="1708" w:name="_Toc16188"/>
      <w:bookmarkStart w:id="1709" w:name="_Toc26716"/>
      <w:bookmarkStart w:id="1710" w:name="_Toc19963"/>
      <w:r>
        <w:rPr>
          <w:rFonts w:hint="eastAsia" w:ascii="宋体" w:hAnsi="宋体" w:cs="宋体"/>
          <w:b/>
          <w:bCs/>
          <w:color w:val="auto"/>
          <w:sz w:val="72"/>
          <w:szCs w:val="72"/>
          <w:highlight w:val="none"/>
        </w:rPr>
        <w:t>资信技术文件</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spacing w:line="240" w:lineRule="auto"/>
        <w:ind w:firstLine="883"/>
        <w:jc w:val="center"/>
        <w:rPr>
          <w:rFonts w:ascii="宋体" w:cs="宋体"/>
          <w:b/>
          <w:bCs/>
          <w:color w:val="auto"/>
          <w:sz w:val="44"/>
          <w:szCs w:val="44"/>
          <w:highlight w:val="none"/>
        </w:rPr>
      </w:pPr>
    </w:p>
    <w:p>
      <w:pPr>
        <w:ind w:firstLine="0" w:firstLineChars="0"/>
        <w:rPr>
          <w:rFonts w:ascii="宋体" w:cs="宋体"/>
          <w:color w:val="auto"/>
          <w:highlight w:val="none"/>
        </w:rPr>
      </w:pPr>
    </w:p>
    <w:p>
      <w:pPr>
        <w:pStyle w:val="40"/>
        <w:ind w:firstLine="0" w:firstLineChars="0"/>
        <w:rPr>
          <w:color w:val="auto"/>
          <w:highlight w:val="none"/>
        </w:rPr>
      </w:pPr>
    </w:p>
    <w:p>
      <w:pPr>
        <w:pStyle w:val="40"/>
        <w:ind w:firstLine="0" w:firstLineChars="0"/>
        <w:rPr>
          <w:color w:val="auto"/>
          <w:highlight w:val="none"/>
        </w:rPr>
      </w:pPr>
    </w:p>
    <w:p>
      <w:pPr>
        <w:ind w:firstLine="480"/>
        <w:rPr>
          <w:color w:val="auto"/>
          <w:highlight w:val="none"/>
        </w:rPr>
      </w:pPr>
    </w:p>
    <w:p>
      <w:pPr>
        <w:ind w:firstLine="0" w:firstLineChars="0"/>
        <w:rPr>
          <w:rFonts w:ascii="宋体" w:cs="宋体"/>
          <w:color w:val="auto"/>
          <w:highlight w:val="none"/>
        </w:rPr>
      </w:pPr>
    </w:p>
    <w:p>
      <w:pPr>
        <w:pStyle w:val="21"/>
        <w:ind w:left="960" w:hanging="480"/>
        <w:rPr>
          <w:color w:val="auto"/>
          <w:highlight w:val="none"/>
        </w:rPr>
      </w:pPr>
    </w:p>
    <w:p>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LYCG2024XCX-002</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pPr>
        <w:spacing w:line="360" w:lineRule="auto"/>
        <w:ind w:firstLine="0" w:firstLineChars="0"/>
        <w:jc w:val="center"/>
        <w:rPr>
          <w:rFonts w:ascii="宋体" w:hAnsi="宋体" w:cs="宋体"/>
          <w:b/>
          <w:bCs/>
          <w:color w:val="auto"/>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四</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p>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376"/>
    <w:bookmarkEnd w:id="1377"/>
    <w:bookmarkEnd w:id="1378"/>
    <w:bookmarkEnd w:id="1379"/>
    <w:bookmarkEnd w:id="1380"/>
    <w:bookmarkEnd w:id="1381"/>
    <w:bookmarkEnd w:id="1382"/>
    <w:bookmarkEnd w:id="1383"/>
    <w:bookmarkEnd w:id="1459"/>
    <w:bookmarkEnd w:id="1460"/>
    <w:bookmarkEnd w:id="1461"/>
    <w:bookmarkEnd w:id="1462"/>
    <w:bookmarkEnd w:id="1463"/>
    <w:bookmarkEnd w:id="1464"/>
    <w:bookmarkEnd w:id="1465"/>
    <w:bookmarkEnd w:id="1466"/>
    <w:bookmarkEnd w:id="1467"/>
    <w:bookmarkEnd w:id="1468"/>
    <w:bookmarkEnd w:id="1469"/>
    <w:p>
      <w:pPr>
        <w:ind w:firstLine="0" w:firstLineChars="0"/>
        <w:jc w:val="left"/>
        <w:outlineLvl w:val="9"/>
        <w:rPr>
          <w:rFonts w:hint="eastAsia" w:ascii="宋体" w:hAnsi="宋体" w:cs="宋体"/>
          <w:b/>
          <w:bCs/>
          <w:color w:val="auto"/>
          <w:highlight w:val="none"/>
        </w:rPr>
      </w:pPr>
      <w:bookmarkStart w:id="1711" w:name="_Toc14811"/>
      <w:bookmarkStart w:id="1712" w:name="_Toc13617"/>
      <w:bookmarkStart w:id="1713" w:name="_Toc18562"/>
      <w:bookmarkStart w:id="1714" w:name="_Toc15176"/>
      <w:bookmarkStart w:id="1715" w:name="_Toc2143"/>
      <w:bookmarkStart w:id="1716" w:name="_Toc20561"/>
      <w:bookmarkStart w:id="1717" w:name="_Toc27481"/>
      <w:bookmarkStart w:id="1718" w:name="_Toc2307"/>
      <w:bookmarkStart w:id="1719" w:name="_Toc17803"/>
      <w:bookmarkStart w:id="1720" w:name="_Toc20431"/>
      <w:bookmarkStart w:id="1721" w:name="_Toc28788"/>
      <w:bookmarkStart w:id="1722" w:name="_Toc16332"/>
      <w:bookmarkStart w:id="1723" w:name="_Toc294166745"/>
      <w:bookmarkStart w:id="1724" w:name="_Toc13048"/>
      <w:bookmarkStart w:id="1725" w:name="_Toc4312"/>
      <w:bookmarkStart w:id="1726" w:name="_Toc29581"/>
      <w:bookmarkStart w:id="1727" w:name="_Toc12407"/>
      <w:bookmarkStart w:id="1728" w:name="_Toc16975"/>
      <w:bookmarkStart w:id="1729" w:name="_Toc28132"/>
      <w:bookmarkStart w:id="1730" w:name="_Toc27830"/>
      <w:bookmarkStart w:id="1731" w:name="_Toc12288"/>
      <w:bookmarkStart w:id="1732" w:name="_Toc11793"/>
      <w:bookmarkStart w:id="1733" w:name="_Toc28144"/>
      <w:bookmarkStart w:id="1734" w:name="_Toc31244"/>
      <w:bookmarkStart w:id="1735" w:name="_Toc60021277"/>
      <w:bookmarkStart w:id="1736" w:name="_Toc1322"/>
      <w:bookmarkStart w:id="1737" w:name="_Toc23735"/>
      <w:bookmarkStart w:id="1738" w:name="_Toc32506"/>
      <w:bookmarkStart w:id="1739" w:name="_Toc17004"/>
      <w:bookmarkStart w:id="1740" w:name="_Toc18677"/>
      <w:bookmarkStart w:id="1741" w:name="_Toc55379715"/>
      <w:bookmarkStart w:id="1742" w:name="_Toc37493332"/>
      <w:bookmarkStart w:id="1743" w:name="_Toc20509"/>
      <w:bookmarkStart w:id="1744" w:name="_Toc19191"/>
      <w:bookmarkStart w:id="1745" w:name="_Toc3610"/>
      <w:bookmarkStart w:id="1746" w:name="_Toc7665"/>
    </w:p>
    <w:p>
      <w:pPr>
        <w:ind w:firstLine="0" w:firstLineChars="0"/>
        <w:jc w:val="left"/>
        <w:outlineLvl w:val="0"/>
        <w:rPr>
          <w:rFonts w:hint="eastAsia" w:ascii="宋体" w:eastAsia="宋体" w:cs="宋体"/>
          <w:color w:val="auto"/>
          <w:highlight w:val="none"/>
          <w:lang w:eastAsia="zh-CN"/>
        </w:rPr>
      </w:pPr>
      <w:bookmarkStart w:id="1747" w:name="_Toc6939"/>
      <w:bookmarkStart w:id="1748" w:name="_Toc21401"/>
      <w:r>
        <w:rPr>
          <w:rFonts w:hint="eastAsia" w:ascii="宋体" w:hAnsi="宋体" w:cs="宋体"/>
          <w:b/>
          <w:bCs/>
          <w:color w:val="auto"/>
          <w:highlight w:val="none"/>
        </w:rPr>
        <w:t>附件</w:t>
      </w:r>
      <w:bookmarkEnd w:id="1711"/>
      <w:bookmarkEnd w:id="1712"/>
      <w:bookmarkEnd w:id="1747"/>
      <w:bookmarkEnd w:id="1748"/>
      <w:r>
        <w:rPr>
          <w:rFonts w:hint="eastAsia" w:ascii="宋体" w:hAnsi="宋体" w:cs="宋体"/>
          <w:b/>
          <w:bCs/>
          <w:color w:val="auto"/>
          <w:highlight w:val="none"/>
          <w:lang w:val="en-US" w:eastAsia="zh-CN"/>
        </w:rPr>
        <w:t>5</w:t>
      </w:r>
    </w:p>
    <w:p>
      <w:pPr>
        <w:ind w:firstLine="0" w:firstLineChars="0"/>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bidi="ar"/>
        </w:rPr>
        <w:t>同类业绩一览表</w:t>
      </w:r>
    </w:p>
    <w:p>
      <w:pPr>
        <w:ind w:firstLine="480"/>
        <w:rPr>
          <w:rFonts w:cs="宋体"/>
          <w:color w:val="auto"/>
          <w:highlight w:val="none"/>
        </w:rPr>
      </w:pPr>
      <w:r>
        <w:rPr>
          <w:rFonts w:hint="eastAsia" w:ascii="宋体" w:hAnsi="宋体" w:cs="宋体"/>
          <w:color w:val="auto"/>
          <w:highlight w:val="none"/>
          <w:lang w:bidi="ar"/>
        </w:rPr>
        <w:t>项目名称：</w:t>
      </w:r>
    </w:p>
    <w:p>
      <w:pPr>
        <w:ind w:firstLine="480"/>
        <w:rPr>
          <w:rFonts w:cs="宋体"/>
          <w:color w:val="auto"/>
          <w:highlight w:val="none"/>
        </w:rPr>
      </w:pPr>
      <w:r>
        <w:rPr>
          <w:rFonts w:hint="eastAsia" w:ascii="宋体" w:hAnsi="宋体" w:cs="宋体"/>
          <w:color w:val="auto"/>
          <w:highlight w:val="none"/>
          <w:lang w:bidi="ar"/>
        </w:rPr>
        <w:t>项目编号：</w:t>
      </w:r>
    </w:p>
    <w:tbl>
      <w:tblPr>
        <w:tblStyle w:val="41"/>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项目名称</w:t>
            </w:r>
          </w:p>
        </w:tc>
        <w:tc>
          <w:tcPr>
            <w:tcW w:w="1832" w:type="dxa"/>
            <w:tcBorders>
              <w:top w:val="single" w:color="auto" w:sz="4" w:space="0"/>
              <w:left w:val="nil"/>
              <w:bottom w:val="nil"/>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合同价格</w:t>
            </w:r>
          </w:p>
        </w:tc>
        <w:tc>
          <w:tcPr>
            <w:tcW w:w="1565" w:type="dxa"/>
            <w:tcBorders>
              <w:top w:val="single" w:color="auto" w:sz="4" w:space="0"/>
              <w:left w:val="nil"/>
              <w:bottom w:val="nil"/>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采购人联系人及联系电话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156" w:afterLines="50" w:afterAutospacing="0"/>
              <w:ind w:left="0" w:right="0" w:firstLine="480"/>
              <w:jc w:val="center"/>
              <w:rPr>
                <w:rFonts w:hint="default" w:cs="Times New Roman"/>
                <w:color w:val="auto"/>
                <w:highlight w:val="none"/>
              </w:rPr>
            </w:pPr>
          </w:p>
        </w:tc>
      </w:tr>
    </w:tbl>
    <w:p>
      <w:pPr>
        <w:ind w:firstLine="480"/>
        <w:rPr>
          <w:rFonts w:cs="宋体"/>
          <w:color w:val="auto"/>
          <w:highlight w:val="none"/>
        </w:rPr>
      </w:pPr>
      <w:r>
        <w:rPr>
          <w:rFonts w:hint="eastAsia" w:ascii="宋体" w:hAnsi="宋体" w:cs="宋体"/>
          <w:color w:val="auto"/>
          <w:highlight w:val="none"/>
          <w:lang w:bidi="ar"/>
        </w:rPr>
        <w:t>注：投标人可按上述的格式自行编制。</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 xml:space="preserve"> </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 xml:space="preserve"> </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名称（盖章）</w:t>
      </w:r>
      <w:r>
        <w:rPr>
          <w:rFonts w:hint="eastAsia" w:ascii="宋体" w:hAnsi="宋体" w:cs="宋体"/>
          <w:color w:val="auto"/>
          <w:highlight w:val="none"/>
          <w:lang w:eastAsia="zh-CN" w:bidi="ar"/>
        </w:rPr>
        <w:t>：</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法定代表人或授权代理人（签字或盖章）</w:t>
      </w:r>
      <w:r>
        <w:rPr>
          <w:rFonts w:hint="eastAsia" w:ascii="宋体" w:hAnsi="宋体" w:cs="宋体"/>
          <w:color w:val="auto"/>
          <w:highlight w:val="none"/>
          <w:lang w:eastAsia="zh-CN" w:bidi="ar"/>
        </w:rPr>
        <w:t>：</w:t>
      </w:r>
    </w:p>
    <w:p>
      <w:pPr>
        <w:widowControl/>
        <w:adjustRightInd w:val="0"/>
        <w:snapToGrid w:val="0"/>
        <w:spacing w:line="360" w:lineRule="auto"/>
        <w:ind w:firstLine="4080" w:firstLineChars="1700"/>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：2024</w:t>
      </w:r>
      <w:r>
        <w:rPr>
          <w:rFonts w:hint="eastAsia" w:ascii="宋体" w:hAnsi="宋体" w:cs="宋体"/>
          <w:color w:val="auto"/>
          <w:highlight w:val="none"/>
          <w:lang w:bidi="ar"/>
        </w:rPr>
        <w:t>年   月   日</w:t>
      </w:r>
    </w:p>
    <w:p>
      <w:pPr>
        <w:ind w:firstLine="200" w:firstLineChars="0"/>
        <w:jc w:val="center"/>
        <w:rPr>
          <w:rFonts w:ascii="宋体" w:hAnsi="宋体" w:cs="宋体"/>
          <w:b/>
          <w:bCs/>
          <w:color w:val="auto"/>
          <w:sz w:val="30"/>
          <w:szCs w:val="30"/>
          <w:highlight w:val="none"/>
          <w:lang w:bidi="ar"/>
        </w:rPr>
      </w:pPr>
    </w:p>
    <w:p>
      <w:pPr>
        <w:ind w:firstLine="200" w:firstLineChars="0"/>
        <w:jc w:val="center"/>
        <w:rPr>
          <w:rFonts w:ascii="宋体" w:hAnsi="宋体" w:cs="宋体"/>
          <w:b/>
          <w:bCs/>
          <w:color w:val="auto"/>
          <w:sz w:val="30"/>
          <w:szCs w:val="30"/>
          <w:highlight w:val="none"/>
          <w:lang w:bidi="ar"/>
        </w:rPr>
      </w:pPr>
    </w:p>
    <w:p>
      <w:pPr>
        <w:ind w:firstLine="200" w:firstLineChars="0"/>
        <w:jc w:val="center"/>
        <w:rPr>
          <w:rFonts w:ascii="宋体" w:hAnsi="宋体" w:cs="宋体"/>
          <w:b/>
          <w:bCs/>
          <w:color w:val="auto"/>
          <w:sz w:val="30"/>
          <w:szCs w:val="30"/>
          <w:highlight w:val="none"/>
          <w:lang w:bidi="ar"/>
        </w:rPr>
      </w:pPr>
    </w:p>
    <w:p>
      <w:pPr>
        <w:ind w:firstLine="200" w:firstLineChars="0"/>
        <w:jc w:val="center"/>
        <w:rPr>
          <w:rFonts w:ascii="宋体" w:hAnsi="宋体" w:cs="宋体"/>
          <w:b/>
          <w:bCs/>
          <w:color w:val="auto"/>
          <w:sz w:val="30"/>
          <w:szCs w:val="30"/>
          <w:highlight w:val="none"/>
          <w:lang w:bidi="ar"/>
        </w:rPr>
      </w:pPr>
    </w:p>
    <w:p>
      <w:pPr>
        <w:ind w:firstLine="200" w:firstLineChars="0"/>
        <w:jc w:val="center"/>
        <w:rPr>
          <w:rFonts w:ascii="宋体" w:hAnsi="宋体" w:cs="宋体"/>
          <w:b/>
          <w:bCs/>
          <w:color w:val="auto"/>
          <w:sz w:val="30"/>
          <w:szCs w:val="30"/>
          <w:highlight w:val="none"/>
          <w:lang w:bidi="ar"/>
        </w:rPr>
      </w:pPr>
    </w:p>
    <w:p>
      <w:pPr>
        <w:ind w:firstLine="0" w:firstLineChars="0"/>
        <w:jc w:val="left"/>
        <w:outlineLvl w:val="0"/>
        <w:rPr>
          <w:rFonts w:hint="default" w:ascii="宋体" w:eastAsia="宋体" w:cs="宋体"/>
          <w:color w:val="auto"/>
          <w:highlight w:val="none"/>
          <w:lang w:val="en-US" w:eastAsia="zh-CN"/>
        </w:rPr>
      </w:pPr>
      <w:bookmarkStart w:id="1749" w:name="_Toc24505"/>
      <w:bookmarkStart w:id="1750" w:name="_Toc14442"/>
      <w:bookmarkStart w:id="1751" w:name="_Toc7955"/>
      <w:bookmarkStart w:id="1752" w:name="_Toc15155"/>
      <w:r>
        <w:rPr>
          <w:rFonts w:hint="eastAsia" w:ascii="宋体" w:hAnsi="宋体" w:cs="宋体"/>
          <w:b/>
          <w:bCs/>
          <w:color w:val="auto"/>
          <w:highlight w:val="none"/>
        </w:rPr>
        <w:t>附件</w:t>
      </w:r>
      <w:bookmarkEnd w:id="1749"/>
      <w:bookmarkEnd w:id="1750"/>
      <w:bookmarkEnd w:id="1751"/>
      <w:bookmarkEnd w:id="1752"/>
      <w:r>
        <w:rPr>
          <w:rFonts w:hint="eastAsia" w:ascii="宋体" w:hAnsi="宋体" w:cs="宋体"/>
          <w:b/>
          <w:bCs/>
          <w:color w:val="auto"/>
          <w:highlight w:val="none"/>
          <w:lang w:val="en-US" w:eastAsia="zh-CN"/>
        </w:rPr>
        <w:t>6</w:t>
      </w:r>
    </w:p>
    <w:p>
      <w:pPr>
        <w:snapToGrid w:val="0"/>
        <w:ind w:firstLine="0" w:firstLineChars="0"/>
        <w:jc w:val="center"/>
        <w:outlineLvl w:val="9"/>
        <w:rPr>
          <w:rFonts w:hint="eastAsia" w:ascii="Times New Roman" w:hAnsi="Times New Roman" w:cs="宋体"/>
          <w:b/>
          <w:bCs/>
          <w:sz w:val="30"/>
          <w:szCs w:val="30"/>
        </w:rPr>
      </w:pPr>
      <w:bookmarkStart w:id="1753" w:name="_Toc21050"/>
      <w:bookmarkStart w:id="1754" w:name="_Toc27517"/>
      <w:bookmarkStart w:id="1755" w:name="_Toc19920"/>
      <w:bookmarkStart w:id="1756" w:name="_Toc26095"/>
      <w:r>
        <w:rPr>
          <w:rFonts w:hint="eastAsia" w:ascii="Times New Roman" w:hAnsi="Times New Roman" w:cs="宋体"/>
          <w:b/>
          <w:bCs/>
          <w:sz w:val="30"/>
          <w:szCs w:val="30"/>
          <w:lang w:val="en-US" w:eastAsia="zh-CN"/>
        </w:rPr>
        <w:t>拟派</w:t>
      </w:r>
      <w:r>
        <w:rPr>
          <w:rFonts w:hint="eastAsia" w:ascii="Times New Roman" w:hAnsi="Times New Roman" w:cs="宋体"/>
          <w:b/>
          <w:bCs/>
          <w:sz w:val="30"/>
          <w:szCs w:val="30"/>
        </w:rPr>
        <w:t>项目负责人情况表</w:t>
      </w:r>
      <w:bookmarkEnd w:id="1753"/>
      <w:bookmarkEnd w:id="1754"/>
      <w:bookmarkEnd w:id="1755"/>
      <w:bookmarkEnd w:id="1756"/>
    </w:p>
    <w:p>
      <w:pPr>
        <w:pStyle w:val="16"/>
        <w:ind w:firstLine="480"/>
        <w:rPr>
          <w:rFonts w:ascii="宋体" w:cs="宋体"/>
        </w:rPr>
      </w:pPr>
    </w:p>
    <w:tbl>
      <w:tblPr>
        <w:tblStyle w:val="41"/>
        <w:tblpPr w:leftFromText="180" w:rightFromText="180" w:vertAnchor="text" w:tblpXSpec="center" w:tblpY="1"/>
        <w:tblOverlap w:val="never"/>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89"/>
        <w:gridCol w:w="1129"/>
        <w:gridCol w:w="1422"/>
        <w:gridCol w:w="351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tcBorders>
              <w:top w:val="thinThickSmallGap" w:color="auto" w:sz="12" w:space="0"/>
            </w:tcBorders>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姓名</w:t>
            </w:r>
          </w:p>
        </w:tc>
        <w:tc>
          <w:tcPr>
            <w:tcW w:w="3418" w:type="dxa"/>
            <w:gridSpan w:val="2"/>
            <w:tcBorders>
              <w:top w:val="thinThickSmallGap" w:color="auto" w:sz="12" w:space="0"/>
            </w:tcBorders>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c>
          <w:tcPr>
            <w:tcW w:w="1422" w:type="dxa"/>
            <w:tcBorders>
              <w:top w:val="thinThickSmallGap" w:color="auto" w:sz="12" w:space="0"/>
            </w:tcBorders>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性别</w:t>
            </w:r>
          </w:p>
        </w:tc>
        <w:tc>
          <w:tcPr>
            <w:tcW w:w="3515" w:type="dxa"/>
            <w:tcBorders>
              <w:top w:val="thinThickSmallGap" w:color="auto" w:sz="12" w:space="0"/>
            </w:tcBorders>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出生年月</w:t>
            </w:r>
          </w:p>
        </w:tc>
        <w:tc>
          <w:tcPr>
            <w:tcW w:w="3418" w:type="dxa"/>
            <w:gridSpan w:val="2"/>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c>
          <w:tcPr>
            <w:tcW w:w="1422"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职务</w:t>
            </w:r>
          </w:p>
        </w:tc>
        <w:tc>
          <w:tcPr>
            <w:tcW w:w="3515"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职称</w:t>
            </w:r>
          </w:p>
        </w:tc>
        <w:tc>
          <w:tcPr>
            <w:tcW w:w="3418" w:type="dxa"/>
            <w:gridSpan w:val="2"/>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c>
          <w:tcPr>
            <w:tcW w:w="1422"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移动电话</w:t>
            </w:r>
          </w:p>
        </w:tc>
        <w:tc>
          <w:tcPr>
            <w:tcW w:w="3515"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注册资格</w:t>
            </w:r>
          </w:p>
        </w:tc>
        <w:tc>
          <w:tcPr>
            <w:tcW w:w="8355" w:type="dxa"/>
            <w:gridSpan w:val="4"/>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毕业学校</w:t>
            </w:r>
          </w:p>
        </w:tc>
        <w:tc>
          <w:tcPr>
            <w:tcW w:w="8355" w:type="dxa"/>
            <w:gridSpan w:val="4"/>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r>
              <w:rPr>
                <w:rFonts w:hint="eastAsia" w:ascii="宋体" w:hAnsi="宋体" w:cs="宋体"/>
              </w:rPr>
              <w:t>毕业时间</w:t>
            </w:r>
          </w:p>
        </w:tc>
        <w:tc>
          <w:tcPr>
            <w:tcW w:w="8355" w:type="dxa"/>
            <w:gridSpan w:val="4"/>
            <w:vAlign w:val="center"/>
          </w:tcPr>
          <w:p>
            <w:pPr>
              <w:keepNext w:val="0"/>
              <w:keepLines w:val="0"/>
              <w:suppressLineNumbers w:val="0"/>
              <w:snapToGrid w:val="0"/>
              <w:spacing w:before="168" w:beforeAutospacing="0" w:after="168"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pPr>
              <w:keepNext w:val="0"/>
              <w:keepLines w:val="0"/>
              <w:suppressLineNumbers w:val="0"/>
              <w:snapToGrid w:val="0"/>
              <w:spacing w:before="120" w:beforeAutospacing="0" w:after="120" w:afterAutospacing="0" w:line="360" w:lineRule="exact"/>
              <w:ind w:left="0" w:right="0" w:firstLine="0" w:firstLineChars="0"/>
              <w:jc w:val="center"/>
              <w:rPr>
                <w:rFonts w:hint="default" w:ascii="宋体" w:cs="宋体"/>
              </w:rPr>
            </w:pPr>
            <w:r>
              <w:rPr>
                <w:rFonts w:hint="eastAsia" w:ascii="宋体" w:hAnsi="宋体" w:cs="宋体"/>
              </w:rPr>
              <w:t>本项目拟担任工作</w:t>
            </w:r>
          </w:p>
        </w:tc>
        <w:tc>
          <w:tcPr>
            <w:tcW w:w="8355" w:type="dxa"/>
            <w:gridSpan w:val="4"/>
            <w:vAlign w:val="center"/>
          </w:tcPr>
          <w:p>
            <w:pPr>
              <w:keepNext w:val="0"/>
              <w:keepLines w:val="0"/>
              <w:suppressLineNumbers w:val="0"/>
              <w:snapToGrid w:val="0"/>
              <w:spacing w:before="120" w:beforeAutospacing="0" w:after="120" w:afterAutospacing="0" w:line="360" w:lineRule="exact"/>
              <w:ind w:left="0" w:right="0" w:firstLine="0" w:firstLineChars="0"/>
              <w:jc w:val="center"/>
              <w:rPr>
                <w:rFonts w:hint="default" w:ascii="宋体" w:cs="宋体"/>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6" w:type="dxa"/>
            <w:gridSpan w:val="2"/>
            <w:tcBorders>
              <w:bottom w:val="thinThickSmallGap" w:color="auto" w:sz="12" w:space="0"/>
            </w:tcBorders>
            <w:vAlign w:val="center"/>
          </w:tcPr>
          <w:p>
            <w:pPr>
              <w:keepNext w:val="0"/>
              <w:keepLines w:val="0"/>
              <w:suppressLineNumbers w:val="0"/>
              <w:adjustRightInd w:val="0"/>
              <w:snapToGrid w:val="0"/>
              <w:spacing w:before="120" w:beforeAutospacing="0" w:after="120" w:afterAutospacing="0" w:line="360" w:lineRule="exact"/>
              <w:ind w:left="0" w:right="0" w:firstLine="0" w:firstLineChars="0"/>
              <w:rPr>
                <w:rFonts w:hint="default" w:ascii="宋体" w:cs="宋体"/>
              </w:rPr>
            </w:pPr>
            <w:r>
              <w:rPr>
                <w:rFonts w:hint="eastAsia" w:ascii="宋体" w:hAnsi="宋体" w:cs="宋体"/>
              </w:rPr>
              <w:t>曾参与本项目类似的工作业绩获奖情况、担任的主要工作</w:t>
            </w:r>
          </w:p>
        </w:tc>
        <w:tc>
          <w:tcPr>
            <w:tcW w:w="6066" w:type="dxa"/>
            <w:gridSpan w:val="3"/>
            <w:tcBorders>
              <w:bottom w:val="thinThickSmallGap" w:color="auto" w:sz="12" w:space="0"/>
            </w:tcBorders>
            <w:vAlign w:val="center"/>
          </w:tcPr>
          <w:p>
            <w:pPr>
              <w:keepNext w:val="0"/>
              <w:keepLines w:val="0"/>
              <w:suppressLineNumbers w:val="0"/>
              <w:snapToGrid w:val="0"/>
              <w:spacing w:before="120" w:beforeAutospacing="0" w:after="120" w:afterAutospacing="0" w:line="360" w:lineRule="exact"/>
              <w:ind w:left="0" w:right="0" w:firstLine="0" w:firstLineChars="0"/>
              <w:jc w:val="center"/>
              <w:rPr>
                <w:rFonts w:hint="default" w:ascii="宋体" w:cs="宋体"/>
              </w:rPr>
            </w:pPr>
          </w:p>
        </w:tc>
      </w:tr>
    </w:tbl>
    <w:p>
      <w:pPr>
        <w:ind w:firstLine="4320" w:firstLineChars="1800"/>
        <w:rPr>
          <w:rFonts w:hint="eastAsia" w:eastAsia="宋体"/>
          <w:lang w:eastAsia="zh-CN"/>
        </w:rPr>
      </w:pPr>
    </w:p>
    <w:p>
      <w:pPr>
        <w:ind w:firstLine="4320" w:firstLineChars="1800"/>
        <w:rPr>
          <w:rFonts w:hint="eastAsia"/>
        </w:rPr>
      </w:pP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名称（盖章）</w:t>
      </w:r>
      <w:r>
        <w:rPr>
          <w:rFonts w:hint="eastAsia" w:ascii="宋体" w:hAnsi="宋体" w:cs="宋体"/>
          <w:color w:val="auto"/>
          <w:highlight w:val="none"/>
          <w:lang w:eastAsia="zh-CN" w:bidi="ar"/>
        </w:rPr>
        <w:t>：</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法定代表人或授权代理人（签字或盖章）</w:t>
      </w:r>
      <w:r>
        <w:rPr>
          <w:rFonts w:hint="eastAsia" w:ascii="宋体" w:hAnsi="宋体" w:cs="宋体"/>
          <w:color w:val="auto"/>
          <w:highlight w:val="none"/>
          <w:lang w:eastAsia="zh-CN" w:bidi="ar"/>
        </w:rPr>
        <w:t>：</w:t>
      </w:r>
    </w:p>
    <w:p>
      <w:pPr>
        <w:widowControl/>
        <w:adjustRightInd w:val="0"/>
        <w:snapToGrid w:val="0"/>
        <w:spacing w:line="360" w:lineRule="auto"/>
        <w:ind w:firstLine="4080" w:firstLineChars="1700"/>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：2024</w:t>
      </w:r>
      <w:r>
        <w:rPr>
          <w:rFonts w:hint="eastAsia" w:ascii="宋体" w:hAnsi="宋体" w:cs="宋体"/>
          <w:color w:val="auto"/>
          <w:highlight w:val="none"/>
          <w:lang w:bidi="ar"/>
        </w:rPr>
        <w:t>年   月   日</w:t>
      </w: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0"/>
        <w:rPr>
          <w:rFonts w:hint="default" w:ascii="宋体" w:eastAsia="宋体" w:cs="宋体"/>
          <w:color w:val="auto"/>
          <w:highlight w:val="none"/>
          <w:lang w:val="en-US" w:eastAsia="zh-CN"/>
        </w:rPr>
      </w:pPr>
      <w:bookmarkStart w:id="1757" w:name="_Toc11111"/>
      <w:bookmarkStart w:id="1758" w:name="_Toc31339"/>
      <w:r>
        <w:rPr>
          <w:rFonts w:hint="eastAsia" w:ascii="宋体" w:hAnsi="宋体" w:cs="宋体"/>
          <w:b/>
          <w:bCs/>
          <w:color w:val="auto"/>
          <w:highlight w:val="none"/>
        </w:rPr>
        <w:t>附件</w:t>
      </w:r>
      <w:bookmarkEnd w:id="1757"/>
      <w:bookmarkEnd w:id="1758"/>
      <w:r>
        <w:rPr>
          <w:rFonts w:hint="eastAsia" w:ascii="宋体" w:hAnsi="宋体" w:cs="宋体"/>
          <w:b/>
          <w:bCs/>
          <w:color w:val="auto"/>
          <w:highlight w:val="none"/>
          <w:lang w:val="en-US" w:eastAsia="zh-CN"/>
        </w:rPr>
        <w:t>7</w:t>
      </w:r>
    </w:p>
    <w:p>
      <w:pPr>
        <w:pStyle w:val="38"/>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kern w:val="0"/>
          <w:sz w:val="30"/>
          <w:szCs w:val="30"/>
        </w:rPr>
      </w:pPr>
      <w:r>
        <w:rPr>
          <w:rFonts w:hint="eastAsia" w:ascii="宋体" w:hAnsi="宋体" w:eastAsia="宋体" w:cs="宋体"/>
          <w:b/>
          <w:bCs/>
          <w:kern w:val="0"/>
          <w:sz w:val="30"/>
          <w:szCs w:val="30"/>
          <w:lang w:val="en-US" w:eastAsia="zh-CN" w:bidi="ar"/>
        </w:rPr>
        <w:t>拟投入</w:t>
      </w:r>
      <w:r>
        <w:rPr>
          <w:rFonts w:hint="eastAsia" w:cs="宋体"/>
          <w:b/>
          <w:bCs/>
          <w:kern w:val="0"/>
          <w:sz w:val="30"/>
          <w:szCs w:val="30"/>
          <w:lang w:val="en-US" w:eastAsia="zh-CN" w:bidi="ar"/>
        </w:rPr>
        <w:t>项目组</w:t>
      </w:r>
      <w:r>
        <w:rPr>
          <w:rFonts w:hint="eastAsia" w:ascii="宋体" w:hAnsi="宋体" w:eastAsia="宋体" w:cs="宋体"/>
          <w:b/>
          <w:bCs/>
          <w:kern w:val="0"/>
          <w:sz w:val="30"/>
          <w:szCs w:val="30"/>
          <w:lang w:val="en-US" w:eastAsia="zh-CN" w:bidi="ar"/>
        </w:rPr>
        <w:t>人员一览表</w:t>
      </w:r>
    </w:p>
    <w:p>
      <w:pPr>
        <w:ind w:firstLine="480"/>
        <w:rPr>
          <w:rFonts w:cs="宋体"/>
          <w:color w:val="auto"/>
          <w:highlight w:val="none"/>
        </w:rPr>
      </w:pPr>
      <w:r>
        <w:rPr>
          <w:rFonts w:hint="eastAsia" w:ascii="宋体" w:hAnsi="宋体" w:cs="宋体"/>
          <w:color w:val="auto"/>
          <w:highlight w:val="none"/>
          <w:lang w:bidi="ar"/>
        </w:rPr>
        <w:t>项目名称：</w:t>
      </w:r>
    </w:p>
    <w:p>
      <w:pPr>
        <w:ind w:firstLine="480"/>
        <w:rPr>
          <w:rFonts w:hint="eastAsia"/>
          <w:color w:val="auto"/>
          <w:highlight w:val="none"/>
          <w:lang w:eastAsia="zh-CN"/>
        </w:rPr>
      </w:pPr>
      <w:r>
        <w:rPr>
          <w:rFonts w:hint="eastAsia" w:ascii="宋体" w:hAnsi="宋体" w:cs="宋体"/>
          <w:color w:val="auto"/>
          <w:highlight w:val="none"/>
          <w:lang w:bidi="ar"/>
        </w:rPr>
        <w:t>项目编号：</w:t>
      </w:r>
    </w:p>
    <w:tbl>
      <w:tblPr>
        <w:tblStyle w:val="41"/>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23"/>
        <w:gridCol w:w="1365"/>
        <w:gridCol w:w="2040"/>
        <w:gridCol w:w="1620"/>
        <w:gridCol w:w="1875"/>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姓名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职务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职称或资格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等级</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学历</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auto"/>
                <w:highlight w:val="none"/>
                <w:lang w:bidi="ar"/>
              </w:rPr>
            </w:pPr>
            <w:r>
              <w:rPr>
                <w:rFonts w:hint="eastAsia" w:ascii="宋体" w:hAnsi="宋体" w:cs="宋体"/>
                <w:color w:val="auto"/>
                <w:highlight w:val="none"/>
                <w:lang w:val="en-US" w:eastAsia="zh-CN" w:bidi="ar"/>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napToGrid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p>
        </w:tc>
      </w:tr>
    </w:tbl>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名称（盖章）</w:t>
      </w:r>
      <w:r>
        <w:rPr>
          <w:rFonts w:hint="eastAsia" w:ascii="宋体" w:hAnsi="宋体" w:cs="宋体"/>
          <w:color w:val="auto"/>
          <w:highlight w:val="none"/>
          <w:lang w:eastAsia="zh-CN" w:bidi="ar"/>
        </w:rPr>
        <w:t>：</w:t>
      </w:r>
    </w:p>
    <w:p>
      <w:pP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法定代表人或授权代理人（签字或盖章）</w:t>
      </w:r>
      <w:r>
        <w:rPr>
          <w:rFonts w:hint="eastAsia" w:ascii="宋体" w:hAnsi="宋体" w:cs="宋体"/>
          <w:color w:val="auto"/>
          <w:highlight w:val="none"/>
          <w:lang w:eastAsia="zh-CN" w:bidi="ar"/>
        </w:rPr>
        <w:t>：</w:t>
      </w:r>
    </w:p>
    <w:p>
      <w:pPr>
        <w:widowControl/>
        <w:adjustRightInd w:val="0"/>
        <w:snapToGrid w:val="0"/>
        <w:spacing w:line="360" w:lineRule="auto"/>
        <w:ind w:firstLine="4080" w:firstLineChars="1700"/>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：2024</w:t>
      </w:r>
      <w:r>
        <w:rPr>
          <w:rFonts w:hint="eastAsia" w:ascii="宋体" w:hAnsi="宋体" w:cs="宋体"/>
          <w:color w:val="auto"/>
          <w:highlight w:val="none"/>
          <w:lang w:bidi="ar"/>
        </w:rPr>
        <w:t>年   月   日</w:t>
      </w: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p>
    <w:p>
      <w:pPr>
        <w:ind w:firstLine="0" w:firstLineChars="0"/>
        <w:jc w:val="left"/>
        <w:outlineLvl w:val="9"/>
        <w:rPr>
          <w:rFonts w:hint="eastAsia" w:ascii="宋体" w:hAnsi="宋体" w:cs="宋体"/>
          <w:b/>
          <w:bCs/>
          <w:color w:val="auto"/>
          <w:highlight w:val="none"/>
        </w:rPr>
      </w:pPr>
      <w:bookmarkStart w:id="1759" w:name="_Toc16809"/>
      <w:bookmarkStart w:id="1760" w:name="_Toc18267"/>
    </w:p>
    <w:p>
      <w:pPr>
        <w:ind w:firstLine="0" w:firstLineChars="0"/>
        <w:jc w:val="left"/>
        <w:outlineLvl w:val="9"/>
        <w:rPr>
          <w:rFonts w:hint="eastAsia" w:ascii="宋体" w:hAnsi="宋体" w:cs="宋体"/>
          <w:b/>
          <w:bCs/>
          <w:color w:val="auto"/>
          <w:highlight w:val="none"/>
        </w:rPr>
      </w:pPr>
    </w:p>
    <w:p>
      <w:pPr>
        <w:pStyle w:val="75"/>
        <w:adjustRightInd w:val="0"/>
        <w:snapToGrid w:val="0"/>
        <w:spacing w:after="156" w:afterLines="50" w:line="240" w:lineRule="auto"/>
        <w:ind w:left="0" w:leftChars="0" w:right="0" w:firstLine="0" w:firstLineChars="0"/>
        <w:jc w:val="left"/>
        <w:rPr>
          <w:rFonts w:hint="eastAsia" w:ascii="宋体" w:hAnsi="宋体" w:cs="宋体"/>
          <w:b/>
          <w:bCs/>
          <w:color w:val="auto"/>
          <w:highlight w:val="none"/>
        </w:rPr>
      </w:pPr>
    </w:p>
    <w:p>
      <w:pPr>
        <w:pStyle w:val="75"/>
        <w:adjustRightInd w:val="0"/>
        <w:snapToGrid w:val="0"/>
        <w:spacing w:after="156" w:afterLines="50" w:line="240" w:lineRule="auto"/>
        <w:ind w:left="0" w:leftChars="0" w:right="0" w:firstLine="0" w:firstLineChars="0"/>
        <w:jc w:val="left"/>
        <w:rPr>
          <w:rFonts w:hint="eastAsia" w:ascii="宋体" w:hAnsi="宋体" w:cs="宋体"/>
          <w:b/>
          <w:bCs/>
          <w:color w:val="auto"/>
          <w:highlight w:val="none"/>
        </w:rPr>
      </w:pPr>
    </w:p>
    <w:p>
      <w:pPr>
        <w:pStyle w:val="75"/>
        <w:adjustRightInd w:val="0"/>
        <w:snapToGrid w:val="0"/>
        <w:spacing w:after="156" w:afterLines="50" w:line="240" w:lineRule="auto"/>
        <w:ind w:left="0" w:leftChars="0" w:right="0" w:firstLine="0" w:firstLineChars="0"/>
        <w:jc w:val="left"/>
        <w:rPr>
          <w:rFonts w:hint="eastAsia" w:ascii="宋体" w:hAnsi="宋体" w:cs="宋体"/>
          <w:b/>
          <w:bCs/>
          <w:color w:val="auto"/>
          <w:highlight w:val="none"/>
        </w:rPr>
      </w:pPr>
    </w:p>
    <w:p>
      <w:pPr>
        <w:pStyle w:val="75"/>
        <w:adjustRightInd w:val="0"/>
        <w:snapToGrid w:val="0"/>
        <w:spacing w:after="156" w:afterLines="50" w:line="240" w:lineRule="auto"/>
        <w:ind w:left="0" w:leftChars="0" w:right="0" w:firstLine="0" w:firstLineChars="0"/>
        <w:jc w:val="left"/>
        <w:rPr>
          <w:rFonts w:hint="eastAsia" w:ascii="宋体" w:hAnsi="宋体" w:cs="宋体"/>
          <w:b/>
          <w:bCs/>
          <w:color w:val="auto"/>
          <w:highlight w:val="none"/>
        </w:rPr>
      </w:pPr>
    </w:p>
    <w:p>
      <w:pPr>
        <w:pStyle w:val="75"/>
        <w:adjustRightInd w:val="0"/>
        <w:snapToGrid w:val="0"/>
        <w:spacing w:after="156" w:afterLines="50" w:line="240" w:lineRule="auto"/>
        <w:ind w:left="0" w:leftChars="0" w:right="0" w:firstLine="0" w:firstLineChars="0"/>
        <w:jc w:val="left"/>
        <w:rPr>
          <w:rFonts w:hint="eastAsia" w:ascii="宋体" w:hAnsi="宋体" w:cs="宋体"/>
          <w:b/>
          <w:bCs/>
          <w:color w:val="auto"/>
          <w:highlight w:val="none"/>
          <w:lang w:val="en-US" w:eastAsia="zh-CN"/>
        </w:rPr>
      </w:pPr>
      <w:r>
        <w:rPr>
          <w:rFonts w:hint="eastAsia" w:ascii="宋体" w:hAnsi="宋体" w:cs="宋体"/>
          <w:b/>
          <w:bCs/>
          <w:color w:val="auto"/>
          <w:highlight w:val="none"/>
        </w:rPr>
        <w:t>附件</w:t>
      </w:r>
      <w:bookmarkEnd w:id="1759"/>
      <w:bookmarkEnd w:id="1760"/>
      <w:r>
        <w:rPr>
          <w:rFonts w:hint="eastAsia" w:ascii="宋体" w:hAnsi="宋体" w:cs="宋体"/>
          <w:b/>
          <w:bCs/>
          <w:color w:val="auto"/>
          <w:highlight w:val="none"/>
          <w:lang w:val="en-US" w:eastAsia="zh-CN"/>
        </w:rPr>
        <w:t>8</w:t>
      </w:r>
    </w:p>
    <w:p>
      <w:pPr>
        <w:snapToGrid w:val="0"/>
        <w:spacing w:before="72" w:after="72" w:line="360" w:lineRule="exact"/>
        <w:ind w:firstLine="0" w:firstLineChars="0"/>
        <w:jc w:val="center"/>
        <w:outlineLvl w:val="9"/>
        <w:rPr>
          <w:rFonts w:hint="eastAsia" w:ascii="仿宋" w:hAnsi="仿宋" w:eastAsia="仿宋" w:cs="宋体"/>
          <w:b/>
          <w:color w:val="auto"/>
          <w:kern w:val="0"/>
          <w:sz w:val="30"/>
          <w:szCs w:val="30"/>
        </w:rPr>
      </w:pPr>
      <w:bookmarkStart w:id="1761" w:name="_Toc20565"/>
      <w:bookmarkStart w:id="1762" w:name="_Toc5825"/>
      <w:bookmarkStart w:id="1763" w:name="_Toc22205"/>
      <w:bookmarkStart w:id="1764" w:name="_Toc30571"/>
      <w:bookmarkStart w:id="1765" w:name="_Toc26273"/>
      <w:bookmarkStart w:id="1766" w:name="_Toc19507"/>
      <w:bookmarkStart w:id="1767" w:name="_Toc334"/>
      <w:bookmarkStart w:id="1768" w:name="_Toc20206"/>
      <w:bookmarkStart w:id="1769" w:name="_Toc12871"/>
      <w:bookmarkStart w:id="1770" w:name="_Toc3800"/>
      <w:bookmarkStart w:id="1771" w:name="_Toc18978"/>
      <w:bookmarkStart w:id="1772" w:name="_Toc7624"/>
      <w:bookmarkStart w:id="1773" w:name="_Toc2545"/>
      <w:bookmarkStart w:id="1774" w:name="_Toc30377"/>
      <w:bookmarkStart w:id="1775" w:name="_Toc14311"/>
      <w:bookmarkStart w:id="1776" w:name="_Toc6746"/>
      <w:bookmarkStart w:id="1777" w:name="_Toc904"/>
      <w:bookmarkStart w:id="1778" w:name="_Toc8735"/>
      <w:bookmarkStart w:id="1779" w:name="_Toc3709"/>
      <w:bookmarkStart w:id="1780" w:name="_Toc22456"/>
      <w:bookmarkStart w:id="1781" w:name="_Toc30602"/>
      <w:bookmarkStart w:id="1782" w:name="_Toc28057"/>
      <w:bookmarkStart w:id="1783" w:name="_Toc15273"/>
      <w:bookmarkStart w:id="1784" w:name="_Toc19562"/>
      <w:bookmarkStart w:id="1785" w:name="_Toc5955"/>
      <w:bookmarkStart w:id="1786" w:name="_Toc5829"/>
      <w:bookmarkStart w:id="1787" w:name="_Toc10746"/>
      <w:r>
        <w:rPr>
          <w:rFonts w:hint="eastAsia" w:ascii="宋体" w:hAnsi="宋体" w:eastAsia="宋体" w:cs="宋体"/>
          <w:b/>
          <w:bCs w:val="0"/>
          <w:kern w:val="2"/>
          <w:sz w:val="30"/>
          <w:szCs w:val="30"/>
          <w:lang w:val="zh-CN"/>
        </w:rPr>
        <w:t>货物清单及规格、技术参数偏离表</w:t>
      </w:r>
    </w:p>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项目名称：                                  </w:t>
      </w:r>
    </w:p>
    <w:p>
      <w:pPr>
        <w:widowControl/>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项目编号：</w:t>
      </w:r>
      <w:r>
        <w:rPr>
          <w:rFonts w:hint="eastAsia" w:ascii="宋体" w:hAnsi="宋体" w:eastAsia="宋体" w:cs="宋体"/>
          <w:color w:val="auto"/>
          <w:sz w:val="21"/>
          <w:szCs w:val="21"/>
        </w:rPr>
        <w:t xml:space="preserve">    </w:t>
      </w:r>
    </w:p>
    <w:p>
      <w:pPr>
        <w:snapToGrid w:val="0"/>
        <w:spacing w:line="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231"/>
        <w:gridCol w:w="1382"/>
        <w:gridCol w:w="1950"/>
        <w:gridCol w:w="222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3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b w:val="0"/>
                <w:bCs/>
              </w:rPr>
              <w:t>产品名称</w:t>
            </w:r>
          </w:p>
        </w:tc>
        <w:tc>
          <w:tcPr>
            <w:tcW w:w="138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品牌型号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tc>
        <w:tc>
          <w:tcPr>
            <w:tcW w:w="19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222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响应内容</w:t>
            </w:r>
          </w:p>
        </w:tc>
        <w:tc>
          <w:tcPr>
            <w:tcW w:w="19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p>
        </w:tc>
        <w:tc>
          <w:tcPr>
            <w:tcW w:w="138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22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0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5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p>
        </w:tc>
        <w:tc>
          <w:tcPr>
            <w:tcW w:w="12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p>
        </w:tc>
        <w:tc>
          <w:tcPr>
            <w:tcW w:w="13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22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0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5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p>
        </w:tc>
        <w:tc>
          <w:tcPr>
            <w:tcW w:w="13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22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0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5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3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0" w:firstLineChars="0"/>
              <w:jc w:val="both"/>
              <w:rPr>
                <w:rFonts w:hint="eastAsia" w:ascii="宋体" w:hAnsi="宋体" w:eastAsia="宋体" w:cs="宋体"/>
                <w:color w:val="auto"/>
                <w:sz w:val="24"/>
                <w:szCs w:val="24"/>
              </w:rPr>
            </w:pPr>
          </w:p>
        </w:tc>
        <w:tc>
          <w:tcPr>
            <w:tcW w:w="138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222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0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bl>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（本表请根据实际自行制作）</w:t>
      </w:r>
    </w:p>
    <w:p>
      <w:pPr>
        <w:snapToGrid w:val="0"/>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pPr>
        <w:snapToGrid w:val="0"/>
        <w:spacing w:line="312"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rPr>
        <w:t>应根据投标设备的性能指标、对照</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要求在“偏离情况”栏注明“正偏离”、“负偏离”或“无偏离”。</w:t>
      </w:r>
    </w:p>
    <w:p>
      <w:pPr>
        <w:widowControl/>
        <w:spacing w:line="312"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详细的产品清单及货物简要说明（注明品牌型号及具体参数）；</w:t>
      </w:r>
    </w:p>
    <w:p>
      <w:pPr>
        <w:spacing w:line="312"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提供能详细描述投标产品主要技术参数、性能的证明材料</w:t>
      </w:r>
      <w:r>
        <w:rPr>
          <w:rFonts w:hint="eastAsia" w:ascii="宋体" w:hAnsi="宋体" w:eastAsia="宋体" w:cs="宋体"/>
          <w:bCs/>
          <w:color w:val="auto"/>
          <w:kern w:val="0"/>
          <w:sz w:val="24"/>
          <w:szCs w:val="24"/>
        </w:rPr>
        <w:t>。</w:t>
      </w:r>
    </w:p>
    <w:p>
      <w:pPr>
        <w:snapToGrid w:val="0"/>
        <w:spacing w:before="72" w:after="72" w:line="360" w:lineRule="exact"/>
        <w:ind w:firstLine="0" w:firstLineChars="0"/>
        <w:rPr>
          <w:rFonts w:hint="eastAsia" w:ascii="华文中宋" w:hAnsi="华文中宋" w:eastAsia="华文中宋" w:cs="华文中宋"/>
          <w:lang w:val="en-US" w:eastAsia="zh-CN"/>
        </w:rPr>
      </w:pPr>
      <w:r>
        <w:rPr>
          <w:rFonts w:hint="eastAsia" w:ascii="华文中宋" w:hAnsi="华文中宋" w:eastAsia="华文中宋" w:cs="华文中宋"/>
        </w:rPr>
        <w:t xml:space="preserve">  </w:t>
      </w:r>
      <w:r>
        <w:rPr>
          <w:rFonts w:hint="eastAsia" w:ascii="华文中宋" w:hAnsi="华文中宋" w:eastAsia="华文中宋" w:cs="华文中宋"/>
          <w:lang w:val="en-US" w:eastAsia="zh-CN"/>
        </w:rPr>
        <w:t xml:space="preserve">                                    </w:t>
      </w:r>
    </w:p>
    <w:p>
      <w:pPr>
        <w:ind w:firstLine="4320" w:firstLineChars="1800"/>
      </w:pPr>
      <w:r>
        <w:rPr>
          <w:rFonts w:hint="eastAsia"/>
          <w:lang w:val="en-US" w:eastAsia="zh-CN"/>
        </w:rPr>
        <w:t>投标人</w:t>
      </w:r>
      <w:r>
        <w:rPr>
          <w:rFonts w:hint="eastAsia"/>
        </w:rPr>
        <w:t>全称（盖章）：</w:t>
      </w:r>
      <w:r>
        <w:t xml:space="preserve">                         </w:t>
      </w:r>
    </w:p>
    <w:p>
      <w:pPr>
        <w:ind w:firstLine="4320" w:firstLineChars="1800"/>
      </w:pPr>
      <w:r>
        <w:rPr>
          <w:rFonts w:hint="eastAsia"/>
        </w:rPr>
        <w:t>法定代表人或授权代理人（签字或盖章）：</w:t>
      </w:r>
    </w:p>
    <w:p>
      <w:pPr>
        <w:ind w:firstLine="4320" w:firstLineChars="1800"/>
      </w:pPr>
      <w:r>
        <w:rPr>
          <w:rFonts w:hint="eastAsia"/>
        </w:rPr>
        <w:t>日期：</w:t>
      </w:r>
      <w:r>
        <w:rPr>
          <w:rFonts w:hint="eastAsia" w:ascii="宋体" w:hAnsi="宋体" w:cs="宋体"/>
          <w:lang w:eastAsia="zh-CN"/>
        </w:rPr>
        <w:t>202</w:t>
      </w:r>
      <w:r>
        <w:rPr>
          <w:rFonts w:hint="eastAsia" w:ascii="宋体" w:hAnsi="宋体" w:cs="宋体"/>
          <w:lang w:val="en-US" w:eastAsia="zh-CN"/>
        </w:rPr>
        <w:t>4</w:t>
      </w:r>
      <w:r>
        <w:rPr>
          <w:rFonts w:hint="eastAsia" w:ascii="宋体" w:hAnsi="宋体" w:cs="宋体"/>
        </w:rPr>
        <w:t>年</w:t>
      </w:r>
      <w:r>
        <w:t xml:space="preserve">   </w:t>
      </w:r>
      <w:r>
        <w:rPr>
          <w:rFonts w:hint="eastAsia"/>
        </w:rPr>
        <w:t>月</w:t>
      </w:r>
      <w:r>
        <w:t xml:space="preserve">   </w:t>
      </w:r>
      <w:r>
        <w:rPr>
          <w:rFonts w:hint="eastAsia"/>
        </w:rPr>
        <w:t>日</w:t>
      </w: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kern w:val="2"/>
          <w:sz w:val="24"/>
          <w:szCs w:val="24"/>
          <w:lang w:val="en-US" w:eastAsia="zh-CN" w:bidi="ar"/>
        </w:rPr>
      </w:pP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kern w:val="2"/>
          <w:sz w:val="24"/>
          <w:szCs w:val="24"/>
          <w:lang w:val="en-US" w:eastAsia="zh-CN" w:bidi="ar"/>
        </w:rPr>
      </w:pP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kern w:val="2"/>
          <w:sz w:val="24"/>
          <w:szCs w:val="24"/>
          <w:lang w:val="en-US" w:eastAsia="zh-CN" w:bidi="ar"/>
        </w:rPr>
      </w:pP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kern w:val="2"/>
          <w:sz w:val="24"/>
          <w:szCs w:val="24"/>
          <w:lang w:val="en-US" w:eastAsia="zh-CN" w:bidi="ar"/>
        </w:rPr>
      </w:pP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kern w:val="2"/>
          <w:sz w:val="24"/>
          <w:szCs w:val="24"/>
          <w:lang w:val="en-US" w:eastAsia="zh-CN" w:bidi="ar"/>
        </w:rPr>
      </w:pPr>
    </w:p>
    <w:p>
      <w:pPr>
        <w:pStyle w:val="38"/>
        <w:keepNext w:val="0"/>
        <w:keepLines w:val="0"/>
        <w:widowControl/>
        <w:suppressLineNumbers w:val="0"/>
        <w:adjustRightInd w:val="0"/>
        <w:snapToGrid w:val="0"/>
        <w:spacing w:before="0" w:beforeAutospacing="1" w:after="156" w:afterLines="50" w:afterAutospacing="0" w:line="360" w:lineRule="auto"/>
        <w:ind w:left="0" w:leftChars="0" w:right="0" w:firstLine="0" w:firstLineChars="0"/>
        <w:jc w:val="left"/>
        <w:rPr>
          <w:rFonts w:hint="default" w:ascii="宋体" w:hAnsi="宋体" w:eastAsia="宋体" w:cs="宋体"/>
          <w:b/>
          <w:bCs/>
          <w:kern w:val="2"/>
          <w:sz w:val="24"/>
          <w:szCs w:val="24"/>
          <w:lang w:val="en-US"/>
        </w:rPr>
      </w:pPr>
      <w:r>
        <w:rPr>
          <w:rFonts w:hint="eastAsia" w:ascii="宋体" w:hAnsi="宋体" w:eastAsia="宋体" w:cs="宋体"/>
          <w:b/>
          <w:bCs/>
          <w:kern w:val="2"/>
          <w:sz w:val="24"/>
          <w:szCs w:val="24"/>
          <w:lang w:val="en-US" w:eastAsia="zh-CN" w:bidi="ar"/>
        </w:rPr>
        <w:t>附件</w:t>
      </w:r>
      <w:r>
        <w:rPr>
          <w:rFonts w:hint="eastAsia" w:cs="宋体"/>
          <w:b/>
          <w:bCs/>
          <w:kern w:val="2"/>
          <w:sz w:val="24"/>
          <w:szCs w:val="24"/>
          <w:lang w:val="en-US" w:eastAsia="zh-CN" w:bidi="ar"/>
        </w:rPr>
        <w:t>9</w:t>
      </w:r>
    </w:p>
    <w:p>
      <w:pPr>
        <w:spacing w:line="360" w:lineRule="auto"/>
        <w:ind w:firstLine="0" w:firstLineChars="0"/>
        <w:jc w:val="center"/>
        <w:outlineLvl w:val="0"/>
        <w:rPr>
          <w:rFonts w:ascii="宋体" w:hAnsi="宋体" w:cs="Times New Roman"/>
          <w:b/>
          <w:color w:val="auto"/>
          <w:sz w:val="30"/>
          <w:szCs w:val="30"/>
          <w:highlight w:val="none"/>
        </w:rPr>
      </w:pPr>
      <w:bookmarkStart w:id="1788" w:name="_Toc20640"/>
      <w:bookmarkStart w:id="1789" w:name="_Toc5161"/>
      <w:r>
        <w:rPr>
          <w:rFonts w:hint="eastAsia" w:ascii="宋体" w:hAnsi="宋体" w:cs="宋体"/>
          <w:b/>
          <w:color w:val="auto"/>
          <w:sz w:val="30"/>
          <w:szCs w:val="30"/>
          <w:highlight w:val="none"/>
          <w:lang w:bidi="ar"/>
        </w:rPr>
        <w:t>商务响应承诺函</w:t>
      </w:r>
      <w:bookmarkEnd w:id="1761"/>
      <w:bookmarkEnd w:id="1762"/>
      <w:bookmarkEnd w:id="1763"/>
      <w:bookmarkEnd w:id="1764"/>
      <w:bookmarkEnd w:id="1765"/>
      <w:bookmarkEnd w:id="1766"/>
      <w:bookmarkEnd w:id="1767"/>
      <w:bookmarkEnd w:id="1768"/>
      <w:bookmarkEnd w:id="1788"/>
      <w:bookmarkEnd w:id="1789"/>
    </w:p>
    <w:p>
      <w:pPr>
        <w:ind w:firstLine="480"/>
        <w:rPr>
          <w:rFonts w:ascii="宋体" w:hAnsi="宋体" w:cs="Times New Roman"/>
          <w:color w:val="auto"/>
          <w:highlight w:val="none"/>
        </w:rPr>
      </w:pPr>
      <w:r>
        <w:rPr>
          <w:rFonts w:hint="eastAsia" w:ascii="宋体" w:hAnsi="宋体" w:cs="宋体"/>
          <w:color w:val="auto"/>
          <w:highlight w:val="none"/>
          <w:lang w:bidi="ar"/>
        </w:rPr>
        <w:t>致：</w:t>
      </w:r>
      <w:r>
        <w:rPr>
          <w:rFonts w:hint="eastAsia" w:ascii="宋体" w:hAnsi="宋体" w:cs="Times New Roman"/>
          <w:color w:val="auto"/>
          <w:highlight w:val="none"/>
          <w:u w:val="single"/>
          <w:lang w:bidi="ar"/>
        </w:rPr>
        <w:t xml:space="preserve">                </w:t>
      </w:r>
      <w:r>
        <w:rPr>
          <w:rFonts w:hint="eastAsia" w:ascii="宋体" w:hAnsi="宋体" w:cs="宋体"/>
          <w:color w:val="auto"/>
          <w:highlight w:val="none"/>
          <w:lang w:bidi="ar"/>
        </w:rPr>
        <w:t>：</w:t>
      </w:r>
    </w:p>
    <w:p>
      <w:pPr>
        <w:pStyle w:val="38"/>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我方参与的</w:t>
      </w:r>
      <w:r>
        <w:rPr>
          <w:rFonts w:hint="eastAsia" w:cs="Times New Roman"/>
          <w:color w:val="auto"/>
          <w:kern w:val="2"/>
          <w:highlight w:val="none"/>
          <w:u w:val="single"/>
          <w:lang w:bidi="ar"/>
        </w:rPr>
        <w:t xml:space="preserve"> </w:t>
      </w:r>
      <w:r>
        <w:rPr>
          <w:rFonts w:hint="eastAsia" w:cs="宋体"/>
          <w:color w:val="auto"/>
          <w:kern w:val="2"/>
          <w:highlight w:val="none"/>
          <w:u w:val="single"/>
          <w:lang w:bidi="ar"/>
        </w:rPr>
        <w:t>（项目名称）（项目编号）</w:t>
      </w:r>
      <w:r>
        <w:rPr>
          <w:rFonts w:hint="eastAsia" w:cs="Times New Roman"/>
          <w:color w:val="auto"/>
          <w:kern w:val="2"/>
          <w:highlight w:val="none"/>
          <w:u w:val="single"/>
          <w:lang w:bidi="ar"/>
        </w:rPr>
        <w:t xml:space="preserve"> </w:t>
      </w:r>
      <w:r>
        <w:rPr>
          <w:rFonts w:hint="eastAsia" w:cs="Times New Roman"/>
          <w:color w:val="auto"/>
          <w:kern w:val="2"/>
          <w:highlight w:val="none"/>
          <w:lang w:bidi="ar"/>
        </w:rPr>
        <w:t xml:space="preserve"> </w:t>
      </w:r>
      <w:r>
        <w:rPr>
          <w:rFonts w:hint="eastAsia" w:cs="宋体"/>
          <w:color w:val="auto"/>
          <w:kern w:val="2"/>
          <w:highlight w:val="none"/>
          <w:lang w:bidi="ar"/>
        </w:rPr>
        <w:t>的招标活动，我方郑重承诺，我方承诺对招标文件中的商务要求完全响应。</w:t>
      </w:r>
    </w:p>
    <w:p>
      <w:pPr>
        <w:pStyle w:val="38"/>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如本公司对以上条款提供虚假承诺，愿承担一切法律责任。</w:t>
      </w:r>
    </w:p>
    <w:p>
      <w:pPr>
        <w:widowControl/>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 xml:space="preserve"> </w:t>
      </w:r>
    </w:p>
    <w:p>
      <w:pPr>
        <w:pStyle w:val="38"/>
        <w:widowControl w:val="0"/>
        <w:spacing w:before="0" w:beforeAutospacing="0" w:after="0" w:afterAutospacing="0"/>
        <w:ind w:firstLine="480"/>
        <w:rPr>
          <w:rFonts w:cs="宋体"/>
          <w:bCs/>
          <w:color w:val="auto"/>
          <w:kern w:val="2"/>
          <w:highlight w:val="none"/>
        </w:rPr>
      </w:pPr>
      <w:r>
        <w:rPr>
          <w:rFonts w:hint="eastAsia" w:cs="宋体"/>
          <w:bCs/>
          <w:color w:val="auto"/>
          <w:kern w:val="2"/>
          <w:highlight w:val="none"/>
          <w:lang w:bidi="ar"/>
        </w:rPr>
        <w:t xml:space="preserve"> </w:t>
      </w:r>
    </w:p>
    <w:p>
      <w:pPr>
        <w:ind w:firstLine="480"/>
        <w:rPr>
          <w:rFonts w:ascii="宋体" w:hAnsi="宋体" w:cs="宋体"/>
          <w:color w:val="auto"/>
          <w:highlight w:val="none"/>
        </w:rPr>
      </w:pPr>
      <w:r>
        <w:rPr>
          <w:rFonts w:hint="eastAsia" w:ascii="宋体" w:hAnsi="宋体" w:cs="宋体"/>
          <w:color w:val="auto"/>
          <w:highlight w:val="none"/>
          <w:lang w:bidi="ar"/>
        </w:rPr>
        <w:t xml:space="preserve"> </w:t>
      </w:r>
    </w:p>
    <w:p>
      <w:pPr>
        <w:ind w:firstLine="3780" w:firstLineChars="1800"/>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pPr>
        <w:ind w:firstLine="4320" w:firstLineChars="1800"/>
        <w:rPr>
          <w:color w:val="auto"/>
          <w:highlight w:val="none"/>
        </w:rPr>
      </w:pPr>
      <w:r>
        <w:rPr>
          <w:rFonts w:hint="eastAsia"/>
          <w:color w:val="auto"/>
          <w:highlight w:val="none"/>
        </w:rPr>
        <w:t>法定代表人或授权代理人（签字或盖章）：</w:t>
      </w:r>
    </w:p>
    <w:p>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2024</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pStyle w:val="18"/>
        <w:ind w:left="0" w:leftChars="0" w:firstLine="0" w:firstLineChars="0"/>
        <w:rPr>
          <w:rFonts w:hint="default"/>
          <w:color w:val="auto"/>
          <w:highlight w:val="none"/>
        </w:rPr>
      </w:pPr>
    </w:p>
    <w:p>
      <w:pPr>
        <w:ind w:firstLine="0" w:firstLineChars="0"/>
        <w:jc w:val="center"/>
        <w:rPr>
          <w:b/>
          <w:bCs/>
          <w:color w:val="auto"/>
          <w:sz w:val="30"/>
          <w:szCs w:val="30"/>
          <w:highlight w:val="none"/>
        </w:rPr>
      </w:pPr>
      <w:bookmarkStart w:id="1790" w:name="_Toc18159"/>
      <w:bookmarkStart w:id="1791" w:name="_Toc25994"/>
      <w:bookmarkStart w:id="1792" w:name="_Toc21012"/>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rPr>
          <w:b/>
          <w:bCs/>
          <w:color w:val="auto"/>
          <w:sz w:val="30"/>
          <w:szCs w:val="30"/>
          <w:highlight w:val="none"/>
        </w:rPr>
      </w:pPr>
    </w:p>
    <w:p>
      <w:pPr>
        <w:ind w:firstLine="0" w:firstLineChars="0"/>
        <w:jc w:val="center"/>
        <w:outlineLvl w:val="0"/>
        <w:rPr>
          <w:b/>
          <w:bCs/>
          <w:color w:val="auto"/>
          <w:sz w:val="30"/>
          <w:szCs w:val="30"/>
          <w:highlight w:val="none"/>
        </w:rPr>
      </w:pPr>
      <w:bookmarkStart w:id="1793" w:name="_Toc18730"/>
      <w:bookmarkStart w:id="1794" w:name="_Toc29541"/>
      <w:bookmarkStart w:id="1795" w:name="_Toc11447"/>
      <w:bookmarkStart w:id="1796" w:name="_Toc27202"/>
      <w:bookmarkStart w:id="1797" w:name="_Toc16019"/>
      <w:bookmarkStart w:id="1798" w:name="_Toc14352"/>
      <w:bookmarkStart w:id="1799" w:name="_Toc2457"/>
      <w:bookmarkStart w:id="1800" w:name="_Toc7710"/>
      <w:r>
        <w:rPr>
          <w:rFonts w:hint="eastAsia"/>
          <w:b/>
          <w:bCs/>
          <w:color w:val="auto"/>
          <w:sz w:val="30"/>
          <w:szCs w:val="30"/>
          <w:highlight w:val="none"/>
        </w:rPr>
        <w:t>商务报价文件封面格式</w:t>
      </w:r>
      <w:bookmarkEnd w:id="1713"/>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90"/>
      <w:bookmarkEnd w:id="1791"/>
      <w:bookmarkEnd w:id="1792"/>
      <w:bookmarkEnd w:id="1793"/>
      <w:bookmarkEnd w:id="1794"/>
      <w:bookmarkEnd w:id="1795"/>
      <w:bookmarkEnd w:id="1796"/>
      <w:bookmarkEnd w:id="1797"/>
      <w:bookmarkEnd w:id="1798"/>
      <w:bookmarkEnd w:id="1799"/>
      <w:bookmarkEnd w:id="1800"/>
    </w:p>
    <w:p>
      <w:pPr>
        <w:ind w:firstLine="0" w:firstLineChars="0"/>
        <w:jc w:val="center"/>
        <w:rPr>
          <w:b/>
          <w:bCs/>
          <w:color w:val="auto"/>
          <w:sz w:val="30"/>
          <w:szCs w:val="30"/>
          <w:highlight w:val="none"/>
        </w:rPr>
      </w:pPr>
    </w:p>
    <w:p>
      <w:pPr>
        <w:spacing w:line="420" w:lineRule="exact"/>
        <w:ind w:firstLine="0" w:firstLineChars="0"/>
        <w:jc w:val="center"/>
        <w:rPr>
          <w:rFonts w:ascii="宋体" w:hAnsi="宋体" w:cs="宋体"/>
          <w:color w:val="auto"/>
          <w:sz w:val="32"/>
          <w:szCs w:val="32"/>
          <w:highlight w:val="none"/>
        </w:rPr>
      </w:pPr>
      <w:bookmarkStart w:id="1801" w:name="_Toc15531"/>
      <w:bookmarkStart w:id="1802" w:name="_Toc16937"/>
      <w:bookmarkStart w:id="1803" w:name="_Toc5863"/>
      <w:bookmarkStart w:id="1804" w:name="_Toc9459"/>
      <w:bookmarkStart w:id="1805" w:name="_Toc433"/>
      <w:bookmarkStart w:id="1806" w:name="_Toc27134"/>
      <w:bookmarkStart w:id="1807" w:name="_Toc27002"/>
      <w:bookmarkStart w:id="1808" w:name="_Toc29757"/>
      <w:bookmarkStart w:id="1809" w:name="_Toc24987"/>
      <w:bookmarkStart w:id="1810" w:name="_Toc29389"/>
      <w:bookmarkStart w:id="1811" w:name="_Toc8432"/>
      <w:bookmarkStart w:id="1812" w:name="_Toc7681"/>
      <w:bookmarkStart w:id="1813" w:name="_Toc7104"/>
      <w:bookmarkStart w:id="1814" w:name="_Toc7316"/>
      <w:bookmarkStart w:id="1815" w:name="_Toc22455"/>
      <w:bookmarkStart w:id="1816" w:name="_Toc19820"/>
      <w:bookmarkStart w:id="1817" w:name="_Toc5460"/>
      <w:bookmarkStart w:id="1818" w:name="_Toc32301"/>
      <w:bookmarkStart w:id="1819" w:name="_Toc12003"/>
      <w:bookmarkStart w:id="1820" w:name="_Toc17415"/>
      <w:bookmarkStart w:id="1821" w:name="_Toc20933"/>
      <w:bookmarkStart w:id="1822" w:name="_Toc13941"/>
      <w:bookmarkStart w:id="1823" w:name="_Toc1215"/>
      <w:bookmarkStart w:id="1824" w:name="_Toc30696"/>
      <w:bookmarkStart w:id="1825" w:name="_Toc10177"/>
    </w:p>
    <w:p>
      <w:pPr>
        <w:spacing w:line="420" w:lineRule="exact"/>
        <w:ind w:firstLine="0" w:firstLineChars="0"/>
        <w:jc w:val="center"/>
        <w:outlineLvl w:val="0"/>
        <w:rPr>
          <w:rFonts w:ascii="宋体" w:hAnsi="宋体" w:cs="宋体"/>
          <w:color w:val="auto"/>
          <w:sz w:val="32"/>
          <w:szCs w:val="32"/>
          <w:highlight w:val="none"/>
        </w:rPr>
      </w:pPr>
      <w:bookmarkStart w:id="1826" w:name="_Toc8638"/>
      <w:bookmarkStart w:id="1827" w:name="_Toc32493"/>
      <w:bookmarkStart w:id="1828" w:name="_Toc2387"/>
      <w:bookmarkStart w:id="1829" w:name="_Toc8967"/>
      <w:bookmarkStart w:id="1830" w:name="_Toc20242"/>
      <w:bookmarkStart w:id="1831" w:name="_Toc18985"/>
      <w:bookmarkStart w:id="1832" w:name="_Toc15158"/>
      <w:bookmarkStart w:id="1833" w:name="_Toc28839"/>
      <w:bookmarkStart w:id="1834" w:name="_Toc32494"/>
      <w:bookmarkStart w:id="1835" w:name="_Toc32351"/>
      <w:bookmarkStart w:id="1836" w:name="_Toc6437"/>
      <w:bookmarkStart w:id="1837" w:name="_Toc26080"/>
      <w:bookmarkStart w:id="1838" w:name="_Toc7256"/>
      <w:bookmarkStart w:id="1839" w:name="_Toc27239"/>
      <w:bookmarkStart w:id="1840" w:name="_Toc7763"/>
      <w:bookmarkStart w:id="1841" w:name="_Toc3228"/>
      <w:bookmarkStart w:id="1842" w:name="_Toc1384"/>
      <w:bookmarkStart w:id="1843" w:name="_Toc14373"/>
      <w:bookmarkStart w:id="1844" w:name="_Toc19998"/>
      <w:bookmarkStart w:id="1845" w:name="_Toc11975"/>
      <w:r>
        <w:rPr>
          <w:rFonts w:hint="eastAsia" w:ascii="宋体" w:hAnsi="宋体" w:cs="宋体"/>
          <w:color w:val="auto"/>
          <w:sz w:val="32"/>
          <w:szCs w:val="32"/>
          <w:highlight w:val="none"/>
        </w:rPr>
        <w:t>正本或副本</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pPr>
        <w:spacing w:line="420" w:lineRule="exact"/>
        <w:ind w:firstLine="883"/>
        <w:rPr>
          <w:rFonts w:ascii="宋体" w:cs="宋体"/>
          <w:b/>
          <w:color w:val="auto"/>
          <w:sz w:val="44"/>
          <w:szCs w:val="44"/>
          <w:highlight w:val="none"/>
        </w:rPr>
      </w:pPr>
    </w:p>
    <w:p>
      <w:pPr>
        <w:pStyle w:val="16"/>
        <w:ind w:firstLine="480"/>
        <w:rPr>
          <w:color w:val="auto"/>
          <w:highlight w:val="none"/>
        </w:rPr>
      </w:pPr>
    </w:p>
    <w:p>
      <w:pPr>
        <w:pStyle w:val="40"/>
      </w:pPr>
    </w:p>
    <w:p>
      <w:pPr>
        <w:pStyle w:val="16"/>
        <w:ind w:firstLine="883"/>
        <w:rPr>
          <w:rFonts w:ascii="宋体" w:cs="宋体"/>
          <w:b/>
          <w:color w:val="auto"/>
          <w:sz w:val="44"/>
          <w:szCs w:val="44"/>
          <w:highlight w:val="none"/>
        </w:rPr>
      </w:pPr>
    </w:p>
    <w:p>
      <w:pPr>
        <w:pStyle w:val="16"/>
        <w:ind w:firstLine="883"/>
        <w:rPr>
          <w:rFonts w:ascii="宋体" w:cs="宋体"/>
          <w:b/>
          <w:color w:val="auto"/>
          <w:sz w:val="44"/>
          <w:szCs w:val="44"/>
          <w:highlight w:val="none"/>
        </w:rPr>
      </w:pPr>
    </w:p>
    <w:p>
      <w:pPr>
        <w:pStyle w:val="18"/>
        <w:ind w:left="0" w:leftChars="0" w:firstLine="0" w:firstLineChars="0"/>
        <w:rPr>
          <w:rFonts w:hint="default" w:cs="宋体"/>
          <w:color w:val="auto"/>
          <w:highlight w:val="none"/>
        </w:rPr>
      </w:pPr>
    </w:p>
    <w:p>
      <w:pPr>
        <w:spacing w:line="240" w:lineRule="auto"/>
        <w:ind w:firstLine="0" w:firstLineChars="0"/>
        <w:jc w:val="center"/>
        <w:rPr>
          <w:rFonts w:ascii="宋体" w:cs="宋体"/>
          <w:b/>
          <w:bCs/>
          <w:color w:val="auto"/>
          <w:sz w:val="72"/>
          <w:szCs w:val="72"/>
          <w:highlight w:val="none"/>
        </w:rPr>
      </w:pPr>
      <w:r>
        <w:rPr>
          <w:rFonts w:hint="eastAsia" w:ascii="宋体" w:hAnsi="宋体" w:cs="宋体"/>
          <w:b/>
          <w:bCs/>
          <w:color w:val="auto"/>
          <w:sz w:val="72"/>
          <w:szCs w:val="72"/>
          <w:highlight w:val="none"/>
        </w:rPr>
        <w:t>商务报价文件</w:t>
      </w:r>
    </w:p>
    <w:p>
      <w:pPr>
        <w:spacing w:line="240" w:lineRule="auto"/>
        <w:ind w:firstLine="883"/>
        <w:jc w:val="center"/>
        <w:rPr>
          <w:rFonts w:ascii="宋体" w:cs="宋体"/>
          <w:b/>
          <w:bCs/>
          <w:color w:val="auto"/>
          <w:sz w:val="44"/>
          <w:szCs w:val="44"/>
          <w:highlight w:val="none"/>
        </w:rPr>
      </w:pPr>
    </w:p>
    <w:p>
      <w:pPr>
        <w:pStyle w:val="16"/>
        <w:ind w:firstLine="0" w:firstLineChars="0"/>
        <w:rPr>
          <w:rFonts w:ascii="宋体" w:cs="宋体"/>
          <w:color w:val="auto"/>
          <w:highlight w:val="none"/>
        </w:rPr>
      </w:pPr>
    </w:p>
    <w:p>
      <w:pPr>
        <w:pStyle w:val="16"/>
        <w:ind w:firstLine="0" w:firstLineChars="0"/>
        <w:rPr>
          <w:rFonts w:ascii="宋体" w:cs="宋体"/>
          <w:color w:val="auto"/>
          <w:highlight w:val="none"/>
        </w:rPr>
      </w:pPr>
    </w:p>
    <w:p>
      <w:pPr>
        <w:ind w:firstLine="480"/>
        <w:rPr>
          <w:rFonts w:ascii="宋体" w:cs="宋体"/>
          <w:color w:val="auto"/>
          <w:highlight w:val="none"/>
        </w:rPr>
      </w:pPr>
    </w:p>
    <w:p>
      <w:pPr>
        <w:pStyle w:val="63"/>
        <w:ind w:firstLine="320"/>
        <w:rPr>
          <w:color w:val="auto"/>
          <w:highlight w:val="none"/>
        </w:rPr>
      </w:pPr>
    </w:p>
    <w:p>
      <w:pPr>
        <w:pStyle w:val="21"/>
        <w:ind w:left="0" w:leftChars="0" w:firstLine="0" w:firstLineChars="0"/>
        <w:rPr>
          <w:color w:val="auto"/>
          <w:highlight w:val="none"/>
        </w:rPr>
      </w:pPr>
    </w:p>
    <w:p>
      <w:pPr>
        <w:pStyle w:val="63"/>
        <w:ind w:firstLine="320"/>
        <w:rPr>
          <w:color w:val="auto"/>
          <w:highlight w:val="none"/>
        </w:rPr>
      </w:pPr>
    </w:p>
    <w:p>
      <w:pPr>
        <w:pStyle w:val="63"/>
        <w:ind w:firstLine="320"/>
        <w:rPr>
          <w:color w:val="auto"/>
          <w:highlight w:val="none"/>
        </w:rPr>
      </w:pPr>
    </w:p>
    <w:p>
      <w:pPr>
        <w:pStyle w:val="63"/>
        <w:ind w:left="0" w:leftChars="0" w:firstLine="0" w:firstLineChars="0"/>
        <w:rPr>
          <w:color w:val="auto"/>
          <w:highlight w:val="none"/>
        </w:rPr>
      </w:pPr>
    </w:p>
    <w:p>
      <w:pPr>
        <w:pStyle w:val="63"/>
        <w:ind w:firstLine="320"/>
        <w:rPr>
          <w:color w:val="auto"/>
          <w:highlight w:val="none"/>
        </w:rPr>
      </w:pPr>
    </w:p>
    <w:p>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LYCG2024XCX-002</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法定代表人或授权代表人签字或盖章：</w:t>
      </w:r>
    </w:p>
    <w:p>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pPr>
        <w:spacing w:line="360" w:lineRule="auto"/>
        <w:ind w:firstLine="0" w:firstLineChars="0"/>
        <w:jc w:val="center"/>
        <w:outlineLvl w:val="0"/>
        <w:rPr>
          <w:rFonts w:ascii="宋体" w:hAnsi="宋体" w:cs="宋体"/>
          <w:b/>
          <w:bCs/>
          <w:color w:val="auto"/>
          <w:highlight w:val="none"/>
        </w:rPr>
      </w:pPr>
      <w:bookmarkStart w:id="1846" w:name="_Toc13352"/>
      <w:bookmarkStart w:id="1847" w:name="_Toc4344"/>
      <w:bookmarkStart w:id="1848" w:name="_Toc19832"/>
      <w:bookmarkStart w:id="1849" w:name="_Toc13079"/>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四</w:t>
      </w:r>
      <w:r>
        <w:rPr>
          <w:rFonts w:ascii="宋体" w:hAnsi="宋体" w:cs="宋体"/>
          <w:color w:val="auto"/>
          <w:sz w:val="32"/>
          <w:highlight w:val="none"/>
        </w:rPr>
        <w:t xml:space="preserve"> </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End w:id="1846"/>
      <w:bookmarkEnd w:id="1847"/>
      <w:bookmarkEnd w:id="1848"/>
      <w:bookmarkEnd w:id="1849"/>
    </w:p>
    <w:p>
      <w:pPr>
        <w:ind w:firstLine="0" w:firstLineChars="0"/>
        <w:outlineLvl w:val="0"/>
        <w:rPr>
          <w:rFonts w:hint="default" w:ascii="宋体" w:eastAsia="宋体" w:cs="宋体"/>
          <w:b/>
          <w:bCs/>
          <w:color w:val="auto"/>
          <w:highlight w:val="none"/>
          <w:lang w:val="en-US" w:eastAsia="zh-CN"/>
        </w:rPr>
      </w:pPr>
      <w:bookmarkStart w:id="1850" w:name="_Toc24432"/>
      <w:bookmarkStart w:id="1851" w:name="_Toc20468"/>
      <w:bookmarkStart w:id="1852" w:name="_Toc22863"/>
      <w:bookmarkStart w:id="1853" w:name="_Toc4594"/>
      <w:bookmarkStart w:id="1854" w:name="_Toc5211"/>
      <w:bookmarkStart w:id="1855" w:name="_Toc20433"/>
      <w:bookmarkStart w:id="1856" w:name="_Toc31946"/>
      <w:bookmarkStart w:id="1857" w:name="_Toc13634"/>
      <w:bookmarkStart w:id="1858" w:name="_Toc4289"/>
      <w:bookmarkStart w:id="1859" w:name="_Toc11092"/>
      <w:bookmarkStart w:id="1860" w:name="_Toc2628"/>
      <w:bookmarkStart w:id="1861" w:name="_Toc2822"/>
      <w:bookmarkStart w:id="1862" w:name="_Toc6661"/>
      <w:bookmarkStart w:id="1863" w:name="_Toc19624"/>
      <w:bookmarkStart w:id="1864" w:name="_Toc4376"/>
      <w:bookmarkStart w:id="1865" w:name="_Toc4847"/>
      <w:bookmarkStart w:id="1866" w:name="_Toc20474"/>
      <w:bookmarkStart w:id="1867" w:name="_Toc18452"/>
      <w:bookmarkStart w:id="1868" w:name="_Toc6584"/>
      <w:bookmarkStart w:id="1869" w:name="_Toc24948"/>
      <w:bookmarkStart w:id="1870" w:name="_Toc13333"/>
      <w:bookmarkStart w:id="1871" w:name="_Toc24825"/>
      <w:bookmarkStart w:id="1872" w:name="_Toc25710"/>
      <w:bookmarkStart w:id="1873" w:name="_Toc14293"/>
      <w:bookmarkStart w:id="1874" w:name="_Toc28977"/>
      <w:bookmarkStart w:id="1875" w:name="_Toc8609"/>
      <w:bookmarkStart w:id="1876" w:name="_Toc594"/>
      <w:bookmarkStart w:id="1877" w:name="_Toc27025"/>
      <w:bookmarkStart w:id="1878" w:name="_Toc16798"/>
      <w:bookmarkStart w:id="1879" w:name="_Toc27894"/>
      <w:bookmarkStart w:id="1880" w:name="_Toc29549"/>
      <w:bookmarkStart w:id="1881" w:name="_Toc19302"/>
      <w:bookmarkStart w:id="1882" w:name="_Toc18194"/>
      <w:bookmarkStart w:id="1883" w:name="_Toc18208"/>
      <w:bookmarkStart w:id="1884" w:name="_Toc16261"/>
      <w:bookmarkStart w:id="1885" w:name="_Toc31451"/>
      <w:bookmarkStart w:id="1886" w:name="_Toc5894"/>
      <w:bookmarkStart w:id="1887" w:name="_Toc24177"/>
      <w:bookmarkStart w:id="1888" w:name="_Toc21607"/>
      <w:r>
        <w:rPr>
          <w:rFonts w:hint="eastAsia" w:ascii="宋体" w:hAnsi="宋体" w:cs="宋体"/>
          <w:b/>
          <w:bCs/>
          <w:color w:val="auto"/>
          <w:highlight w:val="none"/>
        </w:rPr>
        <w:t>附件</w:t>
      </w:r>
      <w:bookmarkEnd w:id="1850"/>
      <w:bookmarkEnd w:id="1851"/>
      <w:bookmarkEnd w:id="1852"/>
      <w:bookmarkEnd w:id="1853"/>
      <w:bookmarkEnd w:id="1854"/>
      <w:bookmarkEnd w:id="1855"/>
      <w:bookmarkEnd w:id="1856"/>
      <w:bookmarkEnd w:id="1857"/>
      <w:r>
        <w:rPr>
          <w:rFonts w:hint="eastAsia" w:ascii="宋体" w:hAnsi="宋体" w:cs="宋体"/>
          <w:b/>
          <w:bCs/>
          <w:color w:val="auto"/>
          <w:highlight w:val="none"/>
          <w:lang w:val="en-US" w:eastAsia="zh-CN"/>
        </w:rPr>
        <w:t>1</w:t>
      </w:r>
      <w:bookmarkEnd w:id="1858"/>
      <w:bookmarkEnd w:id="1859"/>
      <w:r>
        <w:rPr>
          <w:rFonts w:hint="eastAsia" w:ascii="宋体" w:hAnsi="宋体" w:cs="宋体"/>
          <w:b/>
          <w:bCs/>
          <w:color w:val="auto"/>
          <w:highlight w:val="none"/>
          <w:lang w:val="en-US" w:eastAsia="zh-CN"/>
        </w:rPr>
        <w:t>0</w:t>
      </w:r>
    </w:p>
    <w:p>
      <w:pPr>
        <w:tabs>
          <w:tab w:val="left" w:pos="900"/>
        </w:tabs>
        <w:spacing w:line="360" w:lineRule="auto"/>
        <w:ind w:firstLine="0" w:firstLineChars="0"/>
        <w:jc w:val="center"/>
        <w:outlineLvl w:val="0"/>
        <w:rPr>
          <w:rFonts w:ascii="宋体" w:hAnsi="宋体"/>
          <w:color w:val="auto"/>
          <w:spacing w:val="-4"/>
          <w:highlight w:val="none"/>
        </w:rPr>
      </w:pPr>
      <w:bookmarkStart w:id="1889" w:name="_Toc24802"/>
      <w:bookmarkStart w:id="1890" w:name="_Toc14250"/>
      <w:bookmarkStart w:id="1891" w:name="_Toc23768"/>
      <w:bookmarkStart w:id="1892" w:name="_Toc30216"/>
      <w:bookmarkStart w:id="1893" w:name="_Toc12629"/>
      <w:bookmarkStart w:id="1894" w:name="_Toc15021"/>
      <w:bookmarkStart w:id="1895" w:name="_Toc22137"/>
      <w:bookmarkStart w:id="1896" w:name="_Toc22998"/>
      <w:bookmarkStart w:id="1897" w:name="_Toc10230"/>
      <w:bookmarkStart w:id="1898" w:name="_Toc22225"/>
      <w:r>
        <w:rPr>
          <w:rFonts w:hint="eastAsia" w:ascii="宋体" w:hAnsi="宋体"/>
          <w:b/>
          <w:color w:val="auto"/>
          <w:spacing w:val="-4"/>
          <w:sz w:val="32"/>
          <w:szCs w:val="32"/>
          <w:highlight w:val="none"/>
        </w:rPr>
        <w:t>开标一览表</w:t>
      </w:r>
      <w:bookmarkEnd w:id="1889"/>
      <w:bookmarkEnd w:id="1890"/>
      <w:bookmarkEnd w:id="1891"/>
      <w:bookmarkEnd w:id="1892"/>
      <w:bookmarkEnd w:id="1893"/>
      <w:bookmarkEnd w:id="1894"/>
      <w:bookmarkEnd w:id="1895"/>
      <w:bookmarkEnd w:id="1896"/>
      <w:bookmarkEnd w:id="1897"/>
      <w:bookmarkEnd w:id="1898"/>
    </w:p>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Pr>
        <w:pStyle w:val="23"/>
        <w:adjustRightInd w:val="0"/>
        <w:snapToGrid w:val="0"/>
        <w:spacing w:line="360" w:lineRule="auto"/>
        <w:ind w:firstLine="420"/>
        <w:rPr>
          <w:rFonts w:hint="eastAsia" w:ascii="宋体" w:hAnsi="宋体" w:eastAsia="宋体" w:cs="宋体"/>
          <w:color w:val="auto"/>
          <w:highlight w:val="none"/>
        </w:rPr>
      </w:pPr>
      <w:bookmarkStart w:id="1899" w:name="_Toc12429"/>
      <w:bookmarkStart w:id="1900" w:name="_Toc23912"/>
      <w:r>
        <w:rPr>
          <w:rFonts w:hint="eastAsia" w:ascii="宋体" w:hAnsi="宋体" w:eastAsia="宋体" w:cs="宋体"/>
          <w:color w:val="auto"/>
          <w:highlight w:val="none"/>
        </w:rPr>
        <w:t>项目名称：</w:t>
      </w:r>
    </w:p>
    <w:p>
      <w:pPr>
        <w:pStyle w:val="23"/>
        <w:adjustRightInd w:val="0"/>
        <w:snapToGrid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p>
    <w:p>
      <w:pPr>
        <w:pStyle w:val="23"/>
        <w:adjustRightInd w:val="0"/>
        <w:snapToGrid w:val="0"/>
        <w:spacing w:line="360" w:lineRule="auto"/>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（价格单位：元</w:t>
      </w:r>
      <w:r>
        <w:rPr>
          <w:rFonts w:hint="eastAsia" w:hAnsi="宋体" w:cs="宋体"/>
          <w:color w:val="auto"/>
          <w:highlight w:val="none"/>
          <w:lang w:val="en-US" w:eastAsia="zh-CN"/>
        </w:rPr>
        <w:t>/</w:t>
      </w:r>
      <w:r>
        <w:rPr>
          <w:rFonts w:hint="eastAsia" w:ascii="宋体" w:hAnsi="宋体" w:eastAsia="宋体" w:cs="宋体"/>
          <w:color w:val="auto"/>
          <w:highlight w:val="none"/>
        </w:rPr>
        <w:t>人民币）</w:t>
      </w:r>
    </w:p>
    <w:tbl>
      <w:tblPr>
        <w:tblStyle w:val="41"/>
        <w:tblW w:w="996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6"/>
        <w:gridCol w:w="7936"/>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26" w:type="dxa"/>
            <w:tcBorders>
              <w:top w:val="thinThickSmallGap" w:color="auto" w:sz="12" w:space="0"/>
              <w:left w:val="thinThickSmallGap" w:color="auto" w:sz="12" w:space="0"/>
              <w:bottom w:val="single" w:color="auto" w:sz="4" w:space="0"/>
              <w:right w:val="single" w:color="auto" w:sz="4"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项目名称</w:t>
            </w:r>
          </w:p>
        </w:tc>
        <w:tc>
          <w:tcPr>
            <w:tcW w:w="7936" w:type="dxa"/>
            <w:tcBorders>
              <w:top w:val="thinThickSmallGap" w:color="auto" w:sz="12" w:space="0"/>
              <w:left w:val="single" w:color="auto" w:sz="4" w:space="0"/>
              <w:bottom w:val="single" w:color="auto" w:sz="4" w:space="0"/>
              <w:right w:val="thinThickSmallGap" w:color="auto" w:sz="12" w:space="0"/>
            </w:tcBorders>
            <w:shd w:val="clear" w:color="auto" w:fill="auto"/>
            <w:vAlign w:val="center"/>
          </w:tcPr>
          <w:p>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026" w:type="dxa"/>
            <w:tcBorders>
              <w:top w:val="single" w:color="auto" w:sz="4" w:space="0"/>
              <w:left w:val="thinThickSmallGap" w:color="auto" w:sz="12" w:space="0"/>
              <w:bottom w:val="single" w:color="auto" w:sz="4" w:space="0"/>
              <w:right w:val="single" w:color="auto" w:sz="4"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项目编号</w:t>
            </w:r>
          </w:p>
        </w:tc>
        <w:tc>
          <w:tcPr>
            <w:tcW w:w="7936" w:type="dxa"/>
            <w:tcBorders>
              <w:top w:val="single" w:color="auto" w:sz="4" w:space="0"/>
              <w:left w:val="single" w:color="auto" w:sz="4" w:space="0"/>
              <w:bottom w:val="single" w:color="auto" w:sz="4" w:space="0"/>
              <w:right w:val="thinThickSmallGap" w:color="auto" w:sz="12"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left"/>
              <w:rPr>
                <w:rFonts w:hint="eastAsia" w:ascii="宋体" w:hAnsi="宋体" w:eastAsia="宋体" w:cs="宋体"/>
                <w:kern w:val="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jc w:val="center"/>
        </w:trPr>
        <w:tc>
          <w:tcPr>
            <w:tcW w:w="2026" w:type="dxa"/>
            <w:tcBorders>
              <w:top w:val="single" w:color="auto" w:sz="4" w:space="0"/>
              <w:left w:val="thinThickSmallGap" w:color="auto" w:sz="12" w:space="0"/>
              <w:bottom w:val="single" w:color="auto" w:sz="4" w:space="0"/>
              <w:right w:val="single" w:color="auto" w:sz="4"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工期</w:t>
            </w:r>
          </w:p>
        </w:tc>
        <w:tc>
          <w:tcPr>
            <w:tcW w:w="7936" w:type="dxa"/>
            <w:tcBorders>
              <w:top w:val="single" w:color="auto" w:sz="4" w:space="0"/>
              <w:left w:val="single" w:color="auto" w:sz="4" w:space="0"/>
              <w:bottom w:val="single" w:color="auto" w:sz="4" w:space="0"/>
              <w:right w:val="thinThickSmallGap" w:color="auto" w:sz="12"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left"/>
              <w:rPr>
                <w:rFonts w:hint="eastAsia" w:ascii="宋体" w:hAnsi="宋体" w:eastAsia="宋体" w:cs="宋体"/>
                <w:kern w:val="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26" w:type="dxa"/>
            <w:tcBorders>
              <w:top w:val="single" w:color="auto" w:sz="4" w:space="0"/>
              <w:left w:val="thinThickSmallGap" w:color="auto" w:sz="12" w:space="0"/>
              <w:bottom w:val="single" w:color="auto" w:sz="4" w:space="0"/>
              <w:right w:val="single" w:color="auto" w:sz="4"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项目负责人</w:t>
            </w:r>
          </w:p>
        </w:tc>
        <w:tc>
          <w:tcPr>
            <w:tcW w:w="7936" w:type="dxa"/>
            <w:tcBorders>
              <w:top w:val="single" w:color="auto" w:sz="4" w:space="0"/>
              <w:left w:val="single" w:color="auto" w:sz="4" w:space="0"/>
              <w:bottom w:val="single" w:color="auto" w:sz="4" w:space="0"/>
              <w:right w:val="thinThickSmallGap" w:color="auto" w:sz="12"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left"/>
              <w:rPr>
                <w:rFonts w:hint="eastAsia" w:ascii="宋体" w:hAnsi="宋体" w:eastAsia="宋体" w:cs="宋体"/>
                <w:kern w:val="0"/>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jc w:val="center"/>
        </w:trPr>
        <w:tc>
          <w:tcPr>
            <w:tcW w:w="2026" w:type="dxa"/>
            <w:tcBorders>
              <w:top w:val="single" w:color="auto" w:sz="4" w:space="0"/>
              <w:left w:val="thinThickSmallGap" w:color="auto" w:sz="12" w:space="0"/>
              <w:bottom w:val="thinThickSmallGap" w:color="auto" w:sz="12" w:space="0"/>
              <w:right w:val="single" w:color="auto" w:sz="4" w:space="0"/>
            </w:tcBorders>
            <w:shd w:val="clear" w:color="auto" w:fill="auto"/>
            <w:vAlign w:val="center"/>
          </w:tcPr>
          <w:p>
            <w:pPr>
              <w:pStyle w:val="38"/>
              <w:keepNext w:val="0"/>
              <w:keepLines w:val="0"/>
              <w:widowControl w:val="0"/>
              <w:suppressLineNumbers w:val="0"/>
              <w:spacing w:before="0" w:beforeAutospacing="0" w:after="0" w:afterAutospacing="0" w:line="460" w:lineRule="exact"/>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投标报价</w:t>
            </w:r>
          </w:p>
        </w:tc>
        <w:tc>
          <w:tcPr>
            <w:tcW w:w="7936" w:type="dxa"/>
            <w:tcBorders>
              <w:top w:val="single" w:color="auto" w:sz="4" w:space="0"/>
              <w:left w:val="single" w:color="auto" w:sz="4" w:space="0"/>
              <w:bottom w:val="thinThickSmallGap" w:color="auto" w:sz="12" w:space="0"/>
              <w:right w:val="thinThickSmallGap" w:color="auto" w:sz="12" w:space="0"/>
            </w:tcBorders>
            <w:shd w:val="clear" w:color="auto" w:fill="auto"/>
            <w:vAlign w:val="center"/>
          </w:tcPr>
          <w:p>
            <w:pPr>
              <w:pStyle w:val="38"/>
              <w:keepNext w:val="0"/>
              <w:keepLines w:val="0"/>
              <w:widowControl w:val="0"/>
              <w:suppressLineNumbers w:val="0"/>
              <w:spacing w:before="0" w:beforeAutospacing="0" w:after="0" w:afterAutospacing="0" w:line="440" w:lineRule="exact"/>
              <w:ind w:left="0" w:right="0" w:firstLine="0" w:firstLineChars="0"/>
              <w:jc w:val="left"/>
              <w:rPr>
                <w:rFonts w:hint="eastAsia" w:ascii="宋体" w:hAnsi="宋体" w:eastAsia="宋体" w:cs="宋体"/>
                <w:kern w:val="0"/>
                <w:sz w:val="24"/>
                <w:szCs w:val="24"/>
              </w:rPr>
            </w:pPr>
            <w:r>
              <w:rPr>
                <w:rFonts w:hint="eastAsia" w:ascii="宋体" w:hAnsi="宋体" w:eastAsia="宋体" w:cs="宋体"/>
                <w:spacing w:val="-5"/>
                <w:kern w:val="0"/>
                <w:sz w:val="24"/>
                <w:szCs w:val="24"/>
                <w:lang w:val="en-US" w:eastAsia="zh-CN" w:bidi="ar"/>
              </w:rPr>
              <w:t>投标总</w:t>
            </w:r>
            <w:r>
              <w:rPr>
                <w:rFonts w:hint="eastAsia" w:cs="宋体"/>
                <w:spacing w:val="-5"/>
                <w:kern w:val="0"/>
                <w:sz w:val="24"/>
                <w:szCs w:val="24"/>
                <w:lang w:val="en-US" w:eastAsia="zh-CN" w:bidi="ar"/>
              </w:rPr>
              <w:t>报</w:t>
            </w:r>
            <w:r>
              <w:rPr>
                <w:rFonts w:hint="eastAsia" w:ascii="宋体" w:hAnsi="宋体" w:eastAsia="宋体" w:cs="宋体"/>
                <w:spacing w:val="-5"/>
                <w:kern w:val="0"/>
                <w:sz w:val="24"/>
                <w:szCs w:val="24"/>
                <w:lang w:val="en-US" w:eastAsia="zh-CN" w:bidi="ar"/>
              </w:rPr>
              <w:t>价</w:t>
            </w:r>
            <w:r>
              <w:rPr>
                <w:rFonts w:hint="eastAsia" w:ascii="宋体" w:hAnsi="宋体" w:eastAsia="宋体" w:cs="宋体"/>
                <w:kern w:val="0"/>
                <w:sz w:val="24"/>
                <w:szCs w:val="24"/>
                <w:lang w:val="en-US" w:eastAsia="zh-CN" w:bidi="ar"/>
              </w:rPr>
              <w:t>大写：</w:t>
            </w:r>
            <w:r>
              <w:rPr>
                <w:rFonts w:hint="eastAsia" w:ascii="宋体" w:hAnsi="宋体" w:eastAsia="宋体" w:cs="宋体"/>
                <w:spacing w:val="-5"/>
                <w:kern w:val="0"/>
                <w:sz w:val="24"/>
                <w:szCs w:val="24"/>
                <w:u w:val="single"/>
                <w:lang w:val="en-US" w:eastAsia="zh-CN" w:bidi="ar"/>
              </w:rPr>
              <w:t>           </w:t>
            </w:r>
            <w:r>
              <w:rPr>
                <w:rFonts w:hint="eastAsia" w:ascii="宋体" w:hAnsi="宋体" w:eastAsia="宋体" w:cs="宋体"/>
                <w:kern w:val="0"/>
                <w:sz w:val="24"/>
                <w:szCs w:val="24"/>
                <w:lang w:val="en-US" w:eastAsia="zh-CN" w:bidi="ar"/>
              </w:rPr>
              <w:t>元整；</w:t>
            </w:r>
          </w:p>
          <w:p>
            <w:pPr>
              <w:pStyle w:val="38"/>
              <w:keepNext w:val="0"/>
              <w:keepLines w:val="0"/>
              <w:widowControl w:val="0"/>
              <w:suppressLineNumbers w:val="0"/>
              <w:spacing w:before="0" w:beforeAutospacing="0" w:after="0" w:afterAutospacing="0" w:line="440" w:lineRule="exact"/>
              <w:ind w:left="0" w:right="0" w:firstLine="0" w:firstLineChars="0"/>
              <w:jc w:val="left"/>
              <w:rPr>
                <w:rFonts w:hint="eastAsia" w:ascii="宋体" w:hAnsi="宋体" w:eastAsia="宋体" w:cs="宋体"/>
                <w:spacing w:val="-5"/>
                <w:kern w:val="0"/>
                <w:sz w:val="24"/>
                <w:szCs w:val="24"/>
                <w:u w:val="single"/>
              </w:rPr>
            </w:pPr>
            <w:r>
              <w:rPr>
                <w:rFonts w:hint="eastAsia" w:ascii="宋体" w:hAnsi="宋体" w:eastAsia="宋体" w:cs="宋体"/>
                <w:kern w:val="0"/>
                <w:sz w:val="24"/>
                <w:szCs w:val="24"/>
                <w:lang w:val="en-US" w:eastAsia="zh-CN" w:bidi="ar"/>
              </w:rPr>
              <w:t>（小写）¥：</w:t>
            </w:r>
            <w:r>
              <w:rPr>
                <w:rFonts w:hint="eastAsia" w:ascii="宋体" w:hAnsi="宋体" w:eastAsia="宋体" w:cs="宋体"/>
                <w:spacing w:val="-5"/>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元。</w:t>
            </w:r>
          </w:p>
        </w:tc>
      </w:tr>
    </w:tbl>
    <w:p>
      <w:pPr>
        <w:keepNext w:val="0"/>
        <w:keepLines w:val="0"/>
        <w:widowControl w:val="0"/>
        <w:suppressLineNumbers w:val="0"/>
        <w:spacing w:before="0" w:beforeAutospacing="0" w:after="0" w:afterAutospacing="0" w:line="400" w:lineRule="exact"/>
        <w:ind w:left="0" w:right="0" w:firstLine="240" w:firstLineChars="1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注：</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color w:val="242424"/>
          <w:kern w:val="2"/>
          <w:sz w:val="24"/>
          <w:szCs w:val="24"/>
          <w:lang w:val="en-US" w:eastAsia="zh-CN" w:bidi="ar"/>
        </w:rPr>
        <w:t>1.本表由投标人填写，供开标会参考所</w:t>
      </w:r>
      <w:r>
        <w:rPr>
          <w:rFonts w:hint="eastAsia" w:ascii="宋体" w:hAnsi="宋体" w:eastAsia="宋体" w:cs="宋体"/>
          <w:kern w:val="2"/>
          <w:sz w:val="24"/>
          <w:szCs w:val="24"/>
          <w:lang w:val="en-US" w:eastAsia="zh-CN" w:bidi="ar"/>
        </w:rPr>
        <w:t>用。▲报价填写必须为印刷体打印，手写无效报价。</w:t>
      </w:r>
    </w:p>
    <w:p>
      <w:pPr>
        <w:adjustRightInd w:val="0"/>
        <w:snapToGrid w:val="0"/>
        <w:spacing w:line="400" w:lineRule="exact"/>
        <w:ind w:firstLine="432" w:firstLineChars="180"/>
        <w:rPr>
          <w:rFonts w:hint="eastAsia" w:ascii="宋体" w:hAnsi="宋体" w:cs="宋体"/>
          <w:sz w:val="24"/>
          <w:szCs w:val="24"/>
          <w:lang w:val="en-US" w:eastAsia="zh-CN"/>
        </w:rPr>
      </w:pPr>
      <w:r>
        <w:rPr>
          <w:rFonts w:hint="eastAsia" w:ascii="宋体" w:hAnsi="宋体" w:cs="宋体"/>
          <w:sz w:val="24"/>
          <w:szCs w:val="24"/>
          <w:lang w:val="en-US" w:eastAsia="zh-CN"/>
        </w:rPr>
        <w:t>2.本项目的合同价根据采购人提供的招标控制价作为结算依据。结算价根据总价下浮率进行下浮。（下浮率=（招标控制价-投标报价）/招标控制价×100%）。</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2.1</w:t>
      </w:r>
      <w:r>
        <w:rPr>
          <w:rFonts w:hint="eastAsia" w:ascii="宋体" w:hAnsi="宋体" w:cs="宋体"/>
          <w:bCs/>
          <w:color w:val="auto"/>
          <w:sz w:val="24"/>
          <w:szCs w:val="24"/>
          <w:lang w:val="en-US" w:eastAsia="zh-CN" w:bidi="ar"/>
        </w:rPr>
        <w:t>硬装（装饰工程及安装工程）</w:t>
      </w:r>
      <w:r>
        <w:rPr>
          <w:rFonts w:hint="eastAsia" w:ascii="宋体" w:hAnsi="宋体" w:eastAsia="宋体" w:cs="宋体"/>
          <w:bCs/>
          <w:color w:val="auto"/>
          <w:sz w:val="24"/>
          <w:szCs w:val="24"/>
          <w:lang w:val="en-US" w:eastAsia="zh-CN" w:bidi="ar"/>
        </w:rPr>
        <w:t>结算依据：按照中标人实际完成工程量×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中的综合单价+相关规费和税金=总价，结算价=总价×（1-下浮率），并</w:t>
      </w:r>
      <w:r>
        <w:rPr>
          <w:rFonts w:hint="eastAsia" w:ascii="宋体" w:hAnsi="宋体" w:eastAsia="宋体" w:cs="宋体"/>
          <w:bCs/>
          <w:color w:val="auto"/>
          <w:kern w:val="2"/>
          <w:szCs w:val="24"/>
          <w:lang w:val="en-US" w:eastAsia="zh-CN" w:bidi="ar"/>
        </w:rPr>
        <w:t>委托第三方审核，</w:t>
      </w:r>
      <w:r>
        <w:rPr>
          <w:rFonts w:hint="eastAsia" w:ascii="宋体" w:hAnsi="宋体" w:eastAsia="宋体" w:cs="宋体"/>
          <w:bCs/>
          <w:color w:val="auto"/>
          <w:sz w:val="24"/>
          <w:szCs w:val="24"/>
          <w:lang w:val="en-US" w:eastAsia="zh-CN" w:bidi="ar"/>
        </w:rPr>
        <w:t>其中不包含暂列金额；</w:t>
      </w:r>
    </w:p>
    <w:p>
      <w:pPr>
        <w:adjustRightInd w:val="0"/>
        <w:snapToGrid w:val="0"/>
        <w:spacing w:line="288" w:lineRule="auto"/>
        <w:ind w:firstLine="480" w:firstLineChars="200"/>
        <w:rPr>
          <w:rFonts w:hint="eastAsia" w:ascii="宋体" w:hAnsi="宋体" w:eastAsia="宋体" w:cs="宋体"/>
          <w:bCs/>
          <w:color w:val="auto"/>
          <w:lang w:val="en-US" w:eastAsia="zh-CN" w:bidi="ar"/>
        </w:rPr>
      </w:pPr>
      <w:r>
        <w:rPr>
          <w:rFonts w:hint="eastAsia" w:ascii="宋体" w:hAnsi="宋体" w:eastAsia="宋体" w:cs="宋体"/>
          <w:bCs/>
          <w:color w:val="auto"/>
          <w:sz w:val="24"/>
          <w:szCs w:val="24"/>
          <w:lang w:val="en-US" w:eastAsia="zh-CN" w:bidi="ar"/>
        </w:rPr>
        <w:t>2.2</w:t>
      </w:r>
      <w:r>
        <w:rPr>
          <w:rFonts w:hint="eastAsia" w:ascii="宋体" w:hAnsi="宋体" w:cs="宋体"/>
          <w:sz w:val="24"/>
          <w:szCs w:val="24"/>
          <w:lang w:val="en-US" w:eastAsia="zh-CN"/>
        </w:rPr>
        <w:t>软装</w:t>
      </w:r>
      <w:r>
        <w:rPr>
          <w:rFonts w:hint="eastAsia" w:ascii="宋体" w:hAnsi="宋体" w:eastAsia="宋体" w:cs="宋体"/>
          <w:color w:val="auto"/>
          <w:spacing w:val="-4"/>
          <w:sz w:val="24"/>
          <w:szCs w:val="24"/>
          <w:lang w:val="en-US" w:eastAsia="zh-CN"/>
        </w:rPr>
        <w:t>（含展陈布展、家器具、文创等）</w:t>
      </w:r>
      <w:r>
        <w:rPr>
          <w:rFonts w:hint="eastAsia" w:ascii="宋体" w:hAnsi="宋体" w:cs="宋体"/>
          <w:color w:val="auto"/>
          <w:sz w:val="24"/>
          <w:szCs w:val="24"/>
          <w:lang w:val="en-US" w:eastAsia="zh-CN"/>
        </w:rPr>
        <w:t>结算依据</w:t>
      </w:r>
      <w:r>
        <w:rPr>
          <w:rFonts w:hint="eastAsia" w:ascii="宋体" w:hAnsi="宋体" w:eastAsia="宋体" w:cs="宋体"/>
          <w:bCs/>
          <w:color w:val="auto"/>
          <w:sz w:val="24"/>
          <w:szCs w:val="24"/>
          <w:lang w:val="en-US" w:eastAsia="zh-CN" w:bidi="ar"/>
        </w:rPr>
        <w:t>：按照中标人实际完成的采购</w:t>
      </w:r>
      <w:r>
        <w:rPr>
          <w:rFonts w:hint="eastAsia" w:ascii="宋体" w:hAnsi="宋体" w:cs="宋体"/>
          <w:bCs/>
          <w:color w:val="auto"/>
          <w:sz w:val="24"/>
          <w:szCs w:val="24"/>
          <w:lang w:val="en-US" w:eastAsia="zh-CN" w:bidi="ar"/>
        </w:rPr>
        <w:t>数</w:t>
      </w:r>
      <w:r>
        <w:rPr>
          <w:rFonts w:hint="eastAsia" w:ascii="宋体" w:hAnsi="宋体" w:eastAsia="宋体" w:cs="宋体"/>
          <w:bCs/>
          <w:color w:val="auto"/>
          <w:sz w:val="24"/>
          <w:szCs w:val="24"/>
          <w:lang w:val="en-US" w:eastAsia="zh-CN" w:bidi="ar"/>
        </w:rPr>
        <w:t>量×</w:t>
      </w:r>
      <w:r>
        <w:rPr>
          <w:rFonts w:hint="eastAsia" w:ascii="宋体" w:hAnsi="宋体" w:cs="宋体"/>
          <w:bCs/>
          <w:color w:val="auto"/>
          <w:sz w:val="24"/>
          <w:szCs w:val="24"/>
          <w:lang w:val="en-US" w:eastAsia="zh-CN" w:bidi="ar"/>
        </w:rPr>
        <w:t>招标控制价</w:t>
      </w:r>
      <w:r>
        <w:rPr>
          <w:rFonts w:hint="eastAsia" w:ascii="宋体" w:hAnsi="宋体" w:eastAsia="宋体" w:cs="宋体"/>
          <w:bCs/>
          <w:color w:val="auto"/>
          <w:sz w:val="24"/>
          <w:szCs w:val="24"/>
          <w:lang w:val="en-US" w:eastAsia="zh-CN" w:bidi="ar"/>
        </w:rPr>
        <w:t>中的综合单价=总价，结算价=总价×（1-下浮率）；</w:t>
      </w:r>
    </w:p>
    <w:p>
      <w:pPr>
        <w:adjustRightInd w:val="0"/>
        <w:snapToGrid w:val="0"/>
        <w:spacing w:line="400" w:lineRule="exact"/>
        <w:ind w:firstLine="432" w:firstLineChars="180"/>
        <w:rPr>
          <w:rFonts w:hint="default"/>
          <w:lang w:val="en-US" w:eastAsia="zh-CN"/>
        </w:rPr>
      </w:pPr>
    </w:p>
    <w:p>
      <w:pPr>
        <w:pStyle w:val="38"/>
        <w:keepNext w:val="0"/>
        <w:keepLines w:val="0"/>
        <w:pageBreakBefore w:val="0"/>
        <w:widowControl w:val="0"/>
        <w:kinsoku/>
        <w:wordWrap/>
        <w:overflowPunct/>
        <w:topLinePunct w:val="0"/>
        <w:bidi w:val="0"/>
        <w:spacing w:before="0" w:beforeAutospacing="0" w:after="0" w:afterAutospacing="0" w:line="312" w:lineRule="auto"/>
        <w:ind w:firstLine="480" w:firstLineChars="200"/>
        <w:textAlignment w:val="auto"/>
        <w:rPr>
          <w:rFonts w:hint="eastAsia" w:cs="宋体"/>
          <w:bCs/>
          <w:color w:val="auto"/>
          <w:kern w:val="2"/>
          <w:sz w:val="24"/>
          <w:szCs w:val="24"/>
          <w:lang w:val="en-US" w:eastAsia="zh-CN" w:bidi="ar"/>
        </w:rPr>
      </w:pPr>
    </w:p>
    <w:p>
      <w:pPr>
        <w:keepNext w:val="0"/>
        <w:keepLines w:val="0"/>
        <w:widowControl w:val="0"/>
        <w:suppressLineNumbers w:val="0"/>
        <w:snapToGrid w:val="0"/>
        <w:spacing w:before="0" w:beforeAutospacing="0" w:after="0" w:afterAutospacing="0" w:line="480" w:lineRule="exact"/>
        <w:ind w:left="0" w:right="0" w:firstLine="3840" w:firstLineChars="16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0" w:right="0" w:firstLine="4320" w:firstLineChars="18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投标人全称（盖章）：</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0" w:right="0" w:firstLine="4320" w:firstLineChars="18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法定代表人或授权代理人（签字或盖章）：</w:t>
      </w:r>
    </w:p>
    <w:p>
      <w:pPr>
        <w:keepNext w:val="0"/>
        <w:keepLines w:val="0"/>
        <w:widowControl w:val="0"/>
        <w:suppressLineNumbers w:val="0"/>
        <w:spacing w:before="0" w:beforeAutospacing="0" w:after="0" w:afterAutospacing="0" w:line="500" w:lineRule="exact"/>
        <w:ind w:left="0" w:right="0" w:firstLine="4320" w:firstLineChars="18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日期：2024年</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pPr>
        <w:wordWrap w:val="0"/>
        <w:ind w:firstLine="420"/>
        <w:jc w:val="center"/>
        <w:rPr>
          <w:rFonts w:hint="eastAsia" w:ascii="宋体" w:hAnsi="宋体" w:eastAsia="宋体" w:cs="宋体"/>
          <w:b/>
          <w:bCs/>
          <w:color w:val="auto"/>
          <w:highlight w:val="none"/>
        </w:rPr>
      </w:pPr>
      <w:r>
        <w:rPr>
          <w:rFonts w:hint="eastAsia" w:ascii="宋体" w:hAnsi="宋体" w:eastAsia="宋体" w:cs="宋体"/>
          <w:color w:val="auto"/>
          <w:kern w:val="2"/>
          <w:sz w:val="24"/>
          <w:szCs w:val="20"/>
          <w:highlight w:val="none"/>
          <w:lang w:val="en-US" w:eastAsia="zh-CN" w:bidi="ar-SA"/>
        </w:rPr>
        <w:t xml:space="preserve">     </w:t>
      </w:r>
      <w:r>
        <w:rPr>
          <w:rFonts w:hint="eastAsia" w:ascii="宋体" w:hAnsi="宋体" w:eastAsia="宋体" w:cs="宋体"/>
          <w:color w:val="auto"/>
          <w:highlight w:val="none"/>
        </w:rPr>
        <w:t xml:space="preserve">    </w:t>
      </w:r>
      <w:bookmarkStart w:id="1901" w:name="_Toc293916986"/>
      <w:bookmarkStart w:id="1902" w:name="_Toc9797"/>
    </w:p>
    <w:p>
      <w:pPr>
        <w:ind w:firstLine="0" w:firstLineChars="0"/>
        <w:outlineLvl w:val="0"/>
        <w:rPr>
          <w:rFonts w:hint="default" w:ascii="宋体" w:hAnsi="宋体" w:eastAsia="宋体" w:cs="宋体"/>
          <w:b/>
          <w:bCs/>
          <w:color w:val="auto"/>
          <w:highlight w:val="none"/>
          <w:lang w:val="en-US" w:eastAsia="zh-CN"/>
        </w:rPr>
      </w:pPr>
      <w:bookmarkStart w:id="1903" w:name="_Toc5644"/>
      <w:bookmarkStart w:id="1904" w:name="_Toc17029"/>
      <w:r>
        <w:rPr>
          <w:rFonts w:hint="eastAsia" w:ascii="宋体" w:hAnsi="宋体" w:eastAsia="宋体" w:cs="宋体"/>
          <w:b/>
          <w:bCs/>
          <w:color w:val="auto"/>
          <w:highlight w:val="none"/>
        </w:rPr>
        <w:t>附件</w:t>
      </w:r>
      <w:bookmarkEnd w:id="1903"/>
      <w:bookmarkEnd w:id="1904"/>
      <w:r>
        <w:rPr>
          <w:rFonts w:hint="eastAsia" w:ascii="宋体" w:hAnsi="宋体" w:cs="宋体"/>
          <w:b/>
          <w:bCs/>
          <w:color w:val="auto"/>
          <w:highlight w:val="none"/>
          <w:lang w:val="en-US" w:eastAsia="zh-CN"/>
        </w:rPr>
        <w:t>11</w:t>
      </w:r>
    </w:p>
    <w:bookmarkEnd w:id="1899"/>
    <w:bookmarkEnd w:id="1900"/>
    <w:bookmarkEnd w:id="1901"/>
    <w:bookmarkEnd w:id="1902"/>
    <w:p>
      <w:pPr>
        <w:spacing w:line="360" w:lineRule="auto"/>
        <w:ind w:firstLine="0" w:firstLineChars="0"/>
        <w:jc w:val="center"/>
        <w:rPr>
          <w:rFonts w:ascii="宋体" w:hAnsi="宋体" w:cs="宋体"/>
          <w:b/>
          <w:color w:val="auto"/>
          <w:sz w:val="30"/>
          <w:szCs w:val="30"/>
          <w:highlight w:val="none"/>
          <w:lang w:val="en-GB"/>
        </w:rPr>
      </w:pPr>
      <w:r>
        <w:rPr>
          <w:rFonts w:hint="eastAsia" w:ascii="宋体" w:hAnsi="宋体" w:cs="宋体"/>
          <w:b/>
          <w:color w:val="auto"/>
          <w:sz w:val="30"/>
          <w:szCs w:val="30"/>
          <w:highlight w:val="none"/>
          <w:lang w:val="en-GB"/>
        </w:rPr>
        <w:t>中小企业声明函、监狱企业、残疾人福利性单位及其他相关的充分的证明材料中小企业声明函及其相关的充分的证明材料</w:t>
      </w:r>
    </w:p>
    <w:p>
      <w:pPr>
        <w:tabs>
          <w:tab w:val="left" w:pos="420"/>
        </w:tabs>
        <w:ind w:firstLine="0" w:firstLineChars="0"/>
        <w:jc w:val="center"/>
        <w:rPr>
          <w:rFonts w:ascii="宋体" w:hAnsi="宋体" w:cs="Arial"/>
          <w:b/>
          <w:bCs/>
          <w:color w:val="auto"/>
          <w:kern w:val="0"/>
          <w:sz w:val="30"/>
          <w:szCs w:val="30"/>
          <w:highlight w:val="none"/>
        </w:rPr>
      </w:pPr>
      <w:r>
        <w:rPr>
          <w:rFonts w:hint="eastAsia" w:ascii="宋体" w:hAnsi="宋体" w:cs="Arial"/>
          <w:b/>
          <w:bCs/>
          <w:color w:val="auto"/>
          <w:kern w:val="0"/>
          <w:sz w:val="30"/>
          <w:szCs w:val="30"/>
          <w:highlight w:val="none"/>
        </w:rPr>
        <w:t>中小企业声明函（</w:t>
      </w:r>
      <w:r>
        <w:rPr>
          <w:rFonts w:hint="eastAsia" w:ascii="宋体" w:hAnsi="宋体" w:cs="Arial"/>
          <w:b/>
          <w:bCs/>
          <w:color w:val="auto"/>
          <w:kern w:val="0"/>
          <w:sz w:val="30"/>
          <w:szCs w:val="30"/>
          <w:highlight w:val="none"/>
          <w:lang w:val="en-US" w:eastAsia="zh-CN"/>
        </w:rPr>
        <w:t>工程类</w:t>
      </w:r>
      <w:r>
        <w:rPr>
          <w:rFonts w:hint="eastAsia" w:ascii="宋体" w:hAnsi="宋体" w:cs="Arial"/>
          <w:b/>
          <w:bCs/>
          <w:color w:val="auto"/>
          <w:kern w:val="0"/>
          <w:sz w:val="30"/>
          <w:szCs w:val="30"/>
          <w:highlight w:val="none"/>
        </w:rPr>
        <w:t>）</w:t>
      </w:r>
    </w:p>
    <w:p>
      <w:pPr>
        <w:ind w:firstLine="0" w:firstLineChars="0"/>
        <w:rPr>
          <w:color w:val="auto"/>
          <w:highlight w:val="none"/>
        </w:rPr>
      </w:pPr>
    </w:p>
    <w:p>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本公司郑重声明，根据《政府采购促进中小企业发展管理办法》（财库</w:t>
      </w:r>
      <w:r>
        <w:rPr>
          <w:rFonts w:hint="eastAsia" w:ascii="宋体" w:hAnsi="宋体"/>
          <w:color w:val="auto"/>
          <w:highlight w:val="none"/>
        </w:rPr>
        <w:t>〔2020〕</w:t>
      </w:r>
      <w:r>
        <w:rPr>
          <w:rFonts w:hint="eastAsia" w:ascii="宋体" w:hAnsi="宋体" w:cs="Arial"/>
          <w:bCs/>
          <w:color w:val="auto"/>
          <w:kern w:val="0"/>
          <w:highlight w:val="none"/>
        </w:rPr>
        <w:t>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u w:val="single"/>
        </w:rPr>
        <w:t>（标的名称）</w:t>
      </w:r>
      <w:r>
        <w:rPr>
          <w:rFonts w:hint="eastAsia" w:ascii="宋体" w:hAnsi="宋体" w:cs="Arial"/>
          <w:bCs/>
          <w:color w:val="auto"/>
          <w:kern w:val="0"/>
          <w:highlight w:val="none"/>
        </w:rPr>
        <w:t>，属于</w:t>
      </w:r>
      <w:r>
        <w:rPr>
          <w:rFonts w:hint="eastAsia" w:ascii="宋体" w:hAnsi="宋体" w:cs="Arial"/>
          <w:bCs/>
          <w:color w:val="auto"/>
          <w:kern w:val="0"/>
          <w:highlight w:val="none"/>
          <w:u w:val="single"/>
        </w:rPr>
        <w:t>（采购文件中明确的所属行业）</w:t>
      </w:r>
      <w:r>
        <w:rPr>
          <w:rFonts w:hint="eastAsia" w:ascii="宋体" w:hAnsi="宋体" w:cs="Arial"/>
          <w:bCs/>
          <w:color w:val="auto"/>
          <w:kern w:val="0"/>
          <w:highlight w:val="none"/>
        </w:rPr>
        <w:t>行业；承接企业为</w:t>
      </w:r>
      <w:r>
        <w:rPr>
          <w:rFonts w:hint="eastAsia" w:ascii="宋体" w:hAnsi="宋体" w:cs="Arial"/>
          <w:bCs/>
          <w:color w:val="auto"/>
          <w:kern w:val="0"/>
          <w:highlight w:val="none"/>
          <w:u w:val="single"/>
        </w:rPr>
        <w:t xml:space="preserve"> （企业名称）</w:t>
      </w:r>
      <w:r>
        <w:rPr>
          <w:rFonts w:hint="eastAsia" w:ascii="宋体" w:hAnsi="宋体" w:cs="Arial"/>
          <w:bCs/>
          <w:color w:val="auto"/>
          <w:kern w:val="0"/>
          <w:highlight w:val="none"/>
        </w:rPr>
        <w:t>，从业人员_____人，营业收入为_____万元，资产总额为_____万元，属于（中型企业、小型企业、微型企业）；</w:t>
      </w:r>
    </w:p>
    <w:p>
      <w:pPr>
        <w:tabs>
          <w:tab w:val="left" w:pos="420"/>
        </w:tabs>
        <w:spacing w:line="360" w:lineRule="auto"/>
        <w:ind w:firstLine="480"/>
        <w:jc w:val="left"/>
        <w:rPr>
          <w:rFonts w:ascii="宋体" w:hAnsi="宋体" w:cs="Arial"/>
          <w:bCs/>
          <w:color w:val="auto"/>
          <w:kern w:val="0"/>
          <w:highlight w:val="none"/>
        </w:rPr>
      </w:pPr>
      <w:r>
        <w:rPr>
          <w:rFonts w:hint="eastAsia" w:ascii="宋体" w:hAnsi="宋体" w:cs="Arial"/>
          <w:bCs/>
          <w:color w:val="auto"/>
          <w:kern w:val="0"/>
          <w:highlight w:val="none"/>
        </w:rPr>
        <w:t>本企业对上述声明内容的真实性负责。如有虚假，将依法承担相应责任。</w:t>
      </w:r>
    </w:p>
    <w:p>
      <w:pPr>
        <w:tabs>
          <w:tab w:val="left" w:pos="420"/>
        </w:tabs>
        <w:spacing w:line="360" w:lineRule="auto"/>
        <w:ind w:firstLine="480"/>
        <w:jc w:val="left"/>
        <w:rPr>
          <w:rFonts w:ascii="宋体" w:hAnsi="宋体" w:cs="Arial"/>
          <w:bCs/>
          <w:color w:val="auto"/>
          <w:kern w:val="0"/>
          <w:highlight w:val="none"/>
        </w:rPr>
      </w:pPr>
    </w:p>
    <w:p>
      <w:pPr>
        <w:adjustRightInd w:val="0"/>
        <w:snapToGrid w:val="0"/>
        <w:ind w:firstLine="5040" w:firstLineChars="2100"/>
        <w:rPr>
          <w:rFonts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名称（盖章）：</w:t>
      </w:r>
    </w:p>
    <w:p>
      <w:pPr>
        <w:adjustRightInd w:val="0"/>
        <w:snapToGrid w:val="0"/>
        <w:ind w:firstLine="3600" w:firstLineChars="1500"/>
        <w:rPr>
          <w:rFonts w:ascii="宋体" w:hAnsi="宋体"/>
          <w:color w:val="auto"/>
          <w:szCs w:val="21"/>
          <w:highlight w:val="none"/>
        </w:rPr>
      </w:pPr>
    </w:p>
    <w:p>
      <w:pPr>
        <w:adjustRightInd w:val="0"/>
        <w:snapToGrid w:val="0"/>
        <w:ind w:firstLine="5040" w:firstLineChars="2100"/>
        <w:rPr>
          <w:rFonts w:ascii="宋体" w:hAnsi="宋体"/>
          <w:color w:val="auto"/>
          <w:szCs w:val="21"/>
          <w:highlight w:val="none"/>
        </w:rPr>
      </w:pPr>
      <w:r>
        <w:rPr>
          <w:rFonts w:hint="eastAsia" w:ascii="宋体" w:hAnsi="宋体"/>
          <w:color w:val="auto"/>
          <w:szCs w:val="21"/>
          <w:highlight w:val="none"/>
        </w:rPr>
        <w:t>日期：    年   月   日</w:t>
      </w:r>
    </w:p>
    <w:p>
      <w:pPr>
        <w:tabs>
          <w:tab w:val="left" w:pos="420"/>
        </w:tabs>
        <w:spacing w:before="100" w:beforeLines="0" w:beforeAutospacing="1" w:after="100" w:afterLines="0" w:afterAutospacing="1"/>
        <w:ind w:firstLine="489"/>
        <w:rPr>
          <w:rFonts w:ascii="宋体" w:hAnsi="宋体" w:cs="Arial"/>
          <w:b/>
          <w:bCs/>
          <w:color w:val="auto"/>
          <w:kern w:val="0"/>
          <w:highlight w:val="none"/>
        </w:rPr>
      </w:pPr>
    </w:p>
    <w:p>
      <w:pPr>
        <w:widowControl/>
        <w:snapToGrid w:val="0"/>
        <w:ind w:firstLine="480"/>
        <w:rPr>
          <w:rFonts w:ascii="宋体" w:hAnsi="宋体"/>
          <w:color w:val="auto"/>
          <w:szCs w:val="21"/>
          <w:highlight w:val="none"/>
        </w:rPr>
      </w:pPr>
      <w:r>
        <w:rPr>
          <w:rFonts w:hint="eastAsia" w:ascii="宋体" w:hAnsi="宋体"/>
          <w:color w:val="auto"/>
          <w:szCs w:val="21"/>
          <w:highlight w:val="none"/>
        </w:rPr>
        <w:t>注：</w:t>
      </w:r>
    </w:p>
    <w:p>
      <w:pPr>
        <w:widowControl/>
        <w:snapToGrid w:val="0"/>
        <w:ind w:firstLine="480"/>
        <w:outlineLvl w:val="1"/>
        <w:rPr>
          <w:rFonts w:ascii="宋体" w:hAnsi="宋体"/>
          <w:color w:val="auto"/>
          <w:szCs w:val="21"/>
          <w:highlight w:val="none"/>
        </w:rPr>
      </w:pPr>
      <w:bookmarkStart w:id="1905" w:name="_Toc2803"/>
      <w:bookmarkStart w:id="1906" w:name="_Toc3031"/>
      <w:bookmarkStart w:id="1907" w:name="_Toc27473"/>
      <w:bookmarkStart w:id="1908" w:name="_Toc15083"/>
      <w:bookmarkStart w:id="1909" w:name="_Toc1304"/>
      <w:bookmarkStart w:id="1910" w:name="_Toc8699"/>
      <w:bookmarkStart w:id="1911" w:name="_Toc30340"/>
      <w:r>
        <w:rPr>
          <w:rFonts w:hint="eastAsia" w:ascii="宋体" w:hAnsi="宋体"/>
          <w:color w:val="auto"/>
          <w:szCs w:val="21"/>
          <w:highlight w:val="none"/>
        </w:rPr>
        <w:t>1.如承接单位为小微企业，则需提供中小企业声明函。</w:t>
      </w:r>
      <w:bookmarkEnd w:id="1905"/>
      <w:bookmarkEnd w:id="1906"/>
      <w:bookmarkEnd w:id="1907"/>
      <w:bookmarkEnd w:id="1908"/>
      <w:bookmarkEnd w:id="1909"/>
      <w:bookmarkEnd w:id="1910"/>
      <w:bookmarkEnd w:id="1911"/>
    </w:p>
    <w:p>
      <w:pPr>
        <w:widowControl/>
        <w:snapToGrid w:val="0"/>
        <w:ind w:firstLine="480"/>
        <w:rPr>
          <w:rFonts w:ascii="宋体" w:hAnsi="宋体"/>
          <w:color w:val="auto"/>
          <w:szCs w:val="21"/>
          <w:highlight w:val="none"/>
        </w:rPr>
      </w:pPr>
      <w:r>
        <w:rPr>
          <w:rFonts w:hint="eastAsia" w:ascii="宋体" w:hAnsi="宋体"/>
          <w:color w:val="auto"/>
          <w:szCs w:val="21"/>
          <w:highlight w:val="none"/>
        </w:rPr>
        <w:t>2.如成交供应商声明为小微企业，本声明函将随成交结果同时公告，接受社会监督。</w:t>
      </w:r>
    </w:p>
    <w:p>
      <w:pPr>
        <w:widowControl/>
        <w:snapToGrid w:val="0"/>
        <w:ind w:firstLine="480"/>
        <w:rPr>
          <w:color w:val="auto"/>
          <w:highlight w:val="none"/>
          <w:lang w:val="zh-CN"/>
        </w:rPr>
      </w:pPr>
      <w:r>
        <w:rPr>
          <w:rFonts w:hint="eastAsia" w:ascii="宋体" w:hAnsi="宋体" w:cs="宋体"/>
          <w:color w:val="auto"/>
          <w:szCs w:val="21"/>
          <w:highlight w:val="none"/>
        </w:rPr>
        <w:t>3.如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声明为小微企业，本声明函将随中标结果同时公告，接受社会监督。</w:t>
      </w:r>
    </w:p>
    <w:p>
      <w:pPr>
        <w:spacing w:line="360" w:lineRule="auto"/>
        <w:ind w:firstLine="0" w:firstLineChars="0"/>
        <w:jc w:val="center"/>
        <w:rPr>
          <w:rFonts w:hint="eastAsia" w:ascii="宋体" w:hAnsi="宋体" w:cs="宋体"/>
          <w:b/>
          <w:color w:val="auto"/>
          <w:sz w:val="30"/>
          <w:szCs w:val="30"/>
          <w:highlight w:val="none"/>
          <w:lang w:val="zh-CN"/>
        </w:rPr>
      </w:pPr>
    </w:p>
    <w:p>
      <w:pPr>
        <w:spacing w:line="360" w:lineRule="auto"/>
        <w:ind w:firstLine="0" w:firstLineChars="0"/>
        <w:jc w:val="center"/>
        <w:rPr>
          <w:rFonts w:hint="eastAsia" w:ascii="宋体" w:hAnsi="宋体" w:cs="宋体"/>
          <w:b/>
          <w:color w:val="auto"/>
          <w:sz w:val="30"/>
          <w:szCs w:val="30"/>
          <w:highlight w:val="none"/>
          <w:lang w:val="zh-CN"/>
        </w:rPr>
      </w:pPr>
    </w:p>
    <w:p>
      <w:pPr>
        <w:spacing w:line="360" w:lineRule="auto"/>
        <w:ind w:firstLine="0" w:firstLineChars="0"/>
        <w:jc w:val="center"/>
        <w:rPr>
          <w:rFonts w:hint="eastAsia" w:ascii="宋体" w:hAnsi="宋体" w:cs="宋体"/>
          <w:b/>
          <w:color w:val="auto"/>
          <w:sz w:val="30"/>
          <w:szCs w:val="30"/>
          <w:highlight w:val="none"/>
          <w:lang w:val="zh-CN"/>
        </w:rPr>
      </w:pPr>
    </w:p>
    <w:p>
      <w:pPr>
        <w:spacing w:line="360" w:lineRule="auto"/>
        <w:ind w:firstLine="0" w:firstLineChars="0"/>
        <w:jc w:val="center"/>
        <w:rPr>
          <w:rFonts w:hint="eastAsia" w:ascii="宋体" w:hAnsi="宋体" w:cs="宋体"/>
          <w:b/>
          <w:color w:val="auto"/>
          <w:sz w:val="30"/>
          <w:szCs w:val="30"/>
          <w:highlight w:val="none"/>
          <w:lang w:val="zh-CN"/>
        </w:rPr>
      </w:pPr>
    </w:p>
    <w:p>
      <w:pP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监狱企业声明函</w:t>
      </w:r>
    </w:p>
    <w:p>
      <w:pP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【非监狱企业不需提供】</w:t>
      </w:r>
    </w:p>
    <w:p>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w:t>
      </w:r>
      <w:r>
        <w:rPr>
          <w:rFonts w:hint="eastAsia" w:ascii="宋体" w:hAnsi="宋体" w:cs="宋体"/>
          <w:color w:val="auto"/>
          <w:highlight w:val="none"/>
        </w:rPr>
        <w:t>〔2014〕</w:t>
      </w:r>
      <w:r>
        <w:rPr>
          <w:rFonts w:hint="eastAsia" w:ascii="宋体" w:hAnsi="宋体" w:cs="宋体"/>
          <w:color w:val="auto"/>
          <w:szCs w:val="21"/>
          <w:highlight w:val="none"/>
        </w:rPr>
        <w:t>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pPr>
        <w:widowControl/>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pPr>
        <w:widowControl/>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adjustRightInd w:val="0"/>
        <w:snapToGrid w:val="0"/>
        <w:ind w:firstLine="480"/>
        <w:jc w:val="center"/>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480"/>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480"/>
        <w:jc w:val="center"/>
        <w:rPr>
          <w:rFonts w:ascii="宋体" w:hAnsi="宋体" w:cs="宋体"/>
          <w:color w:val="auto"/>
          <w:szCs w:val="21"/>
          <w:highlight w:val="none"/>
        </w:rPr>
      </w:pPr>
    </w:p>
    <w:p>
      <w:pPr>
        <w:adjustRightInd w:val="0"/>
        <w:snapToGrid w:val="0"/>
        <w:ind w:firstLine="5040" w:firstLineChars="2100"/>
        <w:rPr>
          <w:rFonts w:ascii="宋体" w:hAnsi="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名称（盖章）：</w:t>
      </w:r>
      <w:r>
        <w:rPr>
          <w:rFonts w:hint="eastAsia" w:ascii="宋体" w:hAnsi="宋体" w:cs="宋体"/>
          <w:color w:val="auto"/>
          <w:szCs w:val="21"/>
          <w:highlight w:val="none"/>
          <w:u w:val="single"/>
        </w:rPr>
        <w:t xml:space="preserve">                    </w:t>
      </w:r>
    </w:p>
    <w:p>
      <w:pPr>
        <w:adjustRightInd w:val="0"/>
        <w:snapToGrid w:val="0"/>
        <w:ind w:firstLine="3600" w:firstLineChars="1500"/>
        <w:rPr>
          <w:rFonts w:ascii="宋体" w:hAnsi="宋体" w:cs="宋体"/>
          <w:color w:val="auto"/>
          <w:szCs w:val="21"/>
          <w:highlight w:val="none"/>
        </w:rPr>
      </w:pPr>
    </w:p>
    <w:p>
      <w:pPr>
        <w:adjustRightInd w:val="0"/>
        <w:snapToGrid w:val="0"/>
        <w:ind w:firstLine="5040" w:firstLineChars="2100"/>
        <w:rPr>
          <w:rFonts w:ascii="宋体" w:hAnsi="宋体" w:cs="宋体"/>
          <w:color w:val="auto"/>
          <w:szCs w:val="21"/>
          <w:highlight w:val="none"/>
        </w:rPr>
      </w:pPr>
      <w:r>
        <w:rPr>
          <w:rFonts w:hint="eastAsia" w:ascii="宋体" w:hAnsi="宋体" w:cs="宋体"/>
          <w:color w:val="auto"/>
          <w:szCs w:val="21"/>
          <w:highlight w:val="none"/>
        </w:rPr>
        <w:t>日期：    年   月   日</w:t>
      </w:r>
    </w:p>
    <w:p>
      <w:pPr>
        <w:widowControl/>
        <w:snapToGrid w:val="0"/>
        <w:ind w:firstLine="480"/>
        <w:rPr>
          <w:rFonts w:ascii="宋体" w:hAnsi="宋体" w:cs="宋体"/>
          <w:color w:val="auto"/>
          <w:szCs w:val="21"/>
          <w:highlight w:val="none"/>
        </w:rPr>
      </w:pPr>
    </w:p>
    <w:p>
      <w:pPr>
        <w:widowControl/>
        <w:snapToGrid w:val="0"/>
        <w:ind w:firstLine="480"/>
        <w:rPr>
          <w:rFonts w:ascii="宋体" w:hAnsi="宋体" w:cs="宋体"/>
          <w:color w:val="auto"/>
          <w:szCs w:val="21"/>
          <w:highlight w:val="none"/>
        </w:rPr>
      </w:pPr>
    </w:p>
    <w:p>
      <w:pPr>
        <w:pStyle w:val="2"/>
        <w:numPr>
          <w:ilvl w:val="0"/>
          <w:numId w:val="0"/>
        </w:numPr>
        <w:spacing w:before="312" w:after="312"/>
        <w:jc w:val="both"/>
        <w:outlineLvl w:val="9"/>
        <w:rPr>
          <w:color w:val="auto"/>
          <w:highlight w:val="none"/>
        </w:rPr>
      </w:pPr>
    </w:p>
    <w:p>
      <w:pPr>
        <w:widowControl/>
        <w:snapToGrid w:val="0"/>
        <w:ind w:firstLine="48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为监狱</w:t>
      </w:r>
      <w:r>
        <w:rPr>
          <w:rFonts w:hint="eastAsia" w:ascii="宋体" w:hAnsi="宋体" w:cs="宋体"/>
          <w:color w:val="auto"/>
          <w:szCs w:val="21"/>
          <w:highlight w:val="none"/>
          <w:lang w:eastAsia="zh-CN"/>
        </w:rPr>
        <w:t>企业</w:t>
      </w:r>
      <w:r>
        <w:rPr>
          <w:rFonts w:hint="eastAsia" w:ascii="宋体" w:hAnsi="宋体" w:cs="宋体"/>
          <w:color w:val="auto"/>
          <w:szCs w:val="21"/>
          <w:highlight w:val="none"/>
        </w:rPr>
        <w:t>提供此函。</w:t>
      </w:r>
    </w:p>
    <w:p>
      <w:pPr>
        <w:widowControl/>
        <w:snapToGrid w:val="0"/>
        <w:ind w:firstLine="480"/>
        <w:rPr>
          <w:rFonts w:ascii="宋体" w:hAnsi="宋体" w:cs="宋体"/>
          <w:bCs/>
          <w:color w:val="auto"/>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pPr>
        <w:adjustRightInd w:val="0"/>
        <w:snapToGrid w:val="0"/>
        <w:ind w:firstLine="0" w:firstLineChars="0"/>
        <w:jc w:val="center"/>
        <w:textAlignment w:val="baseline"/>
        <w:outlineLvl w:val="0"/>
        <w:rPr>
          <w:rFonts w:ascii="宋体" w:hAnsi="宋体"/>
          <w:color w:val="auto"/>
          <w:sz w:val="28"/>
          <w:szCs w:val="28"/>
          <w:highlight w:val="none"/>
        </w:rPr>
      </w:pPr>
      <w:bookmarkStart w:id="1912" w:name="_Toc3390"/>
      <w:bookmarkStart w:id="1913" w:name="_Toc25838"/>
      <w:bookmarkStart w:id="1914" w:name="_Toc24573"/>
      <w:bookmarkStart w:id="1915" w:name="_Toc26538"/>
      <w:bookmarkStart w:id="1916" w:name="_Toc1090"/>
      <w:bookmarkStart w:id="1917" w:name="_Toc10196"/>
      <w:bookmarkStart w:id="1918" w:name="_Toc4216"/>
      <w:bookmarkStart w:id="1919" w:name="_Toc14085"/>
      <w:bookmarkStart w:id="1920" w:name="_Toc9599"/>
      <w:bookmarkStart w:id="1921" w:name="_Toc25334"/>
      <w:bookmarkStart w:id="1922" w:name="_Toc469"/>
      <w:bookmarkStart w:id="1923" w:name="_Toc7928"/>
      <w:bookmarkStart w:id="1924" w:name="_Toc1825"/>
      <w:bookmarkStart w:id="1925" w:name="_Toc3807"/>
      <w:bookmarkStart w:id="1926" w:name="_Toc25215"/>
      <w:bookmarkStart w:id="1927" w:name="_Toc29991"/>
      <w:bookmarkStart w:id="1928" w:name="_Toc18008"/>
      <w:bookmarkStart w:id="1929" w:name="_Toc27943"/>
      <w:bookmarkStart w:id="1930" w:name="_Toc27651"/>
      <w:bookmarkStart w:id="1931" w:name="_Toc28340"/>
      <w:bookmarkStart w:id="1932" w:name="_Toc19691"/>
      <w:bookmarkStart w:id="1933" w:name="_Toc21443"/>
      <w:bookmarkStart w:id="1934" w:name="_Toc15249"/>
      <w:r>
        <w:rPr>
          <w:rFonts w:hint="eastAsia" w:ascii="宋体" w:hAnsi="宋体"/>
          <w:b/>
          <w:bCs/>
          <w:color w:val="auto"/>
          <w:sz w:val="28"/>
          <w:szCs w:val="28"/>
          <w:highlight w:val="none"/>
        </w:rPr>
        <w:t>残疾人福利性单位声明函</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pPr>
        <w:autoSpaceDE w:val="0"/>
        <w:autoSpaceDN w:val="0"/>
        <w:adjustRightInd w:val="0"/>
        <w:snapToGrid w:val="0"/>
        <w:spacing w:after="312" w:afterLines="100"/>
        <w:ind w:firstLine="0" w:firstLineChars="0"/>
        <w:jc w:val="center"/>
        <w:outlineLvl w:val="0"/>
        <w:rPr>
          <w:rFonts w:ascii="宋体" w:hAnsi="宋体"/>
          <w:color w:val="auto"/>
          <w:sz w:val="28"/>
          <w:szCs w:val="28"/>
          <w:highlight w:val="none"/>
        </w:rPr>
      </w:pPr>
      <w:bookmarkStart w:id="1935" w:name="_Toc9848"/>
      <w:bookmarkStart w:id="1936" w:name="_Toc29152"/>
      <w:bookmarkStart w:id="1937" w:name="_Toc22421"/>
      <w:bookmarkStart w:id="1938" w:name="_Toc14425"/>
      <w:bookmarkStart w:id="1939" w:name="_Toc31187"/>
      <w:bookmarkStart w:id="1940" w:name="_Toc15231"/>
      <w:bookmarkStart w:id="1941" w:name="_Toc6293"/>
      <w:bookmarkStart w:id="1942" w:name="_Toc10855"/>
      <w:bookmarkStart w:id="1943" w:name="_Toc28464"/>
      <w:bookmarkStart w:id="1944" w:name="_Toc31408"/>
      <w:bookmarkStart w:id="1945" w:name="_Toc24336"/>
      <w:bookmarkStart w:id="1946" w:name="_Toc32409"/>
      <w:bookmarkStart w:id="1947" w:name="_Toc19455"/>
      <w:bookmarkStart w:id="1948" w:name="_Toc12560"/>
      <w:bookmarkStart w:id="1949" w:name="_Toc18269"/>
      <w:bookmarkStart w:id="1950" w:name="_Toc29768"/>
      <w:bookmarkStart w:id="1951" w:name="_Toc31062"/>
      <w:bookmarkStart w:id="1952" w:name="_Toc22388"/>
      <w:bookmarkStart w:id="1953" w:name="_Toc11676"/>
      <w:bookmarkStart w:id="1954" w:name="_Toc21056"/>
      <w:bookmarkStart w:id="1955" w:name="_Toc17040"/>
      <w:bookmarkStart w:id="1956" w:name="_Toc24968"/>
      <w:bookmarkStart w:id="1957" w:name="_Toc20856"/>
      <w:bookmarkStart w:id="1958" w:name="_Toc31591"/>
      <w:bookmarkStart w:id="1959" w:name="_Toc20083"/>
      <w:bookmarkStart w:id="1960" w:name="_Toc24609"/>
      <w:bookmarkStart w:id="1961" w:name="_Toc19720"/>
      <w:bookmarkStart w:id="1962" w:name="_Toc16520"/>
      <w:bookmarkStart w:id="1963" w:name="_Toc32537"/>
      <w:bookmarkStart w:id="1964" w:name="_Toc16906"/>
      <w:bookmarkStart w:id="1965" w:name="_Toc32388"/>
      <w:bookmarkStart w:id="1966" w:name="_Toc13934"/>
      <w:bookmarkStart w:id="1967" w:name="_Toc31645"/>
      <w:bookmarkStart w:id="1968" w:name="_Toc3769"/>
      <w:bookmarkStart w:id="1969" w:name="_Toc25262"/>
      <w:bookmarkStart w:id="1970" w:name="_Toc18725"/>
      <w:bookmarkStart w:id="1971" w:name="_Toc22594"/>
      <w:bookmarkStart w:id="1972" w:name="_Toc1642"/>
      <w:bookmarkStart w:id="1973" w:name="_Toc19046"/>
      <w:bookmarkStart w:id="1974" w:name="_Toc1650"/>
      <w:r>
        <w:rPr>
          <w:rFonts w:hint="eastAsia" w:ascii="宋体" w:hAnsi="宋体"/>
          <w:color w:val="auto"/>
          <w:sz w:val="28"/>
          <w:szCs w:val="28"/>
          <w:highlight w:val="none"/>
        </w:rPr>
        <w:t>【非残疾人福利性单位不需提供】</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snapToGrid w:val="0"/>
        <w:ind w:firstLine="48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（采购人名称）</w:t>
      </w:r>
      <w:r>
        <w:rPr>
          <w:rFonts w:hint="eastAsia" w:ascii="宋体" w:hAnsi="宋体"/>
          <w:color w:val="auto"/>
          <w:szCs w:val="21"/>
          <w:highlight w:val="none"/>
        </w:rPr>
        <w:t>单位的</w:t>
      </w:r>
      <w:r>
        <w:rPr>
          <w:rFonts w:hint="eastAsia" w:ascii="宋体" w:hAnsi="宋体"/>
          <w:color w:val="auto"/>
          <w:szCs w:val="21"/>
          <w:highlight w:val="none"/>
          <w:u w:val="single"/>
        </w:rPr>
        <w:t>（项目名称）</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ind w:firstLine="48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080" w:firstLineChars="1700"/>
        <w:rPr>
          <w:rFonts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名称（盖章）：</w:t>
      </w:r>
      <w:r>
        <w:rPr>
          <w:rFonts w:hint="eastAsia" w:ascii="宋体" w:hAnsi="宋体"/>
          <w:color w:val="auto"/>
          <w:szCs w:val="21"/>
          <w:highlight w:val="none"/>
          <w:u w:val="single"/>
        </w:rPr>
        <w:t xml:space="preserve">                    </w:t>
      </w:r>
    </w:p>
    <w:p>
      <w:pPr>
        <w:adjustRightInd w:val="0"/>
        <w:snapToGrid w:val="0"/>
        <w:ind w:firstLine="3600" w:firstLineChars="150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080" w:firstLineChars="1700"/>
        <w:rPr>
          <w:rFonts w:ascii="宋体" w:hAnsi="宋体"/>
          <w:color w:val="auto"/>
          <w:szCs w:val="21"/>
          <w:highlight w:val="none"/>
        </w:rPr>
      </w:pPr>
      <w:r>
        <w:rPr>
          <w:rFonts w:hint="eastAsia" w:ascii="宋体" w:hAnsi="宋体"/>
          <w:color w:val="auto"/>
          <w:szCs w:val="21"/>
          <w:highlight w:val="none"/>
        </w:rPr>
        <w:t>日期：    年   月  日</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ind w:firstLine="48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为残疾人福利性</w:t>
      </w:r>
      <w:r>
        <w:rPr>
          <w:rFonts w:hint="eastAsia" w:ascii="宋体" w:hAnsi="宋体"/>
          <w:color w:val="auto"/>
          <w:szCs w:val="21"/>
          <w:highlight w:val="none"/>
          <w:lang w:eastAsia="zh-CN"/>
        </w:rPr>
        <w:t>单位</w:t>
      </w:r>
      <w:r>
        <w:rPr>
          <w:rFonts w:hint="eastAsia" w:ascii="宋体" w:hAnsi="宋体"/>
          <w:color w:val="auto"/>
          <w:szCs w:val="21"/>
          <w:highlight w:val="none"/>
        </w:rPr>
        <w:t>提供此函。</w:t>
      </w:r>
    </w:p>
    <w:p>
      <w:pPr>
        <w:spacing w:before="100" w:beforeAutospacing="1" w:after="120"/>
        <w:ind w:firstLine="480"/>
        <w:rPr>
          <w:color w:val="auto"/>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中标人</w:t>
      </w:r>
      <w:r>
        <w:rPr>
          <w:rFonts w:hint="eastAsia" w:ascii="宋体" w:hAnsi="宋体"/>
          <w:color w:val="auto"/>
          <w:szCs w:val="21"/>
          <w:highlight w:val="none"/>
        </w:rPr>
        <w:t>为残疾人福利性单位的，应当随中标结果同时公告其《残疾人福利性单位声明函》，接受社会监督。</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sectPr>
      <w:headerReference r:id="rId7" w:type="first"/>
      <w:headerReference r:id="rId5" w:type="default"/>
      <w:footerReference r:id="rId8" w:type="default"/>
      <w:headerReference r:id="rId6" w:type="even"/>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1"/>
    </w:pPr>
    <w:r>
      <mc:AlternateContent>
        <mc:Choice Requires="wps">
          <w:drawing>
            <wp:anchor distT="0" distB="0" distL="114300" distR="114300" simplePos="0" relativeHeight="251659264" behindDoc="0" locked="0" layoutInCell="1" allowOverlap="1">
              <wp:simplePos x="0" y="0"/>
              <wp:positionH relativeFrom="margin">
                <wp:posOffset>2491105</wp:posOffset>
              </wp:positionH>
              <wp:positionV relativeFrom="paragraph">
                <wp:posOffset>40005</wp:posOffset>
              </wp:positionV>
              <wp:extent cx="1406525" cy="721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6525" cy="721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61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63</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5pt;margin-top:3.15pt;height:56.8pt;width:110.75pt;mso-position-horizontal-relative:margin;z-index:251659264;mso-width-relative:page;mso-height-relative:page;" filled="f" stroked="f" coordsize="21600,21600" o:gfxdata="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AI3k2AAAAAkBAAAPAAAAAAAAAAEAIAAAACIAAABkcnMvZG93bnJldi54bWxQ&#10;SwECFAAUAAAACACHTuJAFvzeCzACAABWBAAADgAAAAAAAAABACAAAAAnAQAAZHJzL2Uyb0RvYy54&#10;bWxQSwUGAAAAAAYABgBZAQAAyQUAAAAA&#10;">
              <v:fill on="f" focussize="0,0"/>
              <v:stroke on="f" weight="0.5pt"/>
              <v:imagedata o:title=""/>
              <o:lock v:ext="edit" aspectratio="f"/>
              <v:textbox inset="0mm,0mm,0mm,0mm">
                <w:txbxContent>
                  <w:p>
                    <w:pPr>
                      <w:pStyle w:val="28"/>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61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63</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0" w:firstLineChars="0"/>
      <w:jc w:val="left"/>
    </w:pPr>
    <w:r>
      <w:rPr>
        <w:rFonts w:hint="eastAsia" w:ascii="宋体" w:hAnsi="宋体" w:cs="宋体"/>
        <w:sz w:val="15"/>
        <w:szCs w:val="15"/>
        <w:lang w:eastAsia="zh-CN"/>
      </w:rPr>
      <w:t>2023年龙游县老旧小区改造提升工程-阳光小区未来社区布展展陈项目</w:t>
    </w:r>
    <w:r>
      <w:rPr>
        <w:rFonts w:hint="eastAsia" w:ascii="宋体" w:hAnsi="宋体" w:cs="宋体"/>
        <w:sz w:val="15"/>
        <w:szCs w:val="15"/>
      </w:rPr>
      <w:t xml:space="preserve">的公开招标文件   </w:t>
    </w:r>
    <w:r>
      <w:rPr>
        <w:rFonts w:hint="eastAsia" w:ascii="宋体" w:hAnsi="宋体" w:cs="宋体"/>
        <w:sz w:val="15"/>
        <w:szCs w:val="15"/>
        <w:lang w:val="en-US" w:eastAsia="zh-CN"/>
      </w:rPr>
      <w:t xml:space="preserve">                                   </w:t>
    </w:r>
    <w:r>
      <w:rPr>
        <w:rFonts w:hint="eastAsia" w:ascii="宋体" w:hAnsi="宋体" w:cs="宋体"/>
        <w:sz w:val="15"/>
        <w:szCs w:val="15"/>
        <w:lang w:eastAsia="zh-CN"/>
      </w:rPr>
      <w:t>LYCG2024XCX-002</w:t>
    </w:r>
    <w:r>
      <w:rPr>
        <w:rFonts w:hint="eastAsia" w:ascii="宋体" w:hAnsi="宋体" w:cs="宋体"/>
        <w:sz w:val="15"/>
        <w:szCs w:val="15"/>
      </w:rPr>
      <w:t xml:space="preserve">  </w:t>
    </w:r>
    <w:r>
      <w:rPr>
        <w:rFonts w:hint="eastAsia" w:ascii="宋体" w:hAnsi="宋体" w:cs="宋体"/>
      </w:rPr>
      <w:t xml:space="preserve"> </w:t>
    </w:r>
    <w:r>
      <w:rPr>
        <w:rFonts w:hint="eastAsia" w:ascii="宋体" w:hAnsi="宋体" w:cs="宋体"/>
        <w:sz w:val="15"/>
        <w:szCs w:val="15"/>
        <w:lang w:val="en-US" w:eastAsia="zh-CN"/>
      </w:rPr>
      <w:t xml:space="preserve">                                </w:t>
    </w:r>
    <w:r>
      <w:rPr>
        <w:rFonts w:hint="eastAsia" w:ascii="宋体" w:hAnsi="宋体" w:cs="宋体"/>
        <w:lang w:val="en-US" w:eastAsia="zh-CN"/>
      </w:rPr>
      <w:t xml:space="preserve">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BF98"/>
    <w:multiLevelType w:val="multilevel"/>
    <w:tmpl w:val="947EBF98"/>
    <w:lvl w:ilvl="0" w:tentative="0">
      <w:start w:val="2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A42AB8D7"/>
    <w:multiLevelType w:val="singleLevel"/>
    <w:tmpl w:val="A42AB8D7"/>
    <w:lvl w:ilvl="0" w:tentative="0">
      <w:start w:val="9"/>
      <w:numFmt w:val="chineseCounting"/>
      <w:suff w:val="nothing"/>
      <w:lvlText w:val="%1、"/>
      <w:lvlJc w:val="left"/>
      <w:rPr>
        <w:rFonts w:hint="eastAsia"/>
        <w:b/>
        <w:bCs/>
      </w:rPr>
    </w:lvl>
  </w:abstractNum>
  <w:abstractNum w:abstractNumId="3">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BD8D0376"/>
    <w:multiLevelType w:val="multilevel"/>
    <w:tmpl w:val="BD8D0376"/>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5">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37E0969"/>
    <w:multiLevelType w:val="multilevel"/>
    <w:tmpl w:val="D37E0969"/>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D5B8C7FA"/>
    <w:multiLevelType w:val="multilevel"/>
    <w:tmpl w:val="D5B8C7FA"/>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8">
    <w:nsid w:val="DB5FE334"/>
    <w:multiLevelType w:val="multilevel"/>
    <w:tmpl w:val="DB5FE334"/>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9">
    <w:nsid w:val="EC99E130"/>
    <w:multiLevelType w:val="multilevel"/>
    <w:tmpl w:val="EC99E130"/>
    <w:lvl w:ilvl="0" w:tentative="0">
      <w:start w:val="46"/>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ECD2D7A2"/>
    <w:multiLevelType w:val="multilevel"/>
    <w:tmpl w:val="ECD2D7A2"/>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1">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0000001C"/>
    <w:multiLevelType w:val="singleLevel"/>
    <w:tmpl w:val="0000001C"/>
    <w:lvl w:ilvl="0" w:tentative="0">
      <w:start w:val="1"/>
      <w:numFmt w:val="decimal"/>
      <w:pStyle w:val="124"/>
      <w:lvlText w:val="(%1)"/>
      <w:lvlJc w:val="left"/>
      <w:pPr>
        <w:tabs>
          <w:tab w:val="left" w:pos="750"/>
        </w:tabs>
        <w:ind w:left="750" w:hanging="270"/>
      </w:pPr>
      <w:rPr>
        <w:rFonts w:hint="default"/>
      </w:rPr>
    </w:lvl>
  </w:abstractNum>
  <w:abstractNum w:abstractNumId="13">
    <w:nsid w:val="0818F3E6"/>
    <w:multiLevelType w:val="multilevel"/>
    <w:tmpl w:val="0818F3E6"/>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4">
    <w:nsid w:val="0BDA3F71"/>
    <w:multiLevelType w:val="multilevel"/>
    <w:tmpl w:val="0BDA3F71"/>
    <w:lvl w:ilvl="0" w:tentative="0">
      <w:start w:val="3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5">
    <w:nsid w:val="1C075F76"/>
    <w:multiLevelType w:val="multilevel"/>
    <w:tmpl w:val="1C075F76"/>
    <w:lvl w:ilvl="0" w:tentative="0">
      <w:start w:val="3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6">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17">
    <w:nsid w:val="395D635D"/>
    <w:multiLevelType w:val="multilevel"/>
    <w:tmpl w:val="395D635D"/>
    <w:lvl w:ilvl="0" w:tentative="0">
      <w:start w:val="36"/>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435328E5"/>
    <w:multiLevelType w:val="singleLevel"/>
    <w:tmpl w:val="435328E5"/>
    <w:lvl w:ilvl="0" w:tentative="0">
      <w:start w:val="3"/>
      <w:numFmt w:val="chineseCounting"/>
      <w:suff w:val="space"/>
      <w:lvlText w:val="第%1章"/>
      <w:lvlJc w:val="left"/>
      <w:rPr>
        <w:rFonts w:hint="eastAsia"/>
      </w:rPr>
    </w:lvl>
  </w:abstractNum>
  <w:abstractNum w:abstractNumId="19">
    <w:nsid w:val="4A03F9A0"/>
    <w:multiLevelType w:val="multilevel"/>
    <w:tmpl w:val="4A03F9A0"/>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0">
    <w:nsid w:val="5A98DBA3"/>
    <w:multiLevelType w:val="multilevel"/>
    <w:tmpl w:val="5A98DBA3"/>
    <w:lvl w:ilvl="0" w:tentative="0">
      <w:start w:val="5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1">
    <w:nsid w:val="5ABB7CDF"/>
    <w:multiLevelType w:val="multilevel"/>
    <w:tmpl w:val="5ABB7CDF"/>
    <w:lvl w:ilvl="0" w:tentative="0">
      <w:start w:val="2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2">
    <w:nsid w:val="5FF242D6"/>
    <w:multiLevelType w:val="multilevel"/>
    <w:tmpl w:val="5FF242D6"/>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3">
    <w:nsid w:val="621669EB"/>
    <w:multiLevelType w:val="multilevel"/>
    <w:tmpl w:val="621669EB"/>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4">
    <w:nsid w:val="63C6A213"/>
    <w:multiLevelType w:val="multilevel"/>
    <w:tmpl w:val="63C6A213"/>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5">
    <w:nsid w:val="769C2DC0"/>
    <w:multiLevelType w:val="multilevel"/>
    <w:tmpl w:val="769C2DC0"/>
    <w:lvl w:ilvl="0" w:tentative="0">
      <w:start w:val="49"/>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7AC5A7A6"/>
    <w:multiLevelType w:val="multilevel"/>
    <w:tmpl w:val="7AC5A7A6"/>
    <w:lvl w:ilvl="0" w:tentative="0">
      <w:start w:val="2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num w:numId="1">
    <w:abstractNumId w:val="8"/>
  </w:num>
  <w:num w:numId="2">
    <w:abstractNumId w:val="12"/>
  </w:num>
  <w:num w:numId="3">
    <w:abstractNumId w:val="23"/>
  </w:num>
  <w:num w:numId="4">
    <w:abstractNumId w:val="11"/>
  </w:num>
  <w:num w:numId="5">
    <w:abstractNumId w:val="16"/>
  </w:num>
  <w:num w:numId="6">
    <w:abstractNumId w:val="5"/>
  </w:num>
  <w:num w:numId="7">
    <w:abstractNumId w:val="0"/>
  </w:num>
  <w:num w:numId="8">
    <w:abstractNumId w:val="13"/>
  </w:num>
  <w:num w:numId="9">
    <w:abstractNumId w:val="24"/>
  </w:num>
  <w:num w:numId="10">
    <w:abstractNumId w:val="3"/>
  </w:num>
  <w:num w:numId="11">
    <w:abstractNumId w:val="21"/>
  </w:num>
  <w:num w:numId="12">
    <w:abstractNumId w:val="1"/>
  </w:num>
  <w:num w:numId="13">
    <w:abstractNumId w:val="7"/>
  </w:num>
  <w:num w:numId="14">
    <w:abstractNumId w:val="19"/>
  </w:num>
  <w:num w:numId="15">
    <w:abstractNumId w:val="26"/>
  </w:num>
  <w:num w:numId="16">
    <w:abstractNumId w:val="14"/>
  </w:num>
  <w:num w:numId="17">
    <w:abstractNumId w:val="4"/>
  </w:num>
  <w:num w:numId="18">
    <w:abstractNumId w:val="15"/>
  </w:num>
  <w:num w:numId="19">
    <w:abstractNumId w:val="17"/>
  </w:num>
  <w:num w:numId="20">
    <w:abstractNumId w:val="6"/>
  </w:num>
  <w:num w:numId="21">
    <w:abstractNumId w:val="9"/>
  </w:num>
  <w:num w:numId="22">
    <w:abstractNumId w:val="25"/>
  </w:num>
  <w:num w:numId="23">
    <w:abstractNumId w:val="22"/>
  </w:num>
  <w:num w:numId="24">
    <w:abstractNumId w:val="10"/>
  </w:num>
  <w:num w:numId="25">
    <w:abstractNumId w:val="20"/>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jQ1ZDBmYzc3OGU4NDUwNjc1ZWE0NTU5MDIzZWEifQ=="/>
  </w:docVars>
  <w:rsids>
    <w:rsidRoot w:val="00172A27"/>
    <w:rsid w:val="00001B86"/>
    <w:rsid w:val="0001574A"/>
    <w:rsid w:val="00030CA1"/>
    <w:rsid w:val="000720FD"/>
    <w:rsid w:val="000749E3"/>
    <w:rsid w:val="00075658"/>
    <w:rsid w:val="00087E9B"/>
    <w:rsid w:val="00095BB3"/>
    <w:rsid w:val="000B12C4"/>
    <w:rsid w:val="000B4D49"/>
    <w:rsid w:val="000C1FF9"/>
    <w:rsid w:val="000E6CB8"/>
    <w:rsid w:val="000F4724"/>
    <w:rsid w:val="00110020"/>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80EB2"/>
    <w:rsid w:val="002A3277"/>
    <w:rsid w:val="002B5669"/>
    <w:rsid w:val="002C2150"/>
    <w:rsid w:val="002C6DBF"/>
    <w:rsid w:val="003206DB"/>
    <w:rsid w:val="00321511"/>
    <w:rsid w:val="0032359B"/>
    <w:rsid w:val="00324240"/>
    <w:rsid w:val="0034086A"/>
    <w:rsid w:val="003532FE"/>
    <w:rsid w:val="00356D83"/>
    <w:rsid w:val="003661AC"/>
    <w:rsid w:val="00372743"/>
    <w:rsid w:val="00393AC1"/>
    <w:rsid w:val="003A1C52"/>
    <w:rsid w:val="003D28DF"/>
    <w:rsid w:val="003E3AC5"/>
    <w:rsid w:val="003F163D"/>
    <w:rsid w:val="003F28D5"/>
    <w:rsid w:val="00442E9B"/>
    <w:rsid w:val="00456C36"/>
    <w:rsid w:val="00464A79"/>
    <w:rsid w:val="004A6B6E"/>
    <w:rsid w:val="004B29DF"/>
    <w:rsid w:val="004C0647"/>
    <w:rsid w:val="004C1068"/>
    <w:rsid w:val="004D68B1"/>
    <w:rsid w:val="004D6CFA"/>
    <w:rsid w:val="004E2821"/>
    <w:rsid w:val="005067AA"/>
    <w:rsid w:val="00517DE5"/>
    <w:rsid w:val="00530FC5"/>
    <w:rsid w:val="00561B32"/>
    <w:rsid w:val="005A5587"/>
    <w:rsid w:val="005A66C9"/>
    <w:rsid w:val="005C620B"/>
    <w:rsid w:val="005D65F3"/>
    <w:rsid w:val="00637F97"/>
    <w:rsid w:val="00656C7F"/>
    <w:rsid w:val="00666327"/>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26647"/>
    <w:rsid w:val="008332A0"/>
    <w:rsid w:val="0087167F"/>
    <w:rsid w:val="008A56F1"/>
    <w:rsid w:val="008A7D2D"/>
    <w:rsid w:val="008B1210"/>
    <w:rsid w:val="00906786"/>
    <w:rsid w:val="00911744"/>
    <w:rsid w:val="00914E9F"/>
    <w:rsid w:val="009301A9"/>
    <w:rsid w:val="00951D06"/>
    <w:rsid w:val="00951FEE"/>
    <w:rsid w:val="0095235D"/>
    <w:rsid w:val="00954876"/>
    <w:rsid w:val="00960603"/>
    <w:rsid w:val="00961809"/>
    <w:rsid w:val="009722FA"/>
    <w:rsid w:val="00977B14"/>
    <w:rsid w:val="0099154C"/>
    <w:rsid w:val="009E7C52"/>
    <w:rsid w:val="009F1C84"/>
    <w:rsid w:val="00A04C1C"/>
    <w:rsid w:val="00A101EE"/>
    <w:rsid w:val="00A17AD8"/>
    <w:rsid w:val="00A37ED3"/>
    <w:rsid w:val="00A65FA9"/>
    <w:rsid w:val="00A73D7D"/>
    <w:rsid w:val="00A9539D"/>
    <w:rsid w:val="00AD217A"/>
    <w:rsid w:val="00AE043D"/>
    <w:rsid w:val="00B23941"/>
    <w:rsid w:val="00B25D5D"/>
    <w:rsid w:val="00B32474"/>
    <w:rsid w:val="00B34E87"/>
    <w:rsid w:val="00B41252"/>
    <w:rsid w:val="00B61F45"/>
    <w:rsid w:val="00B9055E"/>
    <w:rsid w:val="00BA4C66"/>
    <w:rsid w:val="00BE5EAE"/>
    <w:rsid w:val="00C05CBB"/>
    <w:rsid w:val="00C12965"/>
    <w:rsid w:val="00C25FE8"/>
    <w:rsid w:val="00C324D2"/>
    <w:rsid w:val="00C358F9"/>
    <w:rsid w:val="00C41BE3"/>
    <w:rsid w:val="00C65E39"/>
    <w:rsid w:val="00C77BA6"/>
    <w:rsid w:val="00C82755"/>
    <w:rsid w:val="00C85511"/>
    <w:rsid w:val="00C95363"/>
    <w:rsid w:val="00D047D9"/>
    <w:rsid w:val="00D27920"/>
    <w:rsid w:val="00D4030B"/>
    <w:rsid w:val="00D46B8D"/>
    <w:rsid w:val="00D553F0"/>
    <w:rsid w:val="00D735A6"/>
    <w:rsid w:val="00D82BEA"/>
    <w:rsid w:val="00DB32A1"/>
    <w:rsid w:val="00DC6BD3"/>
    <w:rsid w:val="00DD51F1"/>
    <w:rsid w:val="00DD5630"/>
    <w:rsid w:val="00DE3A1B"/>
    <w:rsid w:val="00DF0E7E"/>
    <w:rsid w:val="00DF4EE0"/>
    <w:rsid w:val="00E12664"/>
    <w:rsid w:val="00E14CA4"/>
    <w:rsid w:val="00E27EAD"/>
    <w:rsid w:val="00E367D5"/>
    <w:rsid w:val="00E57A29"/>
    <w:rsid w:val="00E6702C"/>
    <w:rsid w:val="00E76D46"/>
    <w:rsid w:val="00E80370"/>
    <w:rsid w:val="00E80E0C"/>
    <w:rsid w:val="00E92EA4"/>
    <w:rsid w:val="00EA263A"/>
    <w:rsid w:val="00EA78D6"/>
    <w:rsid w:val="00EB51E8"/>
    <w:rsid w:val="00ED68A7"/>
    <w:rsid w:val="00F05400"/>
    <w:rsid w:val="00F148F7"/>
    <w:rsid w:val="00F166FD"/>
    <w:rsid w:val="00F453C0"/>
    <w:rsid w:val="00F46DAC"/>
    <w:rsid w:val="00F705B3"/>
    <w:rsid w:val="00F8095F"/>
    <w:rsid w:val="00F85681"/>
    <w:rsid w:val="00F96F51"/>
    <w:rsid w:val="00F9798D"/>
    <w:rsid w:val="00FA023A"/>
    <w:rsid w:val="00FA7BB3"/>
    <w:rsid w:val="00FB3CEF"/>
    <w:rsid w:val="00FC6550"/>
    <w:rsid w:val="00FE08C8"/>
    <w:rsid w:val="00FE4E96"/>
    <w:rsid w:val="00FF2AB9"/>
    <w:rsid w:val="01023BF0"/>
    <w:rsid w:val="0103164E"/>
    <w:rsid w:val="010333FC"/>
    <w:rsid w:val="010B405F"/>
    <w:rsid w:val="010C27DA"/>
    <w:rsid w:val="011E7A06"/>
    <w:rsid w:val="012045F7"/>
    <w:rsid w:val="0134060D"/>
    <w:rsid w:val="013435B5"/>
    <w:rsid w:val="0136616B"/>
    <w:rsid w:val="013864CB"/>
    <w:rsid w:val="01457570"/>
    <w:rsid w:val="0150385C"/>
    <w:rsid w:val="015B4FE6"/>
    <w:rsid w:val="016B421D"/>
    <w:rsid w:val="01706634"/>
    <w:rsid w:val="01714809"/>
    <w:rsid w:val="01757B4B"/>
    <w:rsid w:val="017D14D2"/>
    <w:rsid w:val="018B23A4"/>
    <w:rsid w:val="018D431C"/>
    <w:rsid w:val="01906A31"/>
    <w:rsid w:val="01944054"/>
    <w:rsid w:val="019B0ED7"/>
    <w:rsid w:val="019C2519"/>
    <w:rsid w:val="01A25893"/>
    <w:rsid w:val="01A56261"/>
    <w:rsid w:val="01A802A3"/>
    <w:rsid w:val="01A96691"/>
    <w:rsid w:val="01AD47CF"/>
    <w:rsid w:val="01B11310"/>
    <w:rsid w:val="01C2347D"/>
    <w:rsid w:val="01C34A92"/>
    <w:rsid w:val="01CF32DE"/>
    <w:rsid w:val="01D42A2B"/>
    <w:rsid w:val="01D61657"/>
    <w:rsid w:val="01E176EE"/>
    <w:rsid w:val="01E7687A"/>
    <w:rsid w:val="01E84AF7"/>
    <w:rsid w:val="01ED1932"/>
    <w:rsid w:val="02014380"/>
    <w:rsid w:val="020B3367"/>
    <w:rsid w:val="0219220C"/>
    <w:rsid w:val="021A0D6B"/>
    <w:rsid w:val="023702FD"/>
    <w:rsid w:val="023D73FF"/>
    <w:rsid w:val="02443B62"/>
    <w:rsid w:val="024C71F6"/>
    <w:rsid w:val="02533F0F"/>
    <w:rsid w:val="025A0DEA"/>
    <w:rsid w:val="02632EF4"/>
    <w:rsid w:val="026F1557"/>
    <w:rsid w:val="027619AC"/>
    <w:rsid w:val="02923524"/>
    <w:rsid w:val="0299656C"/>
    <w:rsid w:val="029F0F02"/>
    <w:rsid w:val="02A05AD0"/>
    <w:rsid w:val="02A4249C"/>
    <w:rsid w:val="02A93B2F"/>
    <w:rsid w:val="02B96C5E"/>
    <w:rsid w:val="02CE3596"/>
    <w:rsid w:val="02D07463"/>
    <w:rsid w:val="02D22B2F"/>
    <w:rsid w:val="02E132C9"/>
    <w:rsid w:val="02E96323"/>
    <w:rsid w:val="02EC044F"/>
    <w:rsid w:val="02EC3DA4"/>
    <w:rsid w:val="030B22E9"/>
    <w:rsid w:val="030F59F5"/>
    <w:rsid w:val="030F6088"/>
    <w:rsid w:val="03101E00"/>
    <w:rsid w:val="03282B7E"/>
    <w:rsid w:val="03284B8C"/>
    <w:rsid w:val="032C73AC"/>
    <w:rsid w:val="0333397C"/>
    <w:rsid w:val="0339068B"/>
    <w:rsid w:val="033B3E59"/>
    <w:rsid w:val="033C431B"/>
    <w:rsid w:val="033E7C14"/>
    <w:rsid w:val="034A5312"/>
    <w:rsid w:val="0353648E"/>
    <w:rsid w:val="035B4572"/>
    <w:rsid w:val="035C5C24"/>
    <w:rsid w:val="0361024E"/>
    <w:rsid w:val="03676838"/>
    <w:rsid w:val="03773D39"/>
    <w:rsid w:val="037E4FBC"/>
    <w:rsid w:val="038B23A2"/>
    <w:rsid w:val="039676A9"/>
    <w:rsid w:val="039B54A3"/>
    <w:rsid w:val="03A323A1"/>
    <w:rsid w:val="03B33B11"/>
    <w:rsid w:val="03BB0082"/>
    <w:rsid w:val="03C6116F"/>
    <w:rsid w:val="03CB00BA"/>
    <w:rsid w:val="03CC3F79"/>
    <w:rsid w:val="03DD1CE2"/>
    <w:rsid w:val="03E47515"/>
    <w:rsid w:val="03E64263"/>
    <w:rsid w:val="03E700DD"/>
    <w:rsid w:val="03EA2651"/>
    <w:rsid w:val="03FC232D"/>
    <w:rsid w:val="040556DD"/>
    <w:rsid w:val="04065EFF"/>
    <w:rsid w:val="04164480"/>
    <w:rsid w:val="04221DEB"/>
    <w:rsid w:val="043D4E77"/>
    <w:rsid w:val="044955CA"/>
    <w:rsid w:val="0458580D"/>
    <w:rsid w:val="045A77D7"/>
    <w:rsid w:val="045D7CA1"/>
    <w:rsid w:val="0472058F"/>
    <w:rsid w:val="04901171"/>
    <w:rsid w:val="04934A97"/>
    <w:rsid w:val="04936A23"/>
    <w:rsid w:val="049B4192"/>
    <w:rsid w:val="049D08B8"/>
    <w:rsid w:val="049F168E"/>
    <w:rsid w:val="04A143E4"/>
    <w:rsid w:val="04A276AB"/>
    <w:rsid w:val="04B41B16"/>
    <w:rsid w:val="04B47F34"/>
    <w:rsid w:val="04B72CCE"/>
    <w:rsid w:val="04C1395E"/>
    <w:rsid w:val="04C9495C"/>
    <w:rsid w:val="04CC1D57"/>
    <w:rsid w:val="04CD7FA9"/>
    <w:rsid w:val="04D550AF"/>
    <w:rsid w:val="04DF4324"/>
    <w:rsid w:val="04F05A45"/>
    <w:rsid w:val="04F90435"/>
    <w:rsid w:val="04FD7C2A"/>
    <w:rsid w:val="05156EEC"/>
    <w:rsid w:val="051712DA"/>
    <w:rsid w:val="051C1E78"/>
    <w:rsid w:val="051D78E1"/>
    <w:rsid w:val="052C3B6E"/>
    <w:rsid w:val="052E77A1"/>
    <w:rsid w:val="053172CC"/>
    <w:rsid w:val="05441FF6"/>
    <w:rsid w:val="05492F7F"/>
    <w:rsid w:val="05504D69"/>
    <w:rsid w:val="05540C99"/>
    <w:rsid w:val="055B3C3D"/>
    <w:rsid w:val="056C0D1F"/>
    <w:rsid w:val="057934E6"/>
    <w:rsid w:val="057A4A8F"/>
    <w:rsid w:val="05827F45"/>
    <w:rsid w:val="058A5E99"/>
    <w:rsid w:val="058B37B8"/>
    <w:rsid w:val="058E5FA2"/>
    <w:rsid w:val="059263FF"/>
    <w:rsid w:val="059B3313"/>
    <w:rsid w:val="059E28D3"/>
    <w:rsid w:val="05AE18D3"/>
    <w:rsid w:val="05B147D4"/>
    <w:rsid w:val="05B81D48"/>
    <w:rsid w:val="05C8457A"/>
    <w:rsid w:val="05CC7F08"/>
    <w:rsid w:val="05CF3AC9"/>
    <w:rsid w:val="05DF0774"/>
    <w:rsid w:val="05E530D0"/>
    <w:rsid w:val="060317A8"/>
    <w:rsid w:val="06094F71"/>
    <w:rsid w:val="061609DC"/>
    <w:rsid w:val="0619721E"/>
    <w:rsid w:val="062067FE"/>
    <w:rsid w:val="06227002"/>
    <w:rsid w:val="062430A3"/>
    <w:rsid w:val="06270B33"/>
    <w:rsid w:val="06272FEA"/>
    <w:rsid w:val="062F6A28"/>
    <w:rsid w:val="063127B9"/>
    <w:rsid w:val="063D2A14"/>
    <w:rsid w:val="06541E3A"/>
    <w:rsid w:val="06603A00"/>
    <w:rsid w:val="0661460E"/>
    <w:rsid w:val="067032E2"/>
    <w:rsid w:val="06731BEF"/>
    <w:rsid w:val="06896151"/>
    <w:rsid w:val="068D7C64"/>
    <w:rsid w:val="068E5516"/>
    <w:rsid w:val="068F128E"/>
    <w:rsid w:val="069B03E5"/>
    <w:rsid w:val="069B0F45"/>
    <w:rsid w:val="069B307B"/>
    <w:rsid w:val="069D39AB"/>
    <w:rsid w:val="06A7132C"/>
    <w:rsid w:val="06AD1A86"/>
    <w:rsid w:val="06B31420"/>
    <w:rsid w:val="06B50CF4"/>
    <w:rsid w:val="06BD5D71"/>
    <w:rsid w:val="06CB676A"/>
    <w:rsid w:val="06D8039E"/>
    <w:rsid w:val="06DB2355"/>
    <w:rsid w:val="06DC0977"/>
    <w:rsid w:val="06F400A7"/>
    <w:rsid w:val="06FF4174"/>
    <w:rsid w:val="07093827"/>
    <w:rsid w:val="070C28DE"/>
    <w:rsid w:val="071E2F3F"/>
    <w:rsid w:val="074104B4"/>
    <w:rsid w:val="074602F4"/>
    <w:rsid w:val="074B4CEF"/>
    <w:rsid w:val="074C6649"/>
    <w:rsid w:val="07511973"/>
    <w:rsid w:val="07623294"/>
    <w:rsid w:val="07741E75"/>
    <w:rsid w:val="07750484"/>
    <w:rsid w:val="078C71BF"/>
    <w:rsid w:val="07A95C73"/>
    <w:rsid w:val="07AB7DE9"/>
    <w:rsid w:val="07B214E9"/>
    <w:rsid w:val="07B23486"/>
    <w:rsid w:val="07C5140B"/>
    <w:rsid w:val="07CF2B0E"/>
    <w:rsid w:val="07D72A16"/>
    <w:rsid w:val="07DA303C"/>
    <w:rsid w:val="07DE69F8"/>
    <w:rsid w:val="07E1193E"/>
    <w:rsid w:val="07E775D3"/>
    <w:rsid w:val="07F24573"/>
    <w:rsid w:val="07F72BA6"/>
    <w:rsid w:val="07F7358F"/>
    <w:rsid w:val="07F8458B"/>
    <w:rsid w:val="07F95559"/>
    <w:rsid w:val="07FB3286"/>
    <w:rsid w:val="08075E2A"/>
    <w:rsid w:val="080C1275"/>
    <w:rsid w:val="080F2EBC"/>
    <w:rsid w:val="080F30D9"/>
    <w:rsid w:val="081C4DA3"/>
    <w:rsid w:val="082757A5"/>
    <w:rsid w:val="08306989"/>
    <w:rsid w:val="08387E2F"/>
    <w:rsid w:val="083E12EC"/>
    <w:rsid w:val="08406CE4"/>
    <w:rsid w:val="084B2667"/>
    <w:rsid w:val="084F33CB"/>
    <w:rsid w:val="08512AD9"/>
    <w:rsid w:val="08560F6B"/>
    <w:rsid w:val="08564759"/>
    <w:rsid w:val="085D7896"/>
    <w:rsid w:val="087150EF"/>
    <w:rsid w:val="08722947"/>
    <w:rsid w:val="0878647D"/>
    <w:rsid w:val="087A0447"/>
    <w:rsid w:val="08812363"/>
    <w:rsid w:val="088A5836"/>
    <w:rsid w:val="088C71AD"/>
    <w:rsid w:val="088F0EC7"/>
    <w:rsid w:val="08917363"/>
    <w:rsid w:val="089474E5"/>
    <w:rsid w:val="08A43592"/>
    <w:rsid w:val="08A7323A"/>
    <w:rsid w:val="08AC1E89"/>
    <w:rsid w:val="08BA6A96"/>
    <w:rsid w:val="08C37475"/>
    <w:rsid w:val="08C47915"/>
    <w:rsid w:val="08C96CD9"/>
    <w:rsid w:val="08CC463A"/>
    <w:rsid w:val="08D06CD2"/>
    <w:rsid w:val="08E5207E"/>
    <w:rsid w:val="08EA14B6"/>
    <w:rsid w:val="08EB1612"/>
    <w:rsid w:val="08EF5980"/>
    <w:rsid w:val="08F20C25"/>
    <w:rsid w:val="08F22AA0"/>
    <w:rsid w:val="09011900"/>
    <w:rsid w:val="090D60CD"/>
    <w:rsid w:val="09154475"/>
    <w:rsid w:val="091F0D16"/>
    <w:rsid w:val="09455276"/>
    <w:rsid w:val="09540C99"/>
    <w:rsid w:val="09722120"/>
    <w:rsid w:val="09931921"/>
    <w:rsid w:val="0994504E"/>
    <w:rsid w:val="09951BEF"/>
    <w:rsid w:val="099579E7"/>
    <w:rsid w:val="09A86984"/>
    <w:rsid w:val="09C26F59"/>
    <w:rsid w:val="09C46E19"/>
    <w:rsid w:val="09CC2D1E"/>
    <w:rsid w:val="09D122E9"/>
    <w:rsid w:val="09D46050"/>
    <w:rsid w:val="09D608DD"/>
    <w:rsid w:val="09D771D4"/>
    <w:rsid w:val="09DA6E2A"/>
    <w:rsid w:val="09E702DD"/>
    <w:rsid w:val="09F2225F"/>
    <w:rsid w:val="09FC4E8C"/>
    <w:rsid w:val="0A00672A"/>
    <w:rsid w:val="0A12645E"/>
    <w:rsid w:val="0A14667A"/>
    <w:rsid w:val="0A242C6D"/>
    <w:rsid w:val="0A2A5EEF"/>
    <w:rsid w:val="0A342E64"/>
    <w:rsid w:val="0A3463D4"/>
    <w:rsid w:val="0A4347C8"/>
    <w:rsid w:val="0A454634"/>
    <w:rsid w:val="0A4707FD"/>
    <w:rsid w:val="0A4E393A"/>
    <w:rsid w:val="0A595E3B"/>
    <w:rsid w:val="0A5A4272"/>
    <w:rsid w:val="0A613063"/>
    <w:rsid w:val="0A694687"/>
    <w:rsid w:val="0A723725"/>
    <w:rsid w:val="0A785488"/>
    <w:rsid w:val="0A7B2E0A"/>
    <w:rsid w:val="0A8448A0"/>
    <w:rsid w:val="0A856C30"/>
    <w:rsid w:val="0A883255"/>
    <w:rsid w:val="0A913826"/>
    <w:rsid w:val="0A9F0EAA"/>
    <w:rsid w:val="0A9F3102"/>
    <w:rsid w:val="0AAA2B3A"/>
    <w:rsid w:val="0AAC48A7"/>
    <w:rsid w:val="0AAE06DA"/>
    <w:rsid w:val="0AB45767"/>
    <w:rsid w:val="0ABA506A"/>
    <w:rsid w:val="0ABC5BC4"/>
    <w:rsid w:val="0ABF0C3B"/>
    <w:rsid w:val="0ACA0AE6"/>
    <w:rsid w:val="0AD13CC7"/>
    <w:rsid w:val="0AD81455"/>
    <w:rsid w:val="0AE24082"/>
    <w:rsid w:val="0AEB73DB"/>
    <w:rsid w:val="0AEE5CC9"/>
    <w:rsid w:val="0AEF7E7E"/>
    <w:rsid w:val="0AF142C5"/>
    <w:rsid w:val="0AF26D60"/>
    <w:rsid w:val="0B00170D"/>
    <w:rsid w:val="0B0C55A3"/>
    <w:rsid w:val="0B195DEC"/>
    <w:rsid w:val="0B320A29"/>
    <w:rsid w:val="0B375A37"/>
    <w:rsid w:val="0B37608B"/>
    <w:rsid w:val="0B491D94"/>
    <w:rsid w:val="0B4C1C23"/>
    <w:rsid w:val="0B5C5BE2"/>
    <w:rsid w:val="0B5F3925"/>
    <w:rsid w:val="0B5F71F3"/>
    <w:rsid w:val="0B6131F9"/>
    <w:rsid w:val="0B7D5340"/>
    <w:rsid w:val="0BA23811"/>
    <w:rsid w:val="0BA45365"/>
    <w:rsid w:val="0BAB69EC"/>
    <w:rsid w:val="0BB26C0D"/>
    <w:rsid w:val="0BB61C22"/>
    <w:rsid w:val="0BC77592"/>
    <w:rsid w:val="0BCA3494"/>
    <w:rsid w:val="0BD56F10"/>
    <w:rsid w:val="0BDF124C"/>
    <w:rsid w:val="0BDF2CAC"/>
    <w:rsid w:val="0BE66D02"/>
    <w:rsid w:val="0BF2478A"/>
    <w:rsid w:val="0BF60CFA"/>
    <w:rsid w:val="0BF75417"/>
    <w:rsid w:val="0BF87C3C"/>
    <w:rsid w:val="0BFC1173"/>
    <w:rsid w:val="0C075659"/>
    <w:rsid w:val="0C090D3D"/>
    <w:rsid w:val="0C0A5DFC"/>
    <w:rsid w:val="0C2E0D0E"/>
    <w:rsid w:val="0C2F1549"/>
    <w:rsid w:val="0C332F3F"/>
    <w:rsid w:val="0C353FE5"/>
    <w:rsid w:val="0C3A4DF1"/>
    <w:rsid w:val="0C4245AA"/>
    <w:rsid w:val="0C4843B9"/>
    <w:rsid w:val="0C4F67E2"/>
    <w:rsid w:val="0C522348"/>
    <w:rsid w:val="0C523489"/>
    <w:rsid w:val="0C654F6B"/>
    <w:rsid w:val="0C6E2563"/>
    <w:rsid w:val="0C6F136A"/>
    <w:rsid w:val="0C721436"/>
    <w:rsid w:val="0C755305"/>
    <w:rsid w:val="0C8B4B82"/>
    <w:rsid w:val="0C8C4C5A"/>
    <w:rsid w:val="0C943AA2"/>
    <w:rsid w:val="0CB01370"/>
    <w:rsid w:val="0CB25637"/>
    <w:rsid w:val="0CBF36BB"/>
    <w:rsid w:val="0CD84A23"/>
    <w:rsid w:val="0CEE78D1"/>
    <w:rsid w:val="0CF100B4"/>
    <w:rsid w:val="0CF35DAA"/>
    <w:rsid w:val="0D0B3AEB"/>
    <w:rsid w:val="0D0D6F08"/>
    <w:rsid w:val="0D103128"/>
    <w:rsid w:val="0D110C4F"/>
    <w:rsid w:val="0D1C7D1F"/>
    <w:rsid w:val="0D21323C"/>
    <w:rsid w:val="0D2F4203"/>
    <w:rsid w:val="0D3E2F48"/>
    <w:rsid w:val="0D411534"/>
    <w:rsid w:val="0D440F4F"/>
    <w:rsid w:val="0D533015"/>
    <w:rsid w:val="0D5374B9"/>
    <w:rsid w:val="0D556D8D"/>
    <w:rsid w:val="0D5A43A4"/>
    <w:rsid w:val="0D6A65BF"/>
    <w:rsid w:val="0D6B5D0D"/>
    <w:rsid w:val="0D725B91"/>
    <w:rsid w:val="0D72790F"/>
    <w:rsid w:val="0D902199"/>
    <w:rsid w:val="0D995086"/>
    <w:rsid w:val="0DA3593E"/>
    <w:rsid w:val="0DA67939"/>
    <w:rsid w:val="0DAB4895"/>
    <w:rsid w:val="0DAE46EF"/>
    <w:rsid w:val="0DAF2891"/>
    <w:rsid w:val="0DB8731C"/>
    <w:rsid w:val="0DC0193D"/>
    <w:rsid w:val="0DC141F2"/>
    <w:rsid w:val="0DC51A08"/>
    <w:rsid w:val="0DCD4F6C"/>
    <w:rsid w:val="0DD02F0F"/>
    <w:rsid w:val="0DD4472D"/>
    <w:rsid w:val="0DDB451D"/>
    <w:rsid w:val="0DE10191"/>
    <w:rsid w:val="0DF04D08"/>
    <w:rsid w:val="0DF20A80"/>
    <w:rsid w:val="0DF376DD"/>
    <w:rsid w:val="0DF90060"/>
    <w:rsid w:val="0E0E45D2"/>
    <w:rsid w:val="0E19425F"/>
    <w:rsid w:val="0E237841"/>
    <w:rsid w:val="0E29730F"/>
    <w:rsid w:val="0E2D7BE3"/>
    <w:rsid w:val="0E320E7D"/>
    <w:rsid w:val="0E342E47"/>
    <w:rsid w:val="0E3D06A0"/>
    <w:rsid w:val="0E462C4C"/>
    <w:rsid w:val="0E4B1A1C"/>
    <w:rsid w:val="0E4D215A"/>
    <w:rsid w:val="0E504189"/>
    <w:rsid w:val="0E536E32"/>
    <w:rsid w:val="0E5556B2"/>
    <w:rsid w:val="0E561CB2"/>
    <w:rsid w:val="0E583303"/>
    <w:rsid w:val="0E5C693D"/>
    <w:rsid w:val="0E680D42"/>
    <w:rsid w:val="0E76345F"/>
    <w:rsid w:val="0E8012D9"/>
    <w:rsid w:val="0E810684"/>
    <w:rsid w:val="0E833B53"/>
    <w:rsid w:val="0E836136"/>
    <w:rsid w:val="0E8C1749"/>
    <w:rsid w:val="0E9059C9"/>
    <w:rsid w:val="0E972E44"/>
    <w:rsid w:val="0EA7314F"/>
    <w:rsid w:val="0EAE0E4B"/>
    <w:rsid w:val="0EBC360E"/>
    <w:rsid w:val="0EC3752D"/>
    <w:rsid w:val="0ECC307F"/>
    <w:rsid w:val="0ECE4A09"/>
    <w:rsid w:val="0ED57430"/>
    <w:rsid w:val="0ED729EE"/>
    <w:rsid w:val="0EDC5E02"/>
    <w:rsid w:val="0EDF706C"/>
    <w:rsid w:val="0EE6424E"/>
    <w:rsid w:val="0EEC1973"/>
    <w:rsid w:val="0EF146A7"/>
    <w:rsid w:val="0EF31966"/>
    <w:rsid w:val="0EF83E74"/>
    <w:rsid w:val="0EF93AF3"/>
    <w:rsid w:val="0EFA4090"/>
    <w:rsid w:val="0F0A1DF9"/>
    <w:rsid w:val="0F1133CB"/>
    <w:rsid w:val="0F1173AD"/>
    <w:rsid w:val="0F244060"/>
    <w:rsid w:val="0F405BCB"/>
    <w:rsid w:val="0F4444D7"/>
    <w:rsid w:val="0F454276"/>
    <w:rsid w:val="0F4C41C0"/>
    <w:rsid w:val="0F4E5368"/>
    <w:rsid w:val="0F5D698D"/>
    <w:rsid w:val="0F5F5CA1"/>
    <w:rsid w:val="0F672DA8"/>
    <w:rsid w:val="0F6874B0"/>
    <w:rsid w:val="0F73799F"/>
    <w:rsid w:val="0F847DFE"/>
    <w:rsid w:val="0F881ACB"/>
    <w:rsid w:val="0F890F70"/>
    <w:rsid w:val="0F8C5688"/>
    <w:rsid w:val="0F915CF4"/>
    <w:rsid w:val="0F93489A"/>
    <w:rsid w:val="0FAC06D9"/>
    <w:rsid w:val="0FAD016D"/>
    <w:rsid w:val="0FAF0058"/>
    <w:rsid w:val="0FB3122B"/>
    <w:rsid w:val="0FBD5F7F"/>
    <w:rsid w:val="0FC1744F"/>
    <w:rsid w:val="0FC63BDB"/>
    <w:rsid w:val="0FC64AEA"/>
    <w:rsid w:val="0FCB1589"/>
    <w:rsid w:val="0FD41D0C"/>
    <w:rsid w:val="0FE66BBE"/>
    <w:rsid w:val="0FED0C0B"/>
    <w:rsid w:val="0FEF5F5D"/>
    <w:rsid w:val="0FF02D9D"/>
    <w:rsid w:val="0FF0673A"/>
    <w:rsid w:val="0FF42037"/>
    <w:rsid w:val="0FF54080"/>
    <w:rsid w:val="0FF65639"/>
    <w:rsid w:val="0FF7412C"/>
    <w:rsid w:val="0FFE793F"/>
    <w:rsid w:val="100B407B"/>
    <w:rsid w:val="100F142D"/>
    <w:rsid w:val="101565F4"/>
    <w:rsid w:val="101A3E7C"/>
    <w:rsid w:val="101C0036"/>
    <w:rsid w:val="1025642B"/>
    <w:rsid w:val="10271170"/>
    <w:rsid w:val="1027514F"/>
    <w:rsid w:val="102A6199"/>
    <w:rsid w:val="102B29FC"/>
    <w:rsid w:val="102D1D40"/>
    <w:rsid w:val="10304C1F"/>
    <w:rsid w:val="10305890"/>
    <w:rsid w:val="103A2396"/>
    <w:rsid w:val="10455091"/>
    <w:rsid w:val="10473C4E"/>
    <w:rsid w:val="10497F6A"/>
    <w:rsid w:val="104A6951"/>
    <w:rsid w:val="104F6378"/>
    <w:rsid w:val="10516984"/>
    <w:rsid w:val="105B5D70"/>
    <w:rsid w:val="105C0433"/>
    <w:rsid w:val="105C7C29"/>
    <w:rsid w:val="105F3958"/>
    <w:rsid w:val="10627D00"/>
    <w:rsid w:val="106663EC"/>
    <w:rsid w:val="10670626"/>
    <w:rsid w:val="1072039F"/>
    <w:rsid w:val="10855BDB"/>
    <w:rsid w:val="10867E54"/>
    <w:rsid w:val="1088747A"/>
    <w:rsid w:val="108A4A7A"/>
    <w:rsid w:val="109113BA"/>
    <w:rsid w:val="10914580"/>
    <w:rsid w:val="109802C9"/>
    <w:rsid w:val="109A1D19"/>
    <w:rsid w:val="10A122E9"/>
    <w:rsid w:val="10A15A4A"/>
    <w:rsid w:val="10A2678D"/>
    <w:rsid w:val="10B169D0"/>
    <w:rsid w:val="10B448AF"/>
    <w:rsid w:val="10B77B5F"/>
    <w:rsid w:val="10BA6FC7"/>
    <w:rsid w:val="10C03740"/>
    <w:rsid w:val="10C62793"/>
    <w:rsid w:val="10E137BD"/>
    <w:rsid w:val="10E16330"/>
    <w:rsid w:val="10E51C43"/>
    <w:rsid w:val="10FB1CFE"/>
    <w:rsid w:val="10FB57F0"/>
    <w:rsid w:val="11054F59"/>
    <w:rsid w:val="111451B1"/>
    <w:rsid w:val="11161E06"/>
    <w:rsid w:val="111B4847"/>
    <w:rsid w:val="11221ADC"/>
    <w:rsid w:val="11241AA9"/>
    <w:rsid w:val="11266649"/>
    <w:rsid w:val="11297EC9"/>
    <w:rsid w:val="11381CFF"/>
    <w:rsid w:val="113969C6"/>
    <w:rsid w:val="113E2E5F"/>
    <w:rsid w:val="114430CC"/>
    <w:rsid w:val="1149532B"/>
    <w:rsid w:val="114E421F"/>
    <w:rsid w:val="11537A88"/>
    <w:rsid w:val="11553868"/>
    <w:rsid w:val="11673533"/>
    <w:rsid w:val="11687794"/>
    <w:rsid w:val="11761FC4"/>
    <w:rsid w:val="11777E64"/>
    <w:rsid w:val="11795660"/>
    <w:rsid w:val="117A4ECD"/>
    <w:rsid w:val="117B268D"/>
    <w:rsid w:val="117F6ACF"/>
    <w:rsid w:val="118529A6"/>
    <w:rsid w:val="11877731"/>
    <w:rsid w:val="11880F61"/>
    <w:rsid w:val="118968DB"/>
    <w:rsid w:val="11902A8A"/>
    <w:rsid w:val="11913A5E"/>
    <w:rsid w:val="11954167"/>
    <w:rsid w:val="11AB27E4"/>
    <w:rsid w:val="11AB3900"/>
    <w:rsid w:val="11B62E1B"/>
    <w:rsid w:val="11BA71FD"/>
    <w:rsid w:val="11BF7BE1"/>
    <w:rsid w:val="11E44B84"/>
    <w:rsid w:val="11F500D0"/>
    <w:rsid w:val="11FE3E97"/>
    <w:rsid w:val="1207193D"/>
    <w:rsid w:val="12080872"/>
    <w:rsid w:val="120A52F6"/>
    <w:rsid w:val="120A5FBD"/>
    <w:rsid w:val="120F1501"/>
    <w:rsid w:val="121012A0"/>
    <w:rsid w:val="1211524D"/>
    <w:rsid w:val="12131DF4"/>
    <w:rsid w:val="121D56EB"/>
    <w:rsid w:val="12282E23"/>
    <w:rsid w:val="12340914"/>
    <w:rsid w:val="123632B2"/>
    <w:rsid w:val="124878CD"/>
    <w:rsid w:val="124C3DA0"/>
    <w:rsid w:val="125B6724"/>
    <w:rsid w:val="125E66E4"/>
    <w:rsid w:val="1260465A"/>
    <w:rsid w:val="12641E84"/>
    <w:rsid w:val="126924BD"/>
    <w:rsid w:val="126D63D9"/>
    <w:rsid w:val="127E28A6"/>
    <w:rsid w:val="127F754C"/>
    <w:rsid w:val="128B4FFF"/>
    <w:rsid w:val="128C11D9"/>
    <w:rsid w:val="128E689D"/>
    <w:rsid w:val="12986019"/>
    <w:rsid w:val="129A025D"/>
    <w:rsid w:val="12AC3A9D"/>
    <w:rsid w:val="12BD0474"/>
    <w:rsid w:val="12BD412E"/>
    <w:rsid w:val="12C61325"/>
    <w:rsid w:val="12D40754"/>
    <w:rsid w:val="12DE5A77"/>
    <w:rsid w:val="12E55783"/>
    <w:rsid w:val="12E806A4"/>
    <w:rsid w:val="12F217F1"/>
    <w:rsid w:val="130A100F"/>
    <w:rsid w:val="131A6229"/>
    <w:rsid w:val="131D3F6B"/>
    <w:rsid w:val="13205400"/>
    <w:rsid w:val="1324792E"/>
    <w:rsid w:val="13262314"/>
    <w:rsid w:val="13271C39"/>
    <w:rsid w:val="132971BE"/>
    <w:rsid w:val="1332514D"/>
    <w:rsid w:val="133905DA"/>
    <w:rsid w:val="134A0A16"/>
    <w:rsid w:val="13565425"/>
    <w:rsid w:val="1356560D"/>
    <w:rsid w:val="135936B5"/>
    <w:rsid w:val="135B7C44"/>
    <w:rsid w:val="135C4646"/>
    <w:rsid w:val="13637D2A"/>
    <w:rsid w:val="136A6D5A"/>
    <w:rsid w:val="137150A6"/>
    <w:rsid w:val="13751FD7"/>
    <w:rsid w:val="138C4596"/>
    <w:rsid w:val="138E2FF9"/>
    <w:rsid w:val="13A35760"/>
    <w:rsid w:val="13A605C4"/>
    <w:rsid w:val="13A91BE1"/>
    <w:rsid w:val="13B14F39"/>
    <w:rsid w:val="13B231DF"/>
    <w:rsid w:val="13B42D6D"/>
    <w:rsid w:val="13BF593A"/>
    <w:rsid w:val="13C20EF5"/>
    <w:rsid w:val="13C36B5C"/>
    <w:rsid w:val="13C509A3"/>
    <w:rsid w:val="13C70B45"/>
    <w:rsid w:val="13CC5951"/>
    <w:rsid w:val="13D84274"/>
    <w:rsid w:val="13E0137B"/>
    <w:rsid w:val="13EE2074"/>
    <w:rsid w:val="13F416E5"/>
    <w:rsid w:val="13F624FF"/>
    <w:rsid w:val="13FB15C8"/>
    <w:rsid w:val="1404577A"/>
    <w:rsid w:val="14112514"/>
    <w:rsid w:val="1416601D"/>
    <w:rsid w:val="141B2DFD"/>
    <w:rsid w:val="141D25CF"/>
    <w:rsid w:val="1423576F"/>
    <w:rsid w:val="1427164E"/>
    <w:rsid w:val="142C52A1"/>
    <w:rsid w:val="143D7C6D"/>
    <w:rsid w:val="14426230"/>
    <w:rsid w:val="14450686"/>
    <w:rsid w:val="145062A0"/>
    <w:rsid w:val="14554F87"/>
    <w:rsid w:val="145767D9"/>
    <w:rsid w:val="145F25C9"/>
    <w:rsid w:val="14643764"/>
    <w:rsid w:val="146C5A05"/>
    <w:rsid w:val="14765768"/>
    <w:rsid w:val="14776D1D"/>
    <w:rsid w:val="147B7480"/>
    <w:rsid w:val="147E12BF"/>
    <w:rsid w:val="147E74D6"/>
    <w:rsid w:val="148D26ED"/>
    <w:rsid w:val="14901E99"/>
    <w:rsid w:val="14943B26"/>
    <w:rsid w:val="149B5BB4"/>
    <w:rsid w:val="149D34E2"/>
    <w:rsid w:val="14A34882"/>
    <w:rsid w:val="14A62D61"/>
    <w:rsid w:val="14B65343"/>
    <w:rsid w:val="14C30A80"/>
    <w:rsid w:val="14C341FF"/>
    <w:rsid w:val="14C92AA1"/>
    <w:rsid w:val="14D26F15"/>
    <w:rsid w:val="14D34889"/>
    <w:rsid w:val="14E354DA"/>
    <w:rsid w:val="14EF3F6B"/>
    <w:rsid w:val="14EF5D19"/>
    <w:rsid w:val="14F7137E"/>
    <w:rsid w:val="1501324B"/>
    <w:rsid w:val="15035321"/>
    <w:rsid w:val="150455D1"/>
    <w:rsid w:val="15063063"/>
    <w:rsid w:val="15136330"/>
    <w:rsid w:val="15233018"/>
    <w:rsid w:val="152B6F63"/>
    <w:rsid w:val="152F7206"/>
    <w:rsid w:val="15314A2C"/>
    <w:rsid w:val="153B22BF"/>
    <w:rsid w:val="153E788E"/>
    <w:rsid w:val="154F67B8"/>
    <w:rsid w:val="1558225D"/>
    <w:rsid w:val="155E69FB"/>
    <w:rsid w:val="155F58F6"/>
    <w:rsid w:val="1571257F"/>
    <w:rsid w:val="157224A6"/>
    <w:rsid w:val="15804500"/>
    <w:rsid w:val="15852C95"/>
    <w:rsid w:val="15875F52"/>
    <w:rsid w:val="159D14F7"/>
    <w:rsid w:val="15B45973"/>
    <w:rsid w:val="15B74140"/>
    <w:rsid w:val="15B825AF"/>
    <w:rsid w:val="15BC293A"/>
    <w:rsid w:val="15C90318"/>
    <w:rsid w:val="15CA0E7F"/>
    <w:rsid w:val="15CA22E2"/>
    <w:rsid w:val="15D81EF7"/>
    <w:rsid w:val="15DD3DC4"/>
    <w:rsid w:val="15DE174F"/>
    <w:rsid w:val="15E3366A"/>
    <w:rsid w:val="16010AFE"/>
    <w:rsid w:val="16063AA0"/>
    <w:rsid w:val="16092E0B"/>
    <w:rsid w:val="16134D55"/>
    <w:rsid w:val="161A6DC6"/>
    <w:rsid w:val="161C0D90"/>
    <w:rsid w:val="16241D49"/>
    <w:rsid w:val="162972B9"/>
    <w:rsid w:val="162B2D81"/>
    <w:rsid w:val="162B4B2F"/>
    <w:rsid w:val="16347871"/>
    <w:rsid w:val="163C065A"/>
    <w:rsid w:val="163D73D7"/>
    <w:rsid w:val="164901B2"/>
    <w:rsid w:val="16534086"/>
    <w:rsid w:val="165A18B8"/>
    <w:rsid w:val="166813E7"/>
    <w:rsid w:val="16687394"/>
    <w:rsid w:val="16711794"/>
    <w:rsid w:val="167469B2"/>
    <w:rsid w:val="167A6959"/>
    <w:rsid w:val="168240D2"/>
    <w:rsid w:val="1686191E"/>
    <w:rsid w:val="1686445B"/>
    <w:rsid w:val="16873D30"/>
    <w:rsid w:val="168E4F39"/>
    <w:rsid w:val="16A4068F"/>
    <w:rsid w:val="16A62408"/>
    <w:rsid w:val="16A9014A"/>
    <w:rsid w:val="16AB6DCA"/>
    <w:rsid w:val="16B533FE"/>
    <w:rsid w:val="16B56757"/>
    <w:rsid w:val="16BF2C26"/>
    <w:rsid w:val="16C65FA2"/>
    <w:rsid w:val="16C808CD"/>
    <w:rsid w:val="16C91141"/>
    <w:rsid w:val="16CD208A"/>
    <w:rsid w:val="16CD3E38"/>
    <w:rsid w:val="16D30323"/>
    <w:rsid w:val="16DD1801"/>
    <w:rsid w:val="16DE20A4"/>
    <w:rsid w:val="16DE7170"/>
    <w:rsid w:val="16E42F30"/>
    <w:rsid w:val="16EC15B1"/>
    <w:rsid w:val="16ED44DA"/>
    <w:rsid w:val="16F54E7E"/>
    <w:rsid w:val="16F64EA3"/>
    <w:rsid w:val="1703785A"/>
    <w:rsid w:val="1703788F"/>
    <w:rsid w:val="170D692B"/>
    <w:rsid w:val="172004E9"/>
    <w:rsid w:val="173D00AC"/>
    <w:rsid w:val="1759391E"/>
    <w:rsid w:val="17600902"/>
    <w:rsid w:val="176A5686"/>
    <w:rsid w:val="176B0033"/>
    <w:rsid w:val="176C5A33"/>
    <w:rsid w:val="17712A16"/>
    <w:rsid w:val="177E3384"/>
    <w:rsid w:val="17827370"/>
    <w:rsid w:val="178C3191"/>
    <w:rsid w:val="178E022A"/>
    <w:rsid w:val="179235A8"/>
    <w:rsid w:val="17926D92"/>
    <w:rsid w:val="17932454"/>
    <w:rsid w:val="17973558"/>
    <w:rsid w:val="179761F4"/>
    <w:rsid w:val="17A20C6B"/>
    <w:rsid w:val="17AC1A7D"/>
    <w:rsid w:val="17AE0DB1"/>
    <w:rsid w:val="17B002FD"/>
    <w:rsid w:val="17B747D9"/>
    <w:rsid w:val="17C37A7E"/>
    <w:rsid w:val="17C57205"/>
    <w:rsid w:val="17CD2F28"/>
    <w:rsid w:val="17D86098"/>
    <w:rsid w:val="17DB3497"/>
    <w:rsid w:val="17DF7A9B"/>
    <w:rsid w:val="17E01949"/>
    <w:rsid w:val="17F35B20"/>
    <w:rsid w:val="17F92A0B"/>
    <w:rsid w:val="18007FB7"/>
    <w:rsid w:val="180514C3"/>
    <w:rsid w:val="18057779"/>
    <w:rsid w:val="18083C32"/>
    <w:rsid w:val="180E582C"/>
    <w:rsid w:val="181250C7"/>
    <w:rsid w:val="181B0BD3"/>
    <w:rsid w:val="18297794"/>
    <w:rsid w:val="18300B23"/>
    <w:rsid w:val="184620F4"/>
    <w:rsid w:val="18544638"/>
    <w:rsid w:val="187148A9"/>
    <w:rsid w:val="188B645A"/>
    <w:rsid w:val="189152F2"/>
    <w:rsid w:val="18AB2506"/>
    <w:rsid w:val="18AB4F78"/>
    <w:rsid w:val="18B51CE9"/>
    <w:rsid w:val="18BD1268"/>
    <w:rsid w:val="18C96988"/>
    <w:rsid w:val="18D45946"/>
    <w:rsid w:val="18D717DF"/>
    <w:rsid w:val="18E53E06"/>
    <w:rsid w:val="18E831AB"/>
    <w:rsid w:val="18E851E1"/>
    <w:rsid w:val="18EC510F"/>
    <w:rsid w:val="18F75BB9"/>
    <w:rsid w:val="19103F29"/>
    <w:rsid w:val="19117AEC"/>
    <w:rsid w:val="19177273"/>
    <w:rsid w:val="19185113"/>
    <w:rsid w:val="1919248B"/>
    <w:rsid w:val="192352E4"/>
    <w:rsid w:val="192A633A"/>
    <w:rsid w:val="19346A48"/>
    <w:rsid w:val="193527BE"/>
    <w:rsid w:val="19363C15"/>
    <w:rsid w:val="194523AD"/>
    <w:rsid w:val="19481E9C"/>
    <w:rsid w:val="194E0E5A"/>
    <w:rsid w:val="19512905"/>
    <w:rsid w:val="19543ABE"/>
    <w:rsid w:val="195B559E"/>
    <w:rsid w:val="196A4428"/>
    <w:rsid w:val="196C557D"/>
    <w:rsid w:val="19754608"/>
    <w:rsid w:val="197B7B7C"/>
    <w:rsid w:val="197C0D71"/>
    <w:rsid w:val="199B6A17"/>
    <w:rsid w:val="19AC1A4C"/>
    <w:rsid w:val="19BC195B"/>
    <w:rsid w:val="19C64D56"/>
    <w:rsid w:val="19CB567A"/>
    <w:rsid w:val="19D86F64"/>
    <w:rsid w:val="19EB7A42"/>
    <w:rsid w:val="19EC0A79"/>
    <w:rsid w:val="19F32962"/>
    <w:rsid w:val="19F32E2F"/>
    <w:rsid w:val="19F978BA"/>
    <w:rsid w:val="19FD1C49"/>
    <w:rsid w:val="1A023DF9"/>
    <w:rsid w:val="1A08042B"/>
    <w:rsid w:val="1A0F5222"/>
    <w:rsid w:val="1A111A09"/>
    <w:rsid w:val="1A152F2F"/>
    <w:rsid w:val="1A1621C7"/>
    <w:rsid w:val="1A1A6026"/>
    <w:rsid w:val="1A1C2C19"/>
    <w:rsid w:val="1A1D3EB4"/>
    <w:rsid w:val="1A24540D"/>
    <w:rsid w:val="1A2A3350"/>
    <w:rsid w:val="1A2A59B6"/>
    <w:rsid w:val="1A345F7C"/>
    <w:rsid w:val="1A37758D"/>
    <w:rsid w:val="1A3E71FD"/>
    <w:rsid w:val="1A422994"/>
    <w:rsid w:val="1A542310"/>
    <w:rsid w:val="1A7647E7"/>
    <w:rsid w:val="1A7E3DE6"/>
    <w:rsid w:val="1A8018D6"/>
    <w:rsid w:val="1A8A15D9"/>
    <w:rsid w:val="1A911621"/>
    <w:rsid w:val="1A9F7BE2"/>
    <w:rsid w:val="1AA50C28"/>
    <w:rsid w:val="1AB51FEC"/>
    <w:rsid w:val="1AB86F6A"/>
    <w:rsid w:val="1ABB08E4"/>
    <w:rsid w:val="1AC56101"/>
    <w:rsid w:val="1AD0039B"/>
    <w:rsid w:val="1AD11A1D"/>
    <w:rsid w:val="1AD734D7"/>
    <w:rsid w:val="1AD90B28"/>
    <w:rsid w:val="1AE5074D"/>
    <w:rsid w:val="1AFA54C9"/>
    <w:rsid w:val="1B060372"/>
    <w:rsid w:val="1B067919"/>
    <w:rsid w:val="1B0D70EF"/>
    <w:rsid w:val="1B134833"/>
    <w:rsid w:val="1B170CA1"/>
    <w:rsid w:val="1B1D009E"/>
    <w:rsid w:val="1B240AD9"/>
    <w:rsid w:val="1B3A53E7"/>
    <w:rsid w:val="1B3F1E98"/>
    <w:rsid w:val="1B44346C"/>
    <w:rsid w:val="1B447883"/>
    <w:rsid w:val="1B4F69F0"/>
    <w:rsid w:val="1B5468D6"/>
    <w:rsid w:val="1B555DD3"/>
    <w:rsid w:val="1B5F3E2D"/>
    <w:rsid w:val="1B713592"/>
    <w:rsid w:val="1B7156DA"/>
    <w:rsid w:val="1B7818DE"/>
    <w:rsid w:val="1B803EA7"/>
    <w:rsid w:val="1B810C12"/>
    <w:rsid w:val="1B8D3B96"/>
    <w:rsid w:val="1B9A6B18"/>
    <w:rsid w:val="1BA96CA8"/>
    <w:rsid w:val="1BAA7852"/>
    <w:rsid w:val="1BAF1D5E"/>
    <w:rsid w:val="1BBD01E0"/>
    <w:rsid w:val="1BC44079"/>
    <w:rsid w:val="1BCA4F7A"/>
    <w:rsid w:val="1BD45C69"/>
    <w:rsid w:val="1BD605F3"/>
    <w:rsid w:val="1BE75189"/>
    <w:rsid w:val="1BF01FFA"/>
    <w:rsid w:val="1BF115FF"/>
    <w:rsid w:val="1BF9122C"/>
    <w:rsid w:val="1BFA1DAE"/>
    <w:rsid w:val="1C0D72D6"/>
    <w:rsid w:val="1C194EA0"/>
    <w:rsid w:val="1C2072E4"/>
    <w:rsid w:val="1C2107F5"/>
    <w:rsid w:val="1C2A7637"/>
    <w:rsid w:val="1C4454C3"/>
    <w:rsid w:val="1C463DD2"/>
    <w:rsid w:val="1C4671C1"/>
    <w:rsid w:val="1C49566C"/>
    <w:rsid w:val="1C4B6499"/>
    <w:rsid w:val="1C4E77C9"/>
    <w:rsid w:val="1C521ECE"/>
    <w:rsid w:val="1C5446B4"/>
    <w:rsid w:val="1C551849"/>
    <w:rsid w:val="1C5F6D67"/>
    <w:rsid w:val="1C646FED"/>
    <w:rsid w:val="1C7C60E2"/>
    <w:rsid w:val="1C861D86"/>
    <w:rsid w:val="1CB12E70"/>
    <w:rsid w:val="1CB54FBC"/>
    <w:rsid w:val="1CB67720"/>
    <w:rsid w:val="1CB7443F"/>
    <w:rsid w:val="1CC00F43"/>
    <w:rsid w:val="1CC27F18"/>
    <w:rsid w:val="1CCE2454"/>
    <w:rsid w:val="1CCE70FA"/>
    <w:rsid w:val="1CD31210"/>
    <w:rsid w:val="1CD6156D"/>
    <w:rsid w:val="1CDA5429"/>
    <w:rsid w:val="1CDA7C08"/>
    <w:rsid w:val="1CDC3027"/>
    <w:rsid w:val="1CDF5444"/>
    <w:rsid w:val="1CE33463"/>
    <w:rsid w:val="1CF245F9"/>
    <w:rsid w:val="1CFA525B"/>
    <w:rsid w:val="1CFE7CC5"/>
    <w:rsid w:val="1CFF32CC"/>
    <w:rsid w:val="1D0428D1"/>
    <w:rsid w:val="1D087914"/>
    <w:rsid w:val="1D0E51AB"/>
    <w:rsid w:val="1D0F39CD"/>
    <w:rsid w:val="1D1628DD"/>
    <w:rsid w:val="1D167BBB"/>
    <w:rsid w:val="1D187DD7"/>
    <w:rsid w:val="1D247B2E"/>
    <w:rsid w:val="1D3369BF"/>
    <w:rsid w:val="1D3D6E21"/>
    <w:rsid w:val="1D440BCC"/>
    <w:rsid w:val="1D4A104F"/>
    <w:rsid w:val="1D5105FE"/>
    <w:rsid w:val="1D566256"/>
    <w:rsid w:val="1D5A219E"/>
    <w:rsid w:val="1D5D57EA"/>
    <w:rsid w:val="1D5E2B68"/>
    <w:rsid w:val="1D682760"/>
    <w:rsid w:val="1D684BFF"/>
    <w:rsid w:val="1D70376F"/>
    <w:rsid w:val="1D7777EA"/>
    <w:rsid w:val="1D790876"/>
    <w:rsid w:val="1D8151DC"/>
    <w:rsid w:val="1D827D4F"/>
    <w:rsid w:val="1D862C10"/>
    <w:rsid w:val="1D86372D"/>
    <w:rsid w:val="1D8B7007"/>
    <w:rsid w:val="1D9236E6"/>
    <w:rsid w:val="1D9317D5"/>
    <w:rsid w:val="1D990F18"/>
    <w:rsid w:val="1D994785"/>
    <w:rsid w:val="1D9C1C9E"/>
    <w:rsid w:val="1DA17DCD"/>
    <w:rsid w:val="1DAA1FCD"/>
    <w:rsid w:val="1DAE7300"/>
    <w:rsid w:val="1DB37F40"/>
    <w:rsid w:val="1DC94A18"/>
    <w:rsid w:val="1DCA7323"/>
    <w:rsid w:val="1DCF11AF"/>
    <w:rsid w:val="1DE71932"/>
    <w:rsid w:val="1E067FD0"/>
    <w:rsid w:val="1E131252"/>
    <w:rsid w:val="1E16761F"/>
    <w:rsid w:val="1E1C296E"/>
    <w:rsid w:val="1E220F0E"/>
    <w:rsid w:val="1E2B296F"/>
    <w:rsid w:val="1E3B1FCF"/>
    <w:rsid w:val="1E3B3DBE"/>
    <w:rsid w:val="1E455902"/>
    <w:rsid w:val="1E482113"/>
    <w:rsid w:val="1E4A0224"/>
    <w:rsid w:val="1E4A0464"/>
    <w:rsid w:val="1E5135AB"/>
    <w:rsid w:val="1E566A9B"/>
    <w:rsid w:val="1E5906A7"/>
    <w:rsid w:val="1E5B11C2"/>
    <w:rsid w:val="1E625BA4"/>
    <w:rsid w:val="1E641BF9"/>
    <w:rsid w:val="1E685343"/>
    <w:rsid w:val="1E8411D7"/>
    <w:rsid w:val="1E860D4B"/>
    <w:rsid w:val="1E8B091C"/>
    <w:rsid w:val="1E911BEF"/>
    <w:rsid w:val="1EA17CFA"/>
    <w:rsid w:val="1EA2204E"/>
    <w:rsid w:val="1EA85C77"/>
    <w:rsid w:val="1EA94266"/>
    <w:rsid w:val="1EAC638B"/>
    <w:rsid w:val="1EAF2075"/>
    <w:rsid w:val="1EB12F62"/>
    <w:rsid w:val="1EB37DB8"/>
    <w:rsid w:val="1EB549B3"/>
    <w:rsid w:val="1EBB6C6C"/>
    <w:rsid w:val="1EC21DA9"/>
    <w:rsid w:val="1EC732BD"/>
    <w:rsid w:val="1ECC0E79"/>
    <w:rsid w:val="1ED76559"/>
    <w:rsid w:val="1EE9292A"/>
    <w:rsid w:val="1EEC6E65"/>
    <w:rsid w:val="1F0717E1"/>
    <w:rsid w:val="1F095C2A"/>
    <w:rsid w:val="1F0B6573"/>
    <w:rsid w:val="1F122490"/>
    <w:rsid w:val="1F1866B4"/>
    <w:rsid w:val="1F274071"/>
    <w:rsid w:val="1F2D3EE7"/>
    <w:rsid w:val="1F3429E6"/>
    <w:rsid w:val="1F394761"/>
    <w:rsid w:val="1F3F164B"/>
    <w:rsid w:val="1F42113B"/>
    <w:rsid w:val="1F433F60"/>
    <w:rsid w:val="1F453CAA"/>
    <w:rsid w:val="1F4C5B16"/>
    <w:rsid w:val="1F510CDC"/>
    <w:rsid w:val="1F57306A"/>
    <w:rsid w:val="1F58672D"/>
    <w:rsid w:val="1F5C21FD"/>
    <w:rsid w:val="1F621928"/>
    <w:rsid w:val="1F75506D"/>
    <w:rsid w:val="1F7F116C"/>
    <w:rsid w:val="1F837CBF"/>
    <w:rsid w:val="1F975732"/>
    <w:rsid w:val="1F9A2CFD"/>
    <w:rsid w:val="1F9C1C18"/>
    <w:rsid w:val="1F9C64CE"/>
    <w:rsid w:val="1FA40111"/>
    <w:rsid w:val="1FA82BC2"/>
    <w:rsid w:val="1FB137B2"/>
    <w:rsid w:val="1FB45C7C"/>
    <w:rsid w:val="1FBF6C2C"/>
    <w:rsid w:val="1FC73B9A"/>
    <w:rsid w:val="1FD06747"/>
    <w:rsid w:val="1FD20DA4"/>
    <w:rsid w:val="1FD33579"/>
    <w:rsid w:val="1FE44B36"/>
    <w:rsid w:val="1FEE637A"/>
    <w:rsid w:val="1FEF26C4"/>
    <w:rsid w:val="1FF56E00"/>
    <w:rsid w:val="1FF959D3"/>
    <w:rsid w:val="20020FF7"/>
    <w:rsid w:val="20022A1A"/>
    <w:rsid w:val="200C67DD"/>
    <w:rsid w:val="20120B0E"/>
    <w:rsid w:val="20127FCD"/>
    <w:rsid w:val="201362E7"/>
    <w:rsid w:val="20157DC4"/>
    <w:rsid w:val="20182154"/>
    <w:rsid w:val="201A0C7D"/>
    <w:rsid w:val="201F2DDD"/>
    <w:rsid w:val="202069BA"/>
    <w:rsid w:val="202F2518"/>
    <w:rsid w:val="203117E9"/>
    <w:rsid w:val="20322137"/>
    <w:rsid w:val="203D0CD3"/>
    <w:rsid w:val="204B5225"/>
    <w:rsid w:val="20522205"/>
    <w:rsid w:val="205D090C"/>
    <w:rsid w:val="20682939"/>
    <w:rsid w:val="20721DF5"/>
    <w:rsid w:val="207C0588"/>
    <w:rsid w:val="20856C7D"/>
    <w:rsid w:val="209617EF"/>
    <w:rsid w:val="20971013"/>
    <w:rsid w:val="20A4708F"/>
    <w:rsid w:val="20B006CB"/>
    <w:rsid w:val="20B97912"/>
    <w:rsid w:val="20BA4E89"/>
    <w:rsid w:val="20BB11A5"/>
    <w:rsid w:val="20BD1908"/>
    <w:rsid w:val="20BE47F2"/>
    <w:rsid w:val="20C63AE1"/>
    <w:rsid w:val="20C742D6"/>
    <w:rsid w:val="20D31457"/>
    <w:rsid w:val="20D83B05"/>
    <w:rsid w:val="20E029BA"/>
    <w:rsid w:val="20EA01C4"/>
    <w:rsid w:val="20EA1F62"/>
    <w:rsid w:val="20EB02CA"/>
    <w:rsid w:val="20EB4E1A"/>
    <w:rsid w:val="20EF35E8"/>
    <w:rsid w:val="20EF4493"/>
    <w:rsid w:val="20F070A1"/>
    <w:rsid w:val="210A7749"/>
    <w:rsid w:val="21115269"/>
    <w:rsid w:val="21121E38"/>
    <w:rsid w:val="2112799E"/>
    <w:rsid w:val="2113462E"/>
    <w:rsid w:val="211A0471"/>
    <w:rsid w:val="21260D15"/>
    <w:rsid w:val="21323553"/>
    <w:rsid w:val="213663E1"/>
    <w:rsid w:val="213960B7"/>
    <w:rsid w:val="213C47A6"/>
    <w:rsid w:val="213D197A"/>
    <w:rsid w:val="214A6377"/>
    <w:rsid w:val="214B42B4"/>
    <w:rsid w:val="214B6D4C"/>
    <w:rsid w:val="215277DE"/>
    <w:rsid w:val="21547189"/>
    <w:rsid w:val="21576A6A"/>
    <w:rsid w:val="215E2E66"/>
    <w:rsid w:val="21630741"/>
    <w:rsid w:val="217016BE"/>
    <w:rsid w:val="21741D06"/>
    <w:rsid w:val="217961F5"/>
    <w:rsid w:val="217A2887"/>
    <w:rsid w:val="218A7CDE"/>
    <w:rsid w:val="218B39F0"/>
    <w:rsid w:val="21902632"/>
    <w:rsid w:val="2194387F"/>
    <w:rsid w:val="219B4CCB"/>
    <w:rsid w:val="21AB4A3D"/>
    <w:rsid w:val="21B836A9"/>
    <w:rsid w:val="21BA4448"/>
    <w:rsid w:val="21C04848"/>
    <w:rsid w:val="21CE1561"/>
    <w:rsid w:val="21D7601A"/>
    <w:rsid w:val="21D94524"/>
    <w:rsid w:val="21E21860"/>
    <w:rsid w:val="21F22A09"/>
    <w:rsid w:val="21F8464F"/>
    <w:rsid w:val="21FB3E29"/>
    <w:rsid w:val="22006ABB"/>
    <w:rsid w:val="22036CED"/>
    <w:rsid w:val="22065492"/>
    <w:rsid w:val="22086D5F"/>
    <w:rsid w:val="220A23E4"/>
    <w:rsid w:val="22105521"/>
    <w:rsid w:val="22127D94"/>
    <w:rsid w:val="2219008B"/>
    <w:rsid w:val="221943D6"/>
    <w:rsid w:val="22197164"/>
    <w:rsid w:val="222734EC"/>
    <w:rsid w:val="223C5356"/>
    <w:rsid w:val="224D22D1"/>
    <w:rsid w:val="22576CAC"/>
    <w:rsid w:val="22577E9D"/>
    <w:rsid w:val="225A171B"/>
    <w:rsid w:val="225A547C"/>
    <w:rsid w:val="225B5797"/>
    <w:rsid w:val="225C1B8B"/>
    <w:rsid w:val="226B29C3"/>
    <w:rsid w:val="2273006A"/>
    <w:rsid w:val="22735ACB"/>
    <w:rsid w:val="22791318"/>
    <w:rsid w:val="227B0BEC"/>
    <w:rsid w:val="227D1357"/>
    <w:rsid w:val="227F3541"/>
    <w:rsid w:val="227F5DD8"/>
    <w:rsid w:val="228D6B72"/>
    <w:rsid w:val="22971DEB"/>
    <w:rsid w:val="229D5613"/>
    <w:rsid w:val="229E5854"/>
    <w:rsid w:val="229F30BB"/>
    <w:rsid w:val="229F6964"/>
    <w:rsid w:val="22A243CB"/>
    <w:rsid w:val="22A73404"/>
    <w:rsid w:val="22AA1450"/>
    <w:rsid w:val="22AA194C"/>
    <w:rsid w:val="22AA7E1E"/>
    <w:rsid w:val="22B45EAC"/>
    <w:rsid w:val="22CF3CDA"/>
    <w:rsid w:val="22D629CA"/>
    <w:rsid w:val="22D8278C"/>
    <w:rsid w:val="22E319F7"/>
    <w:rsid w:val="22E92FB8"/>
    <w:rsid w:val="22EC6B17"/>
    <w:rsid w:val="22EF2060"/>
    <w:rsid w:val="22EF3388"/>
    <w:rsid w:val="22EF5136"/>
    <w:rsid w:val="22F15272"/>
    <w:rsid w:val="2303009E"/>
    <w:rsid w:val="230D7B6D"/>
    <w:rsid w:val="23183019"/>
    <w:rsid w:val="231F5D2B"/>
    <w:rsid w:val="232079E6"/>
    <w:rsid w:val="23243032"/>
    <w:rsid w:val="23321A81"/>
    <w:rsid w:val="23344460"/>
    <w:rsid w:val="233E4277"/>
    <w:rsid w:val="233F60BE"/>
    <w:rsid w:val="235012F5"/>
    <w:rsid w:val="23607DE2"/>
    <w:rsid w:val="23623B5A"/>
    <w:rsid w:val="23636E2B"/>
    <w:rsid w:val="236553F8"/>
    <w:rsid w:val="236A6CF0"/>
    <w:rsid w:val="23704BA9"/>
    <w:rsid w:val="23767606"/>
    <w:rsid w:val="237678AA"/>
    <w:rsid w:val="2379775D"/>
    <w:rsid w:val="237A53B2"/>
    <w:rsid w:val="238F24D8"/>
    <w:rsid w:val="23944A7B"/>
    <w:rsid w:val="239864BD"/>
    <w:rsid w:val="239947B9"/>
    <w:rsid w:val="239E2206"/>
    <w:rsid w:val="23AD0555"/>
    <w:rsid w:val="23B148E2"/>
    <w:rsid w:val="23C21C08"/>
    <w:rsid w:val="23D82812"/>
    <w:rsid w:val="23D8346C"/>
    <w:rsid w:val="23D84773"/>
    <w:rsid w:val="23E52427"/>
    <w:rsid w:val="23E85E15"/>
    <w:rsid w:val="23F016A2"/>
    <w:rsid w:val="23F376B7"/>
    <w:rsid w:val="23FD2161"/>
    <w:rsid w:val="23FD6E50"/>
    <w:rsid w:val="240F5C1B"/>
    <w:rsid w:val="240F5CB6"/>
    <w:rsid w:val="241D402C"/>
    <w:rsid w:val="243D1692"/>
    <w:rsid w:val="244008F1"/>
    <w:rsid w:val="244140D2"/>
    <w:rsid w:val="24467E41"/>
    <w:rsid w:val="245B3B5C"/>
    <w:rsid w:val="246C3480"/>
    <w:rsid w:val="247023F2"/>
    <w:rsid w:val="24704055"/>
    <w:rsid w:val="24733DEA"/>
    <w:rsid w:val="247578BD"/>
    <w:rsid w:val="2477721B"/>
    <w:rsid w:val="247E6772"/>
    <w:rsid w:val="2480698E"/>
    <w:rsid w:val="24861ACA"/>
    <w:rsid w:val="24985DA7"/>
    <w:rsid w:val="249A1A6B"/>
    <w:rsid w:val="24A969C4"/>
    <w:rsid w:val="24AA7567"/>
    <w:rsid w:val="24B439C6"/>
    <w:rsid w:val="24BB1FD8"/>
    <w:rsid w:val="24C05D6D"/>
    <w:rsid w:val="24CF38A9"/>
    <w:rsid w:val="24D23C9C"/>
    <w:rsid w:val="24ED6857"/>
    <w:rsid w:val="24EE6FBD"/>
    <w:rsid w:val="24F001C4"/>
    <w:rsid w:val="24F904EE"/>
    <w:rsid w:val="24FA4BE3"/>
    <w:rsid w:val="24FA5384"/>
    <w:rsid w:val="24FB6014"/>
    <w:rsid w:val="2501017D"/>
    <w:rsid w:val="2501732F"/>
    <w:rsid w:val="25042435"/>
    <w:rsid w:val="250A5532"/>
    <w:rsid w:val="25195BF6"/>
    <w:rsid w:val="251B0465"/>
    <w:rsid w:val="252D30DC"/>
    <w:rsid w:val="252F0691"/>
    <w:rsid w:val="25315EDA"/>
    <w:rsid w:val="253C2302"/>
    <w:rsid w:val="254B4E37"/>
    <w:rsid w:val="25537674"/>
    <w:rsid w:val="255676EF"/>
    <w:rsid w:val="255F11D7"/>
    <w:rsid w:val="25673A5B"/>
    <w:rsid w:val="257768A5"/>
    <w:rsid w:val="258904E5"/>
    <w:rsid w:val="259F2E44"/>
    <w:rsid w:val="25A05602"/>
    <w:rsid w:val="25A302BA"/>
    <w:rsid w:val="25A62424"/>
    <w:rsid w:val="25AA2900"/>
    <w:rsid w:val="25B82B80"/>
    <w:rsid w:val="25BB35C5"/>
    <w:rsid w:val="25C1499B"/>
    <w:rsid w:val="25C56630"/>
    <w:rsid w:val="25CE08CA"/>
    <w:rsid w:val="25D1537F"/>
    <w:rsid w:val="25DB5394"/>
    <w:rsid w:val="25ED5E58"/>
    <w:rsid w:val="25F018F1"/>
    <w:rsid w:val="25F077EA"/>
    <w:rsid w:val="25F211C5"/>
    <w:rsid w:val="25F464C3"/>
    <w:rsid w:val="25F47529"/>
    <w:rsid w:val="25FA62CC"/>
    <w:rsid w:val="2601765A"/>
    <w:rsid w:val="26026E9C"/>
    <w:rsid w:val="260D4251"/>
    <w:rsid w:val="260F68D2"/>
    <w:rsid w:val="2616406B"/>
    <w:rsid w:val="261E3E24"/>
    <w:rsid w:val="26233A75"/>
    <w:rsid w:val="26241C37"/>
    <w:rsid w:val="26297314"/>
    <w:rsid w:val="264634D2"/>
    <w:rsid w:val="26530E12"/>
    <w:rsid w:val="265E4AAD"/>
    <w:rsid w:val="26617176"/>
    <w:rsid w:val="266A5EAB"/>
    <w:rsid w:val="266B71CA"/>
    <w:rsid w:val="267017DF"/>
    <w:rsid w:val="267243CA"/>
    <w:rsid w:val="2677489A"/>
    <w:rsid w:val="267B07EE"/>
    <w:rsid w:val="267C13D7"/>
    <w:rsid w:val="267E5188"/>
    <w:rsid w:val="268732F1"/>
    <w:rsid w:val="2698180C"/>
    <w:rsid w:val="269A360B"/>
    <w:rsid w:val="269B6CA4"/>
    <w:rsid w:val="26A12BEB"/>
    <w:rsid w:val="26A82166"/>
    <w:rsid w:val="26B2676D"/>
    <w:rsid w:val="26B648E9"/>
    <w:rsid w:val="26BB2FF0"/>
    <w:rsid w:val="26CC6DAE"/>
    <w:rsid w:val="26DB1108"/>
    <w:rsid w:val="26DD3326"/>
    <w:rsid w:val="26E07A13"/>
    <w:rsid w:val="26FB7E82"/>
    <w:rsid w:val="26FE0477"/>
    <w:rsid w:val="270278E7"/>
    <w:rsid w:val="27062D33"/>
    <w:rsid w:val="270A5E16"/>
    <w:rsid w:val="271C6CEB"/>
    <w:rsid w:val="27247AA4"/>
    <w:rsid w:val="27264508"/>
    <w:rsid w:val="27275308"/>
    <w:rsid w:val="272B69DA"/>
    <w:rsid w:val="27300FF9"/>
    <w:rsid w:val="27306961"/>
    <w:rsid w:val="27346B8F"/>
    <w:rsid w:val="273E7F40"/>
    <w:rsid w:val="27435A51"/>
    <w:rsid w:val="27452AAD"/>
    <w:rsid w:val="27541BFC"/>
    <w:rsid w:val="275D2FB6"/>
    <w:rsid w:val="276471EB"/>
    <w:rsid w:val="276C6AAD"/>
    <w:rsid w:val="276F1C0A"/>
    <w:rsid w:val="277A535B"/>
    <w:rsid w:val="27815711"/>
    <w:rsid w:val="27921D05"/>
    <w:rsid w:val="27B11893"/>
    <w:rsid w:val="27B301F5"/>
    <w:rsid w:val="27B343EB"/>
    <w:rsid w:val="27B917D9"/>
    <w:rsid w:val="27BB67F2"/>
    <w:rsid w:val="27C2106B"/>
    <w:rsid w:val="27CE17BE"/>
    <w:rsid w:val="27D112AE"/>
    <w:rsid w:val="27D56FF1"/>
    <w:rsid w:val="27D66A0D"/>
    <w:rsid w:val="27D75C67"/>
    <w:rsid w:val="27D95470"/>
    <w:rsid w:val="27DD3E45"/>
    <w:rsid w:val="27DF1C1D"/>
    <w:rsid w:val="27E03472"/>
    <w:rsid w:val="27E66388"/>
    <w:rsid w:val="27E7741F"/>
    <w:rsid w:val="27EE38FE"/>
    <w:rsid w:val="27EE440B"/>
    <w:rsid w:val="27F0062F"/>
    <w:rsid w:val="27F33EE4"/>
    <w:rsid w:val="27F409D5"/>
    <w:rsid w:val="28017DE6"/>
    <w:rsid w:val="280612FE"/>
    <w:rsid w:val="280C5045"/>
    <w:rsid w:val="280D0DD8"/>
    <w:rsid w:val="280D43ED"/>
    <w:rsid w:val="281101D0"/>
    <w:rsid w:val="281774F5"/>
    <w:rsid w:val="281F026C"/>
    <w:rsid w:val="282F4953"/>
    <w:rsid w:val="28304227"/>
    <w:rsid w:val="28342F2F"/>
    <w:rsid w:val="283C2BCC"/>
    <w:rsid w:val="2845433C"/>
    <w:rsid w:val="28464198"/>
    <w:rsid w:val="284B2E0F"/>
    <w:rsid w:val="284C629E"/>
    <w:rsid w:val="285409FA"/>
    <w:rsid w:val="285443B9"/>
    <w:rsid w:val="28575C58"/>
    <w:rsid w:val="285D1191"/>
    <w:rsid w:val="285F1FD2"/>
    <w:rsid w:val="286839C1"/>
    <w:rsid w:val="28690923"/>
    <w:rsid w:val="28771E56"/>
    <w:rsid w:val="287F70C8"/>
    <w:rsid w:val="28822F06"/>
    <w:rsid w:val="2886653D"/>
    <w:rsid w:val="28880DF6"/>
    <w:rsid w:val="288A1B89"/>
    <w:rsid w:val="28921CDC"/>
    <w:rsid w:val="289D1D9F"/>
    <w:rsid w:val="289E0BE5"/>
    <w:rsid w:val="28A07DA6"/>
    <w:rsid w:val="28A12C95"/>
    <w:rsid w:val="28A22903"/>
    <w:rsid w:val="28B041DE"/>
    <w:rsid w:val="28B96D7F"/>
    <w:rsid w:val="28BC3D0D"/>
    <w:rsid w:val="28C4446D"/>
    <w:rsid w:val="28C50E13"/>
    <w:rsid w:val="28C976D2"/>
    <w:rsid w:val="28CD36A6"/>
    <w:rsid w:val="28E868B0"/>
    <w:rsid w:val="28EA2628"/>
    <w:rsid w:val="28EC2844"/>
    <w:rsid w:val="28EF49A4"/>
    <w:rsid w:val="28F507E0"/>
    <w:rsid w:val="28FE0A0E"/>
    <w:rsid w:val="28FF1471"/>
    <w:rsid w:val="28FF3418"/>
    <w:rsid w:val="290424DB"/>
    <w:rsid w:val="290731DA"/>
    <w:rsid w:val="290C43B0"/>
    <w:rsid w:val="290D3CFD"/>
    <w:rsid w:val="291612ED"/>
    <w:rsid w:val="29180602"/>
    <w:rsid w:val="29192F0D"/>
    <w:rsid w:val="292178F6"/>
    <w:rsid w:val="292264E0"/>
    <w:rsid w:val="29286333"/>
    <w:rsid w:val="292A728C"/>
    <w:rsid w:val="29386107"/>
    <w:rsid w:val="29394CEC"/>
    <w:rsid w:val="294D5D35"/>
    <w:rsid w:val="294F692F"/>
    <w:rsid w:val="29501316"/>
    <w:rsid w:val="29613FA7"/>
    <w:rsid w:val="296F1718"/>
    <w:rsid w:val="29720F92"/>
    <w:rsid w:val="29725FA9"/>
    <w:rsid w:val="297D16EE"/>
    <w:rsid w:val="298A5BB9"/>
    <w:rsid w:val="29905D8B"/>
    <w:rsid w:val="2991644E"/>
    <w:rsid w:val="29964799"/>
    <w:rsid w:val="2999687A"/>
    <w:rsid w:val="29A22E9A"/>
    <w:rsid w:val="29A22F02"/>
    <w:rsid w:val="29AC3294"/>
    <w:rsid w:val="29AF6A79"/>
    <w:rsid w:val="29B15C29"/>
    <w:rsid w:val="29BA46F0"/>
    <w:rsid w:val="29C53C70"/>
    <w:rsid w:val="29C664AF"/>
    <w:rsid w:val="29C966E1"/>
    <w:rsid w:val="29D42826"/>
    <w:rsid w:val="29E17ECF"/>
    <w:rsid w:val="29E7769C"/>
    <w:rsid w:val="29EB19A2"/>
    <w:rsid w:val="29EC7864"/>
    <w:rsid w:val="29EF7509"/>
    <w:rsid w:val="29F06E6F"/>
    <w:rsid w:val="29F174B1"/>
    <w:rsid w:val="29F37C02"/>
    <w:rsid w:val="2A0A1BE0"/>
    <w:rsid w:val="2A106F1F"/>
    <w:rsid w:val="2A16738C"/>
    <w:rsid w:val="2A1F176D"/>
    <w:rsid w:val="2A216FA0"/>
    <w:rsid w:val="2A261D85"/>
    <w:rsid w:val="2A2978A7"/>
    <w:rsid w:val="2A2C5E20"/>
    <w:rsid w:val="2A2F1F1E"/>
    <w:rsid w:val="2A3E0295"/>
    <w:rsid w:val="2A3F69A3"/>
    <w:rsid w:val="2A401D9D"/>
    <w:rsid w:val="2A467D32"/>
    <w:rsid w:val="2A5E426D"/>
    <w:rsid w:val="2A61691A"/>
    <w:rsid w:val="2A663F30"/>
    <w:rsid w:val="2A713C7F"/>
    <w:rsid w:val="2A7147D9"/>
    <w:rsid w:val="2A78126D"/>
    <w:rsid w:val="2A783938"/>
    <w:rsid w:val="2A7E4C21"/>
    <w:rsid w:val="2A7F214F"/>
    <w:rsid w:val="2A816DE6"/>
    <w:rsid w:val="2A8947DB"/>
    <w:rsid w:val="2A8D1AFD"/>
    <w:rsid w:val="2A8E403B"/>
    <w:rsid w:val="2A921248"/>
    <w:rsid w:val="2A9271E7"/>
    <w:rsid w:val="2A965385"/>
    <w:rsid w:val="2A97233B"/>
    <w:rsid w:val="2A972457"/>
    <w:rsid w:val="2A981BB1"/>
    <w:rsid w:val="2AA8279A"/>
    <w:rsid w:val="2AB41D0B"/>
    <w:rsid w:val="2AE17A5A"/>
    <w:rsid w:val="2AE632C3"/>
    <w:rsid w:val="2AE729DA"/>
    <w:rsid w:val="2AEE0A48"/>
    <w:rsid w:val="2AF1047D"/>
    <w:rsid w:val="2AF91248"/>
    <w:rsid w:val="2AFE060C"/>
    <w:rsid w:val="2AFE7F0C"/>
    <w:rsid w:val="2B0A3ECC"/>
    <w:rsid w:val="2B1971F4"/>
    <w:rsid w:val="2B285425"/>
    <w:rsid w:val="2B294DB1"/>
    <w:rsid w:val="2B33447D"/>
    <w:rsid w:val="2B3C0196"/>
    <w:rsid w:val="2B3E5D0E"/>
    <w:rsid w:val="2B567AF0"/>
    <w:rsid w:val="2B5C5333"/>
    <w:rsid w:val="2B603075"/>
    <w:rsid w:val="2B610732"/>
    <w:rsid w:val="2B7D025F"/>
    <w:rsid w:val="2B886128"/>
    <w:rsid w:val="2B9335DC"/>
    <w:rsid w:val="2B983ECA"/>
    <w:rsid w:val="2B9B22FF"/>
    <w:rsid w:val="2BA75ECB"/>
    <w:rsid w:val="2BAA2542"/>
    <w:rsid w:val="2BBD71D9"/>
    <w:rsid w:val="2BCB64AE"/>
    <w:rsid w:val="2BD56AC3"/>
    <w:rsid w:val="2BE73D2C"/>
    <w:rsid w:val="2BEB6DE3"/>
    <w:rsid w:val="2BF612E4"/>
    <w:rsid w:val="2BF71D69"/>
    <w:rsid w:val="2BFB575E"/>
    <w:rsid w:val="2C035777"/>
    <w:rsid w:val="2C0E6DA4"/>
    <w:rsid w:val="2C0E70A9"/>
    <w:rsid w:val="2C0E7286"/>
    <w:rsid w:val="2C1F1AC9"/>
    <w:rsid w:val="2C236410"/>
    <w:rsid w:val="2C251BC9"/>
    <w:rsid w:val="2C2A243C"/>
    <w:rsid w:val="2C4A329A"/>
    <w:rsid w:val="2C4B0C83"/>
    <w:rsid w:val="2C4B162F"/>
    <w:rsid w:val="2C4E1904"/>
    <w:rsid w:val="2C4F180B"/>
    <w:rsid w:val="2C5016D4"/>
    <w:rsid w:val="2C623873"/>
    <w:rsid w:val="2C6E286E"/>
    <w:rsid w:val="2C6F788B"/>
    <w:rsid w:val="2C7F39CF"/>
    <w:rsid w:val="2C817F6A"/>
    <w:rsid w:val="2C82199F"/>
    <w:rsid w:val="2C822C4A"/>
    <w:rsid w:val="2C8479B6"/>
    <w:rsid w:val="2C8949FE"/>
    <w:rsid w:val="2CA54C62"/>
    <w:rsid w:val="2CAA1BF4"/>
    <w:rsid w:val="2CB24425"/>
    <w:rsid w:val="2CB82A3D"/>
    <w:rsid w:val="2CC1414B"/>
    <w:rsid w:val="2CC901ED"/>
    <w:rsid w:val="2CCB451E"/>
    <w:rsid w:val="2CD63A16"/>
    <w:rsid w:val="2CE7730B"/>
    <w:rsid w:val="2CEE1257"/>
    <w:rsid w:val="2D055F0E"/>
    <w:rsid w:val="2D0C1B61"/>
    <w:rsid w:val="2D186DEB"/>
    <w:rsid w:val="2D1E19DF"/>
    <w:rsid w:val="2D320D31"/>
    <w:rsid w:val="2D354363"/>
    <w:rsid w:val="2D3E1194"/>
    <w:rsid w:val="2D3F044C"/>
    <w:rsid w:val="2D47136C"/>
    <w:rsid w:val="2D4744ED"/>
    <w:rsid w:val="2D5269EE"/>
    <w:rsid w:val="2D546C0A"/>
    <w:rsid w:val="2D5504D7"/>
    <w:rsid w:val="2D5664DE"/>
    <w:rsid w:val="2D626C0E"/>
    <w:rsid w:val="2D6410DD"/>
    <w:rsid w:val="2D6918FE"/>
    <w:rsid w:val="2D780B50"/>
    <w:rsid w:val="2D7D7839"/>
    <w:rsid w:val="2D875713"/>
    <w:rsid w:val="2D8C01F5"/>
    <w:rsid w:val="2D8D245B"/>
    <w:rsid w:val="2D92328E"/>
    <w:rsid w:val="2D937732"/>
    <w:rsid w:val="2D9A6AF9"/>
    <w:rsid w:val="2D9B7F27"/>
    <w:rsid w:val="2DA03BFD"/>
    <w:rsid w:val="2DA52FC1"/>
    <w:rsid w:val="2DAC25A2"/>
    <w:rsid w:val="2DB24C88"/>
    <w:rsid w:val="2DBB08D7"/>
    <w:rsid w:val="2DC2044B"/>
    <w:rsid w:val="2DC62405"/>
    <w:rsid w:val="2DCA69B9"/>
    <w:rsid w:val="2DD13DB6"/>
    <w:rsid w:val="2DE51610"/>
    <w:rsid w:val="2DF94BAE"/>
    <w:rsid w:val="2DFA6269"/>
    <w:rsid w:val="2E022272"/>
    <w:rsid w:val="2E03257A"/>
    <w:rsid w:val="2E0979F4"/>
    <w:rsid w:val="2E0C560D"/>
    <w:rsid w:val="2E0F1BDF"/>
    <w:rsid w:val="2E0F5C61"/>
    <w:rsid w:val="2E2170F9"/>
    <w:rsid w:val="2E241639"/>
    <w:rsid w:val="2E262354"/>
    <w:rsid w:val="2E301AD7"/>
    <w:rsid w:val="2E385BE3"/>
    <w:rsid w:val="2E393A97"/>
    <w:rsid w:val="2E3A195C"/>
    <w:rsid w:val="2E3D4AF1"/>
    <w:rsid w:val="2E4D2C29"/>
    <w:rsid w:val="2E501652"/>
    <w:rsid w:val="2E514DC3"/>
    <w:rsid w:val="2E520D92"/>
    <w:rsid w:val="2E532A1D"/>
    <w:rsid w:val="2E690493"/>
    <w:rsid w:val="2E770CDA"/>
    <w:rsid w:val="2E7F0376"/>
    <w:rsid w:val="2E924F48"/>
    <w:rsid w:val="2E9279E9"/>
    <w:rsid w:val="2E9A064C"/>
    <w:rsid w:val="2E9A566C"/>
    <w:rsid w:val="2E9B0AC6"/>
    <w:rsid w:val="2EA43279"/>
    <w:rsid w:val="2EB401C1"/>
    <w:rsid w:val="2EC04955"/>
    <w:rsid w:val="2EC753D2"/>
    <w:rsid w:val="2ED26BAD"/>
    <w:rsid w:val="2EDA40AD"/>
    <w:rsid w:val="2EDF0755"/>
    <w:rsid w:val="2EE601C7"/>
    <w:rsid w:val="2EEA497C"/>
    <w:rsid w:val="2EEB0EA8"/>
    <w:rsid w:val="2EF444CA"/>
    <w:rsid w:val="2EFB298B"/>
    <w:rsid w:val="2F01691D"/>
    <w:rsid w:val="2F0A4903"/>
    <w:rsid w:val="2F0B0FAD"/>
    <w:rsid w:val="2F0E4F72"/>
    <w:rsid w:val="2F1679A2"/>
    <w:rsid w:val="2F174C3D"/>
    <w:rsid w:val="2F206E4A"/>
    <w:rsid w:val="2F250E3B"/>
    <w:rsid w:val="2F2B157A"/>
    <w:rsid w:val="2F451C2D"/>
    <w:rsid w:val="2F520F27"/>
    <w:rsid w:val="2F541C99"/>
    <w:rsid w:val="2F565A42"/>
    <w:rsid w:val="2F57046A"/>
    <w:rsid w:val="2F5A089B"/>
    <w:rsid w:val="2F612A17"/>
    <w:rsid w:val="2F672985"/>
    <w:rsid w:val="2F682106"/>
    <w:rsid w:val="2F692858"/>
    <w:rsid w:val="2F6D5D61"/>
    <w:rsid w:val="2F7B66D0"/>
    <w:rsid w:val="2F89769B"/>
    <w:rsid w:val="2F8F20DF"/>
    <w:rsid w:val="2F940399"/>
    <w:rsid w:val="2F963038"/>
    <w:rsid w:val="2F9C21A2"/>
    <w:rsid w:val="2FA01C92"/>
    <w:rsid w:val="2FB63AAC"/>
    <w:rsid w:val="2FC02334"/>
    <w:rsid w:val="2FC0489B"/>
    <w:rsid w:val="2FC46619"/>
    <w:rsid w:val="2FCF694B"/>
    <w:rsid w:val="2FD472F4"/>
    <w:rsid w:val="2FDA5E67"/>
    <w:rsid w:val="2FDB009E"/>
    <w:rsid w:val="2FDD1780"/>
    <w:rsid w:val="2FE34275"/>
    <w:rsid w:val="2FE9706B"/>
    <w:rsid w:val="2FFB1A6A"/>
    <w:rsid w:val="30000983"/>
    <w:rsid w:val="30006BD5"/>
    <w:rsid w:val="30055990"/>
    <w:rsid w:val="300940E0"/>
    <w:rsid w:val="300B6158"/>
    <w:rsid w:val="300D700E"/>
    <w:rsid w:val="30126B4E"/>
    <w:rsid w:val="30143EEF"/>
    <w:rsid w:val="30153346"/>
    <w:rsid w:val="301C0738"/>
    <w:rsid w:val="301E1B0C"/>
    <w:rsid w:val="30233B2A"/>
    <w:rsid w:val="302D30A6"/>
    <w:rsid w:val="303C048D"/>
    <w:rsid w:val="30403C29"/>
    <w:rsid w:val="304A55B1"/>
    <w:rsid w:val="304D04D3"/>
    <w:rsid w:val="305807BF"/>
    <w:rsid w:val="30644772"/>
    <w:rsid w:val="30722FEE"/>
    <w:rsid w:val="307B25E8"/>
    <w:rsid w:val="308642B3"/>
    <w:rsid w:val="309537C1"/>
    <w:rsid w:val="3095556F"/>
    <w:rsid w:val="30AA3658"/>
    <w:rsid w:val="30AE2286"/>
    <w:rsid w:val="30AE4CCA"/>
    <w:rsid w:val="30B644A3"/>
    <w:rsid w:val="30CE166B"/>
    <w:rsid w:val="30DB50D5"/>
    <w:rsid w:val="30DD2A72"/>
    <w:rsid w:val="30DD3F27"/>
    <w:rsid w:val="30EC089E"/>
    <w:rsid w:val="30F304E8"/>
    <w:rsid w:val="30F52CFA"/>
    <w:rsid w:val="30FA7AC8"/>
    <w:rsid w:val="30FE0870"/>
    <w:rsid w:val="31014620"/>
    <w:rsid w:val="310149B3"/>
    <w:rsid w:val="31017ADC"/>
    <w:rsid w:val="310402A4"/>
    <w:rsid w:val="310B6B56"/>
    <w:rsid w:val="310E68AD"/>
    <w:rsid w:val="3118459C"/>
    <w:rsid w:val="311917B6"/>
    <w:rsid w:val="311A453C"/>
    <w:rsid w:val="31231DD2"/>
    <w:rsid w:val="31263806"/>
    <w:rsid w:val="312F5B44"/>
    <w:rsid w:val="3131279D"/>
    <w:rsid w:val="313A6116"/>
    <w:rsid w:val="313D15C5"/>
    <w:rsid w:val="313F19C4"/>
    <w:rsid w:val="31465BAC"/>
    <w:rsid w:val="314B257E"/>
    <w:rsid w:val="314B328A"/>
    <w:rsid w:val="315045FA"/>
    <w:rsid w:val="31523460"/>
    <w:rsid w:val="315630E8"/>
    <w:rsid w:val="31574285"/>
    <w:rsid w:val="31597B9A"/>
    <w:rsid w:val="315E3A28"/>
    <w:rsid w:val="3160383C"/>
    <w:rsid w:val="316A2F37"/>
    <w:rsid w:val="316B62D0"/>
    <w:rsid w:val="317062B6"/>
    <w:rsid w:val="31725D9D"/>
    <w:rsid w:val="3179289B"/>
    <w:rsid w:val="31795FC2"/>
    <w:rsid w:val="317F50EB"/>
    <w:rsid w:val="31864FFD"/>
    <w:rsid w:val="318869AB"/>
    <w:rsid w:val="318D6246"/>
    <w:rsid w:val="319B5AB3"/>
    <w:rsid w:val="31A65BBC"/>
    <w:rsid w:val="31B9703B"/>
    <w:rsid w:val="31BB24EE"/>
    <w:rsid w:val="31BD1974"/>
    <w:rsid w:val="31C27FA8"/>
    <w:rsid w:val="31D418BD"/>
    <w:rsid w:val="31D57C0E"/>
    <w:rsid w:val="31D641D8"/>
    <w:rsid w:val="31DD71CE"/>
    <w:rsid w:val="31E00A6C"/>
    <w:rsid w:val="31E340B8"/>
    <w:rsid w:val="31E61640"/>
    <w:rsid w:val="31ED6B4D"/>
    <w:rsid w:val="31F50B96"/>
    <w:rsid w:val="31F57241"/>
    <w:rsid w:val="3201418F"/>
    <w:rsid w:val="320704FF"/>
    <w:rsid w:val="32075FF9"/>
    <w:rsid w:val="320843AF"/>
    <w:rsid w:val="32191325"/>
    <w:rsid w:val="321D3A6E"/>
    <w:rsid w:val="32244DFC"/>
    <w:rsid w:val="322842EF"/>
    <w:rsid w:val="323443E6"/>
    <w:rsid w:val="32351D9D"/>
    <w:rsid w:val="32430E48"/>
    <w:rsid w:val="324D0BFE"/>
    <w:rsid w:val="32503088"/>
    <w:rsid w:val="32516877"/>
    <w:rsid w:val="3252061C"/>
    <w:rsid w:val="325D3E6B"/>
    <w:rsid w:val="326276D3"/>
    <w:rsid w:val="32634ED6"/>
    <w:rsid w:val="326F3B9E"/>
    <w:rsid w:val="32722C3D"/>
    <w:rsid w:val="32736509"/>
    <w:rsid w:val="327B181C"/>
    <w:rsid w:val="327B1FC7"/>
    <w:rsid w:val="328E671A"/>
    <w:rsid w:val="32902319"/>
    <w:rsid w:val="32976BE6"/>
    <w:rsid w:val="32981347"/>
    <w:rsid w:val="32A71F93"/>
    <w:rsid w:val="32AB773A"/>
    <w:rsid w:val="32B024C8"/>
    <w:rsid w:val="32B954BB"/>
    <w:rsid w:val="32BE6D38"/>
    <w:rsid w:val="32CE034A"/>
    <w:rsid w:val="32CE37B6"/>
    <w:rsid w:val="32CE3F9C"/>
    <w:rsid w:val="32D103B5"/>
    <w:rsid w:val="32D14ADB"/>
    <w:rsid w:val="32DC3334"/>
    <w:rsid w:val="32DD4FAB"/>
    <w:rsid w:val="32DF2BCE"/>
    <w:rsid w:val="32E35176"/>
    <w:rsid w:val="32E427DE"/>
    <w:rsid w:val="32ED5BC4"/>
    <w:rsid w:val="32EE2C07"/>
    <w:rsid w:val="33016D23"/>
    <w:rsid w:val="33061DB1"/>
    <w:rsid w:val="330771D2"/>
    <w:rsid w:val="330B463D"/>
    <w:rsid w:val="33155ECA"/>
    <w:rsid w:val="3316226B"/>
    <w:rsid w:val="3323216C"/>
    <w:rsid w:val="332535FA"/>
    <w:rsid w:val="33270F22"/>
    <w:rsid w:val="3333106F"/>
    <w:rsid w:val="333371F3"/>
    <w:rsid w:val="33360887"/>
    <w:rsid w:val="333D0637"/>
    <w:rsid w:val="333D0CEC"/>
    <w:rsid w:val="333F17C2"/>
    <w:rsid w:val="334A3A91"/>
    <w:rsid w:val="334C5311"/>
    <w:rsid w:val="334D56E0"/>
    <w:rsid w:val="334E5EA9"/>
    <w:rsid w:val="3350065B"/>
    <w:rsid w:val="33547F33"/>
    <w:rsid w:val="3362288A"/>
    <w:rsid w:val="33631E0B"/>
    <w:rsid w:val="33641F81"/>
    <w:rsid w:val="336A4256"/>
    <w:rsid w:val="3374417F"/>
    <w:rsid w:val="33774F37"/>
    <w:rsid w:val="33872C3D"/>
    <w:rsid w:val="33997124"/>
    <w:rsid w:val="339A78CE"/>
    <w:rsid w:val="33A32227"/>
    <w:rsid w:val="33A361F5"/>
    <w:rsid w:val="33A67108"/>
    <w:rsid w:val="33B95251"/>
    <w:rsid w:val="33BB15A5"/>
    <w:rsid w:val="33C50529"/>
    <w:rsid w:val="33D04B10"/>
    <w:rsid w:val="33D75164"/>
    <w:rsid w:val="33D94875"/>
    <w:rsid w:val="33DF6B01"/>
    <w:rsid w:val="33EF3432"/>
    <w:rsid w:val="33FA5772"/>
    <w:rsid w:val="34052A0C"/>
    <w:rsid w:val="34067514"/>
    <w:rsid w:val="34086C8B"/>
    <w:rsid w:val="341E4DC2"/>
    <w:rsid w:val="3423623B"/>
    <w:rsid w:val="342A5F2C"/>
    <w:rsid w:val="343126B5"/>
    <w:rsid w:val="34346E4D"/>
    <w:rsid w:val="344233E9"/>
    <w:rsid w:val="345A2A58"/>
    <w:rsid w:val="34623692"/>
    <w:rsid w:val="34665642"/>
    <w:rsid w:val="346D124D"/>
    <w:rsid w:val="34800EF9"/>
    <w:rsid w:val="3480243A"/>
    <w:rsid w:val="3486019B"/>
    <w:rsid w:val="348C03ED"/>
    <w:rsid w:val="34931A96"/>
    <w:rsid w:val="349561DB"/>
    <w:rsid w:val="34993154"/>
    <w:rsid w:val="349D086A"/>
    <w:rsid w:val="349F7FDC"/>
    <w:rsid w:val="34A03348"/>
    <w:rsid w:val="34A22009"/>
    <w:rsid w:val="34AF629B"/>
    <w:rsid w:val="34B02D58"/>
    <w:rsid w:val="34B31C45"/>
    <w:rsid w:val="34C46423"/>
    <w:rsid w:val="34D649FE"/>
    <w:rsid w:val="34DB5BDC"/>
    <w:rsid w:val="34DF2FA2"/>
    <w:rsid w:val="34E00852"/>
    <w:rsid w:val="34E206E1"/>
    <w:rsid w:val="34E263DB"/>
    <w:rsid w:val="34EC3AC9"/>
    <w:rsid w:val="34F14D3E"/>
    <w:rsid w:val="34F2533E"/>
    <w:rsid w:val="34F767F8"/>
    <w:rsid w:val="35080B6E"/>
    <w:rsid w:val="351533ED"/>
    <w:rsid w:val="3519008F"/>
    <w:rsid w:val="351C4BF8"/>
    <w:rsid w:val="351D7AE8"/>
    <w:rsid w:val="35275802"/>
    <w:rsid w:val="352944D8"/>
    <w:rsid w:val="35301EC3"/>
    <w:rsid w:val="35393682"/>
    <w:rsid w:val="353C420B"/>
    <w:rsid w:val="354168C4"/>
    <w:rsid w:val="3548790C"/>
    <w:rsid w:val="355D42E6"/>
    <w:rsid w:val="355E6877"/>
    <w:rsid w:val="35654127"/>
    <w:rsid w:val="356D0868"/>
    <w:rsid w:val="357557F7"/>
    <w:rsid w:val="357A4D33"/>
    <w:rsid w:val="357D1B56"/>
    <w:rsid w:val="357F56BE"/>
    <w:rsid w:val="35843E04"/>
    <w:rsid w:val="35861D2A"/>
    <w:rsid w:val="359258CF"/>
    <w:rsid w:val="359779FE"/>
    <w:rsid w:val="35984047"/>
    <w:rsid w:val="359E6503"/>
    <w:rsid w:val="35A3159E"/>
    <w:rsid w:val="35B0680E"/>
    <w:rsid w:val="35B6181A"/>
    <w:rsid w:val="35BD7658"/>
    <w:rsid w:val="35BE11A8"/>
    <w:rsid w:val="35CD3B05"/>
    <w:rsid w:val="35CE07E8"/>
    <w:rsid w:val="35D450FC"/>
    <w:rsid w:val="35D723E7"/>
    <w:rsid w:val="35E23E2E"/>
    <w:rsid w:val="35E7439C"/>
    <w:rsid w:val="35E96725"/>
    <w:rsid w:val="35EC4FB4"/>
    <w:rsid w:val="35ED2F28"/>
    <w:rsid w:val="35F418C0"/>
    <w:rsid w:val="35F42D38"/>
    <w:rsid w:val="35F776DB"/>
    <w:rsid w:val="36025A84"/>
    <w:rsid w:val="361138EA"/>
    <w:rsid w:val="36147018"/>
    <w:rsid w:val="362D52F2"/>
    <w:rsid w:val="36360607"/>
    <w:rsid w:val="363C4DE7"/>
    <w:rsid w:val="363D2F83"/>
    <w:rsid w:val="36455341"/>
    <w:rsid w:val="364907A3"/>
    <w:rsid w:val="36571E8A"/>
    <w:rsid w:val="365E430D"/>
    <w:rsid w:val="3667669B"/>
    <w:rsid w:val="36706B22"/>
    <w:rsid w:val="367865FB"/>
    <w:rsid w:val="367E35EC"/>
    <w:rsid w:val="36835E6A"/>
    <w:rsid w:val="36877708"/>
    <w:rsid w:val="369333B7"/>
    <w:rsid w:val="369F5C48"/>
    <w:rsid w:val="36A35C8D"/>
    <w:rsid w:val="36BE73B3"/>
    <w:rsid w:val="36BF714A"/>
    <w:rsid w:val="36C4095C"/>
    <w:rsid w:val="36C41988"/>
    <w:rsid w:val="36CC43AF"/>
    <w:rsid w:val="36D13079"/>
    <w:rsid w:val="36DC35FA"/>
    <w:rsid w:val="36E0221D"/>
    <w:rsid w:val="36E0288E"/>
    <w:rsid w:val="36E112E0"/>
    <w:rsid w:val="36E345A3"/>
    <w:rsid w:val="36E67C80"/>
    <w:rsid w:val="36F2632E"/>
    <w:rsid w:val="37022F00"/>
    <w:rsid w:val="3709636F"/>
    <w:rsid w:val="370F5BF3"/>
    <w:rsid w:val="37117919"/>
    <w:rsid w:val="371F6FE6"/>
    <w:rsid w:val="3724339C"/>
    <w:rsid w:val="372B776E"/>
    <w:rsid w:val="372C3876"/>
    <w:rsid w:val="372E2279"/>
    <w:rsid w:val="373762B5"/>
    <w:rsid w:val="373D426B"/>
    <w:rsid w:val="37400F91"/>
    <w:rsid w:val="37441A9D"/>
    <w:rsid w:val="37455673"/>
    <w:rsid w:val="374B03F6"/>
    <w:rsid w:val="375901B0"/>
    <w:rsid w:val="37592C62"/>
    <w:rsid w:val="375F1848"/>
    <w:rsid w:val="37672250"/>
    <w:rsid w:val="37695EFA"/>
    <w:rsid w:val="376A7405"/>
    <w:rsid w:val="376B527C"/>
    <w:rsid w:val="376B62D4"/>
    <w:rsid w:val="377834F5"/>
    <w:rsid w:val="377C4D93"/>
    <w:rsid w:val="377D6D5D"/>
    <w:rsid w:val="377E2FB7"/>
    <w:rsid w:val="37803CC9"/>
    <w:rsid w:val="378656E9"/>
    <w:rsid w:val="378C0712"/>
    <w:rsid w:val="378C393B"/>
    <w:rsid w:val="378D61E4"/>
    <w:rsid w:val="378F6E97"/>
    <w:rsid w:val="37910951"/>
    <w:rsid w:val="379320DC"/>
    <w:rsid w:val="379561F9"/>
    <w:rsid w:val="379A653D"/>
    <w:rsid w:val="379E7954"/>
    <w:rsid w:val="37A54D04"/>
    <w:rsid w:val="37A75B88"/>
    <w:rsid w:val="37A974A4"/>
    <w:rsid w:val="37AF7EE0"/>
    <w:rsid w:val="37B51B38"/>
    <w:rsid w:val="37BE08A2"/>
    <w:rsid w:val="37C21648"/>
    <w:rsid w:val="37C87AAE"/>
    <w:rsid w:val="37CF1981"/>
    <w:rsid w:val="37D2440C"/>
    <w:rsid w:val="37D52435"/>
    <w:rsid w:val="37DB599D"/>
    <w:rsid w:val="37F2136C"/>
    <w:rsid w:val="37F561E6"/>
    <w:rsid w:val="37F81D85"/>
    <w:rsid w:val="37FA274B"/>
    <w:rsid w:val="3805122C"/>
    <w:rsid w:val="380940D8"/>
    <w:rsid w:val="380B6117"/>
    <w:rsid w:val="38105348"/>
    <w:rsid w:val="381730A5"/>
    <w:rsid w:val="381F29FC"/>
    <w:rsid w:val="38206AF7"/>
    <w:rsid w:val="3825731A"/>
    <w:rsid w:val="382A3096"/>
    <w:rsid w:val="382A6E0F"/>
    <w:rsid w:val="382D42DF"/>
    <w:rsid w:val="383D6DF5"/>
    <w:rsid w:val="384653A1"/>
    <w:rsid w:val="384818BA"/>
    <w:rsid w:val="38563D6C"/>
    <w:rsid w:val="385C2E16"/>
    <w:rsid w:val="385D0CEB"/>
    <w:rsid w:val="385E3DF5"/>
    <w:rsid w:val="3866173D"/>
    <w:rsid w:val="386D6DD1"/>
    <w:rsid w:val="3870318F"/>
    <w:rsid w:val="38770423"/>
    <w:rsid w:val="38877407"/>
    <w:rsid w:val="388B06CF"/>
    <w:rsid w:val="388B5B4D"/>
    <w:rsid w:val="388D4D7E"/>
    <w:rsid w:val="38931E37"/>
    <w:rsid w:val="38936CED"/>
    <w:rsid w:val="389F684B"/>
    <w:rsid w:val="38A32936"/>
    <w:rsid w:val="38AA3B82"/>
    <w:rsid w:val="38B467AE"/>
    <w:rsid w:val="38BD1B07"/>
    <w:rsid w:val="38BD38B5"/>
    <w:rsid w:val="38C81386"/>
    <w:rsid w:val="38C81E6C"/>
    <w:rsid w:val="38C92DDF"/>
    <w:rsid w:val="38D84F92"/>
    <w:rsid w:val="38DE382B"/>
    <w:rsid w:val="38EA7D3C"/>
    <w:rsid w:val="38F6617B"/>
    <w:rsid w:val="38F90665"/>
    <w:rsid w:val="391332F6"/>
    <w:rsid w:val="391667AB"/>
    <w:rsid w:val="391B05DB"/>
    <w:rsid w:val="391D4354"/>
    <w:rsid w:val="391E1AF1"/>
    <w:rsid w:val="391E7723"/>
    <w:rsid w:val="39225AD9"/>
    <w:rsid w:val="3922727F"/>
    <w:rsid w:val="3932023F"/>
    <w:rsid w:val="3947680D"/>
    <w:rsid w:val="394A0EC1"/>
    <w:rsid w:val="394C69E7"/>
    <w:rsid w:val="394F7C70"/>
    <w:rsid w:val="39512953"/>
    <w:rsid w:val="39516275"/>
    <w:rsid w:val="39534219"/>
    <w:rsid w:val="395B30CE"/>
    <w:rsid w:val="395D6313"/>
    <w:rsid w:val="39660B6F"/>
    <w:rsid w:val="39676A46"/>
    <w:rsid w:val="396B18F5"/>
    <w:rsid w:val="396C3072"/>
    <w:rsid w:val="396E6BFE"/>
    <w:rsid w:val="39711B5A"/>
    <w:rsid w:val="397F31CA"/>
    <w:rsid w:val="398443D3"/>
    <w:rsid w:val="39894B3E"/>
    <w:rsid w:val="39A20CFD"/>
    <w:rsid w:val="39A75E83"/>
    <w:rsid w:val="39B37E38"/>
    <w:rsid w:val="39B62978"/>
    <w:rsid w:val="39CC0F50"/>
    <w:rsid w:val="39F30880"/>
    <w:rsid w:val="39FB4D8F"/>
    <w:rsid w:val="39FC040D"/>
    <w:rsid w:val="39FE4EB6"/>
    <w:rsid w:val="39FF3A59"/>
    <w:rsid w:val="3A067163"/>
    <w:rsid w:val="3A0E43A9"/>
    <w:rsid w:val="3A131647"/>
    <w:rsid w:val="3A1F5EA9"/>
    <w:rsid w:val="3A207BDC"/>
    <w:rsid w:val="3A287AFD"/>
    <w:rsid w:val="3A2B0CF2"/>
    <w:rsid w:val="3A2B5401"/>
    <w:rsid w:val="3A3B7187"/>
    <w:rsid w:val="3A4E7A20"/>
    <w:rsid w:val="3A5262EA"/>
    <w:rsid w:val="3A543DA5"/>
    <w:rsid w:val="3A5C62C1"/>
    <w:rsid w:val="3A5F274A"/>
    <w:rsid w:val="3A5F7D57"/>
    <w:rsid w:val="3A6A7A6C"/>
    <w:rsid w:val="3A6B3DFF"/>
    <w:rsid w:val="3A6D1460"/>
    <w:rsid w:val="3A7152A8"/>
    <w:rsid w:val="3A7B3A28"/>
    <w:rsid w:val="3A7F3C43"/>
    <w:rsid w:val="3A830B2E"/>
    <w:rsid w:val="3A924750"/>
    <w:rsid w:val="3AA15401"/>
    <w:rsid w:val="3AA20FB4"/>
    <w:rsid w:val="3AA700A1"/>
    <w:rsid w:val="3AAA6FAD"/>
    <w:rsid w:val="3AAF7279"/>
    <w:rsid w:val="3AB502B9"/>
    <w:rsid w:val="3AB947E1"/>
    <w:rsid w:val="3AC32CD9"/>
    <w:rsid w:val="3AC727C9"/>
    <w:rsid w:val="3ADE5D64"/>
    <w:rsid w:val="3AE671D5"/>
    <w:rsid w:val="3AE6778B"/>
    <w:rsid w:val="3AF21490"/>
    <w:rsid w:val="3AF216B0"/>
    <w:rsid w:val="3AFA7DAE"/>
    <w:rsid w:val="3B044EA2"/>
    <w:rsid w:val="3B0E03F8"/>
    <w:rsid w:val="3B3616FD"/>
    <w:rsid w:val="3B390A93"/>
    <w:rsid w:val="3B3A575C"/>
    <w:rsid w:val="3B3F4A55"/>
    <w:rsid w:val="3B4410FC"/>
    <w:rsid w:val="3B4E14F1"/>
    <w:rsid w:val="3B526BD4"/>
    <w:rsid w:val="3B5A31DA"/>
    <w:rsid w:val="3B5F50F7"/>
    <w:rsid w:val="3B614F1D"/>
    <w:rsid w:val="3B643511"/>
    <w:rsid w:val="3B781D15"/>
    <w:rsid w:val="3B9B15AF"/>
    <w:rsid w:val="3B9C6D88"/>
    <w:rsid w:val="3B9D5C20"/>
    <w:rsid w:val="3B9E45CE"/>
    <w:rsid w:val="3BA63804"/>
    <w:rsid w:val="3BB84807"/>
    <w:rsid w:val="3BB95282"/>
    <w:rsid w:val="3BBA0580"/>
    <w:rsid w:val="3BBA40DC"/>
    <w:rsid w:val="3BC44F5A"/>
    <w:rsid w:val="3BC72FEC"/>
    <w:rsid w:val="3BDE524C"/>
    <w:rsid w:val="3BE26AE1"/>
    <w:rsid w:val="3BE439CC"/>
    <w:rsid w:val="3BF22375"/>
    <w:rsid w:val="3BF35840"/>
    <w:rsid w:val="3BF375EE"/>
    <w:rsid w:val="3BFF2436"/>
    <w:rsid w:val="3C0161AE"/>
    <w:rsid w:val="3C141845"/>
    <w:rsid w:val="3C1E4473"/>
    <w:rsid w:val="3C212249"/>
    <w:rsid w:val="3C277DB9"/>
    <w:rsid w:val="3C2F4ACA"/>
    <w:rsid w:val="3C326368"/>
    <w:rsid w:val="3C405832"/>
    <w:rsid w:val="3C410359"/>
    <w:rsid w:val="3C537E81"/>
    <w:rsid w:val="3C555A1E"/>
    <w:rsid w:val="3C5B317F"/>
    <w:rsid w:val="3C651580"/>
    <w:rsid w:val="3C7523A0"/>
    <w:rsid w:val="3C770CF1"/>
    <w:rsid w:val="3C7F0E81"/>
    <w:rsid w:val="3C892371"/>
    <w:rsid w:val="3C9506A5"/>
    <w:rsid w:val="3C987704"/>
    <w:rsid w:val="3C9C1A33"/>
    <w:rsid w:val="3CA16BA3"/>
    <w:rsid w:val="3CA35A73"/>
    <w:rsid w:val="3CA619B1"/>
    <w:rsid w:val="3CAF3139"/>
    <w:rsid w:val="3CB13731"/>
    <w:rsid w:val="3CB27919"/>
    <w:rsid w:val="3CB60D47"/>
    <w:rsid w:val="3CC80C7F"/>
    <w:rsid w:val="3CD66F1D"/>
    <w:rsid w:val="3CD916F6"/>
    <w:rsid w:val="3CE70DB8"/>
    <w:rsid w:val="3CE83692"/>
    <w:rsid w:val="3CEA565D"/>
    <w:rsid w:val="3CF35A94"/>
    <w:rsid w:val="3CF41400"/>
    <w:rsid w:val="3CFC17D0"/>
    <w:rsid w:val="3CFE624A"/>
    <w:rsid w:val="3D037D04"/>
    <w:rsid w:val="3D09356D"/>
    <w:rsid w:val="3D0D2FB0"/>
    <w:rsid w:val="3D1513A5"/>
    <w:rsid w:val="3D1825A2"/>
    <w:rsid w:val="3D191A51"/>
    <w:rsid w:val="3D1B32A0"/>
    <w:rsid w:val="3D2A5291"/>
    <w:rsid w:val="3D3F340A"/>
    <w:rsid w:val="3D42349E"/>
    <w:rsid w:val="3D424389"/>
    <w:rsid w:val="3D4400E8"/>
    <w:rsid w:val="3D467644"/>
    <w:rsid w:val="3D55447E"/>
    <w:rsid w:val="3D5642D8"/>
    <w:rsid w:val="3D581DFE"/>
    <w:rsid w:val="3D6562C9"/>
    <w:rsid w:val="3D6F73FC"/>
    <w:rsid w:val="3D73400A"/>
    <w:rsid w:val="3D766F81"/>
    <w:rsid w:val="3D7B3D3F"/>
    <w:rsid w:val="3D8E3A72"/>
    <w:rsid w:val="3D8F7BCA"/>
    <w:rsid w:val="3D9034BE"/>
    <w:rsid w:val="3D917CF4"/>
    <w:rsid w:val="3D923A7F"/>
    <w:rsid w:val="3D9C187B"/>
    <w:rsid w:val="3DA037A5"/>
    <w:rsid w:val="3DA9286A"/>
    <w:rsid w:val="3DAD45E9"/>
    <w:rsid w:val="3DB35286"/>
    <w:rsid w:val="3DB652AD"/>
    <w:rsid w:val="3DBE0321"/>
    <w:rsid w:val="3DCF03F9"/>
    <w:rsid w:val="3DDF423F"/>
    <w:rsid w:val="3DEA07D5"/>
    <w:rsid w:val="3DEF41EA"/>
    <w:rsid w:val="3DF136A1"/>
    <w:rsid w:val="3DF16CDF"/>
    <w:rsid w:val="3DF60BBB"/>
    <w:rsid w:val="3DFA2EB5"/>
    <w:rsid w:val="3DFB09DB"/>
    <w:rsid w:val="3E014687"/>
    <w:rsid w:val="3E1D08B5"/>
    <w:rsid w:val="3E2239FA"/>
    <w:rsid w:val="3E2B7513"/>
    <w:rsid w:val="3E2C3EDD"/>
    <w:rsid w:val="3E2F5AF8"/>
    <w:rsid w:val="3E342DF1"/>
    <w:rsid w:val="3E377C66"/>
    <w:rsid w:val="3E3846C5"/>
    <w:rsid w:val="3E3A0201"/>
    <w:rsid w:val="3E3A59A8"/>
    <w:rsid w:val="3E3E5E27"/>
    <w:rsid w:val="3E4920FF"/>
    <w:rsid w:val="3E4A5B2A"/>
    <w:rsid w:val="3E5C147A"/>
    <w:rsid w:val="3E5C4D5B"/>
    <w:rsid w:val="3E647817"/>
    <w:rsid w:val="3E654263"/>
    <w:rsid w:val="3E6E3B45"/>
    <w:rsid w:val="3E7B46E8"/>
    <w:rsid w:val="3E7D64DF"/>
    <w:rsid w:val="3E7E66BF"/>
    <w:rsid w:val="3E9514D0"/>
    <w:rsid w:val="3E9A368F"/>
    <w:rsid w:val="3E9E6530"/>
    <w:rsid w:val="3EA42E21"/>
    <w:rsid w:val="3EA6303D"/>
    <w:rsid w:val="3EAC1607"/>
    <w:rsid w:val="3EAD30B6"/>
    <w:rsid w:val="3EB81A14"/>
    <w:rsid w:val="3EB85781"/>
    <w:rsid w:val="3EB922F6"/>
    <w:rsid w:val="3EBA3015"/>
    <w:rsid w:val="3EBF0C71"/>
    <w:rsid w:val="3EC52C0E"/>
    <w:rsid w:val="3ECC4F11"/>
    <w:rsid w:val="3ED90C96"/>
    <w:rsid w:val="3ED951C1"/>
    <w:rsid w:val="3EDE3962"/>
    <w:rsid w:val="3EF11F0E"/>
    <w:rsid w:val="3EF6342D"/>
    <w:rsid w:val="3F104137"/>
    <w:rsid w:val="3F1400B3"/>
    <w:rsid w:val="3F152851"/>
    <w:rsid w:val="3F1925D1"/>
    <w:rsid w:val="3F1E0E25"/>
    <w:rsid w:val="3F2006FA"/>
    <w:rsid w:val="3F2C52F0"/>
    <w:rsid w:val="3F340649"/>
    <w:rsid w:val="3F3A0789"/>
    <w:rsid w:val="3F4168C2"/>
    <w:rsid w:val="3F456272"/>
    <w:rsid w:val="3F553CBB"/>
    <w:rsid w:val="3F563324"/>
    <w:rsid w:val="3F704041"/>
    <w:rsid w:val="3F7222FD"/>
    <w:rsid w:val="3F88428B"/>
    <w:rsid w:val="3F92608C"/>
    <w:rsid w:val="3F997779"/>
    <w:rsid w:val="3FA0183A"/>
    <w:rsid w:val="3FA26DC7"/>
    <w:rsid w:val="3FB42F10"/>
    <w:rsid w:val="3FB84DD6"/>
    <w:rsid w:val="3FBD4CDE"/>
    <w:rsid w:val="3FC77975"/>
    <w:rsid w:val="3FC96FE3"/>
    <w:rsid w:val="3FD87226"/>
    <w:rsid w:val="3FDE235C"/>
    <w:rsid w:val="3FE0432D"/>
    <w:rsid w:val="3FE17B5F"/>
    <w:rsid w:val="3FE63C5F"/>
    <w:rsid w:val="3FEF1759"/>
    <w:rsid w:val="3FEF50DC"/>
    <w:rsid w:val="3FF43FD3"/>
    <w:rsid w:val="3FF676AC"/>
    <w:rsid w:val="3FF8796B"/>
    <w:rsid w:val="400F2C87"/>
    <w:rsid w:val="401225C0"/>
    <w:rsid w:val="40155D85"/>
    <w:rsid w:val="401C5365"/>
    <w:rsid w:val="401D04E8"/>
    <w:rsid w:val="401D1247"/>
    <w:rsid w:val="40200374"/>
    <w:rsid w:val="403673E9"/>
    <w:rsid w:val="40373AAA"/>
    <w:rsid w:val="403C641F"/>
    <w:rsid w:val="4044724F"/>
    <w:rsid w:val="40462F23"/>
    <w:rsid w:val="40464542"/>
    <w:rsid w:val="40545F0C"/>
    <w:rsid w:val="4067459F"/>
    <w:rsid w:val="40694322"/>
    <w:rsid w:val="40774DD8"/>
    <w:rsid w:val="407F3756"/>
    <w:rsid w:val="40890521"/>
    <w:rsid w:val="4092255F"/>
    <w:rsid w:val="40924E1B"/>
    <w:rsid w:val="4093332D"/>
    <w:rsid w:val="409E0E32"/>
    <w:rsid w:val="40A04D80"/>
    <w:rsid w:val="40A05362"/>
    <w:rsid w:val="40A23390"/>
    <w:rsid w:val="40AB27D1"/>
    <w:rsid w:val="40BF3F42"/>
    <w:rsid w:val="40C13412"/>
    <w:rsid w:val="40CA06EF"/>
    <w:rsid w:val="40DE2279"/>
    <w:rsid w:val="40DE42E4"/>
    <w:rsid w:val="40E02249"/>
    <w:rsid w:val="40E21AD4"/>
    <w:rsid w:val="40E83499"/>
    <w:rsid w:val="40EA121D"/>
    <w:rsid w:val="40EC2411"/>
    <w:rsid w:val="40F7192E"/>
    <w:rsid w:val="40FA4F7A"/>
    <w:rsid w:val="40FA7F99"/>
    <w:rsid w:val="40FC3E1B"/>
    <w:rsid w:val="41033741"/>
    <w:rsid w:val="41034E0B"/>
    <w:rsid w:val="41125455"/>
    <w:rsid w:val="411566A8"/>
    <w:rsid w:val="411B7EAC"/>
    <w:rsid w:val="41212130"/>
    <w:rsid w:val="41275362"/>
    <w:rsid w:val="412768C3"/>
    <w:rsid w:val="412828F9"/>
    <w:rsid w:val="41340BD4"/>
    <w:rsid w:val="413B567A"/>
    <w:rsid w:val="413E755D"/>
    <w:rsid w:val="414B2885"/>
    <w:rsid w:val="414D154E"/>
    <w:rsid w:val="41555735"/>
    <w:rsid w:val="415A48B5"/>
    <w:rsid w:val="4162149D"/>
    <w:rsid w:val="41646EE2"/>
    <w:rsid w:val="41651C42"/>
    <w:rsid w:val="4167521D"/>
    <w:rsid w:val="41681C6B"/>
    <w:rsid w:val="416C134E"/>
    <w:rsid w:val="416E4340"/>
    <w:rsid w:val="416F4EB9"/>
    <w:rsid w:val="4171348E"/>
    <w:rsid w:val="41752637"/>
    <w:rsid w:val="4176435E"/>
    <w:rsid w:val="417A606C"/>
    <w:rsid w:val="41840C10"/>
    <w:rsid w:val="418469BC"/>
    <w:rsid w:val="418A2804"/>
    <w:rsid w:val="418F0F7A"/>
    <w:rsid w:val="41906AC2"/>
    <w:rsid w:val="419F015A"/>
    <w:rsid w:val="41A01FC6"/>
    <w:rsid w:val="41A360B9"/>
    <w:rsid w:val="41BB2ECC"/>
    <w:rsid w:val="41BE7E42"/>
    <w:rsid w:val="41BF3E63"/>
    <w:rsid w:val="41D63F61"/>
    <w:rsid w:val="41D93F3F"/>
    <w:rsid w:val="41DC1B54"/>
    <w:rsid w:val="41DC7E80"/>
    <w:rsid w:val="41EA3241"/>
    <w:rsid w:val="41F57B8B"/>
    <w:rsid w:val="42072A91"/>
    <w:rsid w:val="42104B67"/>
    <w:rsid w:val="4217035F"/>
    <w:rsid w:val="42205707"/>
    <w:rsid w:val="42253C46"/>
    <w:rsid w:val="422961A5"/>
    <w:rsid w:val="42326E07"/>
    <w:rsid w:val="42356728"/>
    <w:rsid w:val="42387954"/>
    <w:rsid w:val="423F5835"/>
    <w:rsid w:val="4240597B"/>
    <w:rsid w:val="424665ED"/>
    <w:rsid w:val="42513B85"/>
    <w:rsid w:val="426621C4"/>
    <w:rsid w:val="42671DAC"/>
    <w:rsid w:val="42687EB7"/>
    <w:rsid w:val="426A0AD7"/>
    <w:rsid w:val="427D161B"/>
    <w:rsid w:val="42882FE1"/>
    <w:rsid w:val="428972CE"/>
    <w:rsid w:val="428D4F27"/>
    <w:rsid w:val="42911747"/>
    <w:rsid w:val="4299172F"/>
    <w:rsid w:val="42994B53"/>
    <w:rsid w:val="429B5BBB"/>
    <w:rsid w:val="42A13A3B"/>
    <w:rsid w:val="42A94EAA"/>
    <w:rsid w:val="42AB02FE"/>
    <w:rsid w:val="42B33603"/>
    <w:rsid w:val="42B429A1"/>
    <w:rsid w:val="42B77749"/>
    <w:rsid w:val="42BB1E4A"/>
    <w:rsid w:val="42CD6DEA"/>
    <w:rsid w:val="42D9385C"/>
    <w:rsid w:val="42DE686E"/>
    <w:rsid w:val="42E3660E"/>
    <w:rsid w:val="42E47468"/>
    <w:rsid w:val="42E80618"/>
    <w:rsid w:val="42E9367D"/>
    <w:rsid w:val="42EE327C"/>
    <w:rsid w:val="42FA7493"/>
    <w:rsid w:val="42FC155B"/>
    <w:rsid w:val="4304511C"/>
    <w:rsid w:val="43056584"/>
    <w:rsid w:val="430B02DB"/>
    <w:rsid w:val="43237164"/>
    <w:rsid w:val="4324422F"/>
    <w:rsid w:val="432A3E57"/>
    <w:rsid w:val="43305F01"/>
    <w:rsid w:val="43373E19"/>
    <w:rsid w:val="43374264"/>
    <w:rsid w:val="434F5A51"/>
    <w:rsid w:val="435172B7"/>
    <w:rsid w:val="435412BA"/>
    <w:rsid w:val="43580B32"/>
    <w:rsid w:val="435922B0"/>
    <w:rsid w:val="436112E1"/>
    <w:rsid w:val="43617EE7"/>
    <w:rsid w:val="43641EB1"/>
    <w:rsid w:val="43653B74"/>
    <w:rsid w:val="436F0A2F"/>
    <w:rsid w:val="437159C8"/>
    <w:rsid w:val="43765D2F"/>
    <w:rsid w:val="4379487C"/>
    <w:rsid w:val="43825A45"/>
    <w:rsid w:val="43876962"/>
    <w:rsid w:val="438A6B52"/>
    <w:rsid w:val="438E177B"/>
    <w:rsid w:val="438E6981"/>
    <w:rsid w:val="43943464"/>
    <w:rsid w:val="439B47F3"/>
    <w:rsid w:val="43A318F9"/>
    <w:rsid w:val="43A44928"/>
    <w:rsid w:val="43A455EE"/>
    <w:rsid w:val="43B47DBF"/>
    <w:rsid w:val="43B50C33"/>
    <w:rsid w:val="43B807E2"/>
    <w:rsid w:val="43BE4ADD"/>
    <w:rsid w:val="43C567F0"/>
    <w:rsid w:val="43CF26EE"/>
    <w:rsid w:val="43D16466"/>
    <w:rsid w:val="43E51F12"/>
    <w:rsid w:val="43EA7BD7"/>
    <w:rsid w:val="43EC11EF"/>
    <w:rsid w:val="43F860E9"/>
    <w:rsid w:val="43F87A6B"/>
    <w:rsid w:val="44077C63"/>
    <w:rsid w:val="440B1E2F"/>
    <w:rsid w:val="440C3942"/>
    <w:rsid w:val="441402FB"/>
    <w:rsid w:val="44202F4A"/>
    <w:rsid w:val="442A5B77"/>
    <w:rsid w:val="442E2670"/>
    <w:rsid w:val="44313C40"/>
    <w:rsid w:val="443D2B78"/>
    <w:rsid w:val="44466BA0"/>
    <w:rsid w:val="444F63D4"/>
    <w:rsid w:val="4453331F"/>
    <w:rsid w:val="44550E45"/>
    <w:rsid w:val="44573F66"/>
    <w:rsid w:val="44587A26"/>
    <w:rsid w:val="4467501D"/>
    <w:rsid w:val="44730537"/>
    <w:rsid w:val="44741875"/>
    <w:rsid w:val="44760DBC"/>
    <w:rsid w:val="44770043"/>
    <w:rsid w:val="447D7693"/>
    <w:rsid w:val="44856A0F"/>
    <w:rsid w:val="44966287"/>
    <w:rsid w:val="44986F84"/>
    <w:rsid w:val="449E610E"/>
    <w:rsid w:val="44AC72BB"/>
    <w:rsid w:val="44B31A22"/>
    <w:rsid w:val="44B8098A"/>
    <w:rsid w:val="44BA339E"/>
    <w:rsid w:val="44C775FA"/>
    <w:rsid w:val="44CA3141"/>
    <w:rsid w:val="44D012CD"/>
    <w:rsid w:val="44D523E6"/>
    <w:rsid w:val="44DE1F09"/>
    <w:rsid w:val="44F96329"/>
    <w:rsid w:val="44FD0994"/>
    <w:rsid w:val="450D7972"/>
    <w:rsid w:val="45164116"/>
    <w:rsid w:val="45186B8F"/>
    <w:rsid w:val="452162C7"/>
    <w:rsid w:val="45253CC8"/>
    <w:rsid w:val="452B716C"/>
    <w:rsid w:val="45301F07"/>
    <w:rsid w:val="45343151"/>
    <w:rsid w:val="45370A88"/>
    <w:rsid w:val="453B51F9"/>
    <w:rsid w:val="453E6E0B"/>
    <w:rsid w:val="453F236B"/>
    <w:rsid w:val="45454D35"/>
    <w:rsid w:val="45462260"/>
    <w:rsid w:val="45486BFC"/>
    <w:rsid w:val="454C31E3"/>
    <w:rsid w:val="454C58BC"/>
    <w:rsid w:val="455410FD"/>
    <w:rsid w:val="455E3D2A"/>
    <w:rsid w:val="4561381A"/>
    <w:rsid w:val="456D40D6"/>
    <w:rsid w:val="456D6663"/>
    <w:rsid w:val="4570237F"/>
    <w:rsid w:val="4571013B"/>
    <w:rsid w:val="457556F4"/>
    <w:rsid w:val="4577128F"/>
    <w:rsid w:val="457C0E68"/>
    <w:rsid w:val="457C0F3F"/>
    <w:rsid w:val="458539AC"/>
    <w:rsid w:val="458F0387"/>
    <w:rsid w:val="45A71B75"/>
    <w:rsid w:val="45B86804"/>
    <w:rsid w:val="45BE6EBE"/>
    <w:rsid w:val="45C7292D"/>
    <w:rsid w:val="45CF2E79"/>
    <w:rsid w:val="45D71243"/>
    <w:rsid w:val="45E52D76"/>
    <w:rsid w:val="45F4643C"/>
    <w:rsid w:val="45F56F89"/>
    <w:rsid w:val="45F75F2C"/>
    <w:rsid w:val="45F81C62"/>
    <w:rsid w:val="46063770"/>
    <w:rsid w:val="460A47DD"/>
    <w:rsid w:val="46122350"/>
    <w:rsid w:val="461261E1"/>
    <w:rsid w:val="46132D66"/>
    <w:rsid w:val="46222FA9"/>
    <w:rsid w:val="46230DFA"/>
    <w:rsid w:val="462A6D85"/>
    <w:rsid w:val="46301D24"/>
    <w:rsid w:val="46333AFF"/>
    <w:rsid w:val="46413BF9"/>
    <w:rsid w:val="464C7EEC"/>
    <w:rsid w:val="464F0520"/>
    <w:rsid w:val="465869CB"/>
    <w:rsid w:val="465A74D8"/>
    <w:rsid w:val="46622454"/>
    <w:rsid w:val="466261C9"/>
    <w:rsid w:val="46647A66"/>
    <w:rsid w:val="466510A1"/>
    <w:rsid w:val="466A4950"/>
    <w:rsid w:val="46743E55"/>
    <w:rsid w:val="469638D6"/>
    <w:rsid w:val="469B3E0F"/>
    <w:rsid w:val="469C7CE9"/>
    <w:rsid w:val="46A85FD1"/>
    <w:rsid w:val="46A911C0"/>
    <w:rsid w:val="46B03E5E"/>
    <w:rsid w:val="46BA1434"/>
    <w:rsid w:val="46C422B2"/>
    <w:rsid w:val="46C50352"/>
    <w:rsid w:val="46D67E95"/>
    <w:rsid w:val="46DC75FC"/>
    <w:rsid w:val="46E05A91"/>
    <w:rsid w:val="46E453C3"/>
    <w:rsid w:val="46E85CFA"/>
    <w:rsid w:val="46EB5A91"/>
    <w:rsid w:val="46F03039"/>
    <w:rsid w:val="46F247B0"/>
    <w:rsid w:val="46F55484"/>
    <w:rsid w:val="46FB611D"/>
    <w:rsid w:val="47000EBA"/>
    <w:rsid w:val="4700324F"/>
    <w:rsid w:val="470531BC"/>
    <w:rsid w:val="470C6BD5"/>
    <w:rsid w:val="470D474B"/>
    <w:rsid w:val="47121268"/>
    <w:rsid w:val="47147829"/>
    <w:rsid w:val="47197F94"/>
    <w:rsid w:val="471E1980"/>
    <w:rsid w:val="471F573B"/>
    <w:rsid w:val="472E1965"/>
    <w:rsid w:val="47325952"/>
    <w:rsid w:val="473311E6"/>
    <w:rsid w:val="47392CA0"/>
    <w:rsid w:val="473C62ED"/>
    <w:rsid w:val="47482EE3"/>
    <w:rsid w:val="4751080C"/>
    <w:rsid w:val="4754272C"/>
    <w:rsid w:val="47580F9C"/>
    <w:rsid w:val="475B0A29"/>
    <w:rsid w:val="47657CF1"/>
    <w:rsid w:val="476D215C"/>
    <w:rsid w:val="476D46F8"/>
    <w:rsid w:val="4771702F"/>
    <w:rsid w:val="477240C5"/>
    <w:rsid w:val="477564FB"/>
    <w:rsid w:val="47797FC1"/>
    <w:rsid w:val="477A1E2D"/>
    <w:rsid w:val="478C70C4"/>
    <w:rsid w:val="47917A70"/>
    <w:rsid w:val="47973972"/>
    <w:rsid w:val="47A6205D"/>
    <w:rsid w:val="47B176A2"/>
    <w:rsid w:val="47BB36B5"/>
    <w:rsid w:val="47C336F1"/>
    <w:rsid w:val="47D47AA7"/>
    <w:rsid w:val="47D96D05"/>
    <w:rsid w:val="47D97FDF"/>
    <w:rsid w:val="47DB5B06"/>
    <w:rsid w:val="47DC7C21"/>
    <w:rsid w:val="47DE621E"/>
    <w:rsid w:val="47DF5582"/>
    <w:rsid w:val="47E623BE"/>
    <w:rsid w:val="47F64CDE"/>
    <w:rsid w:val="47F92430"/>
    <w:rsid w:val="47F96FE2"/>
    <w:rsid w:val="47FB6455"/>
    <w:rsid w:val="47FC06F6"/>
    <w:rsid w:val="480144DA"/>
    <w:rsid w:val="48014FD9"/>
    <w:rsid w:val="4804261B"/>
    <w:rsid w:val="480A7EDF"/>
    <w:rsid w:val="480C3F11"/>
    <w:rsid w:val="480F1C53"/>
    <w:rsid w:val="48116C94"/>
    <w:rsid w:val="481B05F8"/>
    <w:rsid w:val="48217D2F"/>
    <w:rsid w:val="482C18D6"/>
    <w:rsid w:val="482E20D9"/>
    <w:rsid w:val="4831012F"/>
    <w:rsid w:val="483314F5"/>
    <w:rsid w:val="48337643"/>
    <w:rsid w:val="483E64A8"/>
    <w:rsid w:val="4840038A"/>
    <w:rsid w:val="48482A6B"/>
    <w:rsid w:val="48507027"/>
    <w:rsid w:val="48517B76"/>
    <w:rsid w:val="485B6C46"/>
    <w:rsid w:val="48627FD5"/>
    <w:rsid w:val="487B4BF3"/>
    <w:rsid w:val="488A3088"/>
    <w:rsid w:val="48AC1250"/>
    <w:rsid w:val="48B33A52"/>
    <w:rsid w:val="48C06AA9"/>
    <w:rsid w:val="48C87033"/>
    <w:rsid w:val="48CE297D"/>
    <w:rsid w:val="48D81613"/>
    <w:rsid w:val="48D9080D"/>
    <w:rsid w:val="48E46C3C"/>
    <w:rsid w:val="48E94164"/>
    <w:rsid w:val="48EC3D42"/>
    <w:rsid w:val="48EC40CC"/>
    <w:rsid w:val="48EC71F7"/>
    <w:rsid w:val="48EE43F2"/>
    <w:rsid w:val="48F03833"/>
    <w:rsid w:val="48F15CCF"/>
    <w:rsid w:val="48F30756"/>
    <w:rsid w:val="48FD385A"/>
    <w:rsid w:val="490A460A"/>
    <w:rsid w:val="490C51FD"/>
    <w:rsid w:val="491E5F31"/>
    <w:rsid w:val="49233584"/>
    <w:rsid w:val="492B486B"/>
    <w:rsid w:val="49303C2F"/>
    <w:rsid w:val="493915B4"/>
    <w:rsid w:val="49404E3D"/>
    <w:rsid w:val="49455160"/>
    <w:rsid w:val="494B3609"/>
    <w:rsid w:val="494E2307"/>
    <w:rsid w:val="4958673A"/>
    <w:rsid w:val="496436C2"/>
    <w:rsid w:val="496D072A"/>
    <w:rsid w:val="49731300"/>
    <w:rsid w:val="4977360C"/>
    <w:rsid w:val="497C6E74"/>
    <w:rsid w:val="49823B4E"/>
    <w:rsid w:val="498C5EA9"/>
    <w:rsid w:val="499833AA"/>
    <w:rsid w:val="49997FE4"/>
    <w:rsid w:val="49A563CB"/>
    <w:rsid w:val="49A65473"/>
    <w:rsid w:val="49A941EB"/>
    <w:rsid w:val="49AD05AC"/>
    <w:rsid w:val="49AF0FF8"/>
    <w:rsid w:val="49B70B21"/>
    <w:rsid w:val="49BC1967"/>
    <w:rsid w:val="49BC23EF"/>
    <w:rsid w:val="49BF6D61"/>
    <w:rsid w:val="49C03205"/>
    <w:rsid w:val="49C302EC"/>
    <w:rsid w:val="49CA5E32"/>
    <w:rsid w:val="49CA7BE0"/>
    <w:rsid w:val="49CF3448"/>
    <w:rsid w:val="49D104C6"/>
    <w:rsid w:val="49D339AC"/>
    <w:rsid w:val="49E76045"/>
    <w:rsid w:val="49E92BC2"/>
    <w:rsid w:val="49ED7E45"/>
    <w:rsid w:val="49F033BE"/>
    <w:rsid w:val="49F67044"/>
    <w:rsid w:val="49FB7CC2"/>
    <w:rsid w:val="49FD5757"/>
    <w:rsid w:val="4A0045CB"/>
    <w:rsid w:val="4A0A430E"/>
    <w:rsid w:val="4A190449"/>
    <w:rsid w:val="4A19137E"/>
    <w:rsid w:val="4A1E1CDA"/>
    <w:rsid w:val="4A260D4B"/>
    <w:rsid w:val="4A275032"/>
    <w:rsid w:val="4A3A0FE8"/>
    <w:rsid w:val="4A3E794E"/>
    <w:rsid w:val="4A407FFE"/>
    <w:rsid w:val="4A437992"/>
    <w:rsid w:val="4A45001D"/>
    <w:rsid w:val="4A45370A"/>
    <w:rsid w:val="4A477482"/>
    <w:rsid w:val="4A5B2F2E"/>
    <w:rsid w:val="4A5E7F48"/>
    <w:rsid w:val="4A607D77"/>
    <w:rsid w:val="4A6326F0"/>
    <w:rsid w:val="4A6609C3"/>
    <w:rsid w:val="4A6C59EA"/>
    <w:rsid w:val="4A6F0787"/>
    <w:rsid w:val="4A750DD0"/>
    <w:rsid w:val="4A7B537E"/>
    <w:rsid w:val="4A8119DE"/>
    <w:rsid w:val="4A816BF6"/>
    <w:rsid w:val="4A8A7705"/>
    <w:rsid w:val="4A915B36"/>
    <w:rsid w:val="4A926343"/>
    <w:rsid w:val="4A987CDE"/>
    <w:rsid w:val="4A9B1E46"/>
    <w:rsid w:val="4AA409BB"/>
    <w:rsid w:val="4AA5206A"/>
    <w:rsid w:val="4ABB58F0"/>
    <w:rsid w:val="4ABD1B22"/>
    <w:rsid w:val="4ACF60CC"/>
    <w:rsid w:val="4AD35751"/>
    <w:rsid w:val="4AD468AE"/>
    <w:rsid w:val="4AE82413"/>
    <w:rsid w:val="4AE91D72"/>
    <w:rsid w:val="4AEF38E4"/>
    <w:rsid w:val="4AEF7CB9"/>
    <w:rsid w:val="4AF60EA8"/>
    <w:rsid w:val="4AF76E3C"/>
    <w:rsid w:val="4AFB0F23"/>
    <w:rsid w:val="4AFD1366"/>
    <w:rsid w:val="4AFF792F"/>
    <w:rsid w:val="4B053908"/>
    <w:rsid w:val="4B0C61BF"/>
    <w:rsid w:val="4B2952C4"/>
    <w:rsid w:val="4B3F36B0"/>
    <w:rsid w:val="4B400C48"/>
    <w:rsid w:val="4B4277BB"/>
    <w:rsid w:val="4B432E15"/>
    <w:rsid w:val="4B4734B2"/>
    <w:rsid w:val="4B5C5FAA"/>
    <w:rsid w:val="4B611731"/>
    <w:rsid w:val="4B640C01"/>
    <w:rsid w:val="4B793EB9"/>
    <w:rsid w:val="4B841097"/>
    <w:rsid w:val="4B8E0948"/>
    <w:rsid w:val="4B992311"/>
    <w:rsid w:val="4BA26746"/>
    <w:rsid w:val="4BA43605"/>
    <w:rsid w:val="4BA66BB3"/>
    <w:rsid w:val="4BAB57EF"/>
    <w:rsid w:val="4BCB75EB"/>
    <w:rsid w:val="4BD028C4"/>
    <w:rsid w:val="4BD4433C"/>
    <w:rsid w:val="4BDC1831"/>
    <w:rsid w:val="4BE05D3B"/>
    <w:rsid w:val="4BE154E9"/>
    <w:rsid w:val="4BE62CCB"/>
    <w:rsid w:val="4BEA41FD"/>
    <w:rsid w:val="4BED6D03"/>
    <w:rsid w:val="4BF0670A"/>
    <w:rsid w:val="4BF13385"/>
    <w:rsid w:val="4BF60993"/>
    <w:rsid w:val="4BF6222F"/>
    <w:rsid w:val="4C18651C"/>
    <w:rsid w:val="4C1F5620"/>
    <w:rsid w:val="4C282812"/>
    <w:rsid w:val="4C2D08FA"/>
    <w:rsid w:val="4C3A68AE"/>
    <w:rsid w:val="4C497E6E"/>
    <w:rsid w:val="4C501202"/>
    <w:rsid w:val="4C561A87"/>
    <w:rsid w:val="4C594500"/>
    <w:rsid w:val="4C5C21C4"/>
    <w:rsid w:val="4C5C2F8D"/>
    <w:rsid w:val="4C616357"/>
    <w:rsid w:val="4C67500F"/>
    <w:rsid w:val="4C742FDA"/>
    <w:rsid w:val="4C8853C2"/>
    <w:rsid w:val="4C8A3125"/>
    <w:rsid w:val="4C8B1EE4"/>
    <w:rsid w:val="4C8E7373"/>
    <w:rsid w:val="4C8F3363"/>
    <w:rsid w:val="4C9046DD"/>
    <w:rsid w:val="4C9B5863"/>
    <w:rsid w:val="4C9F3A4C"/>
    <w:rsid w:val="4CB74274"/>
    <w:rsid w:val="4CBE2D6A"/>
    <w:rsid w:val="4CC63A4B"/>
    <w:rsid w:val="4CC81333"/>
    <w:rsid w:val="4CC92202"/>
    <w:rsid w:val="4CCA4576"/>
    <w:rsid w:val="4CCA5655"/>
    <w:rsid w:val="4CD77BB3"/>
    <w:rsid w:val="4CDE7960"/>
    <w:rsid w:val="4CEA737F"/>
    <w:rsid w:val="4CEC7A64"/>
    <w:rsid w:val="4CF5242E"/>
    <w:rsid w:val="4CF569C8"/>
    <w:rsid w:val="4CF60CEC"/>
    <w:rsid w:val="4CF65B49"/>
    <w:rsid w:val="4CFF4044"/>
    <w:rsid w:val="4CFF6B5B"/>
    <w:rsid w:val="4D0A3706"/>
    <w:rsid w:val="4D0F059F"/>
    <w:rsid w:val="4D13189E"/>
    <w:rsid w:val="4D1E1728"/>
    <w:rsid w:val="4D1F6804"/>
    <w:rsid w:val="4D2E6AE0"/>
    <w:rsid w:val="4D34761C"/>
    <w:rsid w:val="4D5325E2"/>
    <w:rsid w:val="4D536117"/>
    <w:rsid w:val="4D53613E"/>
    <w:rsid w:val="4D5657A3"/>
    <w:rsid w:val="4D5B3250"/>
    <w:rsid w:val="4D602609"/>
    <w:rsid w:val="4D611ADE"/>
    <w:rsid w:val="4D7215A8"/>
    <w:rsid w:val="4D765CAE"/>
    <w:rsid w:val="4D770AC3"/>
    <w:rsid w:val="4D784C61"/>
    <w:rsid w:val="4D79113C"/>
    <w:rsid w:val="4D7A4E0D"/>
    <w:rsid w:val="4D7B6D5F"/>
    <w:rsid w:val="4D7D194A"/>
    <w:rsid w:val="4D8330FD"/>
    <w:rsid w:val="4D8B58D8"/>
    <w:rsid w:val="4D8D78A2"/>
    <w:rsid w:val="4D8F614E"/>
    <w:rsid w:val="4D9A4ACC"/>
    <w:rsid w:val="4D9A7089"/>
    <w:rsid w:val="4DA65614"/>
    <w:rsid w:val="4DBC6F01"/>
    <w:rsid w:val="4DBD5EE2"/>
    <w:rsid w:val="4DBD6446"/>
    <w:rsid w:val="4DC7118D"/>
    <w:rsid w:val="4DCC1EF1"/>
    <w:rsid w:val="4DD454D1"/>
    <w:rsid w:val="4DDB4ED1"/>
    <w:rsid w:val="4DE02888"/>
    <w:rsid w:val="4DE53D67"/>
    <w:rsid w:val="4DE65204"/>
    <w:rsid w:val="4DE96862"/>
    <w:rsid w:val="4DEB15BA"/>
    <w:rsid w:val="4DEC260A"/>
    <w:rsid w:val="4DF13C53"/>
    <w:rsid w:val="4DF23BA9"/>
    <w:rsid w:val="4DF7375A"/>
    <w:rsid w:val="4E037EC3"/>
    <w:rsid w:val="4E1213FF"/>
    <w:rsid w:val="4E151983"/>
    <w:rsid w:val="4E1C5480"/>
    <w:rsid w:val="4E1F4EB6"/>
    <w:rsid w:val="4E223347"/>
    <w:rsid w:val="4E287DAD"/>
    <w:rsid w:val="4E2A50F1"/>
    <w:rsid w:val="4E31591A"/>
    <w:rsid w:val="4E35781A"/>
    <w:rsid w:val="4E385522"/>
    <w:rsid w:val="4E396368"/>
    <w:rsid w:val="4E4168DE"/>
    <w:rsid w:val="4E4A7BCF"/>
    <w:rsid w:val="4E54712C"/>
    <w:rsid w:val="4E606D65"/>
    <w:rsid w:val="4E683E6B"/>
    <w:rsid w:val="4E7A3016"/>
    <w:rsid w:val="4E7B3B9E"/>
    <w:rsid w:val="4E943B74"/>
    <w:rsid w:val="4E9514C2"/>
    <w:rsid w:val="4E9D7BB0"/>
    <w:rsid w:val="4E9F52F3"/>
    <w:rsid w:val="4E9F6CDA"/>
    <w:rsid w:val="4EA12ED9"/>
    <w:rsid w:val="4EA65FA5"/>
    <w:rsid w:val="4EAA2AF5"/>
    <w:rsid w:val="4EAA6232"/>
    <w:rsid w:val="4EAD4A8B"/>
    <w:rsid w:val="4EB653D7"/>
    <w:rsid w:val="4EB97C9C"/>
    <w:rsid w:val="4EC05A5D"/>
    <w:rsid w:val="4EC33AFC"/>
    <w:rsid w:val="4EC372F3"/>
    <w:rsid w:val="4EC7378F"/>
    <w:rsid w:val="4ECE001C"/>
    <w:rsid w:val="4ECF54AB"/>
    <w:rsid w:val="4ED11A10"/>
    <w:rsid w:val="4ED92673"/>
    <w:rsid w:val="4EE74D90"/>
    <w:rsid w:val="4EFA0F67"/>
    <w:rsid w:val="4F0065C6"/>
    <w:rsid w:val="4F1B20E2"/>
    <w:rsid w:val="4F21629F"/>
    <w:rsid w:val="4F247867"/>
    <w:rsid w:val="4F2B5646"/>
    <w:rsid w:val="4F356E50"/>
    <w:rsid w:val="4F363A2B"/>
    <w:rsid w:val="4F4B17C3"/>
    <w:rsid w:val="4F4E3061"/>
    <w:rsid w:val="4F562E5E"/>
    <w:rsid w:val="4F586999"/>
    <w:rsid w:val="4F5D14F6"/>
    <w:rsid w:val="4F5D32A4"/>
    <w:rsid w:val="4F6102D1"/>
    <w:rsid w:val="4F6603AB"/>
    <w:rsid w:val="4F665099"/>
    <w:rsid w:val="4F7C239F"/>
    <w:rsid w:val="4F8115BD"/>
    <w:rsid w:val="4F813436"/>
    <w:rsid w:val="4F8D7575"/>
    <w:rsid w:val="4F974A08"/>
    <w:rsid w:val="4F980780"/>
    <w:rsid w:val="4F9C4764"/>
    <w:rsid w:val="4FA00D06"/>
    <w:rsid w:val="4FAB09B6"/>
    <w:rsid w:val="4FAB2261"/>
    <w:rsid w:val="4FB159EC"/>
    <w:rsid w:val="4FB23A3B"/>
    <w:rsid w:val="4FB57E74"/>
    <w:rsid w:val="4FBB7878"/>
    <w:rsid w:val="4FBC621D"/>
    <w:rsid w:val="4FBD09B0"/>
    <w:rsid w:val="4FBD1088"/>
    <w:rsid w:val="4FBD4BBB"/>
    <w:rsid w:val="4FC652ED"/>
    <w:rsid w:val="4FD16062"/>
    <w:rsid w:val="4FD77DC0"/>
    <w:rsid w:val="4FE17A31"/>
    <w:rsid w:val="4FE22A38"/>
    <w:rsid w:val="4FE439C5"/>
    <w:rsid w:val="4FE77CEF"/>
    <w:rsid w:val="4FF17B27"/>
    <w:rsid w:val="4FFF435B"/>
    <w:rsid w:val="50041972"/>
    <w:rsid w:val="50046123"/>
    <w:rsid w:val="50050846"/>
    <w:rsid w:val="500C0B37"/>
    <w:rsid w:val="50112786"/>
    <w:rsid w:val="502412EE"/>
    <w:rsid w:val="502845FF"/>
    <w:rsid w:val="50304F7E"/>
    <w:rsid w:val="504F4A7B"/>
    <w:rsid w:val="50500713"/>
    <w:rsid w:val="50526B81"/>
    <w:rsid w:val="50663C75"/>
    <w:rsid w:val="506D5769"/>
    <w:rsid w:val="50764D94"/>
    <w:rsid w:val="507F0E7D"/>
    <w:rsid w:val="50817100"/>
    <w:rsid w:val="50845B41"/>
    <w:rsid w:val="508E078E"/>
    <w:rsid w:val="509168AF"/>
    <w:rsid w:val="509349BC"/>
    <w:rsid w:val="509C5AF8"/>
    <w:rsid w:val="50A8223C"/>
    <w:rsid w:val="50A96514"/>
    <w:rsid w:val="50AA2519"/>
    <w:rsid w:val="50AC5050"/>
    <w:rsid w:val="50B41422"/>
    <w:rsid w:val="50C07F8E"/>
    <w:rsid w:val="50C21B20"/>
    <w:rsid w:val="50C90D77"/>
    <w:rsid w:val="50F11EF6"/>
    <w:rsid w:val="50F145FC"/>
    <w:rsid w:val="50FA0581"/>
    <w:rsid w:val="50FA5805"/>
    <w:rsid w:val="50FB0CEF"/>
    <w:rsid w:val="50FB33AC"/>
    <w:rsid w:val="511E7880"/>
    <w:rsid w:val="514211CD"/>
    <w:rsid w:val="51452242"/>
    <w:rsid w:val="51566BAA"/>
    <w:rsid w:val="515A24AA"/>
    <w:rsid w:val="51696C3D"/>
    <w:rsid w:val="516B2E85"/>
    <w:rsid w:val="517111FF"/>
    <w:rsid w:val="51722E6E"/>
    <w:rsid w:val="517374E0"/>
    <w:rsid w:val="51750350"/>
    <w:rsid w:val="51793207"/>
    <w:rsid w:val="51937451"/>
    <w:rsid w:val="51955B7D"/>
    <w:rsid w:val="519568F3"/>
    <w:rsid w:val="51993FF5"/>
    <w:rsid w:val="519F3032"/>
    <w:rsid w:val="51B01DB1"/>
    <w:rsid w:val="51BA1DFF"/>
    <w:rsid w:val="51BC2848"/>
    <w:rsid w:val="51C3412D"/>
    <w:rsid w:val="51CF3F45"/>
    <w:rsid w:val="51D07D5D"/>
    <w:rsid w:val="51E406C2"/>
    <w:rsid w:val="51E47232"/>
    <w:rsid w:val="51E63A25"/>
    <w:rsid w:val="51ED15F6"/>
    <w:rsid w:val="51F83758"/>
    <w:rsid w:val="51F9337C"/>
    <w:rsid w:val="51FC1391"/>
    <w:rsid w:val="52015F60"/>
    <w:rsid w:val="520370FC"/>
    <w:rsid w:val="520C4C6B"/>
    <w:rsid w:val="52146746"/>
    <w:rsid w:val="5226558C"/>
    <w:rsid w:val="523233FB"/>
    <w:rsid w:val="52326C6A"/>
    <w:rsid w:val="523302EC"/>
    <w:rsid w:val="52462A72"/>
    <w:rsid w:val="524D78D0"/>
    <w:rsid w:val="525077B8"/>
    <w:rsid w:val="52614E59"/>
    <w:rsid w:val="52687C58"/>
    <w:rsid w:val="526A78D5"/>
    <w:rsid w:val="527E5EBE"/>
    <w:rsid w:val="529B480F"/>
    <w:rsid w:val="52AD3580"/>
    <w:rsid w:val="52B04B3F"/>
    <w:rsid w:val="52B46657"/>
    <w:rsid w:val="52B61649"/>
    <w:rsid w:val="52BA3273"/>
    <w:rsid w:val="52BA5BDE"/>
    <w:rsid w:val="52BB0A0D"/>
    <w:rsid w:val="52BB31BE"/>
    <w:rsid w:val="52BC4786"/>
    <w:rsid w:val="52CD60C9"/>
    <w:rsid w:val="52D25F4F"/>
    <w:rsid w:val="52D816BB"/>
    <w:rsid w:val="52D834A1"/>
    <w:rsid w:val="52D86965"/>
    <w:rsid w:val="52D90E94"/>
    <w:rsid w:val="52E87329"/>
    <w:rsid w:val="52E873D0"/>
    <w:rsid w:val="52FA31DE"/>
    <w:rsid w:val="52FC4B82"/>
    <w:rsid w:val="52FE1B35"/>
    <w:rsid w:val="52FE6B4C"/>
    <w:rsid w:val="53111940"/>
    <w:rsid w:val="531776E2"/>
    <w:rsid w:val="531C1D5C"/>
    <w:rsid w:val="53207C88"/>
    <w:rsid w:val="5326161A"/>
    <w:rsid w:val="53263C79"/>
    <w:rsid w:val="53275D9B"/>
    <w:rsid w:val="533D4C44"/>
    <w:rsid w:val="533F3014"/>
    <w:rsid w:val="534654E3"/>
    <w:rsid w:val="534810C4"/>
    <w:rsid w:val="534869C7"/>
    <w:rsid w:val="53586AA4"/>
    <w:rsid w:val="5358717B"/>
    <w:rsid w:val="535C6B19"/>
    <w:rsid w:val="537138C7"/>
    <w:rsid w:val="53761013"/>
    <w:rsid w:val="537B5AAA"/>
    <w:rsid w:val="537E4ACA"/>
    <w:rsid w:val="537F629B"/>
    <w:rsid w:val="53822C25"/>
    <w:rsid w:val="53852DC9"/>
    <w:rsid w:val="53861605"/>
    <w:rsid w:val="538C4314"/>
    <w:rsid w:val="53933738"/>
    <w:rsid w:val="539F050B"/>
    <w:rsid w:val="539F4F04"/>
    <w:rsid w:val="53A150D9"/>
    <w:rsid w:val="53A21BCD"/>
    <w:rsid w:val="53A92F5C"/>
    <w:rsid w:val="53B042EA"/>
    <w:rsid w:val="53B645B0"/>
    <w:rsid w:val="53BB6616"/>
    <w:rsid w:val="53BC6E3E"/>
    <w:rsid w:val="53C03E02"/>
    <w:rsid w:val="53C27B7A"/>
    <w:rsid w:val="53C30DAF"/>
    <w:rsid w:val="53C50E71"/>
    <w:rsid w:val="53C743DD"/>
    <w:rsid w:val="53CA4C80"/>
    <w:rsid w:val="53D578AD"/>
    <w:rsid w:val="53D76D2B"/>
    <w:rsid w:val="53F4213D"/>
    <w:rsid w:val="53F71F19"/>
    <w:rsid w:val="542E16B3"/>
    <w:rsid w:val="54411FA2"/>
    <w:rsid w:val="54466335"/>
    <w:rsid w:val="54484523"/>
    <w:rsid w:val="546213C7"/>
    <w:rsid w:val="5483293F"/>
    <w:rsid w:val="5496746D"/>
    <w:rsid w:val="549F610D"/>
    <w:rsid w:val="54AE41A3"/>
    <w:rsid w:val="54B42CDF"/>
    <w:rsid w:val="54B716A8"/>
    <w:rsid w:val="54CB7CD3"/>
    <w:rsid w:val="54CF345E"/>
    <w:rsid w:val="54DD36E3"/>
    <w:rsid w:val="54DE7E84"/>
    <w:rsid w:val="54E51D72"/>
    <w:rsid w:val="54E824C4"/>
    <w:rsid w:val="54EA03CE"/>
    <w:rsid w:val="54FA797C"/>
    <w:rsid w:val="55017C9A"/>
    <w:rsid w:val="55021383"/>
    <w:rsid w:val="550815AD"/>
    <w:rsid w:val="55083E20"/>
    <w:rsid w:val="550B6A5E"/>
    <w:rsid w:val="55160A03"/>
    <w:rsid w:val="55172B07"/>
    <w:rsid w:val="551F7930"/>
    <w:rsid w:val="55236D3E"/>
    <w:rsid w:val="55274B8B"/>
    <w:rsid w:val="552A24B9"/>
    <w:rsid w:val="553920BD"/>
    <w:rsid w:val="553D7BAB"/>
    <w:rsid w:val="553E34B3"/>
    <w:rsid w:val="55484B22"/>
    <w:rsid w:val="554C1057"/>
    <w:rsid w:val="55547B4D"/>
    <w:rsid w:val="55564A1D"/>
    <w:rsid w:val="55653051"/>
    <w:rsid w:val="556A7BF9"/>
    <w:rsid w:val="556D1A7E"/>
    <w:rsid w:val="55872E29"/>
    <w:rsid w:val="558F2D83"/>
    <w:rsid w:val="559E2882"/>
    <w:rsid w:val="55A25378"/>
    <w:rsid w:val="55AA1478"/>
    <w:rsid w:val="55AF50DD"/>
    <w:rsid w:val="55B31E70"/>
    <w:rsid w:val="55B82787"/>
    <w:rsid w:val="55BB0D24"/>
    <w:rsid w:val="55BB3F38"/>
    <w:rsid w:val="55C025A8"/>
    <w:rsid w:val="55C0458D"/>
    <w:rsid w:val="55C27729"/>
    <w:rsid w:val="55CE0A58"/>
    <w:rsid w:val="55E03708"/>
    <w:rsid w:val="55E65FDC"/>
    <w:rsid w:val="55E93AE3"/>
    <w:rsid w:val="55F174E6"/>
    <w:rsid w:val="55F21B08"/>
    <w:rsid w:val="56091A90"/>
    <w:rsid w:val="560E6B90"/>
    <w:rsid w:val="56347138"/>
    <w:rsid w:val="563A5842"/>
    <w:rsid w:val="563E11C8"/>
    <w:rsid w:val="563F0EE4"/>
    <w:rsid w:val="564330AF"/>
    <w:rsid w:val="56503B63"/>
    <w:rsid w:val="56676126"/>
    <w:rsid w:val="56690780"/>
    <w:rsid w:val="566D4782"/>
    <w:rsid w:val="567048C3"/>
    <w:rsid w:val="56737851"/>
    <w:rsid w:val="56773959"/>
    <w:rsid w:val="567A7A0A"/>
    <w:rsid w:val="56804250"/>
    <w:rsid w:val="569D48C4"/>
    <w:rsid w:val="56A570FE"/>
    <w:rsid w:val="56AA39DF"/>
    <w:rsid w:val="56B167A5"/>
    <w:rsid w:val="56B22127"/>
    <w:rsid w:val="56B57101"/>
    <w:rsid w:val="56B64591"/>
    <w:rsid w:val="56C55F1E"/>
    <w:rsid w:val="56CD0598"/>
    <w:rsid w:val="56D20E7B"/>
    <w:rsid w:val="56D26FEF"/>
    <w:rsid w:val="56D40104"/>
    <w:rsid w:val="56D504FC"/>
    <w:rsid w:val="56DF58C0"/>
    <w:rsid w:val="56E74337"/>
    <w:rsid w:val="56E9366F"/>
    <w:rsid w:val="56EA18C1"/>
    <w:rsid w:val="56F13B6C"/>
    <w:rsid w:val="56F24197"/>
    <w:rsid w:val="56F72230"/>
    <w:rsid w:val="56FE711B"/>
    <w:rsid w:val="57013134"/>
    <w:rsid w:val="570255EE"/>
    <w:rsid w:val="57047E91"/>
    <w:rsid w:val="570B3DF4"/>
    <w:rsid w:val="57160E80"/>
    <w:rsid w:val="57280E28"/>
    <w:rsid w:val="572C64A0"/>
    <w:rsid w:val="573A44C2"/>
    <w:rsid w:val="57492E02"/>
    <w:rsid w:val="575136EE"/>
    <w:rsid w:val="57527BB5"/>
    <w:rsid w:val="5759180F"/>
    <w:rsid w:val="575D64F8"/>
    <w:rsid w:val="57671164"/>
    <w:rsid w:val="57711101"/>
    <w:rsid w:val="57734909"/>
    <w:rsid w:val="577C44E3"/>
    <w:rsid w:val="5780605D"/>
    <w:rsid w:val="57840BFE"/>
    <w:rsid w:val="5784697D"/>
    <w:rsid w:val="57895DA7"/>
    <w:rsid w:val="578A487E"/>
    <w:rsid w:val="57A8352A"/>
    <w:rsid w:val="57AD449F"/>
    <w:rsid w:val="57D24312"/>
    <w:rsid w:val="57D4682F"/>
    <w:rsid w:val="57DF040E"/>
    <w:rsid w:val="57EB2F39"/>
    <w:rsid w:val="57EB5809"/>
    <w:rsid w:val="57F45209"/>
    <w:rsid w:val="57F675D1"/>
    <w:rsid w:val="57FF1CF3"/>
    <w:rsid w:val="58005114"/>
    <w:rsid w:val="58030761"/>
    <w:rsid w:val="58092ACC"/>
    <w:rsid w:val="58136982"/>
    <w:rsid w:val="581B3CFC"/>
    <w:rsid w:val="581D6813"/>
    <w:rsid w:val="58226D2A"/>
    <w:rsid w:val="582316B5"/>
    <w:rsid w:val="582368E1"/>
    <w:rsid w:val="58253C3E"/>
    <w:rsid w:val="582D4846"/>
    <w:rsid w:val="58346D28"/>
    <w:rsid w:val="5838762D"/>
    <w:rsid w:val="583B12A8"/>
    <w:rsid w:val="58411733"/>
    <w:rsid w:val="584414A5"/>
    <w:rsid w:val="584944DE"/>
    <w:rsid w:val="58513CB5"/>
    <w:rsid w:val="585766E9"/>
    <w:rsid w:val="585A65D3"/>
    <w:rsid w:val="585D2255"/>
    <w:rsid w:val="58663BE5"/>
    <w:rsid w:val="5868282C"/>
    <w:rsid w:val="587E182B"/>
    <w:rsid w:val="5882708A"/>
    <w:rsid w:val="588A7858"/>
    <w:rsid w:val="588C69A8"/>
    <w:rsid w:val="5898359F"/>
    <w:rsid w:val="589A10C5"/>
    <w:rsid w:val="58AB7214"/>
    <w:rsid w:val="58AD02DF"/>
    <w:rsid w:val="58B17390"/>
    <w:rsid w:val="58B909C7"/>
    <w:rsid w:val="58BB2E28"/>
    <w:rsid w:val="58BF7AF2"/>
    <w:rsid w:val="58C61EBA"/>
    <w:rsid w:val="58C817A8"/>
    <w:rsid w:val="58C8591B"/>
    <w:rsid w:val="58CE6FC1"/>
    <w:rsid w:val="58D663CC"/>
    <w:rsid w:val="58DE20A4"/>
    <w:rsid w:val="58DE5456"/>
    <w:rsid w:val="58DF354B"/>
    <w:rsid w:val="58F509F1"/>
    <w:rsid w:val="58FA005E"/>
    <w:rsid w:val="58FA7DB6"/>
    <w:rsid w:val="58FB4971"/>
    <w:rsid w:val="590039E6"/>
    <w:rsid w:val="590315FB"/>
    <w:rsid w:val="59103CDB"/>
    <w:rsid w:val="591231C6"/>
    <w:rsid w:val="59190C7F"/>
    <w:rsid w:val="591F15CA"/>
    <w:rsid w:val="59223548"/>
    <w:rsid w:val="593244F7"/>
    <w:rsid w:val="593439E9"/>
    <w:rsid w:val="59345076"/>
    <w:rsid w:val="59402C3A"/>
    <w:rsid w:val="594149BA"/>
    <w:rsid w:val="594A1371"/>
    <w:rsid w:val="595125BE"/>
    <w:rsid w:val="59607878"/>
    <w:rsid w:val="596A13DB"/>
    <w:rsid w:val="596A685A"/>
    <w:rsid w:val="596B480F"/>
    <w:rsid w:val="596D0A4F"/>
    <w:rsid w:val="597B59E0"/>
    <w:rsid w:val="597E7CD2"/>
    <w:rsid w:val="59814033"/>
    <w:rsid w:val="598730EE"/>
    <w:rsid w:val="598D6A8B"/>
    <w:rsid w:val="598D6AC3"/>
    <w:rsid w:val="59910483"/>
    <w:rsid w:val="59A07700"/>
    <w:rsid w:val="59A41DA7"/>
    <w:rsid w:val="59B2243E"/>
    <w:rsid w:val="59B60D7B"/>
    <w:rsid w:val="59B65BAF"/>
    <w:rsid w:val="59B86896"/>
    <w:rsid w:val="59BB12F3"/>
    <w:rsid w:val="59C25EAF"/>
    <w:rsid w:val="59C26B25"/>
    <w:rsid w:val="59C469A8"/>
    <w:rsid w:val="59D67CEC"/>
    <w:rsid w:val="59DA6D1C"/>
    <w:rsid w:val="59E036D4"/>
    <w:rsid w:val="59E07580"/>
    <w:rsid w:val="59E30A31"/>
    <w:rsid w:val="59E54492"/>
    <w:rsid w:val="59E5617B"/>
    <w:rsid w:val="59EA607C"/>
    <w:rsid w:val="59EF06CC"/>
    <w:rsid w:val="59F51CFC"/>
    <w:rsid w:val="5A0709DC"/>
    <w:rsid w:val="5A09416A"/>
    <w:rsid w:val="5A1E1882"/>
    <w:rsid w:val="5A1F0F30"/>
    <w:rsid w:val="5A290775"/>
    <w:rsid w:val="5A2E64FD"/>
    <w:rsid w:val="5A32309C"/>
    <w:rsid w:val="5A3643B2"/>
    <w:rsid w:val="5A3A33F0"/>
    <w:rsid w:val="5A487EB0"/>
    <w:rsid w:val="5A56726E"/>
    <w:rsid w:val="5A5F25C6"/>
    <w:rsid w:val="5A614E09"/>
    <w:rsid w:val="5A63069A"/>
    <w:rsid w:val="5A6574B1"/>
    <w:rsid w:val="5A6D4478"/>
    <w:rsid w:val="5A897643"/>
    <w:rsid w:val="5A8C2C8F"/>
    <w:rsid w:val="5A915ACF"/>
    <w:rsid w:val="5A9234A3"/>
    <w:rsid w:val="5AA8188C"/>
    <w:rsid w:val="5AA91877"/>
    <w:rsid w:val="5AC44642"/>
    <w:rsid w:val="5AC92D10"/>
    <w:rsid w:val="5ACB74F1"/>
    <w:rsid w:val="5ACC3540"/>
    <w:rsid w:val="5ACC583F"/>
    <w:rsid w:val="5AD67599"/>
    <w:rsid w:val="5AD924D5"/>
    <w:rsid w:val="5AE34FA5"/>
    <w:rsid w:val="5AE919DD"/>
    <w:rsid w:val="5AF80757"/>
    <w:rsid w:val="5B056A50"/>
    <w:rsid w:val="5B0A5CED"/>
    <w:rsid w:val="5B0D0525"/>
    <w:rsid w:val="5B0E47D7"/>
    <w:rsid w:val="5B17446F"/>
    <w:rsid w:val="5B182775"/>
    <w:rsid w:val="5B2070AB"/>
    <w:rsid w:val="5B242EC8"/>
    <w:rsid w:val="5B2E1C8E"/>
    <w:rsid w:val="5B3A6B8F"/>
    <w:rsid w:val="5B4578E7"/>
    <w:rsid w:val="5B69661C"/>
    <w:rsid w:val="5B6C0858"/>
    <w:rsid w:val="5B6D32F9"/>
    <w:rsid w:val="5B6E783F"/>
    <w:rsid w:val="5B7351D0"/>
    <w:rsid w:val="5B797F42"/>
    <w:rsid w:val="5B7C04A8"/>
    <w:rsid w:val="5B8337E5"/>
    <w:rsid w:val="5B855579"/>
    <w:rsid w:val="5B867AC2"/>
    <w:rsid w:val="5B8743CF"/>
    <w:rsid w:val="5B8837FD"/>
    <w:rsid w:val="5B8D4F11"/>
    <w:rsid w:val="5B8F6EDB"/>
    <w:rsid w:val="5B90523D"/>
    <w:rsid w:val="5B9E4722"/>
    <w:rsid w:val="5BA81D4B"/>
    <w:rsid w:val="5BAB6D76"/>
    <w:rsid w:val="5BC03DE2"/>
    <w:rsid w:val="5BCA73D9"/>
    <w:rsid w:val="5BD97C6B"/>
    <w:rsid w:val="5BE070DC"/>
    <w:rsid w:val="5BE7170C"/>
    <w:rsid w:val="5BEC5D3A"/>
    <w:rsid w:val="5BEF41F8"/>
    <w:rsid w:val="5BFF7E6A"/>
    <w:rsid w:val="5C04435B"/>
    <w:rsid w:val="5C186CD5"/>
    <w:rsid w:val="5C1A6677"/>
    <w:rsid w:val="5C1F25FB"/>
    <w:rsid w:val="5C270EC2"/>
    <w:rsid w:val="5C307FE1"/>
    <w:rsid w:val="5C321615"/>
    <w:rsid w:val="5C3B671B"/>
    <w:rsid w:val="5C3D172A"/>
    <w:rsid w:val="5C4004DF"/>
    <w:rsid w:val="5C43235A"/>
    <w:rsid w:val="5C4F21B0"/>
    <w:rsid w:val="5C51136D"/>
    <w:rsid w:val="5C552A3C"/>
    <w:rsid w:val="5C556EA6"/>
    <w:rsid w:val="5C5B500F"/>
    <w:rsid w:val="5C650FB0"/>
    <w:rsid w:val="5C71038F"/>
    <w:rsid w:val="5C743C34"/>
    <w:rsid w:val="5C7A4279"/>
    <w:rsid w:val="5C7B5266"/>
    <w:rsid w:val="5C8E17F7"/>
    <w:rsid w:val="5C913139"/>
    <w:rsid w:val="5CA26B23"/>
    <w:rsid w:val="5CA354AC"/>
    <w:rsid w:val="5CB45F05"/>
    <w:rsid w:val="5CB55CD5"/>
    <w:rsid w:val="5CB618C9"/>
    <w:rsid w:val="5CBC678C"/>
    <w:rsid w:val="5CBF3BEB"/>
    <w:rsid w:val="5CC521F0"/>
    <w:rsid w:val="5CC77597"/>
    <w:rsid w:val="5CC834AE"/>
    <w:rsid w:val="5CC9106E"/>
    <w:rsid w:val="5CCB5CF1"/>
    <w:rsid w:val="5CD50321"/>
    <w:rsid w:val="5CD50908"/>
    <w:rsid w:val="5CEE5E83"/>
    <w:rsid w:val="5D011713"/>
    <w:rsid w:val="5D041203"/>
    <w:rsid w:val="5D043BDE"/>
    <w:rsid w:val="5D0638C7"/>
    <w:rsid w:val="5D0B274A"/>
    <w:rsid w:val="5D2071FB"/>
    <w:rsid w:val="5D253F3F"/>
    <w:rsid w:val="5D2573D0"/>
    <w:rsid w:val="5D2A5237"/>
    <w:rsid w:val="5D2B6EAA"/>
    <w:rsid w:val="5D395FE0"/>
    <w:rsid w:val="5D413506"/>
    <w:rsid w:val="5D451DDA"/>
    <w:rsid w:val="5D453167"/>
    <w:rsid w:val="5D7661BB"/>
    <w:rsid w:val="5D811D91"/>
    <w:rsid w:val="5D8331ED"/>
    <w:rsid w:val="5D84646B"/>
    <w:rsid w:val="5D8547EA"/>
    <w:rsid w:val="5D892330"/>
    <w:rsid w:val="5D8C1B29"/>
    <w:rsid w:val="5D940211"/>
    <w:rsid w:val="5D9761AF"/>
    <w:rsid w:val="5D9A027D"/>
    <w:rsid w:val="5DA97B86"/>
    <w:rsid w:val="5DB06C95"/>
    <w:rsid w:val="5DB865F0"/>
    <w:rsid w:val="5DB873CE"/>
    <w:rsid w:val="5DBC68D6"/>
    <w:rsid w:val="5DC801B2"/>
    <w:rsid w:val="5DC92D73"/>
    <w:rsid w:val="5DCB1D21"/>
    <w:rsid w:val="5DD17991"/>
    <w:rsid w:val="5DDE1A54"/>
    <w:rsid w:val="5DE033F9"/>
    <w:rsid w:val="5DE54B90"/>
    <w:rsid w:val="5DE66C20"/>
    <w:rsid w:val="5DF10618"/>
    <w:rsid w:val="5DF10B47"/>
    <w:rsid w:val="5DFB0858"/>
    <w:rsid w:val="5E046A15"/>
    <w:rsid w:val="5E056147"/>
    <w:rsid w:val="5E084D23"/>
    <w:rsid w:val="5E0A45F7"/>
    <w:rsid w:val="5E1E4A95"/>
    <w:rsid w:val="5E2A6BBC"/>
    <w:rsid w:val="5E3A3ABF"/>
    <w:rsid w:val="5E4107AB"/>
    <w:rsid w:val="5E45554E"/>
    <w:rsid w:val="5E484188"/>
    <w:rsid w:val="5E48511F"/>
    <w:rsid w:val="5E4A5AF6"/>
    <w:rsid w:val="5E573E48"/>
    <w:rsid w:val="5E59597F"/>
    <w:rsid w:val="5E597ADD"/>
    <w:rsid w:val="5E5F64F0"/>
    <w:rsid w:val="5E6036C0"/>
    <w:rsid w:val="5E6107E9"/>
    <w:rsid w:val="5E6C52B2"/>
    <w:rsid w:val="5E706AC9"/>
    <w:rsid w:val="5E785A05"/>
    <w:rsid w:val="5E792416"/>
    <w:rsid w:val="5E8817D8"/>
    <w:rsid w:val="5E8F570F"/>
    <w:rsid w:val="5E9255DC"/>
    <w:rsid w:val="5E935F94"/>
    <w:rsid w:val="5E96029E"/>
    <w:rsid w:val="5E9622BA"/>
    <w:rsid w:val="5E9B254F"/>
    <w:rsid w:val="5EA7453C"/>
    <w:rsid w:val="5EA8071D"/>
    <w:rsid w:val="5EAB0A16"/>
    <w:rsid w:val="5EAF519E"/>
    <w:rsid w:val="5EB84053"/>
    <w:rsid w:val="5EC3244B"/>
    <w:rsid w:val="5EC8397E"/>
    <w:rsid w:val="5ECB2990"/>
    <w:rsid w:val="5ED80DC1"/>
    <w:rsid w:val="5ED9084B"/>
    <w:rsid w:val="5EDF0ADA"/>
    <w:rsid w:val="5EE10235"/>
    <w:rsid w:val="5EED7FF0"/>
    <w:rsid w:val="5EF7101F"/>
    <w:rsid w:val="5EFC7E35"/>
    <w:rsid w:val="5F070A50"/>
    <w:rsid w:val="5F0F2476"/>
    <w:rsid w:val="5F134BF5"/>
    <w:rsid w:val="5F265461"/>
    <w:rsid w:val="5F314CF8"/>
    <w:rsid w:val="5F3157E1"/>
    <w:rsid w:val="5F365651"/>
    <w:rsid w:val="5F471F31"/>
    <w:rsid w:val="5F481892"/>
    <w:rsid w:val="5F4959FC"/>
    <w:rsid w:val="5F4B5F0B"/>
    <w:rsid w:val="5F52038F"/>
    <w:rsid w:val="5F5854AC"/>
    <w:rsid w:val="5F6274AD"/>
    <w:rsid w:val="5F664883"/>
    <w:rsid w:val="5F6C7812"/>
    <w:rsid w:val="5F7B08DC"/>
    <w:rsid w:val="5F8D54E0"/>
    <w:rsid w:val="5F9745B0"/>
    <w:rsid w:val="5F9C0158"/>
    <w:rsid w:val="5F9C45C2"/>
    <w:rsid w:val="5F9D2510"/>
    <w:rsid w:val="5F9E593F"/>
    <w:rsid w:val="5FA12D39"/>
    <w:rsid w:val="5FB16998"/>
    <w:rsid w:val="5FB310AE"/>
    <w:rsid w:val="5FBC7B73"/>
    <w:rsid w:val="5FBE06A9"/>
    <w:rsid w:val="5FC36ABF"/>
    <w:rsid w:val="5FC41A99"/>
    <w:rsid w:val="5FCB3F5F"/>
    <w:rsid w:val="5FCB59BA"/>
    <w:rsid w:val="5FCD2D18"/>
    <w:rsid w:val="5FD43F14"/>
    <w:rsid w:val="5FD72466"/>
    <w:rsid w:val="5FD82F7C"/>
    <w:rsid w:val="5FE002F9"/>
    <w:rsid w:val="5FEF4E02"/>
    <w:rsid w:val="5FF62290"/>
    <w:rsid w:val="5FFD062D"/>
    <w:rsid w:val="600129B9"/>
    <w:rsid w:val="600357A2"/>
    <w:rsid w:val="601D1CCD"/>
    <w:rsid w:val="60237F71"/>
    <w:rsid w:val="602906AE"/>
    <w:rsid w:val="60290E01"/>
    <w:rsid w:val="602C19B8"/>
    <w:rsid w:val="602E3115"/>
    <w:rsid w:val="603911C4"/>
    <w:rsid w:val="60394B3D"/>
    <w:rsid w:val="603E4A2C"/>
    <w:rsid w:val="60483AFC"/>
    <w:rsid w:val="604A35BC"/>
    <w:rsid w:val="604C2094"/>
    <w:rsid w:val="604F6C39"/>
    <w:rsid w:val="605424A1"/>
    <w:rsid w:val="607C0D31"/>
    <w:rsid w:val="607D1EBB"/>
    <w:rsid w:val="60904C36"/>
    <w:rsid w:val="60916139"/>
    <w:rsid w:val="609D32FC"/>
    <w:rsid w:val="60A109EB"/>
    <w:rsid w:val="60A46028"/>
    <w:rsid w:val="60B90EC4"/>
    <w:rsid w:val="60BC53FD"/>
    <w:rsid w:val="60C07B37"/>
    <w:rsid w:val="60C16719"/>
    <w:rsid w:val="60C929A8"/>
    <w:rsid w:val="60DE2AF7"/>
    <w:rsid w:val="60E229A9"/>
    <w:rsid w:val="60E708D0"/>
    <w:rsid w:val="60ED166D"/>
    <w:rsid w:val="60F31D02"/>
    <w:rsid w:val="60F66586"/>
    <w:rsid w:val="60F831B7"/>
    <w:rsid w:val="60FF065F"/>
    <w:rsid w:val="61027F57"/>
    <w:rsid w:val="610B6D0D"/>
    <w:rsid w:val="610E47E7"/>
    <w:rsid w:val="61125A96"/>
    <w:rsid w:val="61157B25"/>
    <w:rsid w:val="6122434D"/>
    <w:rsid w:val="61247B2F"/>
    <w:rsid w:val="61283254"/>
    <w:rsid w:val="612E2CF2"/>
    <w:rsid w:val="613B2EC6"/>
    <w:rsid w:val="613D7AC0"/>
    <w:rsid w:val="61412A26"/>
    <w:rsid w:val="614372F4"/>
    <w:rsid w:val="61440E6E"/>
    <w:rsid w:val="61457884"/>
    <w:rsid w:val="6147112D"/>
    <w:rsid w:val="6151253D"/>
    <w:rsid w:val="6160135D"/>
    <w:rsid w:val="6162474A"/>
    <w:rsid w:val="61631912"/>
    <w:rsid w:val="616F1841"/>
    <w:rsid w:val="61706E67"/>
    <w:rsid w:val="61747702"/>
    <w:rsid w:val="61767CB3"/>
    <w:rsid w:val="617952FC"/>
    <w:rsid w:val="617C53D9"/>
    <w:rsid w:val="617F3512"/>
    <w:rsid w:val="61812E22"/>
    <w:rsid w:val="61834DEC"/>
    <w:rsid w:val="618B10E4"/>
    <w:rsid w:val="6190308F"/>
    <w:rsid w:val="61936D8B"/>
    <w:rsid w:val="6199628F"/>
    <w:rsid w:val="61A56914"/>
    <w:rsid w:val="61AA6062"/>
    <w:rsid w:val="61B27CA1"/>
    <w:rsid w:val="61B3707D"/>
    <w:rsid w:val="61B72CE8"/>
    <w:rsid w:val="61BA6334"/>
    <w:rsid w:val="61BE4076"/>
    <w:rsid w:val="61C001CC"/>
    <w:rsid w:val="61C3343B"/>
    <w:rsid w:val="61C952DF"/>
    <w:rsid w:val="61D513C0"/>
    <w:rsid w:val="61EF0440"/>
    <w:rsid w:val="61FA1656"/>
    <w:rsid w:val="61FF27FC"/>
    <w:rsid w:val="620B4DE2"/>
    <w:rsid w:val="620C2033"/>
    <w:rsid w:val="620F48D2"/>
    <w:rsid w:val="620F6F18"/>
    <w:rsid w:val="62117EBD"/>
    <w:rsid w:val="62127F1E"/>
    <w:rsid w:val="621C0778"/>
    <w:rsid w:val="621D05DD"/>
    <w:rsid w:val="622C4470"/>
    <w:rsid w:val="623163A7"/>
    <w:rsid w:val="623F2EA5"/>
    <w:rsid w:val="625130FB"/>
    <w:rsid w:val="62556940"/>
    <w:rsid w:val="625C563D"/>
    <w:rsid w:val="625C615E"/>
    <w:rsid w:val="625F7ED6"/>
    <w:rsid w:val="626256DD"/>
    <w:rsid w:val="62683FE2"/>
    <w:rsid w:val="626B762E"/>
    <w:rsid w:val="6271444B"/>
    <w:rsid w:val="62864468"/>
    <w:rsid w:val="628935EF"/>
    <w:rsid w:val="628C5A67"/>
    <w:rsid w:val="62944560"/>
    <w:rsid w:val="629870A2"/>
    <w:rsid w:val="629C61EA"/>
    <w:rsid w:val="62A74B0A"/>
    <w:rsid w:val="62AE6250"/>
    <w:rsid w:val="62B1643E"/>
    <w:rsid w:val="62B45479"/>
    <w:rsid w:val="62BF209A"/>
    <w:rsid w:val="62CA2184"/>
    <w:rsid w:val="62CF5E0F"/>
    <w:rsid w:val="62D2496B"/>
    <w:rsid w:val="63007776"/>
    <w:rsid w:val="63011F0B"/>
    <w:rsid w:val="63027F93"/>
    <w:rsid w:val="6305370E"/>
    <w:rsid w:val="630D3399"/>
    <w:rsid w:val="630E7347"/>
    <w:rsid w:val="631F0B45"/>
    <w:rsid w:val="631F28F3"/>
    <w:rsid w:val="63230C1F"/>
    <w:rsid w:val="632720A3"/>
    <w:rsid w:val="63367D3F"/>
    <w:rsid w:val="6337605A"/>
    <w:rsid w:val="63384BF1"/>
    <w:rsid w:val="633F11E7"/>
    <w:rsid w:val="633F3CAA"/>
    <w:rsid w:val="63584057"/>
    <w:rsid w:val="635E6E8C"/>
    <w:rsid w:val="635F6D2C"/>
    <w:rsid w:val="63624ED5"/>
    <w:rsid w:val="63690012"/>
    <w:rsid w:val="636F24BB"/>
    <w:rsid w:val="6381535B"/>
    <w:rsid w:val="63890E28"/>
    <w:rsid w:val="639170EF"/>
    <w:rsid w:val="639332E1"/>
    <w:rsid w:val="6395692D"/>
    <w:rsid w:val="639A01CB"/>
    <w:rsid w:val="63A1155A"/>
    <w:rsid w:val="63A8695F"/>
    <w:rsid w:val="63AB23D8"/>
    <w:rsid w:val="63BA169B"/>
    <w:rsid w:val="63C15836"/>
    <w:rsid w:val="63D02078"/>
    <w:rsid w:val="63D119F0"/>
    <w:rsid w:val="63D27BE3"/>
    <w:rsid w:val="63DA2CBD"/>
    <w:rsid w:val="63DC1055"/>
    <w:rsid w:val="63DD33CD"/>
    <w:rsid w:val="63E90FE0"/>
    <w:rsid w:val="63EE6769"/>
    <w:rsid w:val="63F749B9"/>
    <w:rsid w:val="63FB7C3B"/>
    <w:rsid w:val="63FC70D8"/>
    <w:rsid w:val="63FE4BFE"/>
    <w:rsid w:val="64080705"/>
    <w:rsid w:val="64120C1E"/>
    <w:rsid w:val="64124205"/>
    <w:rsid w:val="642632AF"/>
    <w:rsid w:val="6428256E"/>
    <w:rsid w:val="64382901"/>
    <w:rsid w:val="643979E4"/>
    <w:rsid w:val="643A1643"/>
    <w:rsid w:val="643E2670"/>
    <w:rsid w:val="6445778C"/>
    <w:rsid w:val="644C515F"/>
    <w:rsid w:val="644C6871"/>
    <w:rsid w:val="644D348F"/>
    <w:rsid w:val="644F37C5"/>
    <w:rsid w:val="64515ACD"/>
    <w:rsid w:val="645D6438"/>
    <w:rsid w:val="645D7C18"/>
    <w:rsid w:val="645E390D"/>
    <w:rsid w:val="64604B5D"/>
    <w:rsid w:val="64654DEB"/>
    <w:rsid w:val="64682077"/>
    <w:rsid w:val="647A412F"/>
    <w:rsid w:val="647C4325"/>
    <w:rsid w:val="647F055B"/>
    <w:rsid w:val="648B248A"/>
    <w:rsid w:val="649607A0"/>
    <w:rsid w:val="64A82548"/>
    <w:rsid w:val="64AF1213"/>
    <w:rsid w:val="64B477E8"/>
    <w:rsid w:val="64B703EC"/>
    <w:rsid w:val="64B84F5C"/>
    <w:rsid w:val="64C431C0"/>
    <w:rsid w:val="64CF569C"/>
    <w:rsid w:val="64E9096A"/>
    <w:rsid w:val="64E969EC"/>
    <w:rsid w:val="64F728D5"/>
    <w:rsid w:val="650074BA"/>
    <w:rsid w:val="650E0E71"/>
    <w:rsid w:val="651144BD"/>
    <w:rsid w:val="6513691A"/>
    <w:rsid w:val="651641C9"/>
    <w:rsid w:val="65173519"/>
    <w:rsid w:val="65261C89"/>
    <w:rsid w:val="65283DC6"/>
    <w:rsid w:val="65284CCE"/>
    <w:rsid w:val="653B5EE5"/>
    <w:rsid w:val="657049D2"/>
    <w:rsid w:val="6575295A"/>
    <w:rsid w:val="657B402C"/>
    <w:rsid w:val="657C227E"/>
    <w:rsid w:val="657D21FF"/>
    <w:rsid w:val="65875458"/>
    <w:rsid w:val="658904F7"/>
    <w:rsid w:val="65947427"/>
    <w:rsid w:val="659C51A1"/>
    <w:rsid w:val="659D508A"/>
    <w:rsid w:val="65BD3CE7"/>
    <w:rsid w:val="65DD6454"/>
    <w:rsid w:val="65E16585"/>
    <w:rsid w:val="65E21B63"/>
    <w:rsid w:val="65E6592A"/>
    <w:rsid w:val="65EC3BB8"/>
    <w:rsid w:val="65EE2A50"/>
    <w:rsid w:val="65F4293E"/>
    <w:rsid w:val="65F71905"/>
    <w:rsid w:val="65FC7FFD"/>
    <w:rsid w:val="65FF605F"/>
    <w:rsid w:val="66091638"/>
    <w:rsid w:val="660F5F33"/>
    <w:rsid w:val="66154DA9"/>
    <w:rsid w:val="66246472"/>
    <w:rsid w:val="662A2DCE"/>
    <w:rsid w:val="662E541A"/>
    <w:rsid w:val="662F296E"/>
    <w:rsid w:val="66320B8F"/>
    <w:rsid w:val="66362D25"/>
    <w:rsid w:val="663722D4"/>
    <w:rsid w:val="663A3EE7"/>
    <w:rsid w:val="663B23F4"/>
    <w:rsid w:val="663C3275"/>
    <w:rsid w:val="663D12E2"/>
    <w:rsid w:val="66413EAD"/>
    <w:rsid w:val="66490FDC"/>
    <w:rsid w:val="66503810"/>
    <w:rsid w:val="66555EDF"/>
    <w:rsid w:val="66652862"/>
    <w:rsid w:val="667239F8"/>
    <w:rsid w:val="667253BC"/>
    <w:rsid w:val="667C2102"/>
    <w:rsid w:val="667F4267"/>
    <w:rsid w:val="66855163"/>
    <w:rsid w:val="66884460"/>
    <w:rsid w:val="6698362A"/>
    <w:rsid w:val="66A0076C"/>
    <w:rsid w:val="66A75B12"/>
    <w:rsid w:val="66A852F5"/>
    <w:rsid w:val="66AB4480"/>
    <w:rsid w:val="66B477F6"/>
    <w:rsid w:val="66BC66AA"/>
    <w:rsid w:val="66C11F13"/>
    <w:rsid w:val="66C32B7C"/>
    <w:rsid w:val="66C537B1"/>
    <w:rsid w:val="66C71671"/>
    <w:rsid w:val="66C92F89"/>
    <w:rsid w:val="66D24BB5"/>
    <w:rsid w:val="66D40608"/>
    <w:rsid w:val="66DA57BF"/>
    <w:rsid w:val="66DD26E1"/>
    <w:rsid w:val="66E229A8"/>
    <w:rsid w:val="66E70059"/>
    <w:rsid w:val="66ED5DE6"/>
    <w:rsid w:val="66FB7F14"/>
    <w:rsid w:val="67090533"/>
    <w:rsid w:val="670E6D38"/>
    <w:rsid w:val="67142208"/>
    <w:rsid w:val="67172593"/>
    <w:rsid w:val="671868DB"/>
    <w:rsid w:val="6719585F"/>
    <w:rsid w:val="671A724E"/>
    <w:rsid w:val="672A7AB8"/>
    <w:rsid w:val="672C7E85"/>
    <w:rsid w:val="674548F2"/>
    <w:rsid w:val="675237A4"/>
    <w:rsid w:val="67601121"/>
    <w:rsid w:val="677218E4"/>
    <w:rsid w:val="677B2C68"/>
    <w:rsid w:val="67923912"/>
    <w:rsid w:val="679A69EC"/>
    <w:rsid w:val="679E2FBD"/>
    <w:rsid w:val="679F2DEE"/>
    <w:rsid w:val="67A61B38"/>
    <w:rsid w:val="67A67F21"/>
    <w:rsid w:val="67A700E1"/>
    <w:rsid w:val="67A94E81"/>
    <w:rsid w:val="67AC6C98"/>
    <w:rsid w:val="67B0377C"/>
    <w:rsid w:val="67B55E60"/>
    <w:rsid w:val="67B6759E"/>
    <w:rsid w:val="67C248FD"/>
    <w:rsid w:val="67CA1B05"/>
    <w:rsid w:val="67D54EAE"/>
    <w:rsid w:val="67D55C76"/>
    <w:rsid w:val="67EA2533"/>
    <w:rsid w:val="67EB3C17"/>
    <w:rsid w:val="67EE31DB"/>
    <w:rsid w:val="67EF02A9"/>
    <w:rsid w:val="67F95923"/>
    <w:rsid w:val="67FB1A94"/>
    <w:rsid w:val="67FC20B9"/>
    <w:rsid w:val="67FC44E7"/>
    <w:rsid w:val="67FD51CC"/>
    <w:rsid w:val="67FE04D0"/>
    <w:rsid w:val="67FF0F45"/>
    <w:rsid w:val="680203FF"/>
    <w:rsid w:val="68133A7A"/>
    <w:rsid w:val="68161920"/>
    <w:rsid w:val="681A276E"/>
    <w:rsid w:val="681F180F"/>
    <w:rsid w:val="682664D1"/>
    <w:rsid w:val="68272B82"/>
    <w:rsid w:val="6832311B"/>
    <w:rsid w:val="683D4A7A"/>
    <w:rsid w:val="683D4DCE"/>
    <w:rsid w:val="684265A9"/>
    <w:rsid w:val="6843583A"/>
    <w:rsid w:val="68437083"/>
    <w:rsid w:val="68444BA9"/>
    <w:rsid w:val="68455962"/>
    <w:rsid w:val="68471CFA"/>
    <w:rsid w:val="684E052E"/>
    <w:rsid w:val="685643E1"/>
    <w:rsid w:val="6858637B"/>
    <w:rsid w:val="68594929"/>
    <w:rsid w:val="68661CD2"/>
    <w:rsid w:val="686D4D23"/>
    <w:rsid w:val="68702277"/>
    <w:rsid w:val="68753642"/>
    <w:rsid w:val="6881195A"/>
    <w:rsid w:val="688974A8"/>
    <w:rsid w:val="68931CD5"/>
    <w:rsid w:val="68936434"/>
    <w:rsid w:val="68965D35"/>
    <w:rsid w:val="689A389D"/>
    <w:rsid w:val="689A6B90"/>
    <w:rsid w:val="689C6793"/>
    <w:rsid w:val="689E250C"/>
    <w:rsid w:val="68A37A66"/>
    <w:rsid w:val="68B757C8"/>
    <w:rsid w:val="68B910F3"/>
    <w:rsid w:val="68B9594A"/>
    <w:rsid w:val="68C0149A"/>
    <w:rsid w:val="68C77CB4"/>
    <w:rsid w:val="68DB4126"/>
    <w:rsid w:val="68E34AC6"/>
    <w:rsid w:val="68E56BBE"/>
    <w:rsid w:val="68E87C1F"/>
    <w:rsid w:val="68EF4209"/>
    <w:rsid w:val="690523FE"/>
    <w:rsid w:val="69054339"/>
    <w:rsid w:val="690A656D"/>
    <w:rsid w:val="6911105D"/>
    <w:rsid w:val="69117A34"/>
    <w:rsid w:val="691622B6"/>
    <w:rsid w:val="6916655A"/>
    <w:rsid w:val="691935FF"/>
    <w:rsid w:val="691E6A93"/>
    <w:rsid w:val="69227F89"/>
    <w:rsid w:val="69277146"/>
    <w:rsid w:val="69381564"/>
    <w:rsid w:val="693E2568"/>
    <w:rsid w:val="6942558D"/>
    <w:rsid w:val="69456E2B"/>
    <w:rsid w:val="69474951"/>
    <w:rsid w:val="69594A47"/>
    <w:rsid w:val="695E1C9B"/>
    <w:rsid w:val="6964240A"/>
    <w:rsid w:val="69643755"/>
    <w:rsid w:val="696F6D2D"/>
    <w:rsid w:val="69777C6C"/>
    <w:rsid w:val="698600A5"/>
    <w:rsid w:val="69992CD3"/>
    <w:rsid w:val="699F3D19"/>
    <w:rsid w:val="699F5A0A"/>
    <w:rsid w:val="69A37450"/>
    <w:rsid w:val="69AF594B"/>
    <w:rsid w:val="69B04C83"/>
    <w:rsid w:val="69B960E8"/>
    <w:rsid w:val="69BC044F"/>
    <w:rsid w:val="69BF520A"/>
    <w:rsid w:val="69C77FE8"/>
    <w:rsid w:val="69CE59BB"/>
    <w:rsid w:val="69DF5C48"/>
    <w:rsid w:val="69E24846"/>
    <w:rsid w:val="69EC54F9"/>
    <w:rsid w:val="69F90ABF"/>
    <w:rsid w:val="6A0D2B94"/>
    <w:rsid w:val="6A10568B"/>
    <w:rsid w:val="6A1A62CD"/>
    <w:rsid w:val="6A1C0E4B"/>
    <w:rsid w:val="6A2140B2"/>
    <w:rsid w:val="6A242128"/>
    <w:rsid w:val="6A2F23AB"/>
    <w:rsid w:val="6A3C67A6"/>
    <w:rsid w:val="6A405DAE"/>
    <w:rsid w:val="6A472B90"/>
    <w:rsid w:val="6A5006F6"/>
    <w:rsid w:val="6A553A32"/>
    <w:rsid w:val="6A560DAC"/>
    <w:rsid w:val="6A663538"/>
    <w:rsid w:val="6A7D1633"/>
    <w:rsid w:val="6A8B5E92"/>
    <w:rsid w:val="6A8D304D"/>
    <w:rsid w:val="6A8E5EDF"/>
    <w:rsid w:val="6A957578"/>
    <w:rsid w:val="6A9942C4"/>
    <w:rsid w:val="6A994787"/>
    <w:rsid w:val="6AA033E6"/>
    <w:rsid w:val="6AA803C3"/>
    <w:rsid w:val="6AAD49C9"/>
    <w:rsid w:val="6AAD5F0E"/>
    <w:rsid w:val="6AB3597F"/>
    <w:rsid w:val="6ABF6E0B"/>
    <w:rsid w:val="6AC12A16"/>
    <w:rsid w:val="6AC67AF8"/>
    <w:rsid w:val="6ACE7020"/>
    <w:rsid w:val="6AD10D9A"/>
    <w:rsid w:val="6ADF3578"/>
    <w:rsid w:val="6AEB2A78"/>
    <w:rsid w:val="6B00125C"/>
    <w:rsid w:val="6B106C62"/>
    <w:rsid w:val="6B106FC5"/>
    <w:rsid w:val="6B1533AD"/>
    <w:rsid w:val="6B16771A"/>
    <w:rsid w:val="6B17611C"/>
    <w:rsid w:val="6B197A81"/>
    <w:rsid w:val="6B1F11E2"/>
    <w:rsid w:val="6B325BF7"/>
    <w:rsid w:val="6B3A697D"/>
    <w:rsid w:val="6B3B484B"/>
    <w:rsid w:val="6B3C3C68"/>
    <w:rsid w:val="6B424F3A"/>
    <w:rsid w:val="6B42603A"/>
    <w:rsid w:val="6B431030"/>
    <w:rsid w:val="6B436A8D"/>
    <w:rsid w:val="6B4849B1"/>
    <w:rsid w:val="6B4C5FA2"/>
    <w:rsid w:val="6B4E5778"/>
    <w:rsid w:val="6B5A2C3F"/>
    <w:rsid w:val="6B607E5C"/>
    <w:rsid w:val="6B684B2B"/>
    <w:rsid w:val="6B756B41"/>
    <w:rsid w:val="6B782B8D"/>
    <w:rsid w:val="6B7A412B"/>
    <w:rsid w:val="6B8B0FB7"/>
    <w:rsid w:val="6B8F0831"/>
    <w:rsid w:val="6B98412E"/>
    <w:rsid w:val="6BA81FC6"/>
    <w:rsid w:val="6BA972A1"/>
    <w:rsid w:val="6BBD1CF7"/>
    <w:rsid w:val="6BC40667"/>
    <w:rsid w:val="6BCB1032"/>
    <w:rsid w:val="6BCD6965"/>
    <w:rsid w:val="6BD16ED3"/>
    <w:rsid w:val="6BD275B7"/>
    <w:rsid w:val="6BDD7D4F"/>
    <w:rsid w:val="6BDD7E70"/>
    <w:rsid w:val="6BEA6C23"/>
    <w:rsid w:val="6BF863D7"/>
    <w:rsid w:val="6BFC1155"/>
    <w:rsid w:val="6C043D76"/>
    <w:rsid w:val="6C054650"/>
    <w:rsid w:val="6C0601F1"/>
    <w:rsid w:val="6C075B03"/>
    <w:rsid w:val="6C082D01"/>
    <w:rsid w:val="6C0B610A"/>
    <w:rsid w:val="6C0D5B92"/>
    <w:rsid w:val="6C112B24"/>
    <w:rsid w:val="6C164AAF"/>
    <w:rsid w:val="6C1758D2"/>
    <w:rsid w:val="6C24541E"/>
    <w:rsid w:val="6C256F3D"/>
    <w:rsid w:val="6C3F24CA"/>
    <w:rsid w:val="6C4130C1"/>
    <w:rsid w:val="6C463EBB"/>
    <w:rsid w:val="6C4C4A8D"/>
    <w:rsid w:val="6C5147F6"/>
    <w:rsid w:val="6C5527E5"/>
    <w:rsid w:val="6C553EED"/>
    <w:rsid w:val="6C5B406F"/>
    <w:rsid w:val="6C6058A7"/>
    <w:rsid w:val="6C683B9C"/>
    <w:rsid w:val="6C697BBF"/>
    <w:rsid w:val="6C6B350B"/>
    <w:rsid w:val="6C7520FA"/>
    <w:rsid w:val="6C7F0438"/>
    <w:rsid w:val="6C8C4686"/>
    <w:rsid w:val="6C942417"/>
    <w:rsid w:val="6CA1081C"/>
    <w:rsid w:val="6CB21A56"/>
    <w:rsid w:val="6CB56076"/>
    <w:rsid w:val="6CB86E80"/>
    <w:rsid w:val="6CCA6708"/>
    <w:rsid w:val="6CCA7D73"/>
    <w:rsid w:val="6CD45945"/>
    <w:rsid w:val="6CDA60C2"/>
    <w:rsid w:val="6CDC3602"/>
    <w:rsid w:val="6CDC43E9"/>
    <w:rsid w:val="6CDF25C2"/>
    <w:rsid w:val="6CE80A80"/>
    <w:rsid w:val="6CEF1588"/>
    <w:rsid w:val="6CF245FA"/>
    <w:rsid w:val="6D00090C"/>
    <w:rsid w:val="6D165E10"/>
    <w:rsid w:val="6D181281"/>
    <w:rsid w:val="6D287B5A"/>
    <w:rsid w:val="6D2A08D5"/>
    <w:rsid w:val="6D3B566E"/>
    <w:rsid w:val="6D3C4DC1"/>
    <w:rsid w:val="6D517303"/>
    <w:rsid w:val="6D590593"/>
    <w:rsid w:val="6D5E6497"/>
    <w:rsid w:val="6D5E6EBF"/>
    <w:rsid w:val="6D6209B3"/>
    <w:rsid w:val="6D673814"/>
    <w:rsid w:val="6D6B416B"/>
    <w:rsid w:val="6D6D1B92"/>
    <w:rsid w:val="6D720BA9"/>
    <w:rsid w:val="6D7B16CC"/>
    <w:rsid w:val="6D7B4D9C"/>
    <w:rsid w:val="6D7C3DDB"/>
    <w:rsid w:val="6D8E6624"/>
    <w:rsid w:val="6DA01445"/>
    <w:rsid w:val="6DB04CB2"/>
    <w:rsid w:val="6DB4178C"/>
    <w:rsid w:val="6DC03450"/>
    <w:rsid w:val="6DDE4298"/>
    <w:rsid w:val="6DE21F8A"/>
    <w:rsid w:val="6DF61D70"/>
    <w:rsid w:val="6DF7425E"/>
    <w:rsid w:val="6DFA03C4"/>
    <w:rsid w:val="6E076D34"/>
    <w:rsid w:val="6E0A1325"/>
    <w:rsid w:val="6E1A7B10"/>
    <w:rsid w:val="6E207B4E"/>
    <w:rsid w:val="6E217E67"/>
    <w:rsid w:val="6E276AFF"/>
    <w:rsid w:val="6E3D0A6D"/>
    <w:rsid w:val="6E4848D8"/>
    <w:rsid w:val="6E510020"/>
    <w:rsid w:val="6E5C7B73"/>
    <w:rsid w:val="6E6B242A"/>
    <w:rsid w:val="6E757270"/>
    <w:rsid w:val="6E781A51"/>
    <w:rsid w:val="6E7B6E4B"/>
    <w:rsid w:val="6E8126B3"/>
    <w:rsid w:val="6E884778"/>
    <w:rsid w:val="6E891A4E"/>
    <w:rsid w:val="6E8977BA"/>
    <w:rsid w:val="6E8A4814"/>
    <w:rsid w:val="6E932533"/>
    <w:rsid w:val="6E940421"/>
    <w:rsid w:val="6E9A4FA5"/>
    <w:rsid w:val="6EA350D8"/>
    <w:rsid w:val="6EA463A2"/>
    <w:rsid w:val="6EA90FDE"/>
    <w:rsid w:val="6EB34837"/>
    <w:rsid w:val="6EB96D3E"/>
    <w:rsid w:val="6EBA3E17"/>
    <w:rsid w:val="6EBD1C57"/>
    <w:rsid w:val="6EC30F1E"/>
    <w:rsid w:val="6EC64922"/>
    <w:rsid w:val="6ECB55B8"/>
    <w:rsid w:val="6ED053E9"/>
    <w:rsid w:val="6ED24951"/>
    <w:rsid w:val="6ED43694"/>
    <w:rsid w:val="6ED87E74"/>
    <w:rsid w:val="6EDC3D8E"/>
    <w:rsid w:val="6EDD39D6"/>
    <w:rsid w:val="6EED40D9"/>
    <w:rsid w:val="6EFA2466"/>
    <w:rsid w:val="6F0B5CC5"/>
    <w:rsid w:val="6F0F3FB5"/>
    <w:rsid w:val="6F1076B7"/>
    <w:rsid w:val="6F1E2296"/>
    <w:rsid w:val="6F23498B"/>
    <w:rsid w:val="6F3659D8"/>
    <w:rsid w:val="6F466612"/>
    <w:rsid w:val="6F49037E"/>
    <w:rsid w:val="6F4F07AC"/>
    <w:rsid w:val="6F5002D8"/>
    <w:rsid w:val="6F57312F"/>
    <w:rsid w:val="6F5C7A75"/>
    <w:rsid w:val="6F6048FE"/>
    <w:rsid w:val="6F614293"/>
    <w:rsid w:val="6F633146"/>
    <w:rsid w:val="6F655B31"/>
    <w:rsid w:val="6F6C691B"/>
    <w:rsid w:val="6F7E6BF3"/>
    <w:rsid w:val="6F864031"/>
    <w:rsid w:val="6F8A3E42"/>
    <w:rsid w:val="6FB27708"/>
    <w:rsid w:val="6FB478B7"/>
    <w:rsid w:val="6FBF4BFE"/>
    <w:rsid w:val="6FC52A15"/>
    <w:rsid w:val="6FC52A74"/>
    <w:rsid w:val="6FC61C35"/>
    <w:rsid w:val="6FC8448B"/>
    <w:rsid w:val="6FD35191"/>
    <w:rsid w:val="6FD44A65"/>
    <w:rsid w:val="6FD83771"/>
    <w:rsid w:val="6FD900B8"/>
    <w:rsid w:val="6FDE202A"/>
    <w:rsid w:val="6FE43C35"/>
    <w:rsid w:val="6FE72E78"/>
    <w:rsid w:val="6FEA5A1C"/>
    <w:rsid w:val="6FEB253B"/>
    <w:rsid w:val="6FFE09D9"/>
    <w:rsid w:val="70041B6B"/>
    <w:rsid w:val="700C06A3"/>
    <w:rsid w:val="700E7FC4"/>
    <w:rsid w:val="7012558D"/>
    <w:rsid w:val="701B0AEA"/>
    <w:rsid w:val="702A2886"/>
    <w:rsid w:val="702E0844"/>
    <w:rsid w:val="70335C2F"/>
    <w:rsid w:val="70340294"/>
    <w:rsid w:val="70343755"/>
    <w:rsid w:val="703674CE"/>
    <w:rsid w:val="703951EF"/>
    <w:rsid w:val="703B0129"/>
    <w:rsid w:val="703C27F4"/>
    <w:rsid w:val="703D244F"/>
    <w:rsid w:val="703E6382"/>
    <w:rsid w:val="705F2162"/>
    <w:rsid w:val="70630383"/>
    <w:rsid w:val="70657DB3"/>
    <w:rsid w:val="706737D7"/>
    <w:rsid w:val="70696A50"/>
    <w:rsid w:val="707324D0"/>
    <w:rsid w:val="70810441"/>
    <w:rsid w:val="708446DD"/>
    <w:rsid w:val="70866B41"/>
    <w:rsid w:val="708772EC"/>
    <w:rsid w:val="708F2E7C"/>
    <w:rsid w:val="709C34A3"/>
    <w:rsid w:val="709F3B54"/>
    <w:rsid w:val="70A37760"/>
    <w:rsid w:val="70AB523A"/>
    <w:rsid w:val="70C1148D"/>
    <w:rsid w:val="70CB5E68"/>
    <w:rsid w:val="70CD23C0"/>
    <w:rsid w:val="70D32B61"/>
    <w:rsid w:val="70D36C12"/>
    <w:rsid w:val="70D6480D"/>
    <w:rsid w:val="70D85FC1"/>
    <w:rsid w:val="70E91AA9"/>
    <w:rsid w:val="70F516CE"/>
    <w:rsid w:val="70F829D5"/>
    <w:rsid w:val="7114113C"/>
    <w:rsid w:val="711C0906"/>
    <w:rsid w:val="71292B19"/>
    <w:rsid w:val="712B2BDC"/>
    <w:rsid w:val="712B440C"/>
    <w:rsid w:val="712C10F3"/>
    <w:rsid w:val="71325EE7"/>
    <w:rsid w:val="713C1844"/>
    <w:rsid w:val="71450BD3"/>
    <w:rsid w:val="7146355D"/>
    <w:rsid w:val="714E33B7"/>
    <w:rsid w:val="7162419C"/>
    <w:rsid w:val="716A7B93"/>
    <w:rsid w:val="716B31A7"/>
    <w:rsid w:val="71707E36"/>
    <w:rsid w:val="718A6801"/>
    <w:rsid w:val="718E6353"/>
    <w:rsid w:val="719941B8"/>
    <w:rsid w:val="71A76E4A"/>
    <w:rsid w:val="71AA3CCF"/>
    <w:rsid w:val="71AF5213"/>
    <w:rsid w:val="71BA0B9E"/>
    <w:rsid w:val="71BB71E6"/>
    <w:rsid w:val="71BE0B36"/>
    <w:rsid w:val="71C54FAD"/>
    <w:rsid w:val="71C81340"/>
    <w:rsid w:val="71C8398B"/>
    <w:rsid w:val="71E573FD"/>
    <w:rsid w:val="71EE5577"/>
    <w:rsid w:val="71F96A05"/>
    <w:rsid w:val="71FE1AD4"/>
    <w:rsid w:val="72007BEE"/>
    <w:rsid w:val="720B51B6"/>
    <w:rsid w:val="721E1F6F"/>
    <w:rsid w:val="722046AE"/>
    <w:rsid w:val="72234D69"/>
    <w:rsid w:val="724759C2"/>
    <w:rsid w:val="724C16FF"/>
    <w:rsid w:val="725D5379"/>
    <w:rsid w:val="726447C6"/>
    <w:rsid w:val="727F12F9"/>
    <w:rsid w:val="72895D82"/>
    <w:rsid w:val="72945E87"/>
    <w:rsid w:val="72953AC7"/>
    <w:rsid w:val="7296204E"/>
    <w:rsid w:val="72BF37AA"/>
    <w:rsid w:val="72BF4F7D"/>
    <w:rsid w:val="72C15774"/>
    <w:rsid w:val="72CB188C"/>
    <w:rsid w:val="72CF3B0D"/>
    <w:rsid w:val="72D27981"/>
    <w:rsid w:val="72DB4E3E"/>
    <w:rsid w:val="72E25D91"/>
    <w:rsid w:val="72EA091E"/>
    <w:rsid w:val="72EB11D1"/>
    <w:rsid w:val="72FA7ADC"/>
    <w:rsid w:val="72FB4772"/>
    <w:rsid w:val="72FD24F2"/>
    <w:rsid w:val="73013DC3"/>
    <w:rsid w:val="73020966"/>
    <w:rsid w:val="730423A2"/>
    <w:rsid w:val="730801ED"/>
    <w:rsid w:val="731C5623"/>
    <w:rsid w:val="732249A1"/>
    <w:rsid w:val="732950C8"/>
    <w:rsid w:val="73441807"/>
    <w:rsid w:val="734464A7"/>
    <w:rsid w:val="7347663E"/>
    <w:rsid w:val="7347757D"/>
    <w:rsid w:val="734C1B53"/>
    <w:rsid w:val="734D1946"/>
    <w:rsid w:val="734D3BC8"/>
    <w:rsid w:val="73506918"/>
    <w:rsid w:val="735230D5"/>
    <w:rsid w:val="73554010"/>
    <w:rsid w:val="735C6276"/>
    <w:rsid w:val="735D7691"/>
    <w:rsid w:val="73786272"/>
    <w:rsid w:val="737C0FFA"/>
    <w:rsid w:val="73853BCA"/>
    <w:rsid w:val="738D5656"/>
    <w:rsid w:val="738E625F"/>
    <w:rsid w:val="739619CC"/>
    <w:rsid w:val="73992AC3"/>
    <w:rsid w:val="73992B41"/>
    <w:rsid w:val="739E08B8"/>
    <w:rsid w:val="73A10138"/>
    <w:rsid w:val="73A111BE"/>
    <w:rsid w:val="73A95B56"/>
    <w:rsid w:val="73AA26AC"/>
    <w:rsid w:val="73BB13AD"/>
    <w:rsid w:val="73BC1C0C"/>
    <w:rsid w:val="73BC5F3C"/>
    <w:rsid w:val="73C4268A"/>
    <w:rsid w:val="73CA2CA4"/>
    <w:rsid w:val="73CA314A"/>
    <w:rsid w:val="73CC3327"/>
    <w:rsid w:val="73CF3EC1"/>
    <w:rsid w:val="73D10A7C"/>
    <w:rsid w:val="73E060CE"/>
    <w:rsid w:val="73E13BF4"/>
    <w:rsid w:val="73F2319F"/>
    <w:rsid w:val="73FA085C"/>
    <w:rsid w:val="740775BE"/>
    <w:rsid w:val="741A1465"/>
    <w:rsid w:val="742F56A4"/>
    <w:rsid w:val="743E44FA"/>
    <w:rsid w:val="744321B9"/>
    <w:rsid w:val="74453829"/>
    <w:rsid w:val="744A3547"/>
    <w:rsid w:val="745D14CD"/>
    <w:rsid w:val="747301B7"/>
    <w:rsid w:val="747D1B6F"/>
    <w:rsid w:val="747F58E7"/>
    <w:rsid w:val="74803981"/>
    <w:rsid w:val="748E671C"/>
    <w:rsid w:val="748F1B35"/>
    <w:rsid w:val="7490269B"/>
    <w:rsid w:val="74922AC0"/>
    <w:rsid w:val="749420F2"/>
    <w:rsid w:val="74A225EF"/>
    <w:rsid w:val="74B310ED"/>
    <w:rsid w:val="74B45395"/>
    <w:rsid w:val="74C87F16"/>
    <w:rsid w:val="74CB28DA"/>
    <w:rsid w:val="74CC4215"/>
    <w:rsid w:val="74D04DB6"/>
    <w:rsid w:val="74D90969"/>
    <w:rsid w:val="74DA48CB"/>
    <w:rsid w:val="74E120FE"/>
    <w:rsid w:val="74E92D60"/>
    <w:rsid w:val="74EC7067"/>
    <w:rsid w:val="74EE0377"/>
    <w:rsid w:val="74F5194B"/>
    <w:rsid w:val="74F72AF3"/>
    <w:rsid w:val="74F7365D"/>
    <w:rsid w:val="74F87C2C"/>
    <w:rsid w:val="75097D55"/>
    <w:rsid w:val="750A2CD7"/>
    <w:rsid w:val="750A5428"/>
    <w:rsid w:val="752437F8"/>
    <w:rsid w:val="752A12F1"/>
    <w:rsid w:val="754378F0"/>
    <w:rsid w:val="754430F8"/>
    <w:rsid w:val="75454B54"/>
    <w:rsid w:val="75456373"/>
    <w:rsid w:val="75483F2B"/>
    <w:rsid w:val="754C3976"/>
    <w:rsid w:val="75596CAF"/>
    <w:rsid w:val="755B7C0B"/>
    <w:rsid w:val="756019C9"/>
    <w:rsid w:val="756659DC"/>
    <w:rsid w:val="756B19C7"/>
    <w:rsid w:val="756D53EE"/>
    <w:rsid w:val="757F58D8"/>
    <w:rsid w:val="758C51E5"/>
    <w:rsid w:val="75981E64"/>
    <w:rsid w:val="75A03342"/>
    <w:rsid w:val="75AA6994"/>
    <w:rsid w:val="75AF16E6"/>
    <w:rsid w:val="75AF3FAA"/>
    <w:rsid w:val="75BC0475"/>
    <w:rsid w:val="75BD3566"/>
    <w:rsid w:val="75C12BF5"/>
    <w:rsid w:val="75D10E0C"/>
    <w:rsid w:val="75D27811"/>
    <w:rsid w:val="75D4260F"/>
    <w:rsid w:val="75DD0582"/>
    <w:rsid w:val="75EB3CEA"/>
    <w:rsid w:val="75F428A6"/>
    <w:rsid w:val="75F52486"/>
    <w:rsid w:val="760761F4"/>
    <w:rsid w:val="76110158"/>
    <w:rsid w:val="76126652"/>
    <w:rsid w:val="76182072"/>
    <w:rsid w:val="761B7D80"/>
    <w:rsid w:val="761C0A74"/>
    <w:rsid w:val="762B0D2A"/>
    <w:rsid w:val="762B5982"/>
    <w:rsid w:val="762F6E99"/>
    <w:rsid w:val="76334DB9"/>
    <w:rsid w:val="76382F12"/>
    <w:rsid w:val="76481E39"/>
    <w:rsid w:val="764D5571"/>
    <w:rsid w:val="764F2B2D"/>
    <w:rsid w:val="765C5EC2"/>
    <w:rsid w:val="765D7381"/>
    <w:rsid w:val="767E7C63"/>
    <w:rsid w:val="768A39BC"/>
    <w:rsid w:val="768E6CF8"/>
    <w:rsid w:val="768F2D9D"/>
    <w:rsid w:val="769136B0"/>
    <w:rsid w:val="76A8778E"/>
    <w:rsid w:val="76AC673B"/>
    <w:rsid w:val="76B15B00"/>
    <w:rsid w:val="76B57B1A"/>
    <w:rsid w:val="76B62E18"/>
    <w:rsid w:val="76B73919"/>
    <w:rsid w:val="76B8516C"/>
    <w:rsid w:val="76DC32E8"/>
    <w:rsid w:val="76DC73B5"/>
    <w:rsid w:val="76DD0A13"/>
    <w:rsid w:val="76E81C8A"/>
    <w:rsid w:val="76F52AE3"/>
    <w:rsid w:val="77025C02"/>
    <w:rsid w:val="77061685"/>
    <w:rsid w:val="770A73B3"/>
    <w:rsid w:val="770C3AED"/>
    <w:rsid w:val="77132317"/>
    <w:rsid w:val="77182CF2"/>
    <w:rsid w:val="77183DD1"/>
    <w:rsid w:val="7722255A"/>
    <w:rsid w:val="77251B93"/>
    <w:rsid w:val="772B318E"/>
    <w:rsid w:val="772B3B04"/>
    <w:rsid w:val="772E5490"/>
    <w:rsid w:val="773254F8"/>
    <w:rsid w:val="773B0D91"/>
    <w:rsid w:val="77446974"/>
    <w:rsid w:val="776042C2"/>
    <w:rsid w:val="77613D59"/>
    <w:rsid w:val="77633E9B"/>
    <w:rsid w:val="77665300"/>
    <w:rsid w:val="776F6A13"/>
    <w:rsid w:val="77752FD1"/>
    <w:rsid w:val="777C3A99"/>
    <w:rsid w:val="777D268A"/>
    <w:rsid w:val="77814417"/>
    <w:rsid w:val="778356EE"/>
    <w:rsid w:val="778A6B73"/>
    <w:rsid w:val="778F321E"/>
    <w:rsid w:val="77A4357D"/>
    <w:rsid w:val="77AE670B"/>
    <w:rsid w:val="77B52D38"/>
    <w:rsid w:val="77BF424C"/>
    <w:rsid w:val="77C11D73"/>
    <w:rsid w:val="77CB114B"/>
    <w:rsid w:val="77CB1A30"/>
    <w:rsid w:val="77DE1039"/>
    <w:rsid w:val="77E048EF"/>
    <w:rsid w:val="77E05069"/>
    <w:rsid w:val="77E108A2"/>
    <w:rsid w:val="77E85551"/>
    <w:rsid w:val="77F42148"/>
    <w:rsid w:val="77F55D5D"/>
    <w:rsid w:val="77FC2DAB"/>
    <w:rsid w:val="77FE6B23"/>
    <w:rsid w:val="78005718"/>
    <w:rsid w:val="780138A2"/>
    <w:rsid w:val="780974B2"/>
    <w:rsid w:val="78144598"/>
    <w:rsid w:val="78250553"/>
    <w:rsid w:val="783464A7"/>
    <w:rsid w:val="78423D48"/>
    <w:rsid w:val="78482494"/>
    <w:rsid w:val="785D33E7"/>
    <w:rsid w:val="785D489D"/>
    <w:rsid w:val="78614E88"/>
    <w:rsid w:val="7866720A"/>
    <w:rsid w:val="78686692"/>
    <w:rsid w:val="786C14C2"/>
    <w:rsid w:val="78774B27"/>
    <w:rsid w:val="7877762E"/>
    <w:rsid w:val="787A7E9F"/>
    <w:rsid w:val="787C3EEC"/>
    <w:rsid w:val="787D2FEB"/>
    <w:rsid w:val="788B1F02"/>
    <w:rsid w:val="788E5C50"/>
    <w:rsid w:val="78A76272"/>
    <w:rsid w:val="78A8679B"/>
    <w:rsid w:val="78AC7D6F"/>
    <w:rsid w:val="78B86684"/>
    <w:rsid w:val="78BA47EC"/>
    <w:rsid w:val="78CA2E70"/>
    <w:rsid w:val="78CD15F4"/>
    <w:rsid w:val="78CF2423"/>
    <w:rsid w:val="78DB50B6"/>
    <w:rsid w:val="78E34B02"/>
    <w:rsid w:val="78E811D1"/>
    <w:rsid w:val="78E96C93"/>
    <w:rsid w:val="78EC1071"/>
    <w:rsid w:val="78F92AA4"/>
    <w:rsid w:val="78FA0EF3"/>
    <w:rsid w:val="78FA7D70"/>
    <w:rsid w:val="78FD03CE"/>
    <w:rsid w:val="790243F1"/>
    <w:rsid w:val="790A7005"/>
    <w:rsid w:val="790F5FD1"/>
    <w:rsid w:val="791B040F"/>
    <w:rsid w:val="791F3A81"/>
    <w:rsid w:val="79254583"/>
    <w:rsid w:val="793228FA"/>
    <w:rsid w:val="793B7250"/>
    <w:rsid w:val="793C51B2"/>
    <w:rsid w:val="794F0D9D"/>
    <w:rsid w:val="794F5DED"/>
    <w:rsid w:val="7954485D"/>
    <w:rsid w:val="79561AC8"/>
    <w:rsid w:val="79586707"/>
    <w:rsid w:val="796055BB"/>
    <w:rsid w:val="79681A30"/>
    <w:rsid w:val="79733540"/>
    <w:rsid w:val="79782905"/>
    <w:rsid w:val="797D172C"/>
    <w:rsid w:val="79844921"/>
    <w:rsid w:val="798E2A40"/>
    <w:rsid w:val="799460F3"/>
    <w:rsid w:val="79AB2CDA"/>
    <w:rsid w:val="79AB4A88"/>
    <w:rsid w:val="79BD4D0A"/>
    <w:rsid w:val="79C616A5"/>
    <w:rsid w:val="79C76953"/>
    <w:rsid w:val="79C773E8"/>
    <w:rsid w:val="79F53FAD"/>
    <w:rsid w:val="7A036672"/>
    <w:rsid w:val="7A187C44"/>
    <w:rsid w:val="7A1D7E6E"/>
    <w:rsid w:val="7A2B2B3C"/>
    <w:rsid w:val="7A2D6DC8"/>
    <w:rsid w:val="7A4602B8"/>
    <w:rsid w:val="7A505DAD"/>
    <w:rsid w:val="7A622A67"/>
    <w:rsid w:val="7A637111"/>
    <w:rsid w:val="7A6A1AB9"/>
    <w:rsid w:val="7A6A78DB"/>
    <w:rsid w:val="7A710BA7"/>
    <w:rsid w:val="7A754286"/>
    <w:rsid w:val="7A7C35B8"/>
    <w:rsid w:val="7A807F4C"/>
    <w:rsid w:val="7A8378C2"/>
    <w:rsid w:val="7A88301C"/>
    <w:rsid w:val="7A8D0632"/>
    <w:rsid w:val="7A8D62FA"/>
    <w:rsid w:val="7A977FC5"/>
    <w:rsid w:val="7A9814B1"/>
    <w:rsid w:val="7AA833A4"/>
    <w:rsid w:val="7AAF67FA"/>
    <w:rsid w:val="7AB21E46"/>
    <w:rsid w:val="7ABB3F96"/>
    <w:rsid w:val="7ABC158E"/>
    <w:rsid w:val="7ABC24D7"/>
    <w:rsid w:val="7ABF6014"/>
    <w:rsid w:val="7ACD5386"/>
    <w:rsid w:val="7ACF47A6"/>
    <w:rsid w:val="7AD41939"/>
    <w:rsid w:val="7AD41A39"/>
    <w:rsid w:val="7ADD519D"/>
    <w:rsid w:val="7AEC4D72"/>
    <w:rsid w:val="7AEC5358"/>
    <w:rsid w:val="7AF406B1"/>
    <w:rsid w:val="7AF65D6A"/>
    <w:rsid w:val="7AF7106B"/>
    <w:rsid w:val="7AFF62DC"/>
    <w:rsid w:val="7AFF67A2"/>
    <w:rsid w:val="7B05660A"/>
    <w:rsid w:val="7B0703E4"/>
    <w:rsid w:val="7B262C9E"/>
    <w:rsid w:val="7B2B077A"/>
    <w:rsid w:val="7B3311D9"/>
    <w:rsid w:val="7B354F51"/>
    <w:rsid w:val="7B3836F7"/>
    <w:rsid w:val="7B396B7D"/>
    <w:rsid w:val="7B3D4B20"/>
    <w:rsid w:val="7B407452"/>
    <w:rsid w:val="7B474C85"/>
    <w:rsid w:val="7B537186"/>
    <w:rsid w:val="7B5573A2"/>
    <w:rsid w:val="7B581AC3"/>
    <w:rsid w:val="7B5F5AB6"/>
    <w:rsid w:val="7B6B5B27"/>
    <w:rsid w:val="7B713AB0"/>
    <w:rsid w:val="7B721B11"/>
    <w:rsid w:val="7B831689"/>
    <w:rsid w:val="7BA06143"/>
    <w:rsid w:val="7BA9512D"/>
    <w:rsid w:val="7BB340C8"/>
    <w:rsid w:val="7BC254CF"/>
    <w:rsid w:val="7BC26C10"/>
    <w:rsid w:val="7BCE2CB0"/>
    <w:rsid w:val="7BD36518"/>
    <w:rsid w:val="7BE00B87"/>
    <w:rsid w:val="7BEB4301"/>
    <w:rsid w:val="7BEC12EC"/>
    <w:rsid w:val="7BED75E5"/>
    <w:rsid w:val="7BEE728A"/>
    <w:rsid w:val="7BEF3120"/>
    <w:rsid w:val="7BEFF81C"/>
    <w:rsid w:val="7BF96898"/>
    <w:rsid w:val="7C0051D3"/>
    <w:rsid w:val="7C021BFF"/>
    <w:rsid w:val="7C0972AA"/>
    <w:rsid w:val="7C0B7A60"/>
    <w:rsid w:val="7C127041"/>
    <w:rsid w:val="7C172EA1"/>
    <w:rsid w:val="7C1B3D98"/>
    <w:rsid w:val="7C232FFC"/>
    <w:rsid w:val="7C246D74"/>
    <w:rsid w:val="7C2648D1"/>
    <w:rsid w:val="7C377F58"/>
    <w:rsid w:val="7C3E1BE4"/>
    <w:rsid w:val="7C4C264F"/>
    <w:rsid w:val="7C4D08BF"/>
    <w:rsid w:val="7C53272D"/>
    <w:rsid w:val="7C5B3918"/>
    <w:rsid w:val="7C635BB6"/>
    <w:rsid w:val="7C655B98"/>
    <w:rsid w:val="7C691019"/>
    <w:rsid w:val="7C760E26"/>
    <w:rsid w:val="7C8F4BFB"/>
    <w:rsid w:val="7C97070F"/>
    <w:rsid w:val="7C9950DF"/>
    <w:rsid w:val="7C9D177F"/>
    <w:rsid w:val="7C9F2371"/>
    <w:rsid w:val="7CA7192E"/>
    <w:rsid w:val="7CA85DBF"/>
    <w:rsid w:val="7CB34B68"/>
    <w:rsid w:val="7CB46824"/>
    <w:rsid w:val="7CBA4472"/>
    <w:rsid w:val="7CC83BA3"/>
    <w:rsid w:val="7CCC021E"/>
    <w:rsid w:val="7CCE4FF6"/>
    <w:rsid w:val="7CD2057E"/>
    <w:rsid w:val="7CD442F6"/>
    <w:rsid w:val="7CD4792B"/>
    <w:rsid w:val="7CD940D7"/>
    <w:rsid w:val="7CDE1088"/>
    <w:rsid w:val="7CF3248A"/>
    <w:rsid w:val="7CF404F4"/>
    <w:rsid w:val="7CFD4757"/>
    <w:rsid w:val="7D0042EC"/>
    <w:rsid w:val="7D0175BF"/>
    <w:rsid w:val="7D0F49D7"/>
    <w:rsid w:val="7D1053DC"/>
    <w:rsid w:val="7D1965EB"/>
    <w:rsid w:val="7D1D6273"/>
    <w:rsid w:val="7D221505"/>
    <w:rsid w:val="7D281EBD"/>
    <w:rsid w:val="7D2C0EF9"/>
    <w:rsid w:val="7D354B8F"/>
    <w:rsid w:val="7D3E79C1"/>
    <w:rsid w:val="7D4B43A1"/>
    <w:rsid w:val="7D5E506A"/>
    <w:rsid w:val="7D751B04"/>
    <w:rsid w:val="7D7B492C"/>
    <w:rsid w:val="7D7D673C"/>
    <w:rsid w:val="7D8A1BBB"/>
    <w:rsid w:val="7DA15DA2"/>
    <w:rsid w:val="7DAE456B"/>
    <w:rsid w:val="7DAF3575"/>
    <w:rsid w:val="7DC600E3"/>
    <w:rsid w:val="7DCB56F9"/>
    <w:rsid w:val="7DCE4DF6"/>
    <w:rsid w:val="7DD30838"/>
    <w:rsid w:val="7DE33C3D"/>
    <w:rsid w:val="7DEC58BF"/>
    <w:rsid w:val="7DF03033"/>
    <w:rsid w:val="7DFB58B2"/>
    <w:rsid w:val="7E0368D8"/>
    <w:rsid w:val="7E0470FA"/>
    <w:rsid w:val="7E11621C"/>
    <w:rsid w:val="7E163E97"/>
    <w:rsid w:val="7E1739A0"/>
    <w:rsid w:val="7E1B24C9"/>
    <w:rsid w:val="7E1C4C96"/>
    <w:rsid w:val="7E244BDB"/>
    <w:rsid w:val="7E251AE0"/>
    <w:rsid w:val="7E293579"/>
    <w:rsid w:val="7E2B3DA2"/>
    <w:rsid w:val="7E3C190F"/>
    <w:rsid w:val="7E4D4E24"/>
    <w:rsid w:val="7E5356EF"/>
    <w:rsid w:val="7E5A648D"/>
    <w:rsid w:val="7E5F4740"/>
    <w:rsid w:val="7E6401F6"/>
    <w:rsid w:val="7E663305"/>
    <w:rsid w:val="7E6D055E"/>
    <w:rsid w:val="7E6F077A"/>
    <w:rsid w:val="7E7074A7"/>
    <w:rsid w:val="7E720703"/>
    <w:rsid w:val="7E751B09"/>
    <w:rsid w:val="7E757ABD"/>
    <w:rsid w:val="7E76546C"/>
    <w:rsid w:val="7E8104AE"/>
    <w:rsid w:val="7E87442F"/>
    <w:rsid w:val="7E8D033F"/>
    <w:rsid w:val="7E977CD1"/>
    <w:rsid w:val="7E996E25"/>
    <w:rsid w:val="7E9F76F2"/>
    <w:rsid w:val="7EA1294C"/>
    <w:rsid w:val="7EA12A16"/>
    <w:rsid w:val="7EA339B2"/>
    <w:rsid w:val="7EA877E8"/>
    <w:rsid w:val="7EA94FED"/>
    <w:rsid w:val="7EB002E5"/>
    <w:rsid w:val="7EB52241"/>
    <w:rsid w:val="7EBD3942"/>
    <w:rsid w:val="7ECD225B"/>
    <w:rsid w:val="7ED17B3E"/>
    <w:rsid w:val="7EDE76AE"/>
    <w:rsid w:val="7EDF04BA"/>
    <w:rsid w:val="7EE23801"/>
    <w:rsid w:val="7EF300D6"/>
    <w:rsid w:val="7EF63574"/>
    <w:rsid w:val="7EF73380"/>
    <w:rsid w:val="7F1EC1CF"/>
    <w:rsid w:val="7F3207CA"/>
    <w:rsid w:val="7F3472CE"/>
    <w:rsid w:val="7F3B68AE"/>
    <w:rsid w:val="7F5A27DA"/>
    <w:rsid w:val="7F5B7CB9"/>
    <w:rsid w:val="7F5C05D3"/>
    <w:rsid w:val="7F663065"/>
    <w:rsid w:val="7F6B1BAD"/>
    <w:rsid w:val="7F701B3E"/>
    <w:rsid w:val="7F783734"/>
    <w:rsid w:val="7F7B314F"/>
    <w:rsid w:val="7F7D5708"/>
    <w:rsid w:val="7F8F09A8"/>
    <w:rsid w:val="7F911DDB"/>
    <w:rsid w:val="7F961FA8"/>
    <w:rsid w:val="7F9A7290"/>
    <w:rsid w:val="7FAD6F33"/>
    <w:rsid w:val="7FB02E22"/>
    <w:rsid w:val="7FBD73EE"/>
    <w:rsid w:val="7FC00703"/>
    <w:rsid w:val="7FC42986"/>
    <w:rsid w:val="7FC44AF6"/>
    <w:rsid w:val="7FC458B0"/>
    <w:rsid w:val="7FD73216"/>
    <w:rsid w:val="7FD76069"/>
    <w:rsid w:val="7FE117F7"/>
    <w:rsid w:val="7FE57A5D"/>
    <w:rsid w:val="7FF308BE"/>
    <w:rsid w:val="7FF9061E"/>
    <w:rsid w:val="7FFA6640"/>
    <w:rsid w:val="7FFC3233"/>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3"/>
    <w:link w:val="116"/>
    <w:autoRedefine/>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3">
    <w:name w:val="heading 2"/>
    <w:basedOn w:val="1"/>
    <w:next w:val="1"/>
    <w:link w:val="77"/>
    <w:autoRedefine/>
    <w:unhideWhenUsed/>
    <w:qFormat/>
    <w:uiPriority w:val="0"/>
    <w:pPr>
      <w:keepNext/>
      <w:keepLines/>
      <w:numPr>
        <w:ilvl w:val="1"/>
        <w:numId w:val="1"/>
      </w:numPr>
      <w:tabs>
        <w:tab w:val="left" w:pos="480"/>
      </w:tabs>
      <w:spacing w:beforeLines="50" w:afterLines="50" w:line="240" w:lineRule="auto"/>
      <w:ind w:firstLine="0" w:firstLineChars="0"/>
      <w:jc w:val="center"/>
      <w:outlineLvl w:val="1"/>
    </w:pPr>
    <w:rPr>
      <w:rFonts w:ascii="Arial" w:hAnsi="Arial"/>
      <w:bCs/>
      <w:sz w:val="30"/>
      <w:szCs w:val="32"/>
    </w:rPr>
  </w:style>
  <w:style w:type="paragraph" w:styleId="4">
    <w:name w:val="heading 3"/>
    <w:basedOn w:val="1"/>
    <w:next w:val="1"/>
    <w:link w:val="95"/>
    <w:autoRedefine/>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5">
    <w:name w:val="heading 4"/>
    <w:basedOn w:val="1"/>
    <w:next w:val="1"/>
    <w:autoRedefine/>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6">
    <w:name w:val="heading 5"/>
    <w:basedOn w:val="1"/>
    <w:next w:val="1"/>
    <w:autoRedefine/>
    <w:unhideWhenUsed/>
    <w:qFormat/>
    <w:uiPriority w:val="0"/>
    <w:pPr>
      <w:keepNext/>
      <w:keepLines/>
      <w:numPr>
        <w:ilvl w:val="4"/>
        <w:numId w:val="1"/>
      </w:numPr>
      <w:spacing w:line="372" w:lineRule="auto"/>
      <w:ind w:firstLine="0" w:firstLineChars="0"/>
      <w:outlineLvl w:val="4"/>
    </w:pPr>
    <w:rPr>
      <w:b/>
      <w:sz w:val="28"/>
    </w:rPr>
  </w:style>
  <w:style w:type="paragraph" w:styleId="7">
    <w:name w:val="heading 6"/>
    <w:basedOn w:val="1"/>
    <w:next w:val="1"/>
    <w:autoRedefine/>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8">
    <w:name w:val="heading 7"/>
    <w:basedOn w:val="1"/>
    <w:next w:val="1"/>
    <w:autoRedefine/>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autoRedefine/>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next w:val="1"/>
    <w:autoRedefine/>
    <w:qFormat/>
    <w:uiPriority w:val="0"/>
    <w:pPr>
      <w:ind w:firstLine="420"/>
    </w:pPr>
    <w:rPr>
      <w:rFonts w:ascii="Calibri" w:hAnsi="Calibri" w:cs="Times New Roman"/>
    </w:r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autoRedefine/>
    <w:qFormat/>
    <w:uiPriority w:val="0"/>
    <w:rPr>
      <w:rFonts w:ascii="Helvetica" w:hAnsi="Helvetica"/>
      <w:sz w:val="24"/>
    </w:rPr>
  </w:style>
  <w:style w:type="paragraph" w:styleId="14">
    <w:name w:val="annotation text"/>
    <w:basedOn w:val="1"/>
    <w:autoRedefine/>
    <w:unhideWhenUsed/>
    <w:qFormat/>
    <w:uiPriority w:val="0"/>
    <w:pPr>
      <w:jc w:val="left"/>
    </w:pPr>
  </w:style>
  <w:style w:type="paragraph" w:styleId="15">
    <w:name w:val="Body Text 3"/>
    <w:basedOn w:val="1"/>
    <w:autoRedefine/>
    <w:qFormat/>
    <w:uiPriority w:val="0"/>
    <w:pPr>
      <w:snapToGrid w:val="0"/>
    </w:pPr>
  </w:style>
  <w:style w:type="paragraph" w:styleId="16">
    <w:name w:val="Body Text"/>
    <w:basedOn w:val="1"/>
    <w:next w:val="1"/>
    <w:link w:val="68"/>
    <w:autoRedefine/>
    <w:qFormat/>
    <w:uiPriority w:val="0"/>
    <w:pPr>
      <w:jc w:val="left"/>
    </w:pPr>
    <w:rPr>
      <w:bCs/>
    </w:rPr>
  </w:style>
  <w:style w:type="paragraph" w:styleId="17">
    <w:name w:val="Body Text Indent"/>
    <w:basedOn w:val="1"/>
    <w:next w:val="18"/>
    <w:link w:val="84"/>
    <w:autoRedefine/>
    <w:qFormat/>
    <w:uiPriority w:val="0"/>
    <w:pPr>
      <w:ind w:left="420" w:leftChars="200"/>
    </w:pPr>
  </w:style>
  <w:style w:type="paragraph" w:styleId="18">
    <w:name w:val="Body Text First Indent 2"/>
    <w:basedOn w:val="17"/>
    <w:next w:val="19"/>
    <w:autoRedefine/>
    <w:qFormat/>
    <w:uiPriority w:val="0"/>
    <w:pPr>
      <w:snapToGrid w:val="0"/>
      <w:spacing w:after="120" w:line="240" w:lineRule="auto"/>
      <w:ind w:firstLine="420"/>
    </w:pPr>
    <w:rPr>
      <w:rFonts w:hint="eastAsia" w:ascii="宋体" w:cs="Times New Roman"/>
      <w:kern w:val="0"/>
      <w:sz w:val="21"/>
      <w:szCs w:val="21"/>
    </w:rPr>
  </w:style>
  <w:style w:type="paragraph" w:customStyle="1" w:styleId="19">
    <w:name w:val="文章正文"/>
    <w:basedOn w:val="1"/>
    <w:next w:val="20"/>
    <w:autoRedefine/>
    <w:qFormat/>
    <w:uiPriority w:val="0"/>
    <w:pPr>
      <w:spacing w:line="360" w:lineRule="auto"/>
      <w:ind w:firstLine="200"/>
    </w:pPr>
    <w:rPr>
      <w:rFonts w:ascii="Calibri" w:hAnsi="Calibri" w:cs="Times New Roman"/>
    </w:rPr>
  </w:style>
  <w:style w:type="paragraph" w:customStyle="1" w:styleId="20">
    <w:name w:val="公式样式 变量"/>
    <w:autoRedefine/>
    <w:qFormat/>
    <w:uiPriority w:val="0"/>
    <w:rPr>
      <w:rFonts w:ascii="Times New Roman" w:hAnsi="Times New Roman" w:eastAsia="宋体" w:cs="Times New Roman"/>
      <w:i/>
      <w:lang w:val="en-US" w:eastAsia="zh-CN" w:bidi="ar-SA"/>
    </w:rPr>
  </w:style>
  <w:style w:type="paragraph" w:styleId="21">
    <w:name w:val="List 2"/>
    <w:basedOn w:val="1"/>
    <w:autoRedefine/>
    <w:qFormat/>
    <w:uiPriority w:val="99"/>
    <w:pPr>
      <w:ind w:left="100" w:leftChars="200" w:hanging="200" w:hangingChars="200"/>
      <w:contextualSpacing/>
    </w:pPr>
  </w:style>
  <w:style w:type="paragraph" w:styleId="22">
    <w:name w:val="toc 3"/>
    <w:basedOn w:val="1"/>
    <w:next w:val="1"/>
    <w:autoRedefine/>
    <w:unhideWhenUsed/>
    <w:qFormat/>
    <w:uiPriority w:val="0"/>
    <w:pPr>
      <w:ind w:left="840" w:leftChars="400"/>
    </w:pPr>
  </w:style>
  <w:style w:type="paragraph" w:styleId="23">
    <w:name w:val="Plain Text"/>
    <w:basedOn w:val="1"/>
    <w:next w:val="1"/>
    <w:autoRedefine/>
    <w:qFormat/>
    <w:uiPriority w:val="0"/>
    <w:rPr>
      <w:rFonts w:ascii="宋体" w:hAnsi="Courier New"/>
      <w:szCs w:val="20"/>
    </w:rPr>
  </w:style>
  <w:style w:type="paragraph" w:styleId="24">
    <w:name w:val="Date"/>
    <w:basedOn w:val="1"/>
    <w:next w:val="1"/>
    <w:autoRedefine/>
    <w:qFormat/>
    <w:uiPriority w:val="0"/>
    <w:rPr>
      <w:rFonts w:ascii="楷体_GB2312" w:eastAsia="楷体_GB2312"/>
      <w:b/>
      <w:sz w:val="28"/>
    </w:rPr>
  </w:style>
  <w:style w:type="paragraph" w:styleId="25">
    <w:name w:val="Body Text Indent 2"/>
    <w:basedOn w:val="1"/>
    <w:autoRedefine/>
    <w:qFormat/>
    <w:uiPriority w:val="0"/>
    <w:pPr>
      <w:spacing w:line="432" w:lineRule="auto"/>
      <w:ind w:firstLine="480"/>
    </w:pPr>
    <w:rPr>
      <w:szCs w:val="21"/>
    </w:rPr>
  </w:style>
  <w:style w:type="paragraph" w:styleId="26">
    <w:name w:val="endnote text"/>
    <w:basedOn w:val="1"/>
    <w:autoRedefine/>
    <w:qFormat/>
    <w:uiPriority w:val="99"/>
    <w:rPr>
      <w:rFonts w:ascii="Calibri" w:hAnsi="Calibri" w:cs="Calibri" w:eastAsiaTheme="minorEastAsia"/>
      <w:sz w:val="21"/>
      <w:szCs w:val="21"/>
    </w:rPr>
  </w:style>
  <w:style w:type="paragraph" w:styleId="27">
    <w:name w:val="Balloon Text"/>
    <w:basedOn w:val="1"/>
    <w:link w:val="83"/>
    <w:autoRedefine/>
    <w:qFormat/>
    <w:uiPriority w:val="0"/>
    <w:pPr>
      <w:spacing w:line="240" w:lineRule="auto"/>
    </w:pPr>
    <w:rPr>
      <w:sz w:val="18"/>
      <w:szCs w:val="18"/>
    </w:rPr>
  </w:style>
  <w:style w:type="paragraph" w:styleId="28">
    <w:name w:val="footer"/>
    <w:basedOn w:val="1"/>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31">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spacing w:line="240" w:lineRule="auto"/>
      <w:ind w:left="1050" w:firstLine="0" w:firstLineChars="0"/>
      <w:jc w:val="left"/>
    </w:pPr>
    <w:rPr>
      <w:szCs w:val="21"/>
    </w:rPr>
  </w:style>
  <w:style w:type="paragraph" w:styleId="35">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36">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8">
    <w:name w:val="Normal (Web)"/>
    <w:basedOn w:val="1"/>
    <w:autoRedefine/>
    <w:qFormat/>
    <w:uiPriority w:val="0"/>
    <w:pPr>
      <w:widowControl/>
      <w:spacing w:before="100" w:beforeAutospacing="1" w:after="100" w:afterAutospacing="1"/>
      <w:jc w:val="left"/>
    </w:pPr>
    <w:rPr>
      <w:rFonts w:ascii="宋体" w:hAnsi="宋体"/>
      <w:kern w:val="0"/>
    </w:rPr>
  </w:style>
  <w:style w:type="paragraph" w:styleId="39">
    <w:name w:val="Title"/>
    <w:basedOn w:val="1"/>
    <w:next w:val="1"/>
    <w:autoRedefine/>
    <w:qFormat/>
    <w:uiPriority w:val="0"/>
    <w:pPr>
      <w:spacing w:before="240" w:after="60"/>
      <w:jc w:val="center"/>
      <w:outlineLvl w:val="0"/>
    </w:pPr>
    <w:rPr>
      <w:rFonts w:ascii="Arial" w:hAnsi="Arial" w:cs="Arial"/>
      <w:b/>
      <w:bCs/>
      <w:sz w:val="32"/>
      <w:szCs w:val="32"/>
    </w:rPr>
  </w:style>
  <w:style w:type="paragraph" w:styleId="40">
    <w:name w:val="Body Text First Indent"/>
    <w:basedOn w:val="1"/>
    <w:next w:val="1"/>
    <w:autoRedefine/>
    <w:qFormat/>
    <w:uiPriority w:val="0"/>
    <w:pPr>
      <w:spacing w:after="120"/>
      <w:ind w:firstLine="420" w:firstLineChars="100"/>
      <w:jc w:val="both"/>
    </w:pPr>
    <w:rPr>
      <w:rFonts w:ascii="Calibri" w:hAnsi="Calibri" w:cs="Times New Roman"/>
      <w:sz w:val="21"/>
      <w:szCs w:val="21"/>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4">
    <w:name w:val="Strong"/>
    <w:basedOn w:val="43"/>
    <w:autoRedefine/>
    <w:qFormat/>
    <w:uiPriority w:val="0"/>
    <w:rPr>
      <w:b/>
      <w:bCs/>
    </w:rPr>
  </w:style>
  <w:style w:type="character" w:styleId="45">
    <w:name w:val="page number"/>
    <w:basedOn w:val="43"/>
    <w:autoRedefine/>
    <w:unhideWhenUsed/>
    <w:qFormat/>
    <w:uiPriority w:val="99"/>
  </w:style>
  <w:style w:type="character" w:styleId="46">
    <w:name w:val="Hyperlink"/>
    <w:basedOn w:val="43"/>
    <w:autoRedefine/>
    <w:qFormat/>
    <w:uiPriority w:val="0"/>
    <w:rPr>
      <w:color w:val="0000FF"/>
      <w:u w:val="single"/>
    </w:rPr>
  </w:style>
  <w:style w:type="paragraph" w:customStyle="1" w:styleId="47">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48">
    <w:name w:val="toc 11"/>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49">
    <w:name w:val="1正文"/>
    <w:basedOn w:val="1"/>
    <w:autoRedefine/>
    <w:qFormat/>
    <w:uiPriority w:val="0"/>
    <w:pPr>
      <w:ind w:firstLine="480"/>
      <w:contextualSpacing/>
      <w:jc w:val="left"/>
    </w:pPr>
    <w:rPr>
      <w:rFonts w:ascii="仿宋" w:eastAsiaTheme="minorEastAsia"/>
      <w:bCs/>
      <w:color w:val="000000"/>
      <w:szCs w:val="30"/>
    </w:rPr>
  </w:style>
  <w:style w:type="paragraph" w:customStyle="1" w:styleId="50">
    <w:name w:val="样式 表格正文 + 两端对齐"/>
    <w:basedOn w:val="1"/>
    <w:next w:val="51"/>
    <w:autoRedefine/>
    <w:qFormat/>
    <w:uiPriority w:val="0"/>
    <w:pPr>
      <w:spacing w:line="300" w:lineRule="auto"/>
      <w:ind w:firstLine="0"/>
    </w:pPr>
  </w:style>
  <w:style w:type="paragraph" w:customStyle="1" w:styleId="51">
    <w:name w:val="正文1"/>
    <w:basedOn w:val="13"/>
    <w:next w:val="52"/>
    <w:autoRedefine/>
    <w:qFormat/>
    <w:uiPriority w:val="0"/>
    <w:pPr>
      <w:widowControl/>
      <w:snapToGrid w:val="0"/>
      <w:ind w:firstLine="567"/>
    </w:pPr>
    <w:rPr>
      <w:rFonts w:ascii="楷体_GB2312" w:eastAsia="楷体_GB2312"/>
      <w:kern w:val="0"/>
      <w:sz w:val="28"/>
      <w:szCs w:val="20"/>
    </w:rPr>
  </w:style>
  <w:style w:type="paragraph" w:customStyle="1" w:styleId="52">
    <w:name w:val="自动更正"/>
    <w:next w:val="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xl39"/>
    <w:basedOn w:val="1"/>
    <w:next w:val="54"/>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4">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
    <w:name w:val="Body Text First Indent1"/>
    <w:basedOn w:val="16"/>
    <w:next w:val="34"/>
    <w:autoRedefine/>
    <w:qFormat/>
    <w:uiPriority w:val="0"/>
    <w:pPr>
      <w:keepNext w:val="0"/>
      <w:keepLines w:val="0"/>
      <w:widowControl w:val="0"/>
      <w:suppressLineNumbers w:val="0"/>
      <w:spacing w:after="120" w:afterLines="0" w:afterAutospacing="0"/>
      <w:ind w:firstLine="420" w:firstLineChars="100"/>
      <w:jc w:val="both"/>
    </w:pPr>
    <w:rPr>
      <w:rFonts w:hint="default" w:ascii="Calibri" w:hAnsi="Calibri" w:eastAsia="宋体" w:cs="Calibri"/>
      <w:kern w:val="2"/>
      <w:sz w:val="21"/>
      <w:szCs w:val="21"/>
      <w:lang w:val="en-US" w:eastAsia="zh-CN"/>
    </w:rPr>
  </w:style>
  <w:style w:type="paragraph" w:customStyle="1" w:styleId="57">
    <w:name w:val="Default"/>
    <w:next w:val="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BodyText1I"/>
    <w:basedOn w:val="60"/>
    <w:autoRedefine/>
    <w:qFormat/>
    <w:uiPriority w:val="0"/>
    <w:pPr>
      <w:spacing w:after="120"/>
      <w:ind w:firstLine="420"/>
    </w:pPr>
    <w:rPr>
      <w:rFonts w:ascii="仿宋_GB2312" w:hAnsi="Times New Roman" w:eastAsia="仿宋_GB2312"/>
      <w:sz w:val="28"/>
      <w:lang w:bidi="ar-SA"/>
    </w:rPr>
  </w:style>
  <w:style w:type="paragraph" w:customStyle="1" w:styleId="60">
    <w:name w:val="BodyText"/>
    <w:basedOn w:val="1"/>
    <w:autoRedefine/>
    <w:qFormat/>
    <w:uiPriority w:val="0"/>
    <w:pPr>
      <w:textAlignment w:val="baseline"/>
    </w:pPr>
    <w:rPr>
      <w:rFonts w:ascii="仿宋" w:hAnsi="仿宋" w:eastAsia="仿宋"/>
      <w:lang w:val="zh-CN" w:bidi="zh-CN"/>
    </w:rPr>
  </w:style>
  <w:style w:type="paragraph" w:customStyle="1" w:styleId="61">
    <w:name w:val="标准正文"/>
    <w:basedOn w:val="1"/>
    <w:autoRedefine/>
    <w:qFormat/>
    <w:uiPriority w:val="0"/>
    <w:pPr>
      <w:spacing w:line="360" w:lineRule="auto"/>
      <w:ind w:firstLine="200"/>
    </w:pPr>
    <w:rPr>
      <w:szCs w:val="20"/>
    </w:rPr>
  </w:style>
  <w:style w:type="paragraph" w:customStyle="1" w:styleId="62">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63">
    <w:name w:val="正文文本 31"/>
    <w:basedOn w:val="1"/>
    <w:autoRedefine/>
    <w:qFormat/>
    <w:uiPriority w:val="0"/>
    <w:rPr>
      <w:sz w:val="16"/>
      <w:szCs w:val="16"/>
    </w:rPr>
  </w:style>
  <w:style w:type="paragraph" w:customStyle="1" w:styleId="64">
    <w:name w:val="Char Char1 Char"/>
    <w:basedOn w:val="1"/>
    <w:autoRedefine/>
    <w:qFormat/>
    <w:uiPriority w:val="0"/>
  </w:style>
  <w:style w:type="character" w:customStyle="1" w:styleId="65">
    <w:name w:val="标题 2 Char"/>
    <w:basedOn w:val="43"/>
    <w:autoRedefine/>
    <w:qFormat/>
    <w:uiPriority w:val="0"/>
    <w:rPr>
      <w:rFonts w:ascii="Arial" w:hAnsi="Arial" w:eastAsia="宋体" w:cstheme="minorBidi"/>
      <w:b/>
      <w:bCs/>
      <w:sz w:val="28"/>
      <w:szCs w:val="32"/>
    </w:rPr>
  </w:style>
  <w:style w:type="character" w:customStyle="1" w:styleId="66">
    <w:name w:val="标题 3 Char"/>
    <w:autoRedefine/>
    <w:qFormat/>
    <w:uiPriority w:val="9"/>
    <w:rPr>
      <w:rFonts w:ascii="仿宋_GB2312" w:hAnsi="仿宋_GB2312" w:eastAsia="宋体" w:cstheme="minorBidi"/>
      <w:b/>
      <w:bCs/>
      <w:sz w:val="28"/>
      <w:szCs w:val="20"/>
    </w:rPr>
  </w:style>
  <w:style w:type="character" w:customStyle="1" w:styleId="67">
    <w:name w:val="标题 1 Char"/>
    <w:autoRedefine/>
    <w:qFormat/>
    <w:locked/>
    <w:uiPriority w:val="99"/>
    <w:rPr>
      <w:rFonts w:ascii="Times New Roman" w:hAnsi="Times New Roman" w:eastAsia="宋体" w:cstheme="minorBidi"/>
      <w:b/>
      <w:sz w:val="36"/>
      <w:szCs w:val="20"/>
    </w:rPr>
  </w:style>
  <w:style w:type="character" w:customStyle="1" w:styleId="68">
    <w:name w:val="正文文本 Char"/>
    <w:basedOn w:val="43"/>
    <w:link w:val="16"/>
    <w:autoRedefine/>
    <w:semiHidden/>
    <w:qFormat/>
    <w:locked/>
    <w:uiPriority w:val="99"/>
    <w:rPr>
      <w:rFonts w:ascii="Calibri" w:hAnsi="Calibri" w:eastAsia="仿宋" w:cs="Times New Roman"/>
      <w:sz w:val="24"/>
    </w:rPr>
  </w:style>
  <w:style w:type="paragraph" w:customStyle="1" w:styleId="69">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70">
    <w:name w:val="索引 11"/>
    <w:basedOn w:val="1"/>
    <w:next w:val="1"/>
    <w:autoRedefine/>
    <w:qFormat/>
    <w:uiPriority w:val="0"/>
    <w:pPr>
      <w:snapToGrid w:val="0"/>
    </w:pPr>
    <w:rPr>
      <w:szCs w:val="21"/>
    </w:rPr>
  </w:style>
  <w:style w:type="character" w:customStyle="1" w:styleId="71">
    <w:name w:val="large1"/>
    <w:autoRedefine/>
    <w:qFormat/>
    <w:uiPriority w:val="0"/>
    <w:rPr>
      <w:rFonts w:hint="eastAsia" w:ascii="宋体" w:hAnsi="宋体" w:eastAsia="宋体"/>
      <w:sz w:val="21"/>
      <w:szCs w:val="21"/>
    </w:rPr>
  </w:style>
  <w:style w:type="paragraph" w:customStyle="1" w:styleId="72">
    <w:name w:val="List Paragraph1"/>
    <w:basedOn w:val="1"/>
    <w:autoRedefine/>
    <w:qFormat/>
    <w:uiPriority w:val="0"/>
    <w:pPr>
      <w:widowControl/>
      <w:ind w:firstLine="420"/>
      <w:jc w:val="left"/>
    </w:pPr>
    <w:rPr>
      <w:rFonts w:ascii="Calibri" w:hAnsi="Calibri"/>
      <w:szCs w:val="22"/>
    </w:rPr>
  </w:style>
  <w:style w:type="paragraph" w:customStyle="1" w:styleId="73">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4">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76">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77">
    <w:name w:val="标题 2 Char1"/>
    <w:basedOn w:val="43"/>
    <w:link w:val="3"/>
    <w:autoRedefine/>
    <w:qFormat/>
    <w:uiPriority w:val="0"/>
    <w:rPr>
      <w:rFonts w:ascii="Arial" w:hAnsi="Arial" w:eastAsia="宋体"/>
      <w:bCs/>
      <w:kern w:val="2"/>
      <w:sz w:val="30"/>
      <w:szCs w:val="32"/>
      <w:lang w:val="en-US" w:eastAsia="zh-CN" w:bidi="ar-SA"/>
    </w:rPr>
  </w:style>
  <w:style w:type="paragraph" w:customStyle="1" w:styleId="78">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79">
    <w:name w:val="列出段落1"/>
    <w:basedOn w:val="1"/>
    <w:autoRedefine/>
    <w:qFormat/>
    <w:uiPriority w:val="34"/>
    <w:pPr>
      <w:ind w:firstLine="420"/>
    </w:pPr>
  </w:style>
  <w:style w:type="paragraph" w:customStyle="1" w:styleId="80">
    <w:name w:val="L正文"/>
    <w:basedOn w:val="1"/>
    <w:autoRedefine/>
    <w:qFormat/>
    <w:uiPriority w:val="0"/>
    <w:pPr>
      <w:spacing w:afterLines="50" w:line="240" w:lineRule="auto"/>
      <w:ind w:left="160" w:leftChars="160"/>
    </w:pPr>
    <w:rPr>
      <w:rFonts w:cs="Times New Roman"/>
      <w:sz w:val="21"/>
    </w:rPr>
  </w:style>
  <w:style w:type="paragraph" w:customStyle="1" w:styleId="81">
    <w:name w:val="列出段落11"/>
    <w:basedOn w:val="1"/>
    <w:autoRedefine/>
    <w:qFormat/>
    <w:uiPriority w:val="34"/>
    <w:pPr>
      <w:spacing w:line="240" w:lineRule="auto"/>
      <w:ind w:firstLine="420"/>
    </w:pPr>
    <w:rPr>
      <w:rFonts w:cs="宋体"/>
      <w:sz w:val="21"/>
      <w:szCs w:val="21"/>
    </w:rPr>
  </w:style>
  <w:style w:type="paragraph" w:customStyle="1" w:styleId="82">
    <w:name w:val="Char"/>
    <w:basedOn w:val="1"/>
    <w:next w:val="1"/>
    <w:autoRedefine/>
    <w:qFormat/>
    <w:uiPriority w:val="0"/>
    <w:rPr>
      <w:rFonts w:ascii="Tahoma" w:hAnsi="Tahoma"/>
      <w:szCs w:val="20"/>
    </w:rPr>
  </w:style>
  <w:style w:type="character" w:customStyle="1" w:styleId="83">
    <w:name w:val="批注框文本 Char"/>
    <w:basedOn w:val="43"/>
    <w:link w:val="27"/>
    <w:autoRedefine/>
    <w:qFormat/>
    <w:uiPriority w:val="0"/>
    <w:rPr>
      <w:rFonts w:ascii="Times New Roman" w:hAnsi="Times New Roman" w:cstheme="minorBidi"/>
      <w:kern w:val="2"/>
      <w:sz w:val="18"/>
      <w:szCs w:val="18"/>
    </w:rPr>
  </w:style>
  <w:style w:type="character" w:customStyle="1" w:styleId="84">
    <w:name w:val="正文文本缩进 Char"/>
    <w:basedOn w:val="43"/>
    <w:link w:val="17"/>
    <w:autoRedefine/>
    <w:qFormat/>
    <w:uiPriority w:val="0"/>
    <w:rPr>
      <w:rFonts w:ascii="Times New Roman" w:hAnsi="Times New Roman" w:cstheme="minorBidi"/>
      <w:kern w:val="2"/>
      <w:sz w:val="24"/>
      <w:szCs w:val="24"/>
    </w:rPr>
  </w:style>
  <w:style w:type="character" w:customStyle="1" w:styleId="85">
    <w:name w:val="未命名4"/>
    <w:basedOn w:val="43"/>
    <w:autoRedefine/>
    <w:qFormat/>
    <w:uiPriority w:val="0"/>
  </w:style>
  <w:style w:type="paragraph" w:customStyle="1" w:styleId="86">
    <w:name w:val="表格文字"/>
    <w:basedOn w:val="87"/>
    <w:next w:val="16"/>
    <w:autoRedefine/>
    <w:qFormat/>
    <w:uiPriority w:val="0"/>
    <w:pPr>
      <w:adjustRightInd w:val="0"/>
      <w:spacing w:line="420" w:lineRule="atLeast"/>
      <w:jc w:val="left"/>
      <w:textAlignment w:val="baseline"/>
    </w:pPr>
    <w:rPr>
      <w:kern w:val="0"/>
    </w:rPr>
  </w:style>
  <w:style w:type="paragraph" w:customStyle="1" w:styleId="87">
    <w:name w:val="表格文字（两侧对齐）"/>
    <w:basedOn w:val="1"/>
    <w:autoRedefine/>
    <w:qFormat/>
    <w:uiPriority w:val="0"/>
    <w:pPr>
      <w:snapToGrid w:val="0"/>
    </w:pPr>
    <w:rPr>
      <w:sz w:val="20"/>
      <w:szCs w:val="24"/>
    </w:rPr>
  </w:style>
  <w:style w:type="paragraph" w:customStyle="1" w:styleId="88">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89">
    <w:name w:val="font81"/>
    <w:basedOn w:val="43"/>
    <w:autoRedefine/>
    <w:qFormat/>
    <w:uiPriority w:val="0"/>
    <w:rPr>
      <w:rFonts w:hint="default" w:ascii="Times New Roman" w:hAnsi="Times New Roman" w:cs="Times New Roman"/>
      <w:color w:val="000000"/>
      <w:sz w:val="24"/>
      <w:szCs w:val="24"/>
      <w:u w:val="none"/>
    </w:rPr>
  </w:style>
  <w:style w:type="paragraph" w:customStyle="1" w:styleId="90">
    <w:name w:val="WPSOffice手动目录 1"/>
    <w:autoRedefine/>
    <w:qFormat/>
    <w:uiPriority w:val="0"/>
    <w:rPr>
      <w:rFonts w:ascii="Times New Roman" w:hAnsi="Times New Roman" w:eastAsia="宋体" w:cs="Times New Roman"/>
      <w:lang w:val="en-US" w:eastAsia="zh-CN" w:bidi="ar-SA"/>
    </w:rPr>
  </w:style>
  <w:style w:type="paragraph" w:customStyle="1" w:styleId="9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2">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93">
    <w:name w:val="保留正文"/>
    <w:basedOn w:val="16"/>
    <w:autoRedefine/>
    <w:qFormat/>
    <w:uiPriority w:val="0"/>
    <w:pPr>
      <w:keepNext/>
      <w:spacing w:after="160"/>
    </w:pPr>
    <w:rPr>
      <w:sz w:val="21"/>
    </w:rPr>
  </w:style>
  <w:style w:type="paragraph" w:customStyle="1" w:styleId="94">
    <w:name w:val="首行缩进"/>
    <w:basedOn w:val="1"/>
    <w:autoRedefine/>
    <w:qFormat/>
    <w:uiPriority w:val="0"/>
    <w:pPr>
      <w:spacing w:line="360" w:lineRule="auto"/>
      <w:ind w:firstLine="420"/>
    </w:pPr>
    <w:rPr>
      <w:rFonts w:ascii="宋体" w:hAnsi="宋体"/>
    </w:rPr>
  </w:style>
  <w:style w:type="character" w:customStyle="1" w:styleId="95">
    <w:name w:val="标题 3 Char1"/>
    <w:link w:val="4"/>
    <w:autoRedefine/>
    <w:qFormat/>
    <w:uiPriority w:val="9"/>
    <w:rPr>
      <w:rFonts w:ascii="仿宋_GB2312" w:hAnsi="仿宋_GB2312" w:eastAsia="仿宋" w:cs="Times New Roman"/>
      <w:b/>
      <w:bCs/>
      <w:sz w:val="24"/>
      <w:szCs w:val="20"/>
    </w:rPr>
  </w:style>
  <w:style w:type="paragraph" w:customStyle="1" w:styleId="9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7">
    <w:name w:val="font31"/>
    <w:basedOn w:val="43"/>
    <w:autoRedefine/>
    <w:qFormat/>
    <w:uiPriority w:val="0"/>
    <w:rPr>
      <w:rFonts w:hint="eastAsia" w:ascii="微软雅黑" w:hAnsi="微软雅黑" w:eastAsia="微软雅黑" w:cs="微软雅黑"/>
      <w:color w:val="000000"/>
      <w:sz w:val="22"/>
      <w:szCs w:val="22"/>
      <w:u w:val="none"/>
    </w:rPr>
  </w:style>
  <w:style w:type="character" w:customStyle="1" w:styleId="98">
    <w:name w:val="font7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9">
    <w:name w:val="font21"/>
    <w:basedOn w:val="43"/>
    <w:autoRedefine/>
    <w:qFormat/>
    <w:uiPriority w:val="0"/>
    <w:rPr>
      <w:rFonts w:hint="eastAsia" w:ascii="微软雅黑" w:hAnsi="微软雅黑" w:eastAsia="微软雅黑" w:cs="微软雅黑"/>
      <w:color w:val="000000"/>
      <w:sz w:val="22"/>
      <w:szCs w:val="22"/>
      <w:u w:val="none"/>
    </w:rPr>
  </w:style>
  <w:style w:type="character" w:customStyle="1" w:styleId="100">
    <w:name w:val="font6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101">
    <w:name w:val="font01"/>
    <w:basedOn w:val="43"/>
    <w:autoRedefine/>
    <w:qFormat/>
    <w:uiPriority w:val="0"/>
    <w:rPr>
      <w:rFonts w:hint="eastAsia" w:ascii="宋体" w:hAnsi="宋体" w:eastAsia="宋体" w:cs="宋体"/>
      <w:color w:val="000000"/>
      <w:sz w:val="22"/>
      <w:szCs w:val="22"/>
      <w:u w:val="none"/>
    </w:rPr>
  </w:style>
  <w:style w:type="paragraph" w:customStyle="1" w:styleId="102">
    <w:name w:val="p0"/>
    <w:basedOn w:val="1"/>
    <w:autoRedefine/>
    <w:qFormat/>
    <w:uiPriority w:val="0"/>
    <w:pPr>
      <w:widowControl/>
    </w:pPr>
    <w:rPr>
      <w:kern w:val="0"/>
      <w:szCs w:val="21"/>
    </w:rPr>
  </w:style>
  <w:style w:type="paragraph" w:customStyle="1" w:styleId="103">
    <w:name w:val="表头文字"/>
    <w:basedOn w:val="1"/>
    <w:autoRedefine/>
    <w:qFormat/>
    <w:uiPriority w:val="0"/>
    <w:pPr>
      <w:widowControl/>
      <w:jc w:val="left"/>
    </w:pPr>
    <w:rPr>
      <w:rFonts w:eastAsia="仿宋" w:cs="宋体"/>
      <w:b/>
      <w:kern w:val="0"/>
      <w:szCs w:val="21"/>
    </w:rPr>
  </w:style>
  <w:style w:type="character" w:customStyle="1" w:styleId="104">
    <w:name w:val="font41"/>
    <w:basedOn w:val="43"/>
    <w:autoRedefine/>
    <w:qFormat/>
    <w:uiPriority w:val="0"/>
    <w:rPr>
      <w:rFonts w:hint="eastAsia" w:ascii="微软雅黑" w:hAnsi="微软雅黑" w:eastAsia="微软雅黑" w:cs="微软雅黑"/>
      <w:color w:val="000000"/>
      <w:sz w:val="20"/>
      <w:szCs w:val="20"/>
      <w:u w:val="none"/>
    </w:rPr>
  </w:style>
  <w:style w:type="character" w:customStyle="1" w:styleId="105">
    <w:name w:val="font11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6">
    <w:name w:val="font10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7">
    <w:name w:val="font122"/>
    <w:basedOn w:val="43"/>
    <w:autoRedefine/>
    <w:qFormat/>
    <w:uiPriority w:val="0"/>
    <w:rPr>
      <w:rFonts w:hint="eastAsia" w:ascii="宋体" w:hAnsi="宋体" w:eastAsia="宋体" w:cs="宋体"/>
      <w:b/>
      <w:bCs/>
      <w:color w:val="FF0000"/>
      <w:sz w:val="22"/>
      <w:szCs w:val="22"/>
      <w:u w:val="none"/>
    </w:rPr>
  </w:style>
  <w:style w:type="character" w:customStyle="1" w:styleId="108">
    <w:name w:val="font91"/>
    <w:basedOn w:val="43"/>
    <w:autoRedefine/>
    <w:qFormat/>
    <w:uiPriority w:val="0"/>
    <w:rPr>
      <w:rFonts w:hint="eastAsia" w:ascii="宋体" w:hAnsi="宋体" w:eastAsia="宋体" w:cs="宋体"/>
      <w:color w:val="000000"/>
      <w:sz w:val="22"/>
      <w:szCs w:val="22"/>
      <w:u w:val="none"/>
    </w:rPr>
  </w:style>
  <w:style w:type="character" w:customStyle="1" w:styleId="109">
    <w:name w:val="font5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10">
    <w:name w:val="font112"/>
    <w:basedOn w:val="43"/>
    <w:autoRedefine/>
    <w:qFormat/>
    <w:uiPriority w:val="0"/>
    <w:rPr>
      <w:rFonts w:hint="eastAsia" w:ascii="宋体" w:hAnsi="宋体" w:eastAsia="宋体" w:cs="宋体"/>
      <w:color w:val="000000"/>
      <w:sz w:val="24"/>
      <w:szCs w:val="24"/>
      <w:u w:val="none"/>
    </w:rPr>
  </w:style>
  <w:style w:type="paragraph" w:customStyle="1" w:styleId="111">
    <w:name w:val="样式1"/>
    <w:basedOn w:val="1"/>
    <w:autoRedefine/>
    <w:qFormat/>
    <w:uiPriority w:val="0"/>
    <w:pPr>
      <w:spacing w:line="360" w:lineRule="exact"/>
      <w:ind w:firstLine="200"/>
    </w:pPr>
    <w:rPr>
      <w:rFonts w:ascii="Arial" w:hAnsi="Arial"/>
    </w:rPr>
  </w:style>
  <w:style w:type="paragraph" w:customStyle="1" w:styleId="112">
    <w:name w:val="无间隔2"/>
    <w:autoRedefine/>
    <w:qFormat/>
    <w:uiPriority w:val="1"/>
    <w:rPr>
      <w:rFonts w:ascii="Times New Roman" w:hAnsi="Times New Roman" w:eastAsia="宋体" w:cs="Times New Roman"/>
      <w:sz w:val="22"/>
      <w:szCs w:val="22"/>
      <w:lang w:val="en-US" w:eastAsia="en-US" w:bidi="en-US"/>
    </w:rPr>
  </w:style>
  <w:style w:type="paragraph" w:customStyle="1" w:styleId="113">
    <w:name w:val="_Style 1"/>
    <w:basedOn w:val="1"/>
    <w:link w:val="122"/>
    <w:autoRedefine/>
    <w:qFormat/>
    <w:uiPriority w:val="0"/>
    <w:pPr>
      <w:widowControl/>
      <w:jc w:val="left"/>
    </w:pPr>
    <w:rPr>
      <w:rFonts w:ascii="Calibri" w:hAnsi="Calibri" w:cs="Times New Roman"/>
      <w:sz w:val="28"/>
      <w:szCs w:val="28"/>
    </w:rPr>
  </w:style>
  <w:style w:type="paragraph" w:customStyle="1" w:styleId="114">
    <w:name w:val="Table Paragraph"/>
    <w:basedOn w:val="1"/>
    <w:autoRedefine/>
    <w:qFormat/>
    <w:uiPriority w:val="99"/>
    <w:rPr>
      <w:rFonts w:ascii="宋体" w:hAnsi="宋体" w:cs="宋体"/>
      <w:lang w:val="zh-CN"/>
    </w:rPr>
  </w:style>
  <w:style w:type="character" w:customStyle="1" w:styleId="115">
    <w:name w:val="NormalCharacter"/>
    <w:autoRedefine/>
    <w:qFormat/>
    <w:uiPriority w:val="0"/>
  </w:style>
  <w:style w:type="character" w:customStyle="1" w:styleId="116">
    <w:name w:val="标题 1 Char1"/>
    <w:basedOn w:val="43"/>
    <w:link w:val="2"/>
    <w:autoRedefine/>
    <w:qFormat/>
    <w:locked/>
    <w:uiPriority w:val="99"/>
    <w:rPr>
      <w:rFonts w:ascii="宋体" w:hAnsi="宋体" w:eastAsia="宋体" w:cs="宋体"/>
      <w:b/>
      <w:bCs/>
      <w:kern w:val="36"/>
      <w:sz w:val="48"/>
      <w:szCs w:val="48"/>
    </w:rPr>
  </w:style>
  <w:style w:type="paragraph" w:customStyle="1" w:styleId="117">
    <w:name w:val="正文首行缩进两字符"/>
    <w:basedOn w:val="1"/>
    <w:autoRedefine/>
    <w:qFormat/>
    <w:uiPriority w:val="0"/>
    <w:pPr>
      <w:spacing w:line="360" w:lineRule="auto"/>
      <w:ind w:firstLine="200"/>
    </w:pPr>
  </w:style>
  <w:style w:type="paragraph" w:customStyle="1" w:styleId="118">
    <w:name w:val="正文（文章）"/>
    <w:basedOn w:val="1"/>
    <w:autoRedefine/>
    <w:qFormat/>
    <w:uiPriority w:val="0"/>
    <w:pPr>
      <w:ind w:firstLine="560"/>
    </w:pPr>
    <w:rPr>
      <w:rFonts w:cs="宋体"/>
      <w:szCs w:val="20"/>
    </w:rPr>
  </w:style>
  <w:style w:type="paragraph" w:styleId="119">
    <w:name w:val="List Paragraph"/>
    <w:basedOn w:val="1"/>
    <w:autoRedefine/>
    <w:qFormat/>
    <w:uiPriority w:val="34"/>
    <w:pPr>
      <w:ind w:firstLine="420"/>
    </w:pPr>
  </w:style>
  <w:style w:type="paragraph" w:customStyle="1" w:styleId="120">
    <w:name w:val="正文缩进1"/>
    <w:basedOn w:val="1"/>
    <w:autoRedefine/>
    <w:qFormat/>
    <w:uiPriority w:val="0"/>
    <w:pPr>
      <w:ind w:firstLine="420"/>
    </w:pPr>
  </w:style>
  <w:style w:type="paragraph" w:customStyle="1" w:styleId="121">
    <w:name w:val="Heading #2|1"/>
    <w:basedOn w:val="1"/>
    <w:autoRedefine/>
    <w:qFormat/>
    <w:uiPriority w:val="0"/>
    <w:pPr>
      <w:spacing w:after="5580"/>
      <w:jc w:val="center"/>
      <w:outlineLvl w:val="1"/>
    </w:pPr>
    <w:rPr>
      <w:b/>
      <w:bCs/>
      <w:sz w:val="44"/>
      <w:szCs w:val="44"/>
      <w:lang w:val="zh-TW" w:eastAsia="zh-TW" w:bidi="zh-TW"/>
    </w:rPr>
  </w:style>
  <w:style w:type="character" w:customStyle="1" w:styleId="122">
    <w:name w:val="_Style 1 Char"/>
    <w:link w:val="113"/>
    <w:autoRedefine/>
    <w:qFormat/>
    <w:uiPriority w:val="0"/>
    <w:rPr>
      <w:rFonts w:ascii="Calibri" w:hAnsi="Calibri" w:cs="Times New Roman"/>
      <w:sz w:val="28"/>
      <w:szCs w:val="28"/>
    </w:rPr>
  </w:style>
  <w:style w:type="paragraph" w:customStyle="1" w:styleId="123">
    <w:name w:val="+正文 Char Char"/>
    <w:basedOn w:val="1"/>
    <w:autoRedefine/>
    <w:qFormat/>
    <w:uiPriority w:val="0"/>
    <w:pPr>
      <w:spacing w:line="360" w:lineRule="auto"/>
      <w:ind w:firstLine="200"/>
    </w:pPr>
    <w:rPr>
      <w:szCs w:val="28"/>
    </w:rPr>
  </w:style>
  <w:style w:type="paragraph" w:customStyle="1" w:styleId="124">
    <w:name w:val="+●"/>
    <w:autoRedefine/>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25">
    <w:name w:val="文字"/>
    <w:basedOn w:val="1"/>
    <w:autoRedefine/>
    <w:qFormat/>
    <w:uiPriority w:val="0"/>
    <w:pPr>
      <w:tabs>
        <w:tab w:val="left" w:pos="8520"/>
      </w:tabs>
      <w:spacing w:line="312" w:lineRule="auto"/>
      <w:ind w:right="-210" w:firstLine="556"/>
    </w:pPr>
    <w:rPr>
      <w:rFonts w:ascii="楷体_GB2312" w:eastAsia="楷体_GB2312"/>
      <w:sz w:val="28"/>
      <w:szCs w:val="20"/>
    </w:rPr>
  </w:style>
  <w:style w:type="paragraph" w:customStyle="1" w:styleId="126">
    <w:name w:val="_正文"/>
    <w:basedOn w:val="1"/>
    <w:autoRedefine/>
    <w:qFormat/>
    <w:uiPriority w:val="0"/>
    <w:pPr>
      <w:tabs>
        <w:tab w:val="left" w:pos="540"/>
      </w:tabs>
    </w:pPr>
    <w:rPr>
      <w:rFonts w:cs="Arial"/>
    </w:rPr>
  </w:style>
  <w:style w:type="paragraph" w:customStyle="1" w:styleId="127">
    <w:name w:val="+正文"/>
    <w:basedOn w:val="1"/>
    <w:autoRedefine/>
    <w:qFormat/>
    <w:uiPriority w:val="0"/>
    <w:pPr>
      <w:spacing w:line="360" w:lineRule="auto"/>
      <w:ind w:firstLine="200"/>
    </w:pPr>
  </w:style>
  <w:style w:type="character" w:customStyle="1" w:styleId="128">
    <w:name w:val="fontstyle01"/>
    <w:autoRedefine/>
    <w:qFormat/>
    <w:uiPriority w:val="0"/>
    <w:rPr>
      <w:rFonts w:hint="eastAsia" w:ascii="宋体" w:hAnsi="宋体" w:eastAsia="宋体"/>
      <w:color w:val="000000"/>
      <w:sz w:val="22"/>
      <w:szCs w:val="22"/>
    </w:rPr>
  </w:style>
  <w:style w:type="paragraph" w:customStyle="1" w:styleId="129">
    <w:name w:val="标题4"/>
    <w:basedOn w:val="1"/>
    <w:autoRedefine/>
    <w:qFormat/>
    <w:uiPriority w:val="0"/>
    <w:rPr>
      <w:rFonts w:eastAsia="仿宋_GB2312"/>
      <w:sz w:val="32"/>
      <w:szCs w:val="20"/>
    </w:rPr>
  </w:style>
  <w:style w:type="character" w:customStyle="1" w:styleId="130">
    <w:name w:val="标题 4 Char"/>
    <w:autoRedefine/>
    <w:qFormat/>
    <w:uiPriority w:val="0"/>
    <w:rPr>
      <w:rFonts w:eastAsia="黑体"/>
      <w:b/>
      <w:bCs/>
      <w:kern w:val="2"/>
      <w:sz w:val="30"/>
      <w:szCs w:val="30"/>
      <w:lang w:val="en-US" w:eastAsia="zh-CN" w:bidi="ar-SA"/>
    </w:rPr>
  </w:style>
  <w:style w:type="paragraph" w:customStyle="1" w:styleId="131">
    <w:name w:val="reader-word-layer reader-word-s1-7"/>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32">
    <w:name w:val="font11"/>
    <w:basedOn w:val="43"/>
    <w:autoRedefine/>
    <w:qFormat/>
    <w:uiPriority w:val="0"/>
    <w:rPr>
      <w:rFonts w:hint="eastAsia" w:ascii="宋体" w:hAnsi="宋体" w:eastAsia="宋体" w:cs="宋体"/>
      <w:color w:val="000000"/>
      <w:sz w:val="20"/>
      <w:szCs w:val="20"/>
      <w:u w:val="none"/>
    </w:rPr>
  </w:style>
  <w:style w:type="character" w:customStyle="1" w:styleId="133">
    <w:name w:val="10"/>
    <w:autoRedefine/>
    <w:qFormat/>
    <w:uiPriority w:val="0"/>
    <w:rPr>
      <w:rFonts w:hint="default" w:ascii="Times New Roman" w:hAnsi="Times New Roman" w:cs="Times New Roman"/>
    </w:rPr>
  </w:style>
  <w:style w:type="paragraph" w:customStyle="1" w:styleId="134">
    <w:name w:val="blockquote"/>
    <w:basedOn w:val="1"/>
    <w:autoRedefine/>
    <w:qFormat/>
    <w:uiPriority w:val="0"/>
    <w:pPr>
      <w:widowControl/>
      <w:spacing w:before="100" w:beforeAutospacing="1" w:after="100" w:afterAutospacing="1"/>
      <w:jc w:val="left"/>
    </w:pPr>
    <w:rPr>
      <w:rFonts w:ascii="宋体" w:hAnsi="宋体"/>
      <w:kern w:val="0"/>
    </w:rPr>
  </w:style>
  <w:style w:type="paragraph" w:customStyle="1" w:styleId="135">
    <w:name w:val="无间隔3"/>
    <w:autoRedefine/>
    <w:qFormat/>
    <w:uiPriority w:val="1"/>
    <w:rPr>
      <w:rFonts w:ascii="Times New Roman" w:hAnsi="Times New Roman" w:eastAsia="宋体" w:cs="Times New Roman"/>
      <w:sz w:val="22"/>
      <w:szCs w:val="22"/>
      <w:lang w:val="en-US" w:eastAsia="en-US" w:bidi="en-US"/>
    </w:rPr>
  </w:style>
  <w:style w:type="paragraph" w:customStyle="1" w:styleId="136">
    <w:name w:val="正文文本缩进1"/>
    <w:basedOn w:val="1"/>
    <w:autoRedefine/>
    <w:qFormat/>
    <w:uiPriority w:val="0"/>
    <w:pPr>
      <w:spacing w:line="360" w:lineRule="auto"/>
      <w:ind w:firstLine="435"/>
    </w:pPr>
    <w:rPr>
      <w:sz w:val="28"/>
    </w:rPr>
  </w:style>
  <w:style w:type="paragraph" w:customStyle="1" w:styleId="137">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3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39">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0">
    <w:name w:val="正文（缩进）"/>
    <w:autoRedefine/>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1">
    <w:name w:val="_正文段落"/>
    <w:basedOn w:val="1"/>
    <w:autoRedefine/>
    <w:qFormat/>
    <w:uiPriority w:val="0"/>
    <w:pPr>
      <w:spacing w:beforeLines="15" w:afterLines="15" w:line="360" w:lineRule="auto"/>
      <w:ind w:firstLine="560"/>
    </w:pPr>
    <w:rPr>
      <w:rFonts w:eastAsia="仿宋"/>
      <w:sz w:val="28"/>
    </w:rPr>
  </w:style>
  <w:style w:type="paragraph" w:customStyle="1" w:styleId="142">
    <w:name w:val="正文2"/>
    <w:basedOn w:val="1"/>
    <w:next w:val="31"/>
    <w:autoRedefine/>
    <w:qFormat/>
    <w:uiPriority w:val="0"/>
    <w:pPr>
      <w:spacing w:before="156" w:line="360" w:lineRule="auto"/>
      <w:ind w:firstLine="510"/>
    </w:pPr>
  </w:style>
  <w:style w:type="paragraph" w:customStyle="1" w:styleId="143">
    <w:name w:val="Other|1"/>
    <w:basedOn w:val="1"/>
    <w:autoRedefine/>
    <w:qFormat/>
    <w:uiPriority w:val="0"/>
    <w:pPr>
      <w:spacing w:line="415" w:lineRule="auto"/>
      <w:ind w:firstLine="400"/>
    </w:pPr>
    <w:rPr>
      <w:rFonts w:ascii="宋体" w:hAnsi="宋体" w:cs="宋体"/>
      <w:sz w:val="22"/>
      <w:szCs w:val="22"/>
      <w:lang w:val="zh-TW" w:eastAsia="zh-TW" w:bidi="zh-TW"/>
    </w:rPr>
  </w:style>
  <w:style w:type="paragraph" w:customStyle="1" w:styleId="144">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
    <w:name w:val="正文_0"/>
    <w:next w:val="146"/>
    <w:autoRedefine/>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_0"/>
    <w:basedOn w:val="147"/>
    <w:next w:val="145"/>
    <w:autoRedefine/>
    <w:qFormat/>
    <w:uiPriority w:val="0"/>
    <w:pPr>
      <w:spacing w:after="0"/>
      <w:ind w:firstLine="420"/>
      <w:jc w:val="left"/>
    </w:pPr>
    <w:rPr>
      <w:sz w:val="20"/>
      <w:szCs w:val="20"/>
    </w:rPr>
  </w:style>
  <w:style w:type="paragraph" w:customStyle="1" w:styleId="147">
    <w:name w:val="正文文本_0"/>
    <w:basedOn w:val="145"/>
    <w:next w:val="146"/>
    <w:autoRedefine/>
    <w:qFormat/>
    <w:uiPriority w:val="0"/>
    <w:pPr>
      <w:spacing w:after="120"/>
    </w:pPr>
  </w:style>
  <w:style w:type="paragraph" w:customStyle="1" w:styleId="148">
    <w:name w:val="正文_1"/>
    <w:next w:val="149"/>
    <w:autoRedefine/>
    <w:qFormat/>
    <w:uiPriority w:val="1"/>
    <w:pPr>
      <w:jc w:val="both"/>
    </w:pPr>
    <w:rPr>
      <w:rFonts w:ascii="Times New Roman" w:hAnsi="Times New Roman" w:eastAsia="宋体" w:cs="Times New Roman"/>
      <w:sz w:val="21"/>
      <w:szCs w:val="21"/>
      <w:lang w:val="en-US" w:eastAsia="zh-CN" w:bidi="ar-SA"/>
    </w:rPr>
  </w:style>
  <w:style w:type="paragraph" w:customStyle="1" w:styleId="149">
    <w:name w:val="标题 2_1"/>
    <w:basedOn w:val="150"/>
    <w:next w:val="148"/>
    <w:autoRedefine/>
    <w:qFormat/>
    <w:uiPriority w:val="8"/>
    <w:pPr>
      <w:keepNext/>
      <w:keepLines/>
      <w:outlineLvl w:val="1"/>
    </w:pPr>
    <w:rPr>
      <w:rFonts w:ascii="Arial" w:hAnsi="Arial" w:eastAsia="Arial"/>
      <w:b/>
      <w:sz w:val="24"/>
      <w:szCs w:val="24"/>
    </w:rPr>
  </w:style>
  <w:style w:type="paragraph" w:customStyle="1" w:styleId="150">
    <w:name w:val="正文_5_0"/>
    <w:autoRedefine/>
    <w:qFormat/>
    <w:uiPriority w:val="1"/>
    <w:pPr>
      <w:jc w:val="both"/>
    </w:pPr>
    <w:rPr>
      <w:rFonts w:ascii="等线" w:hAnsi="等线" w:eastAsia="等线" w:cs="Times New Roman"/>
      <w:sz w:val="21"/>
      <w:szCs w:val="21"/>
      <w:lang w:val="en-US" w:eastAsia="zh-CN" w:bidi="ar-SA"/>
    </w:rPr>
  </w:style>
  <w:style w:type="paragraph" w:customStyle="1" w:styleId="151">
    <w:name w:val="正文_1_1"/>
    <w:next w:val="152"/>
    <w:autoRedefine/>
    <w:qFormat/>
    <w:uiPriority w:val="1"/>
    <w:pPr>
      <w:jc w:val="both"/>
    </w:pPr>
    <w:rPr>
      <w:rFonts w:ascii="Times New Roman" w:hAnsi="Times New Roman" w:eastAsia="宋体" w:cs="Times New Roman"/>
      <w:sz w:val="21"/>
      <w:szCs w:val="21"/>
      <w:lang w:val="en-US" w:eastAsia="zh-CN" w:bidi="ar-SA"/>
    </w:rPr>
  </w:style>
  <w:style w:type="paragraph" w:customStyle="1" w:styleId="152">
    <w:name w:val="正文首行缩进_1_0"/>
    <w:basedOn w:val="153"/>
    <w:next w:val="151"/>
    <w:autoRedefine/>
    <w:qFormat/>
    <w:uiPriority w:val="0"/>
    <w:pPr>
      <w:ind w:firstLine="420"/>
    </w:pPr>
  </w:style>
  <w:style w:type="paragraph" w:customStyle="1" w:styleId="153">
    <w:name w:val="正文文本_1_0"/>
    <w:basedOn w:val="154"/>
    <w:next w:val="152"/>
    <w:autoRedefine/>
    <w:unhideWhenUsed/>
    <w:qFormat/>
    <w:uiPriority w:val="0"/>
    <w:pPr>
      <w:spacing w:after="120"/>
    </w:pPr>
    <w:rPr>
      <w:sz w:val="20"/>
    </w:rPr>
  </w:style>
  <w:style w:type="paragraph" w:customStyle="1" w:styleId="154">
    <w:name w:val="正文_1_0"/>
    <w:next w:val="153"/>
    <w:autoRedefine/>
    <w:qFormat/>
    <w:uiPriority w:val="1"/>
    <w:pPr>
      <w:jc w:val="both"/>
    </w:pPr>
    <w:rPr>
      <w:rFonts w:ascii="Times New Roman" w:hAnsi="Times New Roman" w:eastAsia="宋体" w:cs="Times New Roman"/>
      <w:sz w:val="21"/>
      <w:szCs w:val="21"/>
      <w:lang w:val="en-US" w:eastAsia="zh-CN" w:bidi="ar-SA"/>
    </w:rPr>
  </w:style>
  <w:style w:type="paragraph" w:customStyle="1" w:styleId="155">
    <w:name w:val="A_正文_黑"/>
    <w:basedOn w:val="49"/>
    <w:autoRedefine/>
    <w:qFormat/>
    <w:uiPriority w:val="0"/>
  </w:style>
  <w:style w:type="character" w:customStyle="1" w:styleId="156">
    <w:name w:val="16"/>
    <w:basedOn w:val="43"/>
    <w:autoRedefine/>
    <w:qFormat/>
    <w:uiPriority w:val="0"/>
    <w:rPr>
      <w:rFonts w:hint="eastAsia" w:ascii="宋体" w:hAnsi="宋体" w:eastAsia="宋体" w:cs="宋体"/>
      <w:b/>
      <w:bCs/>
      <w:kern w:val="36"/>
      <w:sz w:val="48"/>
      <w:szCs w:val="48"/>
    </w:rPr>
  </w:style>
  <w:style w:type="character" w:customStyle="1" w:styleId="157">
    <w:name w:val="15"/>
    <w:basedOn w:val="43"/>
    <w:autoRedefine/>
    <w:qFormat/>
    <w:uiPriority w:val="0"/>
    <w:rPr>
      <w:rFonts w:hint="eastAsia" w:ascii="宋体" w:hAnsi="宋体" w:eastAsia="宋体" w:cs="宋体"/>
      <w:color w:val="0000FF"/>
      <w:sz w:val="24"/>
      <w:szCs w:val="24"/>
    </w:rPr>
  </w:style>
  <w:style w:type="paragraph" w:styleId="158">
    <w:name w:val="No Spacing"/>
    <w:autoRedefine/>
    <w:qFormat/>
    <w:uiPriority w:val="0"/>
    <w:rPr>
      <w:rFonts w:ascii="Times New Roman" w:hAnsi="Times New Roman" w:eastAsia="宋体" w:cs="Times New Roman"/>
      <w:sz w:val="22"/>
      <w:szCs w:val="22"/>
      <w:lang w:val="en-US" w:eastAsia="en-US" w:bidi="en-US"/>
    </w:rPr>
  </w:style>
  <w:style w:type="paragraph" w:customStyle="1" w:styleId="159">
    <w:name w:val="样式 首行缩进:  2 字符"/>
    <w:basedOn w:val="1"/>
    <w:autoRedefine/>
    <w:qFormat/>
    <w:uiPriority w:val="0"/>
    <w:pPr>
      <w:spacing w:line="480" w:lineRule="exact"/>
      <w:ind w:firstLine="200" w:firstLineChars="200"/>
      <w:jc w:val="left"/>
    </w:pPr>
    <w:rPr>
      <w:rFonts w:cs="宋体"/>
      <w:sz w:val="24"/>
      <w:szCs w:val="20"/>
    </w:rPr>
  </w:style>
  <w:style w:type="paragraph" w:customStyle="1" w:styleId="160">
    <w:name w:val="4、正文"/>
    <w:basedOn w:val="1"/>
    <w:autoRedefine/>
    <w:qFormat/>
    <w:uiPriority w:val="0"/>
    <w:pPr>
      <w:ind w:firstLine="200" w:firstLineChars="200"/>
    </w:pPr>
    <w:rPr>
      <w:rFonts w:ascii="宋体"/>
      <w:sz w:val="24"/>
      <w:szCs w:val="28"/>
    </w:rPr>
  </w:style>
  <w:style w:type="paragraph" w:customStyle="1" w:styleId="161">
    <w:name w:val="正文文本首行缩进 2"/>
    <w:basedOn w:val="17"/>
    <w:autoRedefine/>
    <w:qFormat/>
    <w:uiPriority w:val="99"/>
    <w:pPr>
      <w:spacing w:line="200" w:lineRule="atLeast"/>
      <w:ind w:firstLine="420"/>
    </w:pPr>
    <w:rPr>
      <w:rFonts w:ascii="宋体" w:hAnsi="Courier New"/>
      <w:spacing w:val="-4"/>
      <w:sz w:val="18"/>
    </w:rPr>
  </w:style>
  <w:style w:type="paragraph" w:customStyle="1" w:styleId="162">
    <w:name w:val="正文格式"/>
    <w:basedOn w:val="1"/>
    <w:autoRedefine/>
    <w:qFormat/>
    <w:uiPriority w:val="0"/>
    <w:pPr>
      <w:spacing w:line="360" w:lineRule="auto"/>
    </w:pPr>
    <w:rPr>
      <w:rFonts w:ascii="Calibri" w:hAnsi="Calibri"/>
      <w:szCs w:val="21"/>
    </w:rPr>
  </w:style>
  <w:style w:type="character" w:customStyle="1" w:styleId="163">
    <w:name w:val="无"/>
    <w:autoRedefine/>
    <w:qFormat/>
    <w:uiPriority w:val="0"/>
  </w:style>
  <w:style w:type="paragraph" w:customStyle="1" w:styleId="164">
    <w:name w:val="正文_8"/>
    <w:next w:val="165"/>
    <w:autoRedefine/>
    <w:qFormat/>
    <w:uiPriority w:val="1"/>
    <w:pPr>
      <w:jc w:val="both"/>
    </w:pPr>
    <w:rPr>
      <w:rFonts w:ascii="Times New Roman" w:hAnsi="Times New Roman" w:eastAsia="宋体" w:cs="Times New Roman"/>
      <w:sz w:val="21"/>
      <w:szCs w:val="21"/>
      <w:lang w:val="en-US" w:eastAsia="zh-CN" w:bidi="ar-SA"/>
    </w:rPr>
  </w:style>
  <w:style w:type="paragraph" w:customStyle="1" w:styleId="165">
    <w:name w:val="正文首行缩进 2_2"/>
    <w:basedOn w:val="166"/>
    <w:autoRedefine/>
    <w:qFormat/>
    <w:uiPriority w:val="0"/>
    <w:pPr>
      <w:spacing w:after="120"/>
      <w:ind w:left="200" w:leftChars="200" w:firstLine="420" w:firstLineChars="200"/>
    </w:pPr>
    <w:rPr>
      <w:sz w:val="21"/>
    </w:rPr>
  </w:style>
  <w:style w:type="paragraph" w:customStyle="1" w:styleId="166">
    <w:name w:val="正文文本缩进_3"/>
    <w:basedOn w:val="164"/>
    <w:next w:val="164"/>
    <w:autoRedefine/>
    <w:qFormat/>
    <w:uiPriority w:val="0"/>
    <w:pPr>
      <w:ind w:left="42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5A7F3-64CA-4136-A57C-BD5B3078E86E}">
  <ds:schemaRefs/>
</ds:datastoreItem>
</file>

<file path=docProps/app.xml><?xml version="1.0" encoding="utf-8"?>
<Properties xmlns="http://schemas.openxmlformats.org/officeDocument/2006/extended-properties" xmlns:vt="http://schemas.openxmlformats.org/officeDocument/2006/docPropsVTypes">
  <Template>Normal</Template>
  <Pages>1</Pages>
  <Words>36230</Words>
  <Characters>38200</Characters>
  <Lines>1</Lines>
  <Paragraphs>1</Paragraphs>
  <TotalTime>20</TotalTime>
  <ScaleCrop>false</ScaleCrop>
  <LinksUpToDate>false</LinksUpToDate>
  <CharactersWithSpaces>40645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ww</cp:lastModifiedBy>
  <cp:lastPrinted>2024-04-09T01:11:00Z</cp:lastPrinted>
  <dcterms:modified xsi:type="dcterms:W3CDTF">2024-04-09T11:26:19Z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86E53A5DA4624B1880E2092AAE4328C5_13</vt:lpwstr>
  </property>
</Properties>
</file>