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8149" w14:textId="6B739CB0" w:rsidR="008D3C64" w:rsidRPr="008D3C64" w:rsidRDefault="008D3C64" w:rsidP="008D3C64">
      <w:pPr>
        <w:spacing w:before="156" w:after="156" w:line="360" w:lineRule="auto"/>
        <w:rPr>
          <w:b/>
          <w:sz w:val="36"/>
          <w:szCs w:val="36"/>
          <w:lang w:val="zh-TW"/>
        </w:rPr>
      </w:pPr>
      <w:r w:rsidRPr="008D3C64">
        <w:rPr>
          <w:rFonts w:hint="eastAsia"/>
          <w:b/>
          <w:sz w:val="36"/>
          <w:szCs w:val="36"/>
          <w:lang w:val="zh-TW"/>
        </w:rPr>
        <w:t>更正前：</w:t>
      </w:r>
    </w:p>
    <w:p w14:paraId="58C860AC" w14:textId="66CBC9AB" w:rsidR="008D3C64" w:rsidRPr="003B492D" w:rsidRDefault="008D3C64" w:rsidP="008D3C64">
      <w:pPr>
        <w:spacing w:before="156" w:after="156" w:line="360" w:lineRule="auto"/>
        <w:ind w:firstLine="472"/>
        <w:rPr>
          <w:rFonts w:hAnsi="宋体" w:hint="eastAsia"/>
          <w:b/>
          <w:bCs/>
          <w:sz w:val="24"/>
        </w:rPr>
      </w:pPr>
      <w:r w:rsidRPr="003B492D">
        <w:rPr>
          <w:rFonts w:hint="eastAsia"/>
          <w:b/>
          <w:sz w:val="24"/>
          <w:szCs w:val="24"/>
          <w:lang w:val="zh-TW"/>
        </w:rPr>
        <w:t>技术与</w:t>
      </w:r>
      <w:r w:rsidRPr="003B492D">
        <w:rPr>
          <w:rFonts w:hint="eastAsia"/>
          <w:b/>
          <w:sz w:val="24"/>
          <w:szCs w:val="24"/>
          <w:lang w:val="zh-TW" w:eastAsia="zh-TW"/>
        </w:rPr>
        <w:t>资信商务分</w:t>
      </w:r>
      <w:r w:rsidRPr="003B492D">
        <w:rPr>
          <w:rFonts w:hAnsi="宋体" w:hint="eastAsia"/>
          <w:b/>
          <w:bCs/>
          <w:sz w:val="24"/>
        </w:rPr>
        <w:t>（</w:t>
      </w:r>
      <w:r w:rsidRPr="003B492D">
        <w:rPr>
          <w:rFonts w:hAnsi="宋体"/>
          <w:b/>
          <w:bCs/>
          <w:sz w:val="24"/>
        </w:rPr>
        <w:t>70</w:t>
      </w:r>
      <w:r w:rsidRPr="003B492D">
        <w:rPr>
          <w:rFonts w:hAnsi="宋体" w:hint="eastAsia"/>
          <w:b/>
          <w:bCs/>
          <w:sz w:val="24"/>
        </w:rPr>
        <w:t>分）</w:t>
      </w:r>
    </w:p>
    <w:p w14:paraId="1A31844C" w14:textId="77777777" w:rsidR="008D3C64" w:rsidRPr="003B492D" w:rsidRDefault="008D3C64" w:rsidP="008D3C64">
      <w:pPr>
        <w:spacing w:line="360" w:lineRule="auto"/>
        <w:ind w:firstLineChars="200" w:firstLine="480"/>
        <w:rPr>
          <w:rFonts w:eastAsia="PMingLiU"/>
          <w:sz w:val="24"/>
          <w:szCs w:val="24"/>
          <w:lang w:val="zh-TW" w:eastAsia="zh-TW"/>
        </w:rPr>
      </w:pPr>
      <w:r w:rsidRPr="003B492D">
        <w:rPr>
          <w:rFonts w:hint="eastAsia"/>
          <w:sz w:val="24"/>
          <w:szCs w:val="24"/>
          <w:lang w:val="zh-TW"/>
        </w:rPr>
        <w:t>技术与</w:t>
      </w:r>
      <w:r w:rsidRPr="003B492D">
        <w:rPr>
          <w:rFonts w:hint="eastAsia"/>
          <w:sz w:val="24"/>
          <w:szCs w:val="24"/>
          <w:lang w:val="zh-TW" w:eastAsia="zh-TW"/>
        </w:rPr>
        <w:t>资信商务</w:t>
      </w:r>
      <w:proofErr w:type="gramStart"/>
      <w:r w:rsidRPr="003B492D">
        <w:rPr>
          <w:rFonts w:hint="eastAsia"/>
          <w:sz w:val="24"/>
          <w:szCs w:val="24"/>
          <w:lang w:val="zh-TW" w:eastAsia="zh-TW"/>
        </w:rPr>
        <w:t>分按照</w:t>
      </w:r>
      <w:proofErr w:type="gramEnd"/>
      <w:r w:rsidRPr="003B492D">
        <w:rPr>
          <w:rFonts w:hint="eastAsia"/>
          <w:sz w:val="24"/>
          <w:szCs w:val="24"/>
          <w:lang w:val="zh-TW"/>
        </w:rPr>
        <w:t>磋商</w:t>
      </w:r>
      <w:r w:rsidRPr="003B492D">
        <w:rPr>
          <w:rFonts w:hint="eastAsia"/>
          <w:sz w:val="24"/>
          <w:szCs w:val="24"/>
          <w:lang w:val="zh-TW" w:eastAsia="zh-TW"/>
        </w:rPr>
        <w:t>小组成员的独立评分结果汇总后的算术平均分计算，计算公式为：</w:t>
      </w:r>
      <w:r w:rsidRPr="003B492D">
        <w:rPr>
          <w:rFonts w:hint="eastAsia"/>
          <w:sz w:val="24"/>
          <w:szCs w:val="24"/>
          <w:lang w:val="zh-TW"/>
        </w:rPr>
        <w:t>技术与</w:t>
      </w:r>
      <w:r w:rsidRPr="003B492D">
        <w:rPr>
          <w:rFonts w:hint="eastAsia"/>
          <w:sz w:val="24"/>
          <w:szCs w:val="24"/>
          <w:lang w:val="zh-TW" w:eastAsia="zh-TW"/>
        </w:rPr>
        <w:t>资信商务分</w:t>
      </w:r>
      <w:r w:rsidRPr="003B492D">
        <w:rPr>
          <w:rFonts w:hint="eastAsia"/>
          <w:sz w:val="24"/>
          <w:szCs w:val="24"/>
        </w:rPr>
        <w:t>=</w:t>
      </w:r>
      <w:r w:rsidRPr="003B492D">
        <w:rPr>
          <w:rFonts w:hint="eastAsia"/>
          <w:sz w:val="24"/>
          <w:szCs w:val="24"/>
          <w:lang w:val="zh-TW"/>
        </w:rPr>
        <w:t>磋商</w:t>
      </w:r>
      <w:r w:rsidRPr="003B492D">
        <w:rPr>
          <w:rFonts w:hint="eastAsia"/>
          <w:sz w:val="24"/>
          <w:szCs w:val="24"/>
          <w:lang w:val="zh-TW" w:eastAsia="zh-TW"/>
        </w:rPr>
        <w:t>小组所有成员评分合计数</w:t>
      </w:r>
      <w:r w:rsidRPr="003B492D">
        <w:rPr>
          <w:rFonts w:hint="eastAsia"/>
          <w:sz w:val="24"/>
          <w:szCs w:val="24"/>
        </w:rPr>
        <w:t>/</w:t>
      </w:r>
      <w:r w:rsidRPr="003B492D">
        <w:rPr>
          <w:rFonts w:hint="eastAsia"/>
          <w:sz w:val="24"/>
          <w:szCs w:val="24"/>
          <w:lang w:val="zh-TW"/>
        </w:rPr>
        <w:t>磋商</w:t>
      </w:r>
      <w:r w:rsidRPr="003B492D">
        <w:rPr>
          <w:rFonts w:hint="eastAsia"/>
          <w:sz w:val="24"/>
          <w:szCs w:val="24"/>
          <w:lang w:val="zh-TW" w:eastAsia="zh-TW"/>
        </w:rPr>
        <w:t>小组组成人员数。</w:t>
      </w:r>
    </w:p>
    <w:tbl>
      <w:tblPr>
        <w:tblW w:w="4850" w:type="pct"/>
        <w:tblInd w:w="108" w:type="dxa"/>
        <w:tblLook w:val="04A0" w:firstRow="1" w:lastRow="0" w:firstColumn="1" w:lastColumn="0" w:noHBand="0" w:noVBand="1"/>
      </w:tblPr>
      <w:tblGrid>
        <w:gridCol w:w="665"/>
        <w:gridCol w:w="1086"/>
        <w:gridCol w:w="5496"/>
        <w:gridCol w:w="800"/>
      </w:tblGrid>
      <w:tr w:rsidR="008D3C64" w:rsidRPr="003B492D" w14:paraId="4891CDC2" w14:textId="77777777" w:rsidTr="0085768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1AF7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F08140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301E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 w:rsidR="008D3C64" w:rsidRPr="003B492D" w14:paraId="7BF71AB5" w14:textId="77777777" w:rsidTr="008D3C64">
        <w:trPr>
          <w:trHeight w:val="90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F63AB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68F1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企业综合实力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CE0" w14:textId="446F3059" w:rsidR="008D3C64" w:rsidRP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442CB2">
              <w:rPr>
                <w:rStyle w:val="font11"/>
                <w:rFonts w:hint="default"/>
                <w:lang w:bidi="ar"/>
              </w:rPr>
              <w:t>供应商具有ISO9001质量管理体系、ISO20000信息技术服务管理体系、ISO27001信息安全管理体系</w:t>
            </w:r>
            <w:r w:rsidRPr="008D3441">
              <w:rPr>
                <w:rStyle w:val="font11"/>
                <w:rFonts w:hint="default"/>
              </w:rPr>
              <w:t>、客户投诉管理体系认证证书、环境标志性</w:t>
            </w:r>
            <w:r w:rsidRPr="008D3441">
              <w:rPr>
                <w:rStyle w:val="font11"/>
                <w:rFonts w:hint="default"/>
                <w:lang w:bidi="ar"/>
              </w:rPr>
              <w:t>产品认证证书、绿色供应链管理体系认证证书</w:t>
            </w:r>
            <w:r>
              <w:rPr>
                <w:rStyle w:val="font11"/>
                <w:rFonts w:hint="default"/>
                <w:lang w:bidi="ar"/>
              </w:rPr>
              <w:t>，</w:t>
            </w:r>
            <w:r w:rsidRPr="00442CB2">
              <w:rPr>
                <w:rStyle w:val="font11"/>
                <w:rFonts w:hint="default"/>
                <w:lang w:bidi="ar"/>
              </w:rPr>
              <w:t>每提供一个得1分，本项</w:t>
            </w:r>
            <w:r>
              <w:rPr>
                <w:rStyle w:val="font11"/>
                <w:rFonts w:hint="default"/>
                <w:lang w:bidi="ar"/>
              </w:rPr>
              <w:t>最高</w:t>
            </w:r>
            <w:r w:rsidRPr="00442CB2">
              <w:rPr>
                <w:rStyle w:val="font11"/>
                <w:rFonts w:hint="default"/>
                <w:lang w:bidi="ar"/>
              </w:rPr>
              <w:t>5分。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99B8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:rsidRPr="003B492D" w14:paraId="198F7A58" w14:textId="77777777" w:rsidTr="00857686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7D20" w14:textId="77777777" w:rsidR="008D3C64" w:rsidRPr="003B492D" w:rsidRDefault="008D3C64" w:rsidP="00857686">
            <w:pPr>
              <w:widowControl/>
              <w:suppressAutoHyphens w:val="0"/>
              <w:jc w:val="left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19B5" w14:textId="77777777" w:rsidR="008D3C64" w:rsidRPr="003B492D" w:rsidRDefault="008D3C64" w:rsidP="00857686">
            <w:pPr>
              <w:widowControl/>
              <w:suppressAutoHyphens w:val="0"/>
              <w:jc w:val="left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E982" w14:textId="77777777" w:rsidR="008D3C64" w:rsidRPr="008D3C64" w:rsidRDefault="008D3C64" w:rsidP="00857686">
            <w:pPr>
              <w:spacing w:line="360" w:lineRule="exact"/>
              <w:rPr>
                <w:rStyle w:val="font11"/>
                <w:rFonts w:hint="default"/>
                <w:color w:val="auto"/>
                <w:kern w:val="2"/>
              </w:rPr>
            </w:pPr>
            <w:r w:rsidRPr="008D3C64">
              <w:rPr>
                <w:rStyle w:val="font11"/>
                <w:rFonts w:hint="default"/>
                <w:color w:val="auto"/>
                <w:lang w:bidi="ar"/>
              </w:rPr>
              <w:t>投标人属于</w:t>
            </w:r>
            <w:r w:rsidRPr="008D3C64">
              <w:rPr>
                <w:rStyle w:val="font21"/>
                <w:rFonts w:hint="default"/>
                <w:color w:val="auto"/>
                <w:lang w:bidi="ar"/>
              </w:rPr>
              <w:t>高新技术企业</w:t>
            </w:r>
            <w:r w:rsidRPr="008D3C64">
              <w:rPr>
                <w:rStyle w:val="font41"/>
                <w:rFonts w:hint="default"/>
                <w:color w:val="auto"/>
                <w:lang w:bidi="ar"/>
              </w:rPr>
              <w:t>的得2分。需提供证书复印件及高新技术企业认定工作网（http://www.innocom.gov.cn/）查询结果截图。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CEE8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cs="仿宋"/>
                <w:kern w:val="0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8D3C64" w:rsidRPr="003B492D" w14:paraId="25AAEAF1" w14:textId="77777777" w:rsidTr="00857686">
        <w:trPr>
          <w:trHeight w:val="12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3033" w14:textId="77777777" w:rsidR="008D3C64" w:rsidRPr="003B492D" w:rsidRDefault="008D3C64" w:rsidP="00857686">
            <w:pPr>
              <w:widowControl/>
              <w:suppressAutoHyphens w:val="0"/>
              <w:jc w:val="left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F123" w14:textId="77777777" w:rsidR="008D3C64" w:rsidRPr="003B492D" w:rsidRDefault="008D3C64" w:rsidP="00857686">
            <w:pPr>
              <w:widowControl/>
              <w:suppressAutoHyphens w:val="0"/>
              <w:jc w:val="left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B90A" w14:textId="77777777" w:rsidR="008D3C64" w:rsidRPr="008D3C64" w:rsidRDefault="008D3C64" w:rsidP="00857686">
            <w:pPr>
              <w:spacing w:line="360" w:lineRule="exact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8D3C64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 xml:space="preserve">2021 年1月1日以来，供应商具有同类共享自行车及共享助力车项目业绩的，每提供 1 </w:t>
            </w:r>
            <w:proofErr w:type="gramStart"/>
            <w:r w:rsidRPr="008D3C64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份有效</w:t>
            </w:r>
            <w:proofErr w:type="gramEnd"/>
            <w:r w:rsidRPr="008D3C64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合同得 1 分，最高得3分。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68A2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D3C64" w:rsidRPr="003B492D" w14:paraId="54C1340F" w14:textId="77777777" w:rsidTr="00857686">
        <w:trPr>
          <w:trHeight w:val="121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DC18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5592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资源配置方案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7525" w14:textId="77777777" w:rsidR="008D3C64" w:rsidRPr="008D3C64" w:rsidRDefault="008D3C64" w:rsidP="00857686">
            <w:pPr>
              <w:spacing w:line="360" w:lineRule="exact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8D3C64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拟投入共享自行车、共享助力车、电池等备品备件、场地标识、保障设备等的投入和使用计划。从以上方案的可行性、科学性、合理性等进行综合评分，0-5分。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BB45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:rsidRPr="003B492D" w14:paraId="52B92C9F" w14:textId="77777777" w:rsidTr="00857686">
        <w:trPr>
          <w:trHeight w:val="8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162B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269F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骑行头盔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61AE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共享助力车需配备智能安全头盔（具备摘盔断电功能），提供质量检测报告，复印件加盖公章，得5分。不提供不予计分。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015E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:rsidRPr="003B492D" w14:paraId="5EB965ED" w14:textId="77777777" w:rsidTr="00857686">
        <w:trPr>
          <w:trHeight w:val="8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A675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900C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防超载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0962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共享助力</w:t>
            </w:r>
            <w:proofErr w:type="gramStart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车具备</w:t>
            </w:r>
            <w:proofErr w:type="gramEnd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防载人功能，对功能进行描述，0-2分。不提供不予计分。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B317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8D3C64" w:rsidRPr="003B492D" w14:paraId="19E008E8" w14:textId="77777777" w:rsidTr="00857686">
        <w:trPr>
          <w:trHeight w:val="5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1682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31CC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车辆定位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3E45" w14:textId="77777777" w:rsidR="008D3C64" w:rsidRPr="003B492D" w:rsidRDefault="008D3C64" w:rsidP="00857686">
            <w:pPr>
              <w:pStyle w:val="a7"/>
              <w:spacing w:before="0" w:beforeAutospacing="0" w:after="0" w:afterAutospacing="0"/>
              <w:rPr>
                <w:rFonts w:cs="仿宋" w:hint="eastAsia"/>
                <w:lang w:bidi="ar"/>
              </w:rPr>
            </w:pPr>
            <w:r w:rsidRPr="003B492D">
              <w:rPr>
                <w:rFonts w:cs="仿宋" w:hint="eastAsia"/>
                <w:lang w:bidi="ar"/>
              </w:rPr>
              <w:t>共享自行车和共享助力车具有卫星系统的，得3分。提供卫星系统检测报告复印件并加盖公章，不提供不予计分。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AAC5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D3C64" w:rsidRPr="003B492D" w14:paraId="0C73CBE2" w14:textId="77777777" w:rsidTr="00857686">
        <w:trPr>
          <w:trHeight w:val="45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6EBE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4D49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骑行保险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B054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供应商需为骑行用户提供骑行保险（包含意外伤害保险、第三者责任保险及平台责任险等，各险种累计总保额300万元以上）得4分。提供投标人与保险公司签订的保险协议复印件。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52F2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8D3C64" w:rsidRPr="003B492D" w14:paraId="5470057C" w14:textId="77777777" w:rsidTr="00857686">
        <w:trPr>
          <w:trHeight w:val="84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58E5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2116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系统稳定性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FEF0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投标人近两年在经营活动中未出现过重大软件服务停止事故的得2分，否则不得分。（提供承诺函加盖公章，供应商需如实进行响应，若发现有提供虚假材料等一切弄虚作假行为的，将取消其投标、中标资格或解除合同）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3500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8D3C64" w:rsidRPr="003B492D" w14:paraId="182435B7" w14:textId="77777777" w:rsidTr="00857686">
        <w:trPr>
          <w:trHeight w:val="84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40A2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77D8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安全事件及重大舆情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7003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投标人近两年在经营活动中未出现过安全事件及重大舆情的得2分，否则不得分。（提供承诺函加盖公章，供应商需如实进行响应，若发现有提供虚假材料等一切弄虚作假行为的，将取消其投标、中标资格或解除合同）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F510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8D3C64" w:rsidRPr="003B492D" w14:paraId="64964B45" w14:textId="77777777" w:rsidTr="00857686">
        <w:trPr>
          <w:trHeight w:val="1658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6B39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36F6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校方监管方案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3942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供应商提供的校方专属的监管平台，可展示校内所投车辆数量、类别、骑行次数、骑行潮汐轨迹、规范停车区等。根据方案的可行性、科学性、合理性等进行综合评分，0-12分。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742A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8D3C64" w:rsidRPr="003B492D" w14:paraId="724C6537" w14:textId="77777777" w:rsidTr="00857686">
        <w:trPr>
          <w:trHeight w:val="55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27200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C6555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日常运</w:t>
            </w:r>
            <w:proofErr w:type="gramStart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维管理</w:t>
            </w:r>
            <w:proofErr w:type="gramEnd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方案</w:t>
            </w:r>
          </w:p>
        </w:tc>
        <w:tc>
          <w:tcPr>
            <w:tcW w:w="3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8471F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供应商针对本项目情况，提供完整的日常运</w:t>
            </w:r>
            <w:proofErr w:type="gramStart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维管理</w:t>
            </w:r>
            <w:proofErr w:type="gramEnd"/>
            <w:r w:rsidRPr="003B492D"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方案。包含但不限于一下内容：（1）完善的系统运营方案；（2）巡查、调度和维修方案；（3）客户服务方案；（4）安全和应急措施：包含运营过程中的各种安全措施以及应急措施（如重大活动、节日应急方案等）；（5）停车场划设、标牌和电子围栏设置方案；（6）突发事件应急预案；（7）售后服务方案；（8）客户端应用系统设计人性化、具备区域可用车辆查询、用车信息等功能。根据方案的可行性、科学性、合理性等进行综合评分，0-15分。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4D308C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8D3C64" w:rsidRPr="003B492D" w14:paraId="07679068" w14:textId="77777777" w:rsidTr="00857686">
        <w:trPr>
          <w:trHeight w:val="14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3EC2F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8B4FF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项目服务团队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46019" w14:textId="77777777" w:rsidR="008D3C64" w:rsidRPr="003B492D" w:rsidRDefault="008D3C64" w:rsidP="00857686">
            <w:pPr>
              <w:spacing w:line="360" w:lineRule="exact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根据供应商的技术力量、技术人员和现场管理服务人员以及本地化服务情况进行综合评分，0-5分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612C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 w:rsidRPr="003B492D">
              <w:rPr>
                <w:rFonts w:ascii="宋体" w:hAnsi="宋体" w:cs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8D3C64" w14:paraId="22D9A7DB" w14:textId="77777777" w:rsidTr="00857686">
        <w:trPr>
          <w:trHeight w:val="14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1B9AD6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FBEED" w14:textId="77777777" w:rsidR="008D3C64" w:rsidRPr="003B492D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服务承诺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C67B9" w14:textId="77777777" w:rsidR="008D3C64" w:rsidRPr="003B492D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针对本项目有实质性意义的优惠措施、承诺或合理化建议情况进行综合评分，0-5分。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4B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B492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 w14:paraId="7AF2B42E" w14:textId="5DE3D043" w:rsidR="008D3C64" w:rsidRDefault="008D3C64"/>
    <w:p w14:paraId="07B98052" w14:textId="77777777" w:rsidR="008D3C64" w:rsidRDefault="008D3C64" w:rsidP="008D3C64">
      <w:pPr>
        <w:pStyle w:val="TOC2"/>
      </w:pPr>
      <w:r>
        <w:br w:type="page"/>
      </w:r>
    </w:p>
    <w:p w14:paraId="5FC5316C" w14:textId="199F0C54" w:rsidR="008D3C64" w:rsidRPr="008D3C64" w:rsidRDefault="008D3C64" w:rsidP="008D3C64">
      <w:pPr>
        <w:spacing w:before="156" w:after="156" w:line="360" w:lineRule="auto"/>
        <w:rPr>
          <w:b/>
          <w:sz w:val="36"/>
          <w:szCs w:val="36"/>
          <w:lang w:val="zh-TW"/>
        </w:rPr>
      </w:pPr>
      <w:r w:rsidRPr="008D3C64">
        <w:rPr>
          <w:rFonts w:hint="eastAsia"/>
          <w:b/>
          <w:sz w:val="36"/>
          <w:szCs w:val="36"/>
          <w:lang w:val="zh-TW"/>
        </w:rPr>
        <w:lastRenderedPageBreak/>
        <w:t>更正</w:t>
      </w:r>
      <w:r>
        <w:rPr>
          <w:rFonts w:hint="eastAsia"/>
          <w:b/>
          <w:sz w:val="36"/>
          <w:szCs w:val="36"/>
          <w:lang w:val="zh-TW"/>
        </w:rPr>
        <w:t>后</w:t>
      </w:r>
      <w:r w:rsidRPr="008D3C64">
        <w:rPr>
          <w:rFonts w:hint="eastAsia"/>
          <w:b/>
          <w:sz w:val="36"/>
          <w:szCs w:val="36"/>
          <w:lang w:val="zh-TW"/>
        </w:rPr>
        <w:t>：</w:t>
      </w:r>
    </w:p>
    <w:p w14:paraId="7A72E75E" w14:textId="77777777" w:rsidR="008D3C64" w:rsidRDefault="008D3C64" w:rsidP="008D3C64">
      <w:pPr>
        <w:spacing w:before="156" w:after="156" w:line="360" w:lineRule="auto"/>
        <w:ind w:firstLine="472"/>
        <w:rPr>
          <w:rFonts w:hAnsi="宋体" w:hint="eastAsia"/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.2.2</w:t>
      </w:r>
      <w:r>
        <w:rPr>
          <w:rFonts w:hint="eastAsia"/>
          <w:b/>
          <w:sz w:val="24"/>
          <w:szCs w:val="24"/>
          <w:lang w:val="zh-TW"/>
        </w:rPr>
        <w:t>技术与</w:t>
      </w:r>
      <w:r>
        <w:rPr>
          <w:rFonts w:hint="eastAsia"/>
          <w:b/>
          <w:sz w:val="24"/>
          <w:szCs w:val="24"/>
          <w:lang w:val="zh-TW" w:eastAsia="zh-TW"/>
        </w:rPr>
        <w:t>资信商务分</w:t>
      </w:r>
      <w:r>
        <w:rPr>
          <w:rFonts w:hAnsi="宋体" w:hint="eastAsia"/>
          <w:b/>
          <w:bCs/>
          <w:sz w:val="24"/>
        </w:rPr>
        <w:t>（</w:t>
      </w:r>
      <w:r>
        <w:rPr>
          <w:rFonts w:hAnsi="宋体"/>
          <w:b/>
          <w:bCs/>
          <w:sz w:val="24"/>
        </w:rPr>
        <w:t>70</w:t>
      </w:r>
      <w:r>
        <w:rPr>
          <w:rFonts w:hAnsi="宋体" w:hint="eastAsia"/>
          <w:b/>
          <w:bCs/>
          <w:sz w:val="24"/>
        </w:rPr>
        <w:t>分）</w:t>
      </w:r>
    </w:p>
    <w:p w14:paraId="2522E7F4" w14:textId="77777777" w:rsidR="008D3C64" w:rsidRDefault="008D3C64" w:rsidP="008D3C64">
      <w:pPr>
        <w:spacing w:line="360" w:lineRule="auto"/>
        <w:ind w:firstLineChars="200" w:firstLine="480"/>
        <w:rPr>
          <w:rFonts w:eastAsia="PMingLiU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/>
        </w:rPr>
        <w:t>技术与</w:t>
      </w:r>
      <w:r>
        <w:rPr>
          <w:rFonts w:hint="eastAsia"/>
          <w:sz w:val="24"/>
          <w:szCs w:val="24"/>
          <w:lang w:val="zh-TW" w:eastAsia="zh-TW"/>
        </w:rPr>
        <w:t>资信商务</w:t>
      </w:r>
      <w:proofErr w:type="gramStart"/>
      <w:r>
        <w:rPr>
          <w:rFonts w:hint="eastAsia"/>
          <w:sz w:val="24"/>
          <w:szCs w:val="24"/>
          <w:lang w:val="zh-TW" w:eastAsia="zh-TW"/>
        </w:rPr>
        <w:t>分按照</w:t>
      </w:r>
      <w:proofErr w:type="gramEnd"/>
      <w:r>
        <w:rPr>
          <w:rFonts w:hint="eastAsia"/>
          <w:sz w:val="24"/>
          <w:szCs w:val="24"/>
          <w:lang w:val="zh-TW"/>
        </w:rPr>
        <w:t>磋商</w:t>
      </w:r>
      <w:r>
        <w:rPr>
          <w:rFonts w:hint="eastAsia"/>
          <w:sz w:val="24"/>
          <w:szCs w:val="24"/>
          <w:lang w:val="zh-TW" w:eastAsia="zh-TW"/>
        </w:rPr>
        <w:t>小组成员的独立评分结果汇总后的算术平均分计算，计算公式为：</w:t>
      </w:r>
      <w:r>
        <w:rPr>
          <w:rFonts w:hint="eastAsia"/>
          <w:sz w:val="24"/>
          <w:szCs w:val="24"/>
          <w:lang w:val="zh-TW"/>
        </w:rPr>
        <w:t>技术与</w:t>
      </w:r>
      <w:r>
        <w:rPr>
          <w:rFonts w:hint="eastAsia"/>
          <w:sz w:val="24"/>
          <w:szCs w:val="24"/>
          <w:lang w:val="zh-TW" w:eastAsia="zh-TW"/>
        </w:rPr>
        <w:t>资信商务分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  <w:lang w:val="zh-TW"/>
        </w:rPr>
        <w:t>磋商</w:t>
      </w:r>
      <w:r>
        <w:rPr>
          <w:rFonts w:hint="eastAsia"/>
          <w:sz w:val="24"/>
          <w:szCs w:val="24"/>
          <w:lang w:val="zh-TW" w:eastAsia="zh-TW"/>
        </w:rPr>
        <w:t>小组所有成员评分合计数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  <w:lang w:val="zh-TW"/>
        </w:rPr>
        <w:t>磋商</w:t>
      </w:r>
      <w:r>
        <w:rPr>
          <w:rFonts w:hint="eastAsia"/>
          <w:sz w:val="24"/>
          <w:szCs w:val="24"/>
          <w:lang w:val="zh-TW" w:eastAsia="zh-TW"/>
        </w:rPr>
        <w:t>小组组成人员数。</w:t>
      </w: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3"/>
        <w:gridCol w:w="1117"/>
        <w:gridCol w:w="5650"/>
        <w:gridCol w:w="822"/>
      </w:tblGrid>
      <w:tr w:rsidR="008D3C64" w14:paraId="08B66D17" w14:textId="77777777" w:rsidTr="008D3C64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3735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7D59B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5D9E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 w:rsidR="008D3C64" w14:paraId="1E7E87BC" w14:textId="77777777" w:rsidTr="008D3C64">
        <w:trPr>
          <w:trHeight w:val="121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F138" w14:textId="5EFBB7B4" w:rsidR="008D3C64" w:rsidRDefault="008D3C64" w:rsidP="008D3C64">
            <w:pPr>
              <w:widowControl/>
              <w:suppressAutoHyphens w:val="0"/>
              <w:jc w:val="center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EE99B" w14:textId="79C35173" w:rsidR="008D3C64" w:rsidRDefault="008D3C64" w:rsidP="008D3C64">
            <w:pPr>
              <w:widowControl/>
              <w:suppressAutoHyphens w:val="0"/>
              <w:jc w:val="center"/>
              <w:rPr>
                <w:rFonts w:ascii="宋体" w:hAnsi="宋体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  <w:t>业绩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A751" w14:textId="77777777" w:rsidR="008D3C64" w:rsidRDefault="008D3C64" w:rsidP="00857686">
            <w:pPr>
              <w:spacing w:line="360" w:lineRule="exact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 xml:space="preserve">2021 年1月1日以来，供应商具有同类共享自行车及共享助力车项目业绩的，每提供 1 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份有效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合同得 1 分，最高得3分。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974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D3C64" w14:paraId="7309BDB6" w14:textId="77777777" w:rsidTr="008D3C64">
        <w:trPr>
          <w:trHeight w:val="121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F915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86E7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资源配置方案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1187" w14:textId="77777777" w:rsidR="008D3C64" w:rsidRDefault="008D3C64" w:rsidP="00857686">
            <w:pPr>
              <w:spacing w:line="360" w:lineRule="exact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拟投入共享自行车、共享助力车、电池等备品备件、场地标识、保障设备等的投入和使用计划。从以上方案的可行性、科学性、合理性等进行综合评分，0-5分。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381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14:paraId="14A9234F" w14:textId="77777777" w:rsidTr="008D3C64">
        <w:trPr>
          <w:trHeight w:val="11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F1A4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0A99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骑行头盔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09B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共享助力车需配备智能安全头盔（具备摘盔断电功能），提供质量检测报告，复印件加盖公章，得5分。不提供不予计分。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826B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14:paraId="4BDC3143" w14:textId="77777777" w:rsidTr="008D3C64">
        <w:trPr>
          <w:trHeight w:val="8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3869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DC26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防超载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8D00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共享助力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车具备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防载人功能，对功能进行描述，0-3分。不提供不予计分。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01C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D3C64" w14:paraId="7BF76C06" w14:textId="77777777" w:rsidTr="008D3C64">
        <w:trPr>
          <w:trHeight w:val="5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C39C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2392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车辆定位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6119" w14:textId="77777777" w:rsidR="008D3C64" w:rsidRDefault="008D3C64" w:rsidP="00857686">
            <w:pPr>
              <w:pStyle w:val="a7"/>
              <w:spacing w:before="0" w:beforeAutospacing="0" w:after="0" w:afterAutospacing="0"/>
              <w:rPr>
                <w:rFonts w:cs="仿宋" w:hint="eastAsia"/>
                <w:lang w:bidi="ar"/>
              </w:rPr>
            </w:pPr>
            <w:r>
              <w:rPr>
                <w:rFonts w:cs="仿宋" w:hint="eastAsia"/>
                <w:lang w:bidi="ar"/>
              </w:rPr>
              <w:t>共享自行车和共享助力车具有卫星系统的，得3分。提供卫星系统检测报告复印件并加盖公章，不提供不予计分。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B36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8D3C64" w14:paraId="51793BA5" w14:textId="77777777" w:rsidTr="008D3C64">
        <w:trPr>
          <w:trHeight w:val="4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2694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41C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骑行保险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EF90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供应商需为骑行用户提供骑行保险（包含意外伤害保险、第三者责任保险及平台责任险等，各险种累计总保额300万元以上）得5分。提供投标人与保险公司签订的保险协议复印件。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6CC3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8D3C64" w14:paraId="333F31EE" w14:textId="77777777" w:rsidTr="008D3C64">
        <w:trPr>
          <w:trHeight w:val="16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1BBC" w14:textId="2BC75193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B944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校方监管方案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217E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供应商提供的校方专属的监管平台，可展示校内所投车辆数量、类别、骑行次数、骑行潮汐轨迹、规范停车区等。根据方案的可行性、科学性、合理性等进行综合评分，0-15分。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DD07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8D3C64" w14:paraId="69D7AD8C" w14:textId="77777777" w:rsidTr="008D3C64">
        <w:trPr>
          <w:trHeight w:val="55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B4FE1" w14:textId="156B80A0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42B1B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日常运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维管理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方案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65F68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供应商针对本项目情况，提供完整的日常运</w:t>
            </w: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维管理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t>方案。包含但不限于一下内容：（1）完善的系统运营方案；（2）巡查、调度和维修方案；（3）客户服务方案；（4）安全和应急措施：包含运营过程中</w:t>
            </w:r>
            <w:r>
              <w:rPr>
                <w:rFonts w:ascii="宋体" w:hAnsi="宋体" w:cs="仿宋" w:hint="eastAsia"/>
                <w:kern w:val="0"/>
                <w:sz w:val="24"/>
                <w:szCs w:val="24"/>
                <w:lang w:bidi="ar"/>
              </w:rPr>
              <w:lastRenderedPageBreak/>
              <w:t>的各种安全措施以及应急措施（如重大活动、节日应急方案等）；（5）停车场划设、标牌和电子围栏设置方案；（6）突发事件应急预案；（7）售后服务方案；（8）客户端应用系统设计人性化、具备区域可用车辆查询、用车信息等功能。根据方案的可行性、科学性、合理性等进行综合评分，0-15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7064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</w:tr>
      <w:tr w:rsidR="008D3C64" w14:paraId="4089923E" w14:textId="77777777" w:rsidTr="008D3C64">
        <w:trPr>
          <w:trHeight w:val="14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9CE12" w14:textId="1B39BA05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345D4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项目服务团队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AC630" w14:textId="77777777" w:rsidR="008D3C64" w:rsidRDefault="008D3C64" w:rsidP="00857686">
            <w:pPr>
              <w:spacing w:line="360" w:lineRule="exact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根据供应商的技术力量、技术人员和现场管理服务人员以及本地化服务情况进行综合评分，0-8分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01CFB1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8</w:t>
            </w:r>
          </w:p>
        </w:tc>
      </w:tr>
      <w:tr w:rsidR="008D3C64" w14:paraId="54BAE458" w14:textId="77777777" w:rsidTr="008D3C64">
        <w:trPr>
          <w:trHeight w:val="13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BC1F4C" w14:textId="15B294DA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9B173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服务承诺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978F1" w14:textId="77777777" w:rsidR="008D3C64" w:rsidRDefault="008D3C64" w:rsidP="0085768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针对本项目有实质性意义的优惠措施、承诺或合理化建议情况进行综合评分，0-8分。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1B288" w14:textId="77777777" w:rsidR="008D3C64" w:rsidRDefault="008D3C64" w:rsidP="00857686">
            <w:pPr>
              <w:widowControl/>
              <w:jc w:val="center"/>
              <w:textAlignment w:val="center"/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bookmarkEnd w:id="0"/>
    </w:tbl>
    <w:p w14:paraId="20D6F51D" w14:textId="77777777" w:rsidR="008D3C64" w:rsidRDefault="008D3C64" w:rsidP="008D3C64">
      <w:pPr>
        <w:pStyle w:val="TOC2"/>
        <w:tabs>
          <w:tab w:val="right" w:leader="dot" w:pos="8296"/>
        </w:tabs>
        <w:spacing w:before="156" w:after="156"/>
        <w:rPr>
          <w:rFonts w:eastAsia="PMingLiU"/>
          <w:lang w:val="zh-TW" w:eastAsia="zh-TW"/>
        </w:rPr>
      </w:pPr>
    </w:p>
    <w:p w14:paraId="5CC71E57" w14:textId="77777777" w:rsidR="00497A65" w:rsidRDefault="00497A65"/>
    <w:sectPr w:rsidR="0049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1F63" w14:textId="77777777" w:rsidR="00CA29B4" w:rsidRDefault="00CA29B4" w:rsidP="008D3C64">
      <w:r>
        <w:separator/>
      </w:r>
    </w:p>
  </w:endnote>
  <w:endnote w:type="continuationSeparator" w:id="0">
    <w:p w14:paraId="0A464DC8" w14:textId="77777777" w:rsidR="00CA29B4" w:rsidRDefault="00CA29B4" w:rsidP="008D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DD66" w14:textId="77777777" w:rsidR="00CA29B4" w:rsidRDefault="00CA29B4" w:rsidP="008D3C64">
      <w:r>
        <w:separator/>
      </w:r>
    </w:p>
  </w:footnote>
  <w:footnote w:type="continuationSeparator" w:id="0">
    <w:p w14:paraId="0D9F54B1" w14:textId="77777777" w:rsidR="00CA29B4" w:rsidRDefault="00CA29B4" w:rsidP="008D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DA"/>
    <w:rsid w:val="00497A65"/>
    <w:rsid w:val="008D3C64"/>
    <w:rsid w:val="00CA29B4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94C96"/>
  <w15:chartTrackingRefBased/>
  <w15:docId w15:val="{7890FF8A-E075-4E45-8D87-66511F8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2"/>
    <w:qFormat/>
    <w:rsid w:val="008D3C64"/>
    <w:pPr>
      <w:widowControl w:val="0"/>
      <w:suppressAutoHyphens/>
      <w:jc w:val="both"/>
    </w:pPr>
    <w:rPr>
      <w:rFonts w:ascii="Calibri" w:eastAsia="宋体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6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C64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C6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D3C64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8D3C6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8D3C64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41">
    <w:name w:val="font41"/>
    <w:qFormat/>
    <w:rsid w:val="008D3C6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2">
    <w:name w:val="toc 2"/>
    <w:basedOn w:val="a"/>
    <w:next w:val="a"/>
    <w:autoRedefine/>
    <w:uiPriority w:val="39"/>
    <w:unhideWhenUsed/>
    <w:rsid w:val="008D3C64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温</dc:creator>
  <cp:keywords/>
  <dc:description/>
  <cp:lastModifiedBy>燕 温</cp:lastModifiedBy>
  <cp:revision>2</cp:revision>
  <dcterms:created xsi:type="dcterms:W3CDTF">2024-10-30T00:15:00Z</dcterms:created>
  <dcterms:modified xsi:type="dcterms:W3CDTF">2024-10-30T00:18:00Z</dcterms:modified>
</cp:coreProperties>
</file>