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62336A">
      <w:pPr>
        <w:shd w:val="clear"/>
        <w:spacing w:line="360" w:lineRule="auto"/>
        <w:jc w:val="center"/>
        <w:textAlignment w:val="bottom"/>
        <w:rPr>
          <w:rFonts w:hint="eastAsia" w:ascii="宋体" w:hAnsi="宋体" w:cs="宋体"/>
          <w:b/>
          <w:color w:val="auto"/>
          <w:kern w:val="0"/>
          <w:sz w:val="52"/>
          <w:szCs w:val="52"/>
          <w:highlight w:val="none"/>
        </w:rPr>
      </w:pPr>
      <w:r>
        <w:rPr>
          <w:rFonts w:hint="eastAsia" w:ascii="宋体" w:hAnsi="宋体" w:cs="宋体"/>
          <w:color w:val="auto"/>
          <w:highlight w:val="none"/>
        </w:rPr>
        <w:drawing>
          <wp:anchor distT="0" distB="0" distL="114300" distR="114300" simplePos="0" relativeHeight="251659264" behindDoc="1" locked="0" layoutInCell="1" allowOverlap="1">
            <wp:simplePos x="0" y="0"/>
            <wp:positionH relativeFrom="page">
              <wp:posOffset>1536700</wp:posOffset>
            </wp:positionH>
            <wp:positionV relativeFrom="page">
              <wp:posOffset>1310640</wp:posOffset>
            </wp:positionV>
            <wp:extent cx="2971800" cy="2091690"/>
            <wp:effectExtent l="0" t="0" r="0" b="3810"/>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6">
                      <a:lum contrast="11999"/>
                    </a:blip>
                    <a:stretch>
                      <a:fillRect/>
                    </a:stretch>
                  </pic:blipFill>
                  <pic:spPr>
                    <a:xfrm>
                      <a:off x="0" y="0"/>
                      <a:ext cx="2971800" cy="2091690"/>
                    </a:xfrm>
                    <a:prstGeom prst="rect">
                      <a:avLst/>
                    </a:prstGeom>
                    <a:noFill/>
                    <a:ln>
                      <a:noFill/>
                    </a:ln>
                  </pic:spPr>
                </pic:pic>
              </a:graphicData>
            </a:graphic>
          </wp:anchor>
        </w:drawing>
      </w:r>
    </w:p>
    <w:p w14:paraId="625B5913">
      <w:pPr>
        <w:pStyle w:val="11"/>
        <w:shd w:val="clear"/>
        <w:rPr>
          <w:rFonts w:hint="eastAsia" w:ascii="宋体" w:hAnsi="宋体" w:cs="宋体"/>
          <w:color w:val="auto"/>
          <w:highlight w:val="none"/>
        </w:rPr>
      </w:pPr>
    </w:p>
    <w:p w14:paraId="6575197F">
      <w:pPr>
        <w:shd w:val="clear"/>
        <w:jc w:val="center"/>
        <w:rPr>
          <w:rFonts w:hint="eastAsia" w:ascii="宋体" w:hAnsi="宋体" w:cs="宋体"/>
          <w:color w:val="auto"/>
          <w:sz w:val="36"/>
          <w:szCs w:val="36"/>
          <w:highlight w:val="none"/>
        </w:rPr>
      </w:pPr>
    </w:p>
    <w:p w14:paraId="5860170B">
      <w:pPr>
        <w:shd w:val="clear"/>
        <w:jc w:val="center"/>
        <w:rPr>
          <w:rFonts w:hint="eastAsia" w:ascii="宋体" w:hAnsi="宋体" w:cs="宋体"/>
          <w:color w:val="auto"/>
          <w:sz w:val="52"/>
          <w:szCs w:val="52"/>
          <w:highlight w:val="none"/>
        </w:rPr>
      </w:pPr>
    </w:p>
    <w:p w14:paraId="7960EF23">
      <w:pPr>
        <w:shd w:val="clear"/>
        <w:jc w:val="center"/>
        <w:rPr>
          <w:rFonts w:hint="eastAsia" w:ascii="宋体" w:hAnsi="宋体" w:cs="宋体"/>
          <w:color w:val="auto"/>
          <w:sz w:val="72"/>
          <w:szCs w:val="72"/>
          <w:highlight w:val="none"/>
        </w:rPr>
      </w:pPr>
      <w:r>
        <w:rPr>
          <w:rFonts w:hint="eastAsia" w:ascii="宋体" w:hAnsi="宋体" w:cs="宋体"/>
          <w:color w:val="auto"/>
          <w:sz w:val="72"/>
          <w:szCs w:val="72"/>
          <w:highlight w:val="none"/>
        </w:rPr>
        <w:t xml:space="preserve">         F-STONE</w:t>
      </w:r>
    </w:p>
    <w:p w14:paraId="16C3125F">
      <w:pPr>
        <w:shd w:val="clear"/>
        <w:jc w:val="center"/>
        <w:rPr>
          <w:rFonts w:hint="eastAsia" w:ascii="宋体" w:hAnsi="宋体" w:cs="宋体"/>
          <w:color w:val="auto"/>
          <w:sz w:val="36"/>
          <w:szCs w:val="36"/>
          <w:highlight w:val="none"/>
        </w:rPr>
      </w:pPr>
    </w:p>
    <w:p w14:paraId="54A47557">
      <w:pPr>
        <w:shd w:val="clear"/>
        <w:spacing w:line="360" w:lineRule="auto"/>
        <w:textAlignment w:val="bottom"/>
        <w:rPr>
          <w:rFonts w:hint="eastAsia" w:ascii="宋体" w:hAnsi="宋体" w:cs="宋体"/>
          <w:color w:val="auto"/>
          <w:kern w:val="0"/>
          <w:sz w:val="28"/>
          <w:highlight w:val="none"/>
        </w:rPr>
      </w:pPr>
    </w:p>
    <w:p w14:paraId="4436789A">
      <w:pPr>
        <w:shd w:val="clear"/>
        <w:jc w:val="center"/>
        <w:rPr>
          <w:rFonts w:hint="eastAsia" w:ascii="宋体" w:hAnsi="宋体" w:cs="宋体"/>
          <w:b/>
          <w:color w:val="auto"/>
          <w:sz w:val="72"/>
          <w:szCs w:val="72"/>
          <w:highlight w:val="none"/>
        </w:rPr>
      </w:pPr>
    </w:p>
    <w:p w14:paraId="78BD784B">
      <w:pPr>
        <w:shd w:val="clear"/>
        <w:spacing w:line="360" w:lineRule="auto"/>
        <w:jc w:val="center"/>
        <w:textAlignment w:val="bottom"/>
        <w:rPr>
          <w:rFonts w:hint="eastAsia" w:ascii="宋体" w:hAnsi="宋体" w:cs="宋体"/>
          <w:b/>
          <w:color w:val="auto"/>
          <w:kern w:val="0"/>
          <w:sz w:val="52"/>
          <w:szCs w:val="52"/>
          <w:highlight w:val="none"/>
        </w:rPr>
      </w:pPr>
      <w:r>
        <w:rPr>
          <w:rFonts w:hint="eastAsia" w:ascii="宋体" w:hAnsi="宋体" w:cs="宋体"/>
          <w:b/>
          <w:color w:val="auto"/>
          <w:kern w:val="0"/>
          <w:sz w:val="52"/>
          <w:szCs w:val="52"/>
          <w:highlight w:val="none"/>
        </w:rPr>
        <w:t>政府采购电子招标文件</w:t>
      </w:r>
    </w:p>
    <w:p w14:paraId="17BCD8F9">
      <w:pPr>
        <w:shd w:val="clear"/>
        <w:spacing w:line="360" w:lineRule="auto"/>
        <w:jc w:val="center"/>
        <w:textAlignment w:val="bottom"/>
        <w:rPr>
          <w:rFonts w:hint="eastAsia" w:ascii="宋体" w:hAnsi="宋体" w:cs="宋体"/>
          <w:color w:val="auto"/>
          <w:sz w:val="28"/>
          <w:szCs w:val="28"/>
          <w:highlight w:val="none"/>
        </w:rPr>
      </w:pPr>
    </w:p>
    <w:p w14:paraId="42DC8885">
      <w:pPr>
        <w:shd w:val="clear"/>
        <w:spacing w:line="360" w:lineRule="auto"/>
        <w:jc w:val="center"/>
        <w:textAlignment w:val="bottom"/>
        <w:rPr>
          <w:rFonts w:hint="eastAsia" w:ascii="宋体" w:hAnsi="宋体" w:eastAsia="宋体" w:cs="宋体"/>
          <w:color w:val="auto"/>
          <w:sz w:val="28"/>
          <w:szCs w:val="28"/>
          <w:highlight w:val="none"/>
          <w:lang w:eastAsia="zh-CN"/>
        </w:rPr>
      </w:pPr>
      <w:r>
        <w:rPr>
          <w:rFonts w:hint="eastAsia" w:ascii="宋体" w:hAnsi="宋体" w:cs="宋体"/>
          <w:color w:val="auto"/>
          <w:sz w:val="28"/>
          <w:szCs w:val="28"/>
          <w:highlight w:val="none"/>
        </w:rPr>
        <w:t>项目编号：</w:t>
      </w:r>
      <w:r>
        <w:rPr>
          <w:rFonts w:hint="eastAsia" w:ascii="宋体" w:hAnsi="宋体" w:cs="宋体"/>
          <w:color w:val="auto"/>
          <w:sz w:val="28"/>
          <w:szCs w:val="28"/>
          <w:highlight w:val="none"/>
          <w:lang w:eastAsia="zh-CN"/>
        </w:rPr>
        <w:t>ZJWS2024-JJ436-1</w:t>
      </w:r>
    </w:p>
    <w:p w14:paraId="216E3BC6">
      <w:pPr>
        <w:shd w:val="clear"/>
        <w:spacing w:line="360" w:lineRule="auto"/>
        <w:textAlignment w:val="bottom"/>
        <w:rPr>
          <w:rFonts w:hint="eastAsia" w:ascii="宋体" w:hAnsi="宋体" w:cs="宋体"/>
          <w:color w:val="auto"/>
          <w:kern w:val="0"/>
          <w:sz w:val="28"/>
          <w:highlight w:val="none"/>
        </w:rPr>
      </w:pPr>
    </w:p>
    <w:p w14:paraId="1CF7CC29">
      <w:pPr>
        <w:shd w:val="clear"/>
        <w:spacing w:line="360" w:lineRule="auto"/>
        <w:textAlignment w:val="bottom"/>
        <w:rPr>
          <w:rFonts w:hint="eastAsia" w:ascii="宋体" w:hAnsi="宋体" w:cs="宋体"/>
          <w:color w:val="auto"/>
          <w:kern w:val="0"/>
          <w:sz w:val="28"/>
          <w:highlight w:val="none"/>
        </w:rPr>
      </w:pPr>
    </w:p>
    <w:p w14:paraId="69600155">
      <w:pPr>
        <w:shd w:val="clear"/>
        <w:autoSpaceDE w:val="0"/>
        <w:autoSpaceDN w:val="0"/>
        <w:adjustRightInd w:val="0"/>
        <w:spacing w:line="360" w:lineRule="auto"/>
        <w:ind w:firstLine="1680" w:firstLineChars="600"/>
        <w:rPr>
          <w:rFonts w:hint="eastAsia" w:ascii="宋体" w:hAnsi="宋体" w:eastAsia="宋体" w:cs="宋体"/>
          <w:color w:val="auto"/>
          <w:kern w:val="0"/>
          <w:sz w:val="28"/>
          <w:highlight w:val="none"/>
          <w:lang w:eastAsia="zh-CN"/>
        </w:rPr>
      </w:pPr>
      <w:r>
        <w:rPr>
          <w:rFonts w:hint="eastAsia" w:ascii="宋体" w:hAnsi="宋体" w:cs="宋体"/>
          <w:color w:val="auto"/>
          <w:kern w:val="0"/>
          <w:sz w:val="28"/>
          <w:highlight w:val="none"/>
        </w:rPr>
        <w:t>采购项目：</w:t>
      </w:r>
      <w:r>
        <w:rPr>
          <w:rFonts w:hint="eastAsia" w:ascii="宋体" w:hAnsi="宋体" w:cs="宋体"/>
          <w:color w:val="auto"/>
          <w:kern w:val="0"/>
          <w:sz w:val="28"/>
          <w:highlight w:val="none"/>
          <w:lang w:eastAsia="zh-CN"/>
        </w:rPr>
        <w:t>人力资源管理系统升级项目（二次）</w:t>
      </w:r>
    </w:p>
    <w:p w14:paraId="231FFBD0">
      <w:pPr>
        <w:shd w:val="clear"/>
        <w:autoSpaceDE w:val="0"/>
        <w:autoSpaceDN w:val="0"/>
        <w:adjustRightInd w:val="0"/>
        <w:spacing w:line="360" w:lineRule="auto"/>
        <w:ind w:firstLine="1680" w:firstLineChars="600"/>
        <w:rPr>
          <w:rFonts w:hint="eastAsia" w:ascii="宋体" w:hAnsi="宋体" w:cs="宋体"/>
          <w:color w:val="auto"/>
          <w:kern w:val="0"/>
          <w:sz w:val="28"/>
          <w:highlight w:val="none"/>
        </w:rPr>
      </w:pPr>
      <w:r>
        <w:rPr>
          <w:rFonts w:hint="eastAsia" w:ascii="宋体" w:hAnsi="宋体" w:cs="宋体"/>
          <w:color w:val="auto"/>
          <w:kern w:val="0"/>
          <w:sz w:val="28"/>
          <w:highlight w:val="none"/>
        </w:rPr>
        <w:t>采购单位：台州恩泽医疗中心（集团）</w:t>
      </w:r>
    </w:p>
    <w:p w14:paraId="1D0C1D8D">
      <w:pPr>
        <w:shd w:val="clear"/>
        <w:spacing w:line="360" w:lineRule="auto"/>
        <w:rPr>
          <w:rFonts w:hint="eastAsia" w:ascii="宋体" w:hAnsi="宋体" w:cs="宋体"/>
          <w:color w:val="auto"/>
          <w:sz w:val="24"/>
          <w:szCs w:val="32"/>
          <w:highlight w:val="none"/>
        </w:rPr>
      </w:pPr>
    </w:p>
    <w:p w14:paraId="74D66C88">
      <w:pPr>
        <w:shd w:val="clear"/>
        <w:spacing w:line="360" w:lineRule="auto"/>
        <w:rPr>
          <w:rFonts w:hint="eastAsia" w:ascii="宋体" w:hAnsi="宋体" w:cs="宋体"/>
          <w:color w:val="auto"/>
          <w:sz w:val="24"/>
          <w:szCs w:val="32"/>
          <w:highlight w:val="none"/>
        </w:rPr>
      </w:pPr>
    </w:p>
    <w:p w14:paraId="610E9417">
      <w:pPr>
        <w:shd w:val="clear"/>
        <w:spacing w:line="360" w:lineRule="auto"/>
        <w:jc w:val="center"/>
        <w:rPr>
          <w:rStyle w:val="77"/>
          <w:rFonts w:hint="eastAsia" w:ascii="宋体" w:hAnsi="宋体" w:eastAsia="宋体" w:cs="宋体"/>
          <w:color w:val="auto"/>
          <w:highlight w:val="none"/>
        </w:rPr>
      </w:pPr>
      <w:r>
        <w:rPr>
          <w:rFonts w:hint="eastAsia" w:ascii="宋体" w:hAnsi="宋体" w:cs="宋体"/>
          <w:color w:val="auto"/>
          <w:sz w:val="28"/>
          <w:szCs w:val="36"/>
          <w:highlight w:val="none"/>
        </w:rPr>
        <w:t xml:space="preserve">    采购代理机构：浙江五石中正工程咨询有限公司</w:t>
      </w:r>
    </w:p>
    <w:p w14:paraId="07542BC6">
      <w:pPr>
        <w:shd w:val="clear"/>
        <w:autoSpaceDE w:val="0"/>
        <w:autoSpaceDN w:val="0"/>
        <w:adjustRightInd w:val="0"/>
        <w:spacing w:line="360" w:lineRule="auto"/>
        <w:jc w:val="center"/>
        <w:rPr>
          <w:rFonts w:hint="eastAsia" w:ascii="宋体" w:hAnsi="宋体" w:cs="宋体"/>
          <w:color w:val="auto"/>
          <w:kern w:val="0"/>
          <w:sz w:val="28"/>
          <w:highlight w:val="none"/>
        </w:rPr>
      </w:pPr>
      <w:r>
        <w:rPr>
          <w:rFonts w:hint="eastAsia" w:ascii="宋体" w:hAnsi="宋体" w:cs="宋体"/>
          <w:color w:val="auto"/>
          <w:kern w:val="0"/>
          <w:sz w:val="28"/>
          <w:highlight w:val="none"/>
        </w:rPr>
        <w:t>202</w:t>
      </w:r>
      <w:r>
        <w:rPr>
          <w:rFonts w:hint="eastAsia" w:ascii="宋体" w:hAnsi="宋体" w:cs="宋体"/>
          <w:color w:val="auto"/>
          <w:kern w:val="0"/>
          <w:sz w:val="28"/>
          <w:highlight w:val="none"/>
          <w:lang w:val="en-US" w:eastAsia="zh-CN"/>
        </w:rPr>
        <w:t>5</w:t>
      </w:r>
      <w:r>
        <w:rPr>
          <w:rFonts w:hint="eastAsia" w:ascii="宋体" w:hAnsi="宋体" w:cs="宋体"/>
          <w:color w:val="auto"/>
          <w:kern w:val="0"/>
          <w:sz w:val="28"/>
          <w:highlight w:val="none"/>
        </w:rPr>
        <w:t>年</w:t>
      </w:r>
      <w:r>
        <w:rPr>
          <w:rFonts w:hint="eastAsia" w:ascii="宋体" w:hAnsi="宋体" w:cs="宋体"/>
          <w:color w:val="auto"/>
          <w:kern w:val="0"/>
          <w:sz w:val="28"/>
          <w:highlight w:val="none"/>
          <w:lang w:val="en-US" w:eastAsia="zh-CN"/>
        </w:rPr>
        <w:t>4</w:t>
      </w:r>
      <w:r>
        <w:rPr>
          <w:rFonts w:hint="eastAsia" w:ascii="宋体" w:hAnsi="宋体" w:cs="宋体"/>
          <w:color w:val="auto"/>
          <w:kern w:val="0"/>
          <w:sz w:val="28"/>
          <w:highlight w:val="none"/>
        </w:rPr>
        <w:t>月</w:t>
      </w:r>
    </w:p>
    <w:p w14:paraId="431FF03E">
      <w:pPr>
        <w:shd w:val="clear"/>
        <w:spacing w:line="360" w:lineRule="auto"/>
        <w:rPr>
          <w:rFonts w:hint="eastAsia" w:ascii="宋体" w:hAnsi="宋体" w:cs="宋体"/>
          <w:color w:val="auto"/>
          <w:sz w:val="24"/>
          <w:szCs w:val="32"/>
          <w:highlight w:val="none"/>
        </w:rPr>
      </w:pPr>
    </w:p>
    <w:p w14:paraId="3B5065E5">
      <w:pPr>
        <w:shd w:val="clear"/>
        <w:spacing w:line="360" w:lineRule="auto"/>
        <w:rPr>
          <w:rFonts w:hint="eastAsia" w:ascii="宋体" w:hAnsi="宋体" w:cs="宋体"/>
          <w:color w:val="auto"/>
          <w:sz w:val="24"/>
          <w:szCs w:val="32"/>
          <w:highlight w:val="none"/>
        </w:rPr>
      </w:pPr>
    </w:p>
    <w:p w14:paraId="1661E733">
      <w:pPr>
        <w:shd w:val="clear"/>
        <w:jc w:val="center"/>
        <w:rPr>
          <w:rFonts w:hint="eastAsia" w:ascii="宋体" w:hAnsi="宋体" w:cs="宋体"/>
          <w:b/>
          <w:bCs/>
          <w:color w:val="auto"/>
          <w:sz w:val="36"/>
          <w:szCs w:val="36"/>
          <w:highlight w:val="none"/>
        </w:rPr>
      </w:pPr>
      <w:r>
        <w:rPr>
          <w:rFonts w:hint="eastAsia" w:ascii="宋体" w:hAnsi="宋体" w:cs="宋体"/>
          <w:b/>
          <w:bCs/>
          <w:color w:val="auto"/>
          <w:sz w:val="36"/>
          <w:szCs w:val="36"/>
          <w:highlight w:val="none"/>
        </w:rPr>
        <w:t>目  录</w:t>
      </w:r>
    </w:p>
    <w:p w14:paraId="44EF3D4F">
      <w:pPr>
        <w:shd w:val="clear"/>
        <w:spacing w:line="360" w:lineRule="auto"/>
        <w:rPr>
          <w:rFonts w:hint="eastAsia" w:ascii="宋体" w:hAnsi="宋体" w:cs="宋体"/>
          <w:color w:val="auto"/>
          <w:sz w:val="24"/>
          <w:szCs w:val="32"/>
          <w:highlight w:val="none"/>
        </w:rPr>
      </w:pPr>
    </w:p>
    <w:p w14:paraId="290FD8DE">
      <w:pPr>
        <w:shd w:val="clea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第一章 公开招标采购公告</w:t>
      </w:r>
    </w:p>
    <w:p w14:paraId="5FFF75F8">
      <w:pPr>
        <w:shd w:val="clea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第二章 投标人须知</w:t>
      </w:r>
    </w:p>
    <w:p w14:paraId="665D8335">
      <w:pPr>
        <w:shd w:val="clea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第三章 评标办法及评分标准</w:t>
      </w:r>
    </w:p>
    <w:p w14:paraId="2C7F7979">
      <w:pPr>
        <w:shd w:val="clea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第四章 公开招标需求</w:t>
      </w:r>
    </w:p>
    <w:p w14:paraId="3163DC0B">
      <w:pPr>
        <w:shd w:val="clea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第五章 政府采购合同主要条款指引</w:t>
      </w:r>
    </w:p>
    <w:p w14:paraId="5EFD579A">
      <w:pPr>
        <w:shd w:val="clea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第六章 投标文件格式附件</w:t>
      </w:r>
    </w:p>
    <w:p w14:paraId="3816A555">
      <w:pPr>
        <w:shd w:val="clear"/>
        <w:spacing w:line="360" w:lineRule="auto"/>
        <w:rPr>
          <w:rFonts w:hint="eastAsia" w:ascii="宋体" w:hAnsi="宋体" w:cs="宋体"/>
          <w:color w:val="auto"/>
          <w:sz w:val="24"/>
          <w:szCs w:val="32"/>
          <w:highlight w:val="none"/>
        </w:rPr>
      </w:pPr>
    </w:p>
    <w:p w14:paraId="57D1876B">
      <w:pPr>
        <w:shd w:val="clear"/>
        <w:spacing w:line="360" w:lineRule="auto"/>
        <w:rPr>
          <w:rFonts w:hint="eastAsia" w:ascii="宋体" w:hAnsi="宋体" w:cs="宋体"/>
          <w:color w:val="auto"/>
          <w:sz w:val="24"/>
          <w:szCs w:val="32"/>
          <w:highlight w:val="none"/>
        </w:rPr>
      </w:pPr>
    </w:p>
    <w:p w14:paraId="1C44F009">
      <w:pPr>
        <w:shd w:val="clear"/>
        <w:spacing w:line="360" w:lineRule="auto"/>
        <w:rPr>
          <w:rFonts w:hint="eastAsia" w:ascii="宋体" w:hAnsi="宋体" w:cs="宋体"/>
          <w:color w:val="auto"/>
          <w:sz w:val="24"/>
          <w:szCs w:val="32"/>
          <w:highlight w:val="none"/>
        </w:rPr>
      </w:pPr>
    </w:p>
    <w:p w14:paraId="1BB94CC8">
      <w:pPr>
        <w:shd w:val="clear"/>
        <w:spacing w:line="360" w:lineRule="auto"/>
        <w:rPr>
          <w:rFonts w:hint="eastAsia" w:ascii="宋体" w:hAnsi="宋体" w:cs="宋体"/>
          <w:color w:val="auto"/>
          <w:sz w:val="24"/>
          <w:szCs w:val="32"/>
          <w:highlight w:val="none"/>
        </w:rPr>
      </w:pPr>
    </w:p>
    <w:p w14:paraId="2EC36162">
      <w:pPr>
        <w:shd w:val="clear"/>
        <w:spacing w:line="360" w:lineRule="auto"/>
        <w:rPr>
          <w:rFonts w:hint="eastAsia" w:ascii="宋体" w:hAnsi="宋体" w:cs="宋体"/>
          <w:color w:val="auto"/>
          <w:sz w:val="24"/>
          <w:szCs w:val="32"/>
          <w:highlight w:val="none"/>
        </w:rPr>
      </w:pPr>
    </w:p>
    <w:p w14:paraId="187BC671">
      <w:pPr>
        <w:shd w:val="clear"/>
        <w:spacing w:line="360" w:lineRule="auto"/>
        <w:rPr>
          <w:rFonts w:hint="eastAsia" w:ascii="宋体" w:hAnsi="宋体" w:cs="宋体"/>
          <w:color w:val="auto"/>
          <w:sz w:val="24"/>
          <w:szCs w:val="32"/>
          <w:highlight w:val="none"/>
        </w:rPr>
      </w:pPr>
    </w:p>
    <w:p w14:paraId="5F78AEB9">
      <w:pPr>
        <w:shd w:val="clear"/>
        <w:spacing w:line="360" w:lineRule="auto"/>
        <w:rPr>
          <w:rFonts w:hint="eastAsia" w:ascii="宋体" w:hAnsi="宋体" w:cs="宋体"/>
          <w:color w:val="auto"/>
          <w:sz w:val="24"/>
          <w:szCs w:val="32"/>
          <w:highlight w:val="none"/>
        </w:rPr>
      </w:pPr>
    </w:p>
    <w:p w14:paraId="33D3C899">
      <w:pPr>
        <w:shd w:val="clear"/>
        <w:spacing w:line="360" w:lineRule="auto"/>
        <w:rPr>
          <w:rFonts w:hint="eastAsia" w:ascii="宋体" w:hAnsi="宋体" w:cs="宋体"/>
          <w:color w:val="auto"/>
          <w:sz w:val="24"/>
          <w:szCs w:val="32"/>
          <w:highlight w:val="none"/>
        </w:rPr>
      </w:pPr>
    </w:p>
    <w:p w14:paraId="5EC363CE">
      <w:pPr>
        <w:shd w:val="clear"/>
        <w:spacing w:line="360" w:lineRule="auto"/>
        <w:rPr>
          <w:rFonts w:hint="eastAsia" w:ascii="宋体" w:hAnsi="宋体" w:cs="宋体"/>
          <w:color w:val="auto"/>
          <w:sz w:val="24"/>
          <w:szCs w:val="32"/>
          <w:highlight w:val="none"/>
        </w:rPr>
      </w:pPr>
    </w:p>
    <w:p w14:paraId="08D8C7F5">
      <w:pPr>
        <w:shd w:val="clear"/>
        <w:spacing w:line="360" w:lineRule="auto"/>
        <w:rPr>
          <w:rFonts w:hint="eastAsia" w:ascii="宋体" w:hAnsi="宋体" w:cs="宋体"/>
          <w:color w:val="auto"/>
          <w:sz w:val="24"/>
          <w:szCs w:val="32"/>
          <w:highlight w:val="none"/>
        </w:rPr>
      </w:pPr>
    </w:p>
    <w:p w14:paraId="7F7BA79D">
      <w:pPr>
        <w:shd w:val="clear"/>
        <w:spacing w:line="360" w:lineRule="auto"/>
        <w:rPr>
          <w:rFonts w:hint="eastAsia" w:ascii="宋体" w:hAnsi="宋体" w:cs="宋体"/>
          <w:color w:val="auto"/>
          <w:sz w:val="24"/>
          <w:szCs w:val="32"/>
          <w:highlight w:val="none"/>
        </w:rPr>
      </w:pPr>
    </w:p>
    <w:p w14:paraId="45DA3948">
      <w:pPr>
        <w:shd w:val="clear"/>
        <w:spacing w:line="360" w:lineRule="auto"/>
        <w:rPr>
          <w:rFonts w:hint="eastAsia" w:ascii="宋体" w:hAnsi="宋体" w:cs="宋体"/>
          <w:color w:val="auto"/>
          <w:sz w:val="24"/>
          <w:szCs w:val="32"/>
          <w:highlight w:val="none"/>
        </w:rPr>
      </w:pPr>
    </w:p>
    <w:p w14:paraId="5FD453C0">
      <w:pPr>
        <w:shd w:val="clear"/>
        <w:spacing w:line="360" w:lineRule="auto"/>
        <w:rPr>
          <w:rFonts w:hint="eastAsia" w:ascii="宋体" w:hAnsi="宋体" w:cs="宋体"/>
          <w:color w:val="auto"/>
          <w:sz w:val="24"/>
          <w:szCs w:val="32"/>
          <w:highlight w:val="none"/>
        </w:rPr>
      </w:pPr>
    </w:p>
    <w:p w14:paraId="6F9DC95C">
      <w:pPr>
        <w:shd w:val="clear"/>
        <w:spacing w:line="360" w:lineRule="auto"/>
        <w:rPr>
          <w:rFonts w:hint="eastAsia" w:ascii="宋体" w:hAnsi="宋体" w:cs="宋体"/>
          <w:color w:val="auto"/>
          <w:sz w:val="24"/>
          <w:szCs w:val="32"/>
          <w:highlight w:val="none"/>
        </w:rPr>
      </w:pPr>
    </w:p>
    <w:p w14:paraId="1342BBBF">
      <w:pPr>
        <w:shd w:val="clear"/>
        <w:spacing w:line="360" w:lineRule="auto"/>
        <w:rPr>
          <w:rFonts w:hint="eastAsia" w:ascii="宋体" w:hAnsi="宋体" w:cs="宋体"/>
          <w:color w:val="auto"/>
          <w:sz w:val="24"/>
          <w:szCs w:val="32"/>
          <w:highlight w:val="none"/>
        </w:rPr>
      </w:pPr>
    </w:p>
    <w:p w14:paraId="02294277">
      <w:pPr>
        <w:shd w:val="clear"/>
        <w:spacing w:line="360" w:lineRule="auto"/>
        <w:rPr>
          <w:rFonts w:hint="eastAsia" w:ascii="宋体" w:hAnsi="宋体" w:cs="宋体"/>
          <w:color w:val="auto"/>
          <w:sz w:val="24"/>
          <w:szCs w:val="32"/>
          <w:highlight w:val="none"/>
        </w:rPr>
      </w:pPr>
    </w:p>
    <w:p w14:paraId="03E78BED">
      <w:pPr>
        <w:shd w:val="clear"/>
        <w:spacing w:line="360" w:lineRule="auto"/>
        <w:rPr>
          <w:rFonts w:hint="eastAsia" w:ascii="宋体" w:hAnsi="宋体" w:cs="宋体"/>
          <w:color w:val="auto"/>
          <w:sz w:val="24"/>
          <w:szCs w:val="32"/>
          <w:highlight w:val="none"/>
        </w:rPr>
      </w:pPr>
    </w:p>
    <w:p w14:paraId="64EFBB85">
      <w:pPr>
        <w:shd w:val="clear"/>
        <w:spacing w:line="360" w:lineRule="auto"/>
        <w:rPr>
          <w:rFonts w:hint="eastAsia" w:ascii="宋体" w:hAnsi="宋体" w:cs="宋体"/>
          <w:color w:val="auto"/>
          <w:sz w:val="24"/>
          <w:szCs w:val="32"/>
          <w:highlight w:val="none"/>
        </w:rPr>
      </w:pPr>
    </w:p>
    <w:p w14:paraId="5BF9C588">
      <w:pPr>
        <w:shd w:val="clear"/>
        <w:spacing w:line="360" w:lineRule="auto"/>
        <w:rPr>
          <w:rFonts w:hint="eastAsia" w:ascii="宋体" w:hAnsi="宋体" w:cs="宋体"/>
          <w:color w:val="auto"/>
          <w:sz w:val="24"/>
          <w:szCs w:val="32"/>
          <w:highlight w:val="none"/>
        </w:rPr>
      </w:pPr>
    </w:p>
    <w:p w14:paraId="181BD65D">
      <w:pPr>
        <w:shd w:val="clear"/>
        <w:spacing w:line="360" w:lineRule="auto"/>
        <w:jc w:val="center"/>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第一章 公开招标采购公告</w:t>
      </w:r>
    </w:p>
    <w:p w14:paraId="7EFB6D1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根据《中华人民共和国政府采购法》、《中华人民共和国政府采购法实施条例》和财政部令第87号《政府采购货物和服务招标投标管理办法》等有关规定，</w:t>
      </w:r>
      <w:r>
        <w:rPr>
          <w:rFonts w:hint="eastAsia" w:ascii="宋体" w:hAnsi="宋体" w:cs="宋体"/>
          <w:b/>
          <w:bCs/>
          <w:color w:val="auto"/>
          <w:sz w:val="24"/>
          <w:szCs w:val="32"/>
          <w:highlight w:val="none"/>
        </w:rPr>
        <w:t>浙江五石中正工程咨询有限公司</w:t>
      </w:r>
      <w:r>
        <w:rPr>
          <w:rFonts w:hint="eastAsia" w:ascii="宋体" w:hAnsi="宋体" w:cs="宋体"/>
          <w:color w:val="auto"/>
          <w:sz w:val="24"/>
          <w:szCs w:val="32"/>
          <w:highlight w:val="none"/>
        </w:rPr>
        <w:t>受</w:t>
      </w:r>
      <w:r>
        <w:rPr>
          <w:rFonts w:hint="eastAsia" w:ascii="宋体" w:hAnsi="宋体" w:cs="宋体"/>
          <w:b/>
          <w:bCs/>
          <w:color w:val="auto"/>
          <w:sz w:val="24"/>
          <w:szCs w:val="32"/>
          <w:highlight w:val="none"/>
        </w:rPr>
        <w:t>台州恩泽医疗中心（集团）</w:t>
      </w:r>
      <w:r>
        <w:rPr>
          <w:rFonts w:hint="eastAsia" w:ascii="宋体" w:hAnsi="宋体" w:cs="宋体"/>
          <w:color w:val="auto"/>
          <w:sz w:val="24"/>
          <w:szCs w:val="32"/>
          <w:highlight w:val="none"/>
        </w:rPr>
        <w:t>委托，现就其</w:t>
      </w:r>
      <w:r>
        <w:rPr>
          <w:rFonts w:hint="eastAsia" w:ascii="宋体" w:hAnsi="宋体" w:cs="宋体"/>
          <w:b/>
          <w:bCs/>
          <w:color w:val="auto"/>
          <w:sz w:val="24"/>
          <w:szCs w:val="32"/>
          <w:highlight w:val="none"/>
          <w:lang w:eastAsia="zh-CN"/>
        </w:rPr>
        <w:t>人力资源管理系统升级项目（二次）</w:t>
      </w:r>
      <w:r>
        <w:rPr>
          <w:rFonts w:hint="eastAsia" w:ascii="宋体" w:hAnsi="宋体" w:cs="宋体"/>
          <w:color w:val="auto"/>
          <w:sz w:val="24"/>
          <w:szCs w:val="32"/>
          <w:highlight w:val="none"/>
        </w:rPr>
        <w:t>进行公开招标采购，欢迎合格供应商前来投标。</w:t>
      </w:r>
    </w:p>
    <w:p w14:paraId="0E954495">
      <w:pPr>
        <w:shd w:val="clear"/>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cs="宋体"/>
          <w:b/>
          <w:bCs/>
          <w:color w:val="auto"/>
          <w:sz w:val="24"/>
          <w:szCs w:val="32"/>
          <w:highlight w:val="none"/>
        </w:rPr>
        <w:t>一、项目编号：</w:t>
      </w:r>
      <w:r>
        <w:rPr>
          <w:rFonts w:hint="eastAsia" w:ascii="宋体" w:hAnsi="宋体" w:cs="宋体"/>
          <w:color w:val="auto"/>
          <w:sz w:val="24"/>
          <w:szCs w:val="32"/>
          <w:highlight w:val="none"/>
          <w:lang w:eastAsia="zh-CN"/>
        </w:rPr>
        <w:t>ZJWS2024-JJ436-1</w:t>
      </w:r>
    </w:p>
    <w:p w14:paraId="0F74BC35">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二、招标项目概况：</w:t>
      </w:r>
    </w:p>
    <w:tbl>
      <w:tblPr>
        <w:tblStyle w:val="29"/>
        <w:tblW w:w="83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3142"/>
        <w:gridCol w:w="1045"/>
        <w:gridCol w:w="1597"/>
        <w:gridCol w:w="1725"/>
      </w:tblGrid>
      <w:tr w14:paraId="5AD44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6" w:type="dxa"/>
            <w:vAlign w:val="center"/>
          </w:tcPr>
          <w:p w14:paraId="0C64F9F3">
            <w:pPr>
              <w:shd w:val="clear"/>
              <w:jc w:val="center"/>
              <w:rPr>
                <w:rFonts w:hint="eastAsia" w:ascii="宋体" w:hAnsi="宋体" w:cs="宋体"/>
                <w:b/>
                <w:color w:val="auto"/>
                <w:sz w:val="24"/>
                <w:highlight w:val="none"/>
              </w:rPr>
            </w:pPr>
            <w:bookmarkStart w:id="0" w:name="EBc3c9f0bc06b6413d849824fe98ba274c"/>
            <w:r>
              <w:rPr>
                <w:rFonts w:hint="eastAsia" w:ascii="宋体" w:hAnsi="宋体" w:cs="宋体"/>
                <w:b/>
                <w:color w:val="auto"/>
                <w:sz w:val="24"/>
                <w:highlight w:val="none"/>
              </w:rPr>
              <w:t>标段</w:t>
            </w:r>
          </w:p>
        </w:tc>
        <w:tc>
          <w:tcPr>
            <w:tcW w:w="3142" w:type="dxa"/>
            <w:vAlign w:val="center"/>
          </w:tcPr>
          <w:p w14:paraId="18D597B3">
            <w:pPr>
              <w:shd w:val="clear"/>
              <w:jc w:val="center"/>
              <w:rPr>
                <w:rFonts w:hint="eastAsia" w:ascii="宋体" w:hAnsi="宋体" w:cs="宋体"/>
                <w:b/>
                <w:color w:val="auto"/>
                <w:sz w:val="24"/>
                <w:highlight w:val="none"/>
              </w:rPr>
            </w:pPr>
            <w:r>
              <w:rPr>
                <w:rFonts w:hint="eastAsia" w:ascii="宋体" w:hAnsi="宋体" w:cs="宋体"/>
                <w:b/>
                <w:color w:val="auto"/>
                <w:sz w:val="24"/>
                <w:highlight w:val="none"/>
              </w:rPr>
              <w:t>招标内容</w:t>
            </w:r>
          </w:p>
        </w:tc>
        <w:tc>
          <w:tcPr>
            <w:tcW w:w="1045" w:type="dxa"/>
            <w:vAlign w:val="center"/>
          </w:tcPr>
          <w:p w14:paraId="55297F40">
            <w:pPr>
              <w:shd w:val="clear"/>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c>
          <w:tcPr>
            <w:tcW w:w="1597" w:type="dxa"/>
            <w:vAlign w:val="center"/>
          </w:tcPr>
          <w:p w14:paraId="34039032">
            <w:pPr>
              <w:shd w:val="clear"/>
              <w:jc w:val="center"/>
              <w:rPr>
                <w:rFonts w:hint="eastAsia" w:ascii="宋体" w:hAnsi="宋体" w:cs="宋体"/>
                <w:b/>
                <w:color w:val="auto"/>
                <w:sz w:val="24"/>
                <w:highlight w:val="none"/>
              </w:rPr>
            </w:pPr>
            <w:r>
              <w:rPr>
                <w:rFonts w:hint="eastAsia" w:ascii="宋体" w:hAnsi="宋体" w:cs="宋体"/>
                <w:b/>
                <w:color w:val="auto"/>
                <w:sz w:val="24"/>
                <w:highlight w:val="none"/>
              </w:rPr>
              <w:t>预算</w:t>
            </w:r>
          </w:p>
        </w:tc>
        <w:tc>
          <w:tcPr>
            <w:tcW w:w="1725" w:type="dxa"/>
            <w:vAlign w:val="center"/>
          </w:tcPr>
          <w:p w14:paraId="07BF8EC2">
            <w:pPr>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简要技术要求</w:t>
            </w:r>
          </w:p>
        </w:tc>
      </w:tr>
      <w:tr w14:paraId="7B618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jc w:val="center"/>
        </w:trPr>
        <w:tc>
          <w:tcPr>
            <w:tcW w:w="836" w:type="dxa"/>
            <w:vAlign w:val="center"/>
          </w:tcPr>
          <w:p w14:paraId="1D65CD82">
            <w:pPr>
              <w:shd w:val="clea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142" w:type="dxa"/>
            <w:vAlign w:val="center"/>
          </w:tcPr>
          <w:p w14:paraId="6589B749">
            <w:pPr>
              <w:shd w:val="clear"/>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eastAsia="zh-CN"/>
              </w:rPr>
              <w:t>人力资源管理系统升级项目（二次）</w:t>
            </w:r>
          </w:p>
        </w:tc>
        <w:tc>
          <w:tcPr>
            <w:tcW w:w="1045" w:type="dxa"/>
            <w:vAlign w:val="center"/>
          </w:tcPr>
          <w:p w14:paraId="6F495B29">
            <w:pPr>
              <w:shd w:val="clear"/>
              <w:jc w:val="center"/>
              <w:rPr>
                <w:rFonts w:hint="eastAsia" w:ascii="宋体" w:hAnsi="宋体" w:cs="宋体"/>
                <w:color w:val="auto"/>
                <w:sz w:val="24"/>
                <w:highlight w:val="none"/>
              </w:rPr>
            </w:pPr>
            <w:r>
              <w:rPr>
                <w:rFonts w:hint="eastAsia" w:ascii="宋体" w:hAnsi="宋体" w:cs="宋体"/>
                <w:color w:val="auto"/>
                <w:sz w:val="24"/>
                <w:highlight w:val="none"/>
              </w:rPr>
              <w:t>一批</w:t>
            </w:r>
          </w:p>
        </w:tc>
        <w:tc>
          <w:tcPr>
            <w:tcW w:w="1597" w:type="dxa"/>
            <w:vAlign w:val="center"/>
          </w:tcPr>
          <w:p w14:paraId="6C3B2675">
            <w:pPr>
              <w:shd w:val="clear"/>
              <w:jc w:val="center"/>
              <w:rPr>
                <w:rFonts w:hint="eastAsia" w:ascii="宋体" w:hAnsi="宋体" w:cs="宋体"/>
                <w:color w:val="auto"/>
                <w:sz w:val="24"/>
                <w:highlight w:val="none"/>
              </w:rPr>
            </w:pPr>
            <w:r>
              <w:rPr>
                <w:rFonts w:hint="eastAsia" w:ascii="宋体" w:hAnsi="宋体" w:cs="宋体"/>
                <w:color w:val="auto"/>
                <w:sz w:val="24"/>
                <w:highlight w:val="none"/>
              </w:rPr>
              <w:t>100万元</w:t>
            </w:r>
          </w:p>
        </w:tc>
        <w:tc>
          <w:tcPr>
            <w:tcW w:w="1725" w:type="dxa"/>
            <w:vAlign w:val="center"/>
          </w:tcPr>
          <w:p w14:paraId="343F4C5E">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详见招标文件</w:t>
            </w:r>
          </w:p>
        </w:tc>
      </w:tr>
      <w:bookmarkEnd w:id="0"/>
    </w:tbl>
    <w:p w14:paraId="66AC0CF2">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是否允许进口：否</w:t>
      </w:r>
    </w:p>
    <w:p w14:paraId="7179830B">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三、合格投标人的资格条件：</w:t>
      </w:r>
    </w:p>
    <w:p w14:paraId="5DA522B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①满足《中华人民共和国政府采购法》第二十二条规定；未被“信用中国”（www.creditchina.gov.cn)、中国政府采购网（www.ccgp.gov.cn）列入失信被执行人、重大税收违法失信主体、政府采购严重违法失信行为记录名单；</w:t>
      </w:r>
    </w:p>
    <w:p w14:paraId="2332ED01">
      <w:pPr>
        <w:shd w:val="clear"/>
        <w:spacing w:line="360" w:lineRule="auto"/>
        <w:ind w:firstLine="480" w:firstLineChars="200"/>
        <w:rPr>
          <w:rFonts w:hint="eastAsia" w:ascii="宋体" w:hAnsi="宋体" w:cs="宋体"/>
          <w:color w:val="auto"/>
          <w:highlight w:val="none"/>
        </w:rPr>
      </w:pPr>
      <w:r>
        <w:rPr>
          <w:rFonts w:hint="eastAsia" w:ascii="宋体" w:hAnsi="宋体" w:cs="宋体"/>
          <w:color w:val="auto"/>
          <w:sz w:val="24"/>
          <w:szCs w:val="32"/>
          <w:highlight w:val="none"/>
        </w:rPr>
        <w:t>②本项目不接受联合体投标。</w:t>
      </w:r>
    </w:p>
    <w:p w14:paraId="73BAFD40">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四、招标文件获取的时间、方式：</w:t>
      </w:r>
    </w:p>
    <w:p w14:paraId="679281C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1、本项目招标文件实行“政府采购云平台”在线获取，不提供招标文件纸质版。供应商获取招标文件前应先完成“政府采购云平台”的账号注册。</w:t>
      </w:r>
    </w:p>
    <w:p w14:paraId="7A8A718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2、获取时间：自本公告发布之日起至响应文件递交截止时间止（以供应商完成获取采购文件申请后下载采购文件的时间为准）。</w:t>
      </w:r>
    </w:p>
    <w:p w14:paraId="2C335DD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3、获取地点：政采云平台（</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"http://zfcg.czt.zj.gov.cn/" </w:instrText>
      </w:r>
      <w:r>
        <w:rPr>
          <w:rFonts w:hint="eastAsia" w:ascii="宋体" w:hAnsi="宋体" w:cs="宋体"/>
          <w:color w:val="auto"/>
          <w:highlight w:val="none"/>
        </w:rPr>
        <w:fldChar w:fldCharType="separate"/>
      </w:r>
      <w:r>
        <w:rPr>
          <w:rFonts w:hint="eastAsia" w:ascii="宋体" w:hAnsi="宋体" w:cs="宋体"/>
          <w:color w:val="auto"/>
          <w:sz w:val="24"/>
          <w:szCs w:val="32"/>
          <w:highlight w:val="none"/>
        </w:rPr>
        <w:t>http://zfcg.czt.zj.gov.cn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w:t>
      </w:r>
    </w:p>
    <w:p w14:paraId="49A46B6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获取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14:paraId="43B94E3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36FB9C15">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五、投标说明：</w:t>
      </w:r>
    </w:p>
    <w:p w14:paraId="6D9F9942">
      <w:pPr>
        <w:shd w:val="clear"/>
        <w:spacing w:line="360" w:lineRule="auto"/>
        <w:ind w:firstLine="480" w:firstLineChars="200"/>
        <w:rPr>
          <w:rFonts w:hint="eastAsia" w:ascii="宋体" w:hAnsi="宋体" w:cs="宋体"/>
          <w:color w:val="auto"/>
          <w:kern w:val="0"/>
          <w:sz w:val="24"/>
          <w:highlight w:val="none"/>
          <w:u w:val="single"/>
        </w:rPr>
      </w:pPr>
      <w:r>
        <w:rPr>
          <w:rFonts w:hint="eastAsia" w:ascii="宋体" w:hAnsi="宋体" w:cs="宋体"/>
          <w:color w:val="auto"/>
          <w:kern w:val="0"/>
          <w:sz w:val="24"/>
          <w:highlight w:val="none"/>
          <w:u w:val="single"/>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95763。</w:t>
      </w:r>
    </w:p>
    <w:p w14:paraId="1EC76BB2">
      <w:pPr>
        <w:shd w:val="clear"/>
        <w:spacing w:line="360" w:lineRule="auto"/>
        <w:ind w:firstLine="480" w:firstLineChars="200"/>
        <w:rPr>
          <w:rFonts w:hint="eastAsia" w:ascii="宋体" w:hAnsi="宋体" w:cs="宋体"/>
          <w:color w:val="auto"/>
          <w:kern w:val="0"/>
          <w:sz w:val="24"/>
          <w:highlight w:val="none"/>
          <w:u w:val="single"/>
        </w:rPr>
      </w:pPr>
      <w:r>
        <w:rPr>
          <w:rFonts w:hint="eastAsia" w:ascii="宋体" w:hAnsi="宋体" w:cs="宋体"/>
          <w:color w:val="auto"/>
          <w:kern w:val="0"/>
          <w:sz w:val="24"/>
          <w:highlight w:val="none"/>
          <w:u w:val="single"/>
        </w:rPr>
        <w:t>2.投标人通过政采云平台电子投标工具制作投标文件，电子投标工具请供应商自行前往浙江政府采购网下载并安装（下载网址：https://zfcg.czt.zj.gov.cn/luban/detail?parentId=600030&amp;articleId=ZoGATzO%2FwUdM7eXAIXLAyg%3D%3D&amp;utm=luban.luban-PC-37000.979-pc-websitegroup-zhejiang-secondPage-front.1.58e482b00f1311eea8dfcb72d7241801）。</w:t>
      </w:r>
    </w:p>
    <w:p w14:paraId="637B42BC">
      <w:pPr>
        <w:shd w:val="clear"/>
        <w:spacing w:line="360" w:lineRule="auto"/>
        <w:ind w:firstLine="480" w:firstLineChars="200"/>
        <w:rPr>
          <w:rFonts w:hint="eastAsia" w:ascii="宋体" w:hAnsi="宋体" w:cs="宋体"/>
          <w:color w:val="auto"/>
          <w:kern w:val="0"/>
          <w:sz w:val="24"/>
          <w:highlight w:val="none"/>
          <w:u w:val="single"/>
        </w:rPr>
      </w:pPr>
      <w:r>
        <w:rPr>
          <w:rFonts w:hint="eastAsia" w:ascii="宋体" w:hAnsi="宋体" w:cs="宋体"/>
          <w:color w:val="auto"/>
          <w:kern w:val="0"/>
          <w:sz w:val="24"/>
          <w:highlight w:val="none"/>
          <w:u w:val="single"/>
        </w:rPr>
        <w:t>3.投标人应在开标前完成CA数字证书办理（办理流程详见https://zfcg.czt.zj.gov.cn/luban/detail?parentId=600030&amp;articleId=8usMobfHBXp2GJnjOIZ0EA%3D%3D&amp;utm=luban.luban-PC-37000.979-pc-websitegroup-zhejiang-secondPage-front.3.b52770000f1311eeb3d92762a180ef93，完成CA数字证书办理预计一周左右，请各投标人自行把握时间）。</w:t>
      </w:r>
    </w:p>
    <w:p w14:paraId="0ABC138C">
      <w:pPr>
        <w:shd w:val="clear"/>
        <w:spacing w:line="360" w:lineRule="auto"/>
        <w:ind w:firstLine="480" w:firstLineChars="200"/>
        <w:rPr>
          <w:rFonts w:hint="eastAsia" w:ascii="宋体" w:hAnsi="宋体" w:cs="宋体"/>
          <w:color w:val="auto"/>
          <w:kern w:val="0"/>
          <w:sz w:val="24"/>
          <w:highlight w:val="none"/>
          <w:u w:val="single"/>
        </w:rPr>
      </w:pPr>
      <w:r>
        <w:rPr>
          <w:rFonts w:hint="eastAsia" w:ascii="宋体" w:hAnsi="宋体" w:cs="宋体"/>
          <w:color w:val="auto"/>
          <w:kern w:val="0"/>
          <w:sz w:val="24"/>
          <w:highlight w:val="none"/>
          <w:u w:val="single"/>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r>
        <w:rPr>
          <w:rFonts w:hint="eastAsia" w:ascii="宋体" w:hAnsi="宋体" w:cs="宋体"/>
          <w:color w:val="auto"/>
          <w:kern w:val="0"/>
          <w:sz w:val="24"/>
          <w:highlight w:val="none"/>
          <w:u w:val="single"/>
          <w:lang w:val="en-GB"/>
        </w:rPr>
        <w:t>在开标后规定的投标有效期内，投标人不能撤销投标文件。</w:t>
      </w:r>
    </w:p>
    <w:p w14:paraId="6C468EE4">
      <w:pPr>
        <w:shd w:val="clear"/>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5.投标文件的组成、份数、密封、效力</w:t>
      </w:r>
    </w:p>
    <w:p w14:paraId="69E4A109">
      <w:pPr>
        <w:shd w:val="clear"/>
        <w:spacing w:line="360" w:lineRule="auto"/>
        <w:ind w:firstLine="480" w:firstLineChars="200"/>
        <w:rPr>
          <w:rFonts w:hint="eastAsia" w:ascii="宋体" w:hAnsi="宋体" w:cs="宋体"/>
          <w:b/>
          <w:bCs/>
          <w:color w:val="auto"/>
          <w:sz w:val="24"/>
          <w:highlight w:val="none"/>
        </w:rPr>
      </w:pPr>
      <w:r>
        <w:rPr>
          <w:rFonts w:hint="eastAsia" w:ascii="宋体" w:hAnsi="宋体" w:cs="宋体"/>
          <w:color w:val="auto"/>
          <w:sz w:val="24"/>
          <w:highlight w:val="none"/>
        </w:rPr>
        <w:t>本项目实行电子投标，供应商应准备电子投标文件。</w:t>
      </w:r>
      <w:r>
        <w:rPr>
          <w:rFonts w:hint="eastAsia" w:ascii="宋体" w:hAnsi="宋体" w:cs="宋体"/>
          <w:b/>
          <w:bCs/>
          <w:color w:val="auto"/>
          <w:sz w:val="24"/>
          <w:highlight w:val="none"/>
        </w:rPr>
        <w:t>还可以提供以介质（U盘）存储的数据电文形式、纸质备份投标文件。</w:t>
      </w:r>
    </w:p>
    <w:p w14:paraId="0302B8CE">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5.1电子投标文件，按政采云平台项目采购--电子招投标操作指南及本招标文件要求编制。</w:t>
      </w:r>
    </w:p>
    <w:p w14:paraId="1A7864D8">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5.2</w:t>
      </w:r>
      <w:bookmarkStart w:id="1" w:name="_Hlk34638143"/>
      <w:r>
        <w:rPr>
          <w:rFonts w:hint="eastAsia" w:ascii="宋体" w:hAnsi="宋体" w:cs="宋体"/>
          <w:color w:val="auto"/>
          <w:sz w:val="24"/>
          <w:highlight w:val="none"/>
        </w:rPr>
        <w:t>纸质</w:t>
      </w:r>
      <w:bookmarkEnd w:id="1"/>
      <w:r>
        <w:rPr>
          <w:rFonts w:hint="eastAsia" w:ascii="宋体" w:hAnsi="宋体" w:cs="宋体"/>
          <w:color w:val="auto"/>
          <w:sz w:val="24"/>
          <w:highlight w:val="none"/>
        </w:rPr>
        <w:t>备份投标文件以纸质文件的形式编制，按资格证明文件、商务技术文件、报价文件三部分分别编制并单独装订成册，</w:t>
      </w:r>
      <w:r>
        <w:rPr>
          <w:rFonts w:hint="eastAsia" w:ascii="宋体" w:hAnsi="宋体" w:cs="宋体"/>
          <w:b/>
          <w:bCs/>
          <w:color w:val="auto"/>
          <w:sz w:val="24"/>
          <w:highlight w:val="none"/>
        </w:rPr>
        <w:t>数量均为2份（一正一副）</w:t>
      </w:r>
      <w:r>
        <w:rPr>
          <w:rFonts w:hint="eastAsia" w:ascii="宋体" w:hAnsi="宋体" w:cs="宋体"/>
          <w:color w:val="auto"/>
          <w:sz w:val="24"/>
          <w:highlight w:val="none"/>
        </w:rPr>
        <w:t>。资格证明文件、商务技术文件、报价文件三部分须分别密封封装，</w:t>
      </w:r>
      <w:r>
        <w:rPr>
          <w:rFonts w:hint="eastAsia" w:ascii="宋体" w:hAnsi="宋体" w:cs="宋体"/>
          <w:color w:val="auto"/>
          <w:sz w:val="24"/>
          <w:highlight w:val="none"/>
          <w:u w:val="single"/>
        </w:rPr>
        <w:t>资格证明文件、商务技术文件、报价文件三部分未分别密封的投标文件将为无效。</w:t>
      </w:r>
    </w:p>
    <w:p w14:paraId="17C17A2E">
      <w:pPr>
        <w:shd w:val="clear"/>
        <w:spacing w:line="360" w:lineRule="auto"/>
        <w:ind w:firstLine="480" w:firstLineChars="200"/>
        <w:rPr>
          <w:rFonts w:hint="eastAsia" w:ascii="宋体" w:hAnsi="宋体" w:cs="宋体"/>
          <w:color w:val="auto"/>
          <w:sz w:val="24"/>
          <w:highlight w:val="none"/>
          <w:u w:val="single"/>
        </w:rPr>
      </w:pPr>
      <w:bookmarkStart w:id="2" w:name="_Hlk34639647"/>
      <w:r>
        <w:rPr>
          <w:rFonts w:hint="eastAsia" w:ascii="宋体" w:hAnsi="宋体" w:cs="宋体"/>
          <w:color w:val="auto"/>
          <w:sz w:val="24"/>
          <w:highlight w:val="none"/>
        </w:rPr>
        <w:t>5.3</w:t>
      </w:r>
      <w:r>
        <w:rPr>
          <w:rFonts w:hint="eastAsia" w:ascii="宋体" w:hAnsi="宋体" w:cs="宋体"/>
          <w:color w:val="auto"/>
          <w:sz w:val="24"/>
          <w:highlight w:val="none"/>
          <w:u w:val="single"/>
        </w:rPr>
        <w:t>投标供应商在“政府采购云平台”完成“电子加密投标文件”的上传递交后，还可以在投标截止时间前递交以介质（U盘）存储的数据电文形式和纸质形式的“备份投标文件”，“备份投标文件”应当密封包装并在包装上标注投标项目名称、投标单位名称并加盖公章。以介质（U盘）存储的数据电文形式和纸质形式的“备份投标文件”需分别密封，可采用以下两种方式其中一种送达（逾期送达或未密封将被拒收）：</w:t>
      </w:r>
    </w:p>
    <w:p w14:paraId="7478FAAB">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①在投标截止时间前送交到开标地点；</w:t>
      </w:r>
    </w:p>
    <w:p w14:paraId="603568A8">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②采用邮寄方式（包裹外包装上请注明单位、项目名称、联系电话等信息，以便代理机构作接收登记工作），邮寄接收截止时间为投标截止时间前一个工作日下午16：00整（邮寄地址：浙江五石中正工程咨询有限公司（浙江省台州市椒江区东环大道576号二楼，联系人：金老师，电话：0576-88781913。））。</w:t>
      </w:r>
    </w:p>
    <w:p w14:paraId="7BFCDCA7">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bookmarkEnd w:id="2"/>
    <w:p w14:paraId="2EA9FAE4">
      <w:pPr>
        <w:shd w:val="clea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u w:val="single"/>
        </w:rPr>
        <w:t>5.5投标文件启用顺序和效力：投标文件的启用，按先后顺位分别为电子投标文件、以介质（U盘）存储的数据电文形式的备份投标文件。</w:t>
      </w:r>
    </w:p>
    <w:p w14:paraId="4A0AB8FF">
      <w:pPr>
        <w:shd w:val="clea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u w:val="single"/>
        </w:rPr>
        <w:t>5.6▲未传输递交电子投标文件的，投标无效。</w:t>
      </w:r>
    </w:p>
    <w:p w14:paraId="1867E302">
      <w:pPr>
        <w:shd w:val="clear"/>
        <w:spacing w:line="360" w:lineRule="auto"/>
        <w:ind w:firstLine="482" w:firstLineChars="200"/>
        <w:rPr>
          <w:rFonts w:hint="eastAsia" w:ascii="宋体" w:hAnsi="宋体" w:cs="宋体"/>
          <w:color w:val="auto"/>
          <w:sz w:val="24"/>
          <w:szCs w:val="32"/>
          <w:highlight w:val="none"/>
        </w:rPr>
      </w:pPr>
      <w:r>
        <w:rPr>
          <w:rFonts w:hint="eastAsia" w:ascii="宋体" w:hAnsi="宋体" w:cs="宋体"/>
          <w:b/>
          <w:bCs/>
          <w:color w:val="auto"/>
          <w:sz w:val="24"/>
          <w:szCs w:val="32"/>
          <w:highlight w:val="none"/>
        </w:rPr>
        <w:t>六、投标截止时间及开标时间：</w:t>
      </w:r>
      <w:r>
        <w:rPr>
          <w:rFonts w:hint="eastAsia" w:ascii="宋体" w:hAnsi="宋体" w:cs="宋体"/>
          <w:color w:val="auto"/>
          <w:sz w:val="24"/>
          <w:szCs w:val="32"/>
          <w:highlight w:val="none"/>
        </w:rPr>
        <w:t>北京时间</w:t>
      </w:r>
      <w:r>
        <w:rPr>
          <w:rFonts w:hint="eastAsia" w:ascii="宋体" w:hAnsi="宋体" w:cs="宋体"/>
          <w:color w:val="auto"/>
          <w:sz w:val="24"/>
          <w:highlight w:val="none"/>
          <w:lang w:eastAsia="zh-CN"/>
        </w:rPr>
        <w:t>2025年5月8日上午09:00</w:t>
      </w:r>
      <w:r>
        <w:rPr>
          <w:rFonts w:hint="eastAsia" w:ascii="宋体" w:hAnsi="宋体" w:cs="宋体"/>
          <w:color w:val="auto"/>
          <w:sz w:val="24"/>
          <w:highlight w:val="none"/>
        </w:rPr>
        <w:t>整</w:t>
      </w:r>
    </w:p>
    <w:p w14:paraId="647C8B6E">
      <w:pPr>
        <w:shd w:val="clear"/>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cs="宋体"/>
          <w:b/>
          <w:bCs/>
          <w:color w:val="auto"/>
          <w:sz w:val="24"/>
          <w:szCs w:val="32"/>
          <w:highlight w:val="none"/>
        </w:rPr>
        <w:t>七、开标地址：</w:t>
      </w:r>
      <w:r>
        <w:rPr>
          <w:rFonts w:hint="eastAsia" w:ascii="宋体" w:hAnsi="宋体" w:cs="宋体"/>
          <w:color w:val="auto"/>
          <w:sz w:val="24"/>
          <w:szCs w:val="32"/>
          <w:highlight w:val="none"/>
        </w:rPr>
        <w:t>“政府采购云平台”线上开标/椒江区椒江区市府大道777号民泰大楼3楼一号开标室</w:t>
      </w:r>
      <w:r>
        <w:rPr>
          <w:rFonts w:hint="eastAsia" w:ascii="宋体" w:hAnsi="宋体" w:cs="宋体"/>
          <w:color w:val="auto"/>
          <w:sz w:val="24"/>
          <w:szCs w:val="32"/>
          <w:highlight w:val="none"/>
          <w:lang w:val="en-US" w:eastAsia="zh-CN"/>
        </w:rPr>
        <w:t>A</w:t>
      </w:r>
      <w:r>
        <w:rPr>
          <w:rFonts w:hint="eastAsia" w:ascii="宋体" w:hAnsi="宋体" w:cs="宋体"/>
          <w:color w:val="auto"/>
          <w:sz w:val="24"/>
          <w:szCs w:val="32"/>
          <w:highlight w:val="none"/>
          <w:lang w:eastAsia="zh-CN"/>
        </w:rPr>
        <w:t>场地</w:t>
      </w:r>
    </w:p>
    <w:p w14:paraId="18FDF4A6">
      <w:pPr>
        <w:shd w:val="clear"/>
        <w:spacing w:line="360" w:lineRule="auto"/>
        <w:ind w:firstLine="482" w:firstLineChars="200"/>
        <w:outlineLvl w:val="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八、相关注意事项：</w:t>
      </w:r>
    </w:p>
    <w:p w14:paraId="619F372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供应商如对招标文件有异议应按规定的时间提出，逾期提出的，采购组织机构可不予受理、答复。</w:t>
      </w:r>
    </w:p>
    <w:p w14:paraId="3414C65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highlight w:val="none"/>
        </w:rPr>
        <w:t>潜在供应商认为采购文件使自己的权益受到损害的，可以在依法获取采购文件之日或采购文件公告期限届满之日（公告期限届满后获取采购文件的，以公告期限届满之日为准）起7个工作日内且应当在采购响应截止时间之前，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hAnsi="宋体" w:cs="宋体"/>
          <w:color w:val="auto"/>
          <w:sz w:val="24"/>
          <w:szCs w:val="32"/>
          <w:highlight w:val="none"/>
        </w:rPr>
        <w:t>。</w:t>
      </w:r>
    </w:p>
    <w:p w14:paraId="1C0AB1C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2.根据财库[2016]125号《关于在政府采购活动中查询及使用信用记录有关问题的通知》要求，采购代理机构会对供应商信用记录进行查询并甄别。</w:t>
      </w:r>
    </w:p>
    <w:p w14:paraId="615310E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1）信用信息查询的截止时点：开标后评标前；</w:t>
      </w:r>
    </w:p>
    <w:p w14:paraId="4ABB960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2）查询渠道：“信用中国”（</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"qq://txfile/" </w:instrText>
      </w:r>
      <w:r>
        <w:rPr>
          <w:rFonts w:hint="eastAsia" w:ascii="宋体" w:hAnsi="宋体" w:cs="宋体"/>
          <w:color w:val="auto"/>
          <w:highlight w:val="none"/>
        </w:rPr>
        <w:fldChar w:fldCharType="separate"/>
      </w:r>
      <w:r>
        <w:rPr>
          <w:rFonts w:hint="eastAsia" w:ascii="宋体" w:hAnsi="宋体" w:cs="宋体"/>
          <w:color w:val="auto"/>
          <w:sz w:val="24"/>
          <w:szCs w:val="32"/>
          <w:highlight w:val="none"/>
        </w:rPr>
        <w:t>www.creditchina.gov.cn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）、“中国政府采购网”（</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"qq://txfile/" </w:instrText>
      </w:r>
      <w:r>
        <w:rPr>
          <w:rFonts w:hint="eastAsia" w:ascii="宋体" w:hAnsi="宋体" w:cs="宋体"/>
          <w:color w:val="auto"/>
          <w:highlight w:val="none"/>
        </w:rPr>
        <w:fldChar w:fldCharType="separate"/>
      </w:r>
      <w:r>
        <w:rPr>
          <w:rFonts w:hint="eastAsia" w:ascii="宋体" w:hAnsi="宋体" w:cs="宋体"/>
          <w:color w:val="auto"/>
          <w:sz w:val="24"/>
          <w:szCs w:val="32"/>
          <w:highlight w:val="none"/>
        </w:rPr>
        <w:t>www.ccgp.gov.cn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）、“浙江政府采购网”（zfcg.czt.zj.gov.cn）；</w:t>
      </w:r>
    </w:p>
    <w:p w14:paraId="197761E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3）信用信息查询记录和证据留存具体方式：采购代理机构经办人将查询网页打印与其他项目相关文件文件一并保存；</w:t>
      </w:r>
    </w:p>
    <w:p w14:paraId="13F3F98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4）信用信息的使用规则：投标人存在不良信用记录的，其投标将被作为无效投标被拒绝。</w:t>
      </w:r>
    </w:p>
    <w:p w14:paraId="11B9116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3.不良信用记录指：被列入失信被执行人、重大税收违法失信主体、政府采购严重违法失信行为记录名单或浙江政府采购网曝光台中尚在行政处罚期内的。</w:t>
      </w:r>
    </w:p>
    <w:p w14:paraId="03DE6AD4">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4.开标时间后30分钟内，供应商须登录“政采云”平台，用“项目采购-开标评标”功能解密投标文件，投标人未按时解密或解密失败的，其上传的电子投标文件自动失效。电脑及CA解密设备自备。</w:t>
      </w:r>
    </w:p>
    <w:p w14:paraId="06B4ED88">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九、联系方式：</w:t>
      </w:r>
    </w:p>
    <w:p w14:paraId="66093BD1">
      <w:pPr>
        <w:shd w:val="clear"/>
        <w:spacing w:line="360" w:lineRule="auto"/>
        <w:ind w:firstLine="482" w:firstLineChars="200"/>
        <w:rPr>
          <w:rFonts w:hint="eastAsia" w:ascii="宋体" w:hAnsi="宋体" w:cs="宋体"/>
          <w:color w:val="auto"/>
          <w:sz w:val="24"/>
          <w:szCs w:val="32"/>
          <w:highlight w:val="none"/>
        </w:rPr>
      </w:pPr>
      <w:r>
        <w:rPr>
          <w:rFonts w:hint="eastAsia" w:ascii="宋体" w:hAnsi="宋体" w:cs="宋体"/>
          <w:b/>
          <w:bCs/>
          <w:color w:val="auto"/>
          <w:sz w:val="24"/>
          <w:szCs w:val="32"/>
          <w:highlight w:val="none"/>
        </w:rPr>
        <w:t>1、采购代理机构：</w:t>
      </w:r>
      <w:r>
        <w:rPr>
          <w:rFonts w:hint="eastAsia" w:ascii="宋体" w:hAnsi="宋体" w:cs="宋体"/>
          <w:color w:val="auto"/>
          <w:sz w:val="24"/>
          <w:szCs w:val="32"/>
          <w:highlight w:val="none"/>
        </w:rPr>
        <w:t>浙江五石中正工程咨询有限公司；</w:t>
      </w:r>
    </w:p>
    <w:p w14:paraId="0B48B0B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项目负责人：徐名峰、高琳；联系电话：15088711407；</w:t>
      </w:r>
    </w:p>
    <w:p w14:paraId="7EB05CF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质疑接收人：徐少媚；联系电话：0576-88785265；传真：</w:t>
      </w:r>
      <w:r>
        <w:rPr>
          <w:rFonts w:hint="eastAsia" w:ascii="宋体" w:hAnsi="宋体" w:cs="宋体"/>
          <w:color w:val="auto"/>
          <w:sz w:val="24"/>
          <w:szCs w:val="32"/>
          <w:highlight w:val="none"/>
          <w:lang w:val="en-US" w:eastAsia="zh-CN"/>
        </w:rPr>
        <w:t>/</w:t>
      </w:r>
      <w:r>
        <w:rPr>
          <w:rFonts w:hint="eastAsia" w:ascii="宋体" w:hAnsi="宋体" w:cs="宋体"/>
          <w:color w:val="auto"/>
          <w:sz w:val="24"/>
          <w:szCs w:val="32"/>
          <w:highlight w:val="none"/>
        </w:rPr>
        <w:t>；</w:t>
      </w:r>
    </w:p>
    <w:p w14:paraId="4EEBF6B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地点：杭州市拱墅区白石路318号中国（杭州）人力资源服务产业园北楼512室；</w:t>
      </w:r>
    </w:p>
    <w:p w14:paraId="4D652CFD">
      <w:pPr>
        <w:shd w:val="clear"/>
        <w:spacing w:line="360" w:lineRule="auto"/>
        <w:ind w:firstLine="482" w:firstLineChars="200"/>
        <w:rPr>
          <w:rFonts w:hint="eastAsia" w:ascii="宋体" w:hAnsi="宋体" w:cs="宋体"/>
          <w:color w:val="auto"/>
          <w:sz w:val="24"/>
          <w:szCs w:val="32"/>
          <w:highlight w:val="none"/>
        </w:rPr>
      </w:pPr>
      <w:r>
        <w:rPr>
          <w:rFonts w:hint="eastAsia" w:ascii="宋体" w:hAnsi="宋体" w:cs="宋体"/>
          <w:b/>
          <w:bCs/>
          <w:color w:val="auto"/>
          <w:sz w:val="24"/>
          <w:szCs w:val="32"/>
          <w:highlight w:val="none"/>
        </w:rPr>
        <w:t>2、采购人：</w:t>
      </w:r>
      <w:r>
        <w:rPr>
          <w:rFonts w:hint="eastAsia" w:ascii="宋体" w:hAnsi="宋体" w:cs="宋体"/>
          <w:color w:val="auto"/>
          <w:sz w:val="24"/>
          <w:szCs w:val="32"/>
          <w:highlight w:val="none"/>
        </w:rPr>
        <w:t>台州恩泽医疗中心（集团）；</w:t>
      </w:r>
    </w:p>
    <w:p w14:paraId="3D7BC39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项目联系人：任洁；联系电话：0576-85190165；</w:t>
      </w:r>
    </w:p>
    <w:p w14:paraId="500A93D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质疑接受人：泮凡；联系电话：0576-85190165；</w:t>
      </w:r>
    </w:p>
    <w:p w14:paraId="40D5F30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地址：浙江省台州市临海市西门街150号。</w:t>
      </w:r>
    </w:p>
    <w:p w14:paraId="6AD9F4B0">
      <w:pPr>
        <w:shd w:val="clear"/>
        <w:spacing w:line="360" w:lineRule="auto"/>
        <w:ind w:firstLine="482" w:firstLineChars="200"/>
        <w:rPr>
          <w:rFonts w:hint="eastAsia" w:ascii="宋体" w:hAnsi="宋体" w:cs="宋体"/>
          <w:color w:val="auto"/>
          <w:sz w:val="24"/>
          <w:szCs w:val="32"/>
          <w:highlight w:val="none"/>
        </w:rPr>
      </w:pPr>
      <w:r>
        <w:rPr>
          <w:rFonts w:hint="eastAsia" w:ascii="宋体" w:hAnsi="宋体" w:cs="宋体"/>
          <w:b/>
          <w:bCs/>
          <w:color w:val="auto"/>
          <w:sz w:val="24"/>
          <w:szCs w:val="32"/>
          <w:highlight w:val="none"/>
        </w:rPr>
        <w:t>3、同级政府采购监管管理部门：</w:t>
      </w:r>
      <w:r>
        <w:rPr>
          <w:rFonts w:hint="eastAsia" w:ascii="宋体" w:hAnsi="宋体" w:cs="宋体"/>
          <w:color w:val="auto"/>
          <w:sz w:val="24"/>
          <w:szCs w:val="32"/>
          <w:highlight w:val="none"/>
        </w:rPr>
        <w:t>台州市财政局政府采购监督管理办公室；</w:t>
      </w:r>
    </w:p>
    <w:p w14:paraId="468D024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联系人：陈工、李工；监督投诉电话：0576-88206705、0576-88206731；</w:t>
      </w:r>
    </w:p>
    <w:p w14:paraId="2A9CCE22">
      <w:pPr>
        <w:shd w:val="clear"/>
        <w:spacing w:line="360" w:lineRule="auto"/>
        <w:ind w:firstLine="480" w:firstLineChars="200"/>
        <w:rPr>
          <w:rFonts w:hint="eastAsia" w:ascii="宋体" w:hAnsi="宋体" w:cs="宋体"/>
          <w:color w:val="auto"/>
          <w:highlight w:val="none"/>
        </w:rPr>
      </w:pPr>
      <w:r>
        <w:rPr>
          <w:rFonts w:hint="eastAsia" w:ascii="宋体" w:hAnsi="宋体" w:cs="宋体"/>
          <w:color w:val="auto"/>
          <w:sz w:val="24"/>
          <w:szCs w:val="32"/>
          <w:highlight w:val="none"/>
        </w:rPr>
        <w:t>地址：台州市椒江区纬一路66号天元大厦。</w:t>
      </w:r>
    </w:p>
    <w:p w14:paraId="5C9CC99D">
      <w:pPr>
        <w:shd w:val="clear"/>
        <w:spacing w:line="360" w:lineRule="auto"/>
        <w:ind w:firstLine="482" w:firstLineChars="200"/>
        <w:rPr>
          <w:rFonts w:hint="eastAsia" w:ascii="宋体" w:hAnsi="宋体" w:cs="宋体"/>
          <w:color w:val="auto"/>
          <w:sz w:val="24"/>
          <w:szCs w:val="32"/>
          <w:highlight w:val="none"/>
        </w:rPr>
      </w:pPr>
      <w:r>
        <w:rPr>
          <w:rFonts w:hint="eastAsia" w:ascii="宋体" w:hAnsi="宋体" w:cs="宋体"/>
          <w:b/>
          <w:bCs/>
          <w:color w:val="auto"/>
          <w:sz w:val="24"/>
          <w:szCs w:val="32"/>
          <w:highlight w:val="none"/>
        </w:rPr>
        <w:t>4、其余事项：</w:t>
      </w:r>
      <w:r>
        <w:rPr>
          <w:rFonts w:hint="eastAsia" w:ascii="宋体" w:hAnsi="宋体" w:cs="宋体"/>
          <w:color w:val="auto"/>
          <w:sz w:val="24"/>
          <w:szCs w:val="32"/>
          <w:highlight w:val="none"/>
        </w:rPr>
        <w:t>中标供应商如有融资需求，可使用以下银行的政采贷服务。</w:t>
      </w:r>
    </w:p>
    <w:tbl>
      <w:tblPr>
        <w:tblStyle w:val="29"/>
        <w:tblW w:w="9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52"/>
        <w:gridCol w:w="1733"/>
        <w:gridCol w:w="1361"/>
        <w:gridCol w:w="3151"/>
      </w:tblGrid>
      <w:tr w14:paraId="1F6A3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05EF6F05">
            <w:pPr>
              <w:shd w:val="clear"/>
              <w:jc w:val="center"/>
              <w:rPr>
                <w:rFonts w:hint="eastAsia" w:ascii="宋体" w:hAnsi="宋体" w:cs="宋体"/>
                <w:color w:val="auto"/>
                <w:sz w:val="24"/>
                <w:highlight w:val="none"/>
              </w:rPr>
            </w:pPr>
            <w:r>
              <w:rPr>
                <w:rFonts w:hint="eastAsia" w:ascii="宋体" w:hAnsi="宋体" w:cs="宋体"/>
                <w:color w:val="auto"/>
                <w:sz w:val="24"/>
                <w:highlight w:val="none"/>
              </w:rPr>
              <w:t>银行</w:t>
            </w:r>
          </w:p>
        </w:tc>
        <w:tc>
          <w:tcPr>
            <w:tcW w:w="1733" w:type="dxa"/>
            <w:vAlign w:val="center"/>
          </w:tcPr>
          <w:p w14:paraId="4D82C445">
            <w:pPr>
              <w:shd w:val="clear"/>
              <w:jc w:val="center"/>
              <w:rPr>
                <w:rFonts w:hint="eastAsia" w:ascii="宋体" w:hAnsi="宋体" w:cs="宋体"/>
                <w:color w:val="auto"/>
                <w:sz w:val="24"/>
                <w:highlight w:val="none"/>
              </w:rPr>
            </w:pPr>
            <w:r>
              <w:rPr>
                <w:rFonts w:hint="eastAsia" w:ascii="宋体" w:hAnsi="宋体" w:cs="宋体"/>
                <w:color w:val="auto"/>
                <w:sz w:val="24"/>
                <w:highlight w:val="none"/>
              </w:rPr>
              <w:t>贷款年利率</w:t>
            </w:r>
          </w:p>
        </w:tc>
        <w:tc>
          <w:tcPr>
            <w:tcW w:w="1361" w:type="dxa"/>
            <w:vAlign w:val="center"/>
          </w:tcPr>
          <w:p w14:paraId="2CB06069">
            <w:pPr>
              <w:shd w:val="clear"/>
              <w:jc w:val="center"/>
              <w:rPr>
                <w:rFonts w:hint="eastAsia" w:ascii="宋体" w:hAnsi="宋体" w:cs="宋体"/>
                <w:color w:val="auto"/>
                <w:sz w:val="24"/>
                <w:highlight w:val="none"/>
              </w:rPr>
            </w:pPr>
            <w:r>
              <w:rPr>
                <w:rFonts w:hint="eastAsia" w:ascii="宋体" w:hAnsi="宋体" w:cs="宋体"/>
                <w:color w:val="auto"/>
                <w:sz w:val="24"/>
                <w:highlight w:val="none"/>
              </w:rPr>
              <w:t>联系人</w:t>
            </w:r>
          </w:p>
        </w:tc>
        <w:tc>
          <w:tcPr>
            <w:tcW w:w="3151" w:type="dxa"/>
            <w:vAlign w:val="center"/>
          </w:tcPr>
          <w:p w14:paraId="056F71B7">
            <w:pPr>
              <w:shd w:val="clear"/>
              <w:jc w:val="center"/>
              <w:rPr>
                <w:rFonts w:hint="eastAsia" w:ascii="宋体" w:hAnsi="宋体" w:cs="宋体"/>
                <w:color w:val="auto"/>
                <w:sz w:val="24"/>
                <w:highlight w:val="none"/>
              </w:rPr>
            </w:pPr>
            <w:r>
              <w:rPr>
                <w:rFonts w:hint="eastAsia" w:ascii="宋体" w:hAnsi="宋体" w:cs="宋体"/>
                <w:color w:val="auto"/>
                <w:sz w:val="24"/>
                <w:highlight w:val="none"/>
              </w:rPr>
              <w:t>联系电话</w:t>
            </w:r>
          </w:p>
        </w:tc>
      </w:tr>
      <w:tr w14:paraId="77DF8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49C9A7F7">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中国工商银行</w:t>
            </w:r>
          </w:p>
        </w:tc>
        <w:tc>
          <w:tcPr>
            <w:tcW w:w="1733" w:type="dxa"/>
            <w:vAlign w:val="center"/>
          </w:tcPr>
          <w:p w14:paraId="583D8DF7">
            <w:pPr>
              <w:shd w:val="clear"/>
              <w:jc w:val="center"/>
              <w:rPr>
                <w:rFonts w:hint="eastAsia" w:ascii="宋体" w:hAnsi="宋体" w:cs="宋体"/>
                <w:color w:val="auto"/>
                <w:sz w:val="24"/>
                <w:highlight w:val="none"/>
              </w:rPr>
            </w:pPr>
            <w:r>
              <w:rPr>
                <w:rFonts w:hint="eastAsia" w:ascii="宋体" w:hAnsi="宋体" w:cs="宋体"/>
                <w:color w:val="auto"/>
                <w:sz w:val="24"/>
                <w:highlight w:val="none"/>
              </w:rPr>
              <w:t>3.8%起</w:t>
            </w:r>
          </w:p>
        </w:tc>
        <w:tc>
          <w:tcPr>
            <w:tcW w:w="1361" w:type="dxa"/>
            <w:vAlign w:val="center"/>
          </w:tcPr>
          <w:p w14:paraId="4C7C1166">
            <w:pPr>
              <w:shd w:val="clear"/>
              <w:jc w:val="center"/>
              <w:rPr>
                <w:rFonts w:hint="eastAsia" w:ascii="宋体" w:hAnsi="宋体" w:cs="宋体"/>
                <w:color w:val="auto"/>
                <w:sz w:val="24"/>
                <w:highlight w:val="none"/>
              </w:rPr>
            </w:pPr>
            <w:r>
              <w:rPr>
                <w:rFonts w:hint="eastAsia" w:ascii="宋体" w:hAnsi="宋体" w:cs="宋体"/>
                <w:color w:val="auto"/>
                <w:sz w:val="24"/>
                <w:highlight w:val="none"/>
              </w:rPr>
              <w:t>卢嘉诚</w:t>
            </w:r>
          </w:p>
        </w:tc>
        <w:tc>
          <w:tcPr>
            <w:tcW w:w="3151" w:type="dxa"/>
            <w:vAlign w:val="center"/>
          </w:tcPr>
          <w:p w14:paraId="4EB459A2">
            <w:pPr>
              <w:shd w:val="clear"/>
              <w:rPr>
                <w:rFonts w:hint="eastAsia" w:ascii="宋体" w:hAnsi="宋体" w:cs="宋体"/>
                <w:color w:val="auto"/>
                <w:sz w:val="24"/>
                <w:highlight w:val="none"/>
              </w:rPr>
            </w:pPr>
            <w:r>
              <w:rPr>
                <w:rFonts w:hint="eastAsia" w:ascii="宋体" w:hAnsi="宋体" w:cs="宋体"/>
                <w:color w:val="auto"/>
                <w:sz w:val="24"/>
                <w:highlight w:val="none"/>
              </w:rPr>
              <w:t>13867658508</w:t>
            </w:r>
          </w:p>
        </w:tc>
      </w:tr>
      <w:tr w14:paraId="5E27D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55001E76">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中国农业银行</w:t>
            </w:r>
          </w:p>
        </w:tc>
        <w:tc>
          <w:tcPr>
            <w:tcW w:w="1733" w:type="dxa"/>
            <w:vAlign w:val="center"/>
          </w:tcPr>
          <w:p w14:paraId="009D6D83">
            <w:pPr>
              <w:shd w:val="clear"/>
              <w:jc w:val="center"/>
              <w:rPr>
                <w:rFonts w:hint="eastAsia" w:ascii="宋体" w:hAnsi="宋体" w:cs="宋体"/>
                <w:color w:val="auto"/>
                <w:sz w:val="24"/>
                <w:highlight w:val="none"/>
              </w:rPr>
            </w:pPr>
            <w:r>
              <w:rPr>
                <w:rFonts w:hint="eastAsia" w:ascii="宋体" w:hAnsi="宋体" w:cs="宋体"/>
                <w:color w:val="auto"/>
                <w:sz w:val="24"/>
                <w:highlight w:val="none"/>
              </w:rPr>
              <w:t>3.8%起</w:t>
            </w:r>
          </w:p>
        </w:tc>
        <w:tc>
          <w:tcPr>
            <w:tcW w:w="1361" w:type="dxa"/>
            <w:vAlign w:val="center"/>
          </w:tcPr>
          <w:p w14:paraId="327EE97F">
            <w:pPr>
              <w:shd w:val="clear"/>
              <w:jc w:val="center"/>
              <w:rPr>
                <w:rFonts w:hint="eastAsia" w:ascii="宋体" w:hAnsi="宋体" w:cs="宋体"/>
                <w:color w:val="auto"/>
                <w:sz w:val="24"/>
                <w:highlight w:val="none"/>
              </w:rPr>
            </w:pPr>
            <w:r>
              <w:rPr>
                <w:rFonts w:hint="eastAsia" w:ascii="宋体" w:hAnsi="宋体" w:cs="宋体"/>
                <w:color w:val="auto"/>
                <w:sz w:val="24"/>
                <w:highlight w:val="none"/>
              </w:rPr>
              <w:t>龚盛</w:t>
            </w:r>
          </w:p>
        </w:tc>
        <w:tc>
          <w:tcPr>
            <w:tcW w:w="3151" w:type="dxa"/>
            <w:vAlign w:val="center"/>
          </w:tcPr>
          <w:p w14:paraId="49D07BBD">
            <w:pPr>
              <w:shd w:val="clear"/>
              <w:rPr>
                <w:rFonts w:hint="eastAsia" w:ascii="宋体" w:hAnsi="宋体" w:cs="宋体"/>
                <w:color w:val="auto"/>
                <w:sz w:val="24"/>
                <w:highlight w:val="none"/>
              </w:rPr>
            </w:pPr>
            <w:r>
              <w:rPr>
                <w:rFonts w:hint="eastAsia" w:ascii="宋体" w:hAnsi="宋体" w:cs="宋体"/>
                <w:color w:val="auto"/>
                <w:sz w:val="24"/>
                <w:highlight w:val="none"/>
              </w:rPr>
              <w:t>15858682216</w:t>
            </w:r>
          </w:p>
        </w:tc>
      </w:tr>
      <w:tr w14:paraId="6E957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393249AD">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中国建设银行</w:t>
            </w:r>
          </w:p>
        </w:tc>
        <w:tc>
          <w:tcPr>
            <w:tcW w:w="1733" w:type="dxa"/>
            <w:vAlign w:val="center"/>
          </w:tcPr>
          <w:p w14:paraId="59413E59">
            <w:pPr>
              <w:shd w:val="clear"/>
              <w:jc w:val="center"/>
              <w:rPr>
                <w:rFonts w:hint="eastAsia" w:ascii="宋体" w:hAnsi="宋体" w:cs="宋体"/>
                <w:color w:val="auto"/>
                <w:sz w:val="24"/>
                <w:highlight w:val="none"/>
              </w:rPr>
            </w:pPr>
            <w:r>
              <w:rPr>
                <w:rFonts w:hint="eastAsia" w:ascii="宋体" w:hAnsi="宋体" w:cs="宋体"/>
                <w:color w:val="auto"/>
                <w:sz w:val="24"/>
                <w:highlight w:val="none"/>
              </w:rPr>
              <w:t>3.8%起</w:t>
            </w:r>
          </w:p>
        </w:tc>
        <w:tc>
          <w:tcPr>
            <w:tcW w:w="1361" w:type="dxa"/>
            <w:vAlign w:val="center"/>
          </w:tcPr>
          <w:p w14:paraId="3701C7A1">
            <w:pPr>
              <w:shd w:val="clear"/>
              <w:jc w:val="center"/>
              <w:rPr>
                <w:rFonts w:hint="eastAsia" w:ascii="宋体" w:hAnsi="宋体" w:cs="宋体"/>
                <w:color w:val="auto"/>
                <w:sz w:val="24"/>
                <w:highlight w:val="none"/>
              </w:rPr>
            </w:pPr>
            <w:r>
              <w:rPr>
                <w:rFonts w:hint="eastAsia" w:ascii="宋体" w:hAnsi="宋体" w:cs="宋体"/>
                <w:color w:val="auto"/>
                <w:sz w:val="24"/>
                <w:highlight w:val="none"/>
              </w:rPr>
              <w:t>梅晶晶</w:t>
            </w:r>
          </w:p>
        </w:tc>
        <w:tc>
          <w:tcPr>
            <w:tcW w:w="3151" w:type="dxa"/>
            <w:vAlign w:val="center"/>
          </w:tcPr>
          <w:p w14:paraId="5A544986">
            <w:pPr>
              <w:shd w:val="clear"/>
              <w:rPr>
                <w:rFonts w:hint="eastAsia" w:ascii="宋体" w:hAnsi="宋体" w:cs="宋体"/>
                <w:color w:val="auto"/>
                <w:sz w:val="24"/>
                <w:highlight w:val="none"/>
              </w:rPr>
            </w:pPr>
            <w:r>
              <w:rPr>
                <w:rFonts w:hint="eastAsia" w:ascii="宋体" w:hAnsi="宋体" w:cs="宋体"/>
                <w:color w:val="auto"/>
                <w:sz w:val="24"/>
                <w:highlight w:val="none"/>
              </w:rPr>
              <w:t>88525339/13736585303</w:t>
            </w:r>
          </w:p>
        </w:tc>
      </w:tr>
      <w:tr w14:paraId="4922D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764129B3">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中国银行</w:t>
            </w:r>
          </w:p>
        </w:tc>
        <w:tc>
          <w:tcPr>
            <w:tcW w:w="1733" w:type="dxa"/>
            <w:vAlign w:val="center"/>
          </w:tcPr>
          <w:p w14:paraId="3CE9C1AC">
            <w:pPr>
              <w:shd w:val="clear"/>
              <w:jc w:val="center"/>
              <w:rPr>
                <w:rFonts w:hint="eastAsia" w:ascii="宋体" w:hAnsi="宋体" w:cs="宋体"/>
                <w:color w:val="auto"/>
                <w:sz w:val="24"/>
                <w:highlight w:val="none"/>
              </w:rPr>
            </w:pPr>
            <w:r>
              <w:rPr>
                <w:rFonts w:hint="eastAsia" w:ascii="宋体" w:hAnsi="宋体" w:cs="宋体"/>
                <w:color w:val="auto"/>
                <w:sz w:val="24"/>
                <w:highlight w:val="none"/>
              </w:rPr>
              <w:t>3.75%起</w:t>
            </w:r>
          </w:p>
        </w:tc>
        <w:tc>
          <w:tcPr>
            <w:tcW w:w="1361" w:type="dxa"/>
            <w:vAlign w:val="center"/>
          </w:tcPr>
          <w:p w14:paraId="6EB7B0E2">
            <w:pPr>
              <w:shd w:val="clear"/>
              <w:jc w:val="center"/>
              <w:rPr>
                <w:rFonts w:hint="eastAsia" w:ascii="宋体" w:hAnsi="宋体" w:cs="宋体"/>
                <w:color w:val="auto"/>
                <w:sz w:val="24"/>
                <w:highlight w:val="none"/>
              </w:rPr>
            </w:pPr>
            <w:r>
              <w:rPr>
                <w:rFonts w:hint="eastAsia" w:ascii="宋体" w:hAnsi="宋体" w:cs="宋体"/>
                <w:color w:val="auto"/>
                <w:sz w:val="24"/>
                <w:highlight w:val="none"/>
              </w:rPr>
              <w:t>王海</w:t>
            </w:r>
          </w:p>
        </w:tc>
        <w:tc>
          <w:tcPr>
            <w:tcW w:w="3151" w:type="dxa"/>
            <w:vAlign w:val="center"/>
          </w:tcPr>
          <w:p w14:paraId="1809C04C">
            <w:pPr>
              <w:shd w:val="clear"/>
              <w:rPr>
                <w:rFonts w:hint="eastAsia" w:ascii="宋体" w:hAnsi="宋体" w:cs="宋体"/>
                <w:color w:val="auto"/>
                <w:sz w:val="24"/>
                <w:highlight w:val="none"/>
              </w:rPr>
            </w:pPr>
            <w:r>
              <w:rPr>
                <w:rFonts w:hint="eastAsia" w:ascii="宋体" w:hAnsi="宋体" w:cs="宋体"/>
                <w:color w:val="auto"/>
                <w:sz w:val="24"/>
                <w:highlight w:val="none"/>
              </w:rPr>
              <w:t>13857677798</w:t>
            </w:r>
          </w:p>
        </w:tc>
      </w:tr>
      <w:tr w14:paraId="6AC53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5799C490">
            <w:pPr>
              <w:shd w:val="clear"/>
              <w:jc w:val="center"/>
              <w:rPr>
                <w:rFonts w:hint="eastAsia" w:ascii="宋体" w:hAnsi="宋体" w:cs="宋体"/>
                <w:color w:val="auto"/>
                <w:sz w:val="24"/>
                <w:highlight w:val="none"/>
              </w:rPr>
            </w:pPr>
            <w:r>
              <w:rPr>
                <w:rFonts w:hint="eastAsia" w:ascii="宋体" w:hAnsi="宋体" w:cs="宋体"/>
                <w:color w:val="auto"/>
                <w:sz w:val="24"/>
                <w:highlight w:val="none"/>
              </w:rPr>
              <w:t>浦发银行台州分行</w:t>
            </w:r>
          </w:p>
        </w:tc>
        <w:tc>
          <w:tcPr>
            <w:tcW w:w="1733" w:type="dxa"/>
            <w:vAlign w:val="center"/>
          </w:tcPr>
          <w:p w14:paraId="41169D35">
            <w:pPr>
              <w:shd w:val="clear"/>
              <w:jc w:val="center"/>
              <w:rPr>
                <w:rFonts w:hint="eastAsia" w:ascii="宋体" w:hAnsi="宋体" w:cs="宋体"/>
                <w:color w:val="auto"/>
                <w:sz w:val="24"/>
                <w:highlight w:val="none"/>
              </w:rPr>
            </w:pPr>
            <w:r>
              <w:rPr>
                <w:rFonts w:hint="eastAsia" w:ascii="宋体" w:hAnsi="宋体" w:cs="宋体"/>
                <w:color w:val="auto"/>
                <w:sz w:val="24"/>
                <w:highlight w:val="none"/>
              </w:rPr>
              <w:t>4.05%起</w:t>
            </w:r>
          </w:p>
        </w:tc>
        <w:tc>
          <w:tcPr>
            <w:tcW w:w="1361" w:type="dxa"/>
            <w:vAlign w:val="center"/>
          </w:tcPr>
          <w:p w14:paraId="1B99CC61">
            <w:pPr>
              <w:shd w:val="clear"/>
              <w:jc w:val="center"/>
              <w:rPr>
                <w:rFonts w:hint="eastAsia" w:ascii="宋体" w:hAnsi="宋体" w:cs="宋体"/>
                <w:color w:val="auto"/>
                <w:sz w:val="24"/>
                <w:highlight w:val="none"/>
              </w:rPr>
            </w:pPr>
            <w:r>
              <w:rPr>
                <w:rFonts w:hint="eastAsia" w:ascii="宋体" w:hAnsi="宋体" w:cs="宋体"/>
                <w:color w:val="auto"/>
                <w:sz w:val="24"/>
                <w:highlight w:val="none"/>
              </w:rPr>
              <w:t>王渊</w:t>
            </w:r>
          </w:p>
        </w:tc>
        <w:tc>
          <w:tcPr>
            <w:tcW w:w="3151" w:type="dxa"/>
            <w:vAlign w:val="center"/>
          </w:tcPr>
          <w:p w14:paraId="76425BB5">
            <w:pPr>
              <w:shd w:val="clear"/>
              <w:rPr>
                <w:rFonts w:hint="eastAsia" w:ascii="宋体" w:hAnsi="宋体" w:cs="宋体"/>
                <w:color w:val="auto"/>
                <w:sz w:val="24"/>
                <w:highlight w:val="none"/>
              </w:rPr>
            </w:pPr>
            <w:r>
              <w:rPr>
                <w:rFonts w:hint="eastAsia" w:ascii="宋体" w:hAnsi="宋体" w:cs="宋体"/>
                <w:color w:val="auto"/>
                <w:sz w:val="24"/>
                <w:highlight w:val="none"/>
              </w:rPr>
              <w:t>13616676319</w:t>
            </w:r>
          </w:p>
        </w:tc>
      </w:tr>
      <w:tr w14:paraId="57416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29F4DB56">
            <w:pPr>
              <w:shd w:val="clear"/>
              <w:jc w:val="center"/>
              <w:rPr>
                <w:rFonts w:hint="eastAsia" w:ascii="宋体" w:hAnsi="宋体" w:cs="宋体"/>
                <w:color w:val="auto"/>
                <w:sz w:val="24"/>
                <w:highlight w:val="none"/>
              </w:rPr>
            </w:pPr>
            <w:r>
              <w:rPr>
                <w:rFonts w:hint="eastAsia" w:ascii="宋体" w:hAnsi="宋体" w:cs="宋体"/>
                <w:color w:val="auto"/>
                <w:sz w:val="24"/>
                <w:highlight w:val="none"/>
              </w:rPr>
              <w:t>浦发银行椒江分行</w:t>
            </w:r>
          </w:p>
        </w:tc>
        <w:tc>
          <w:tcPr>
            <w:tcW w:w="1733" w:type="dxa"/>
            <w:vAlign w:val="center"/>
          </w:tcPr>
          <w:p w14:paraId="318F371A">
            <w:pPr>
              <w:shd w:val="clear"/>
              <w:jc w:val="center"/>
              <w:rPr>
                <w:rFonts w:hint="eastAsia" w:ascii="宋体" w:hAnsi="宋体" w:cs="宋体"/>
                <w:color w:val="auto"/>
                <w:sz w:val="24"/>
                <w:highlight w:val="none"/>
              </w:rPr>
            </w:pPr>
            <w:r>
              <w:rPr>
                <w:rFonts w:hint="eastAsia" w:ascii="宋体" w:hAnsi="宋体" w:cs="宋体"/>
                <w:color w:val="auto"/>
                <w:sz w:val="24"/>
                <w:highlight w:val="none"/>
              </w:rPr>
              <w:t>4.05%起</w:t>
            </w:r>
          </w:p>
        </w:tc>
        <w:tc>
          <w:tcPr>
            <w:tcW w:w="1361" w:type="dxa"/>
            <w:vAlign w:val="center"/>
          </w:tcPr>
          <w:p w14:paraId="5E41B783">
            <w:pPr>
              <w:shd w:val="clear"/>
              <w:jc w:val="center"/>
              <w:rPr>
                <w:rFonts w:hint="eastAsia" w:ascii="宋体" w:hAnsi="宋体" w:cs="宋体"/>
                <w:color w:val="auto"/>
                <w:sz w:val="24"/>
                <w:highlight w:val="none"/>
              </w:rPr>
            </w:pPr>
            <w:r>
              <w:rPr>
                <w:rFonts w:hint="eastAsia" w:ascii="宋体" w:hAnsi="宋体" w:cs="宋体"/>
                <w:color w:val="auto"/>
                <w:sz w:val="24"/>
                <w:highlight w:val="none"/>
              </w:rPr>
              <w:t>孙瑞华</w:t>
            </w:r>
          </w:p>
        </w:tc>
        <w:tc>
          <w:tcPr>
            <w:tcW w:w="3151" w:type="dxa"/>
            <w:vAlign w:val="center"/>
          </w:tcPr>
          <w:p w14:paraId="1A29F8FB">
            <w:pPr>
              <w:shd w:val="clear"/>
              <w:rPr>
                <w:rFonts w:hint="eastAsia" w:ascii="宋体" w:hAnsi="宋体" w:cs="宋体"/>
                <w:color w:val="auto"/>
                <w:sz w:val="24"/>
                <w:highlight w:val="none"/>
              </w:rPr>
            </w:pPr>
            <w:r>
              <w:rPr>
                <w:rFonts w:hint="eastAsia" w:ascii="宋体" w:hAnsi="宋体" w:cs="宋体"/>
                <w:color w:val="auto"/>
                <w:sz w:val="24"/>
                <w:highlight w:val="none"/>
              </w:rPr>
              <w:t>13857688081</w:t>
            </w:r>
          </w:p>
        </w:tc>
      </w:tr>
      <w:tr w14:paraId="5D7F7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03224F87">
            <w:pPr>
              <w:shd w:val="clear"/>
              <w:jc w:val="center"/>
              <w:rPr>
                <w:rFonts w:hint="eastAsia" w:ascii="宋体" w:hAnsi="宋体" w:cs="宋体"/>
                <w:color w:val="auto"/>
                <w:sz w:val="24"/>
                <w:highlight w:val="none"/>
              </w:rPr>
            </w:pPr>
            <w:r>
              <w:rPr>
                <w:rFonts w:hint="eastAsia" w:ascii="宋体" w:hAnsi="宋体" w:cs="宋体"/>
                <w:color w:val="auto"/>
                <w:sz w:val="24"/>
                <w:highlight w:val="none"/>
              </w:rPr>
              <w:t>交通银行台州分行</w:t>
            </w:r>
          </w:p>
        </w:tc>
        <w:tc>
          <w:tcPr>
            <w:tcW w:w="1733" w:type="dxa"/>
            <w:vAlign w:val="center"/>
          </w:tcPr>
          <w:p w14:paraId="5651A2A4">
            <w:pPr>
              <w:shd w:val="clear"/>
              <w:jc w:val="center"/>
              <w:rPr>
                <w:rFonts w:hint="eastAsia" w:ascii="宋体" w:hAnsi="宋体" w:cs="宋体"/>
                <w:color w:val="auto"/>
                <w:sz w:val="24"/>
                <w:highlight w:val="none"/>
              </w:rPr>
            </w:pPr>
            <w:r>
              <w:rPr>
                <w:rFonts w:hint="eastAsia" w:ascii="宋体" w:hAnsi="宋体" w:cs="宋体"/>
                <w:color w:val="auto"/>
                <w:sz w:val="24"/>
                <w:highlight w:val="none"/>
              </w:rPr>
              <w:t>3.75%起</w:t>
            </w:r>
          </w:p>
        </w:tc>
        <w:tc>
          <w:tcPr>
            <w:tcW w:w="1361" w:type="dxa"/>
            <w:vAlign w:val="center"/>
          </w:tcPr>
          <w:p w14:paraId="14D95B0E">
            <w:pPr>
              <w:shd w:val="clear"/>
              <w:jc w:val="center"/>
              <w:rPr>
                <w:rFonts w:hint="eastAsia" w:ascii="宋体" w:hAnsi="宋体" w:cs="宋体"/>
                <w:color w:val="auto"/>
                <w:sz w:val="24"/>
                <w:highlight w:val="none"/>
              </w:rPr>
            </w:pPr>
            <w:r>
              <w:rPr>
                <w:rFonts w:hint="eastAsia" w:ascii="宋体" w:hAnsi="宋体" w:cs="宋体"/>
                <w:color w:val="auto"/>
                <w:sz w:val="24"/>
                <w:highlight w:val="none"/>
              </w:rPr>
              <w:t>周翔宇</w:t>
            </w:r>
          </w:p>
        </w:tc>
        <w:tc>
          <w:tcPr>
            <w:tcW w:w="3151" w:type="dxa"/>
            <w:vAlign w:val="center"/>
          </w:tcPr>
          <w:p w14:paraId="7186DAA9">
            <w:pPr>
              <w:shd w:val="clear"/>
              <w:rPr>
                <w:rFonts w:hint="eastAsia" w:ascii="宋体" w:hAnsi="宋体" w:cs="宋体"/>
                <w:color w:val="auto"/>
                <w:sz w:val="24"/>
                <w:highlight w:val="none"/>
              </w:rPr>
            </w:pPr>
            <w:r>
              <w:rPr>
                <w:rFonts w:hint="eastAsia" w:ascii="宋体" w:hAnsi="宋体" w:cs="宋体"/>
                <w:color w:val="auto"/>
                <w:sz w:val="24"/>
                <w:highlight w:val="none"/>
              </w:rPr>
              <w:t>13867697018</w:t>
            </w:r>
          </w:p>
        </w:tc>
      </w:tr>
      <w:tr w14:paraId="4B0BD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7DF34A65">
            <w:pPr>
              <w:shd w:val="clear"/>
              <w:jc w:val="center"/>
              <w:rPr>
                <w:rFonts w:hint="eastAsia" w:ascii="宋体" w:hAnsi="宋体" w:cs="宋体"/>
                <w:color w:val="auto"/>
                <w:sz w:val="24"/>
                <w:highlight w:val="none"/>
              </w:rPr>
            </w:pPr>
            <w:r>
              <w:rPr>
                <w:rFonts w:hint="eastAsia" w:ascii="宋体" w:hAnsi="宋体" w:cs="宋体"/>
                <w:color w:val="auto"/>
                <w:sz w:val="24"/>
                <w:highlight w:val="none"/>
              </w:rPr>
              <w:t>招商银行台州分行</w:t>
            </w:r>
          </w:p>
        </w:tc>
        <w:tc>
          <w:tcPr>
            <w:tcW w:w="1733" w:type="dxa"/>
            <w:vAlign w:val="center"/>
          </w:tcPr>
          <w:p w14:paraId="797A02B8">
            <w:pPr>
              <w:shd w:val="clear"/>
              <w:jc w:val="center"/>
              <w:rPr>
                <w:rFonts w:hint="eastAsia" w:ascii="宋体" w:hAnsi="宋体" w:cs="宋体"/>
                <w:color w:val="auto"/>
                <w:sz w:val="24"/>
                <w:highlight w:val="none"/>
              </w:rPr>
            </w:pPr>
            <w:r>
              <w:rPr>
                <w:rFonts w:hint="eastAsia" w:ascii="宋体" w:hAnsi="宋体" w:cs="宋体"/>
                <w:color w:val="auto"/>
                <w:sz w:val="24"/>
                <w:highlight w:val="none"/>
              </w:rPr>
              <w:t>4.32%起</w:t>
            </w:r>
          </w:p>
        </w:tc>
        <w:tc>
          <w:tcPr>
            <w:tcW w:w="1361" w:type="dxa"/>
            <w:vAlign w:val="center"/>
          </w:tcPr>
          <w:p w14:paraId="58C73AC3">
            <w:pPr>
              <w:shd w:val="clear"/>
              <w:jc w:val="center"/>
              <w:rPr>
                <w:rFonts w:hint="eastAsia" w:ascii="宋体" w:hAnsi="宋体" w:cs="宋体"/>
                <w:color w:val="auto"/>
                <w:sz w:val="24"/>
                <w:highlight w:val="none"/>
              </w:rPr>
            </w:pPr>
            <w:r>
              <w:rPr>
                <w:rFonts w:hint="eastAsia" w:ascii="宋体" w:hAnsi="宋体" w:cs="宋体"/>
                <w:color w:val="auto"/>
                <w:sz w:val="24"/>
                <w:highlight w:val="none"/>
              </w:rPr>
              <w:t>王海玲</w:t>
            </w:r>
          </w:p>
        </w:tc>
        <w:tc>
          <w:tcPr>
            <w:tcW w:w="3151" w:type="dxa"/>
            <w:vAlign w:val="center"/>
          </w:tcPr>
          <w:p w14:paraId="6E2636A9">
            <w:pPr>
              <w:shd w:val="clear"/>
              <w:rPr>
                <w:rFonts w:hint="eastAsia" w:ascii="宋体" w:hAnsi="宋体" w:cs="宋体"/>
                <w:color w:val="auto"/>
                <w:sz w:val="24"/>
                <w:highlight w:val="none"/>
              </w:rPr>
            </w:pPr>
            <w:r>
              <w:rPr>
                <w:rFonts w:hint="eastAsia" w:ascii="宋体" w:hAnsi="宋体" w:cs="宋体"/>
                <w:color w:val="auto"/>
                <w:sz w:val="24"/>
                <w:highlight w:val="none"/>
              </w:rPr>
              <w:t>13566413827</w:t>
            </w:r>
          </w:p>
        </w:tc>
      </w:tr>
      <w:tr w14:paraId="1275D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20B11567">
            <w:pPr>
              <w:shd w:val="clear"/>
              <w:jc w:val="center"/>
              <w:rPr>
                <w:rFonts w:hint="eastAsia" w:ascii="宋体" w:hAnsi="宋体" w:cs="宋体"/>
                <w:color w:val="auto"/>
                <w:sz w:val="24"/>
                <w:highlight w:val="none"/>
              </w:rPr>
            </w:pPr>
            <w:r>
              <w:rPr>
                <w:rFonts w:hint="eastAsia" w:ascii="宋体" w:hAnsi="宋体" w:cs="宋体"/>
                <w:color w:val="auto"/>
                <w:sz w:val="24"/>
                <w:highlight w:val="none"/>
              </w:rPr>
              <w:t>浙商银行台州分行</w:t>
            </w:r>
          </w:p>
        </w:tc>
        <w:tc>
          <w:tcPr>
            <w:tcW w:w="1733" w:type="dxa"/>
            <w:vAlign w:val="center"/>
          </w:tcPr>
          <w:p w14:paraId="448ED367">
            <w:pPr>
              <w:shd w:val="clear"/>
              <w:jc w:val="center"/>
              <w:rPr>
                <w:rFonts w:hint="eastAsia" w:ascii="宋体" w:hAnsi="宋体" w:cs="宋体"/>
                <w:color w:val="auto"/>
                <w:sz w:val="24"/>
                <w:highlight w:val="none"/>
              </w:rPr>
            </w:pPr>
            <w:r>
              <w:rPr>
                <w:rFonts w:hint="eastAsia" w:ascii="宋体" w:hAnsi="宋体" w:cs="宋体"/>
                <w:color w:val="auto"/>
                <w:sz w:val="24"/>
                <w:highlight w:val="none"/>
              </w:rPr>
              <w:t>5.01%起</w:t>
            </w:r>
          </w:p>
        </w:tc>
        <w:tc>
          <w:tcPr>
            <w:tcW w:w="1361" w:type="dxa"/>
            <w:vAlign w:val="center"/>
          </w:tcPr>
          <w:p w14:paraId="3650FF18">
            <w:pPr>
              <w:shd w:val="clear"/>
              <w:jc w:val="center"/>
              <w:rPr>
                <w:rFonts w:hint="eastAsia" w:ascii="宋体" w:hAnsi="宋体" w:cs="宋体"/>
                <w:color w:val="auto"/>
                <w:sz w:val="24"/>
                <w:highlight w:val="none"/>
              </w:rPr>
            </w:pPr>
            <w:r>
              <w:rPr>
                <w:rFonts w:hint="eastAsia" w:ascii="宋体" w:hAnsi="宋体" w:cs="宋体"/>
                <w:color w:val="auto"/>
                <w:sz w:val="24"/>
                <w:highlight w:val="none"/>
              </w:rPr>
              <w:t>章涉漪</w:t>
            </w:r>
          </w:p>
        </w:tc>
        <w:tc>
          <w:tcPr>
            <w:tcW w:w="3151" w:type="dxa"/>
            <w:vAlign w:val="center"/>
          </w:tcPr>
          <w:p w14:paraId="5C570C0A">
            <w:pPr>
              <w:shd w:val="clear"/>
              <w:rPr>
                <w:rFonts w:hint="eastAsia" w:ascii="宋体" w:hAnsi="宋体" w:cs="宋体"/>
                <w:color w:val="auto"/>
                <w:sz w:val="24"/>
                <w:highlight w:val="none"/>
              </w:rPr>
            </w:pPr>
            <w:r>
              <w:rPr>
                <w:rFonts w:hint="eastAsia" w:ascii="宋体" w:hAnsi="宋体" w:cs="宋体"/>
                <w:color w:val="auto"/>
                <w:sz w:val="24"/>
                <w:highlight w:val="none"/>
              </w:rPr>
              <w:t>81880185/13606681262</w:t>
            </w:r>
          </w:p>
        </w:tc>
      </w:tr>
      <w:tr w14:paraId="09D81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4CE18509">
            <w:pPr>
              <w:shd w:val="clear"/>
              <w:jc w:val="center"/>
              <w:rPr>
                <w:rFonts w:hint="eastAsia" w:ascii="宋体" w:hAnsi="宋体" w:cs="宋体"/>
                <w:color w:val="auto"/>
                <w:sz w:val="24"/>
                <w:highlight w:val="none"/>
              </w:rPr>
            </w:pPr>
            <w:r>
              <w:rPr>
                <w:rFonts w:hint="eastAsia" w:ascii="宋体" w:hAnsi="宋体" w:cs="宋体"/>
                <w:color w:val="auto"/>
                <w:sz w:val="24"/>
                <w:highlight w:val="none"/>
              </w:rPr>
              <w:t>中信银行台州分行</w:t>
            </w:r>
          </w:p>
        </w:tc>
        <w:tc>
          <w:tcPr>
            <w:tcW w:w="1733" w:type="dxa"/>
            <w:vAlign w:val="center"/>
          </w:tcPr>
          <w:p w14:paraId="02B995A5">
            <w:pPr>
              <w:shd w:val="clear"/>
              <w:jc w:val="center"/>
              <w:rPr>
                <w:rFonts w:hint="eastAsia" w:ascii="宋体" w:hAnsi="宋体" w:cs="宋体"/>
                <w:color w:val="auto"/>
                <w:sz w:val="24"/>
                <w:highlight w:val="none"/>
              </w:rPr>
            </w:pPr>
            <w:r>
              <w:rPr>
                <w:rFonts w:hint="eastAsia" w:ascii="宋体" w:hAnsi="宋体" w:cs="宋体"/>
                <w:color w:val="auto"/>
                <w:sz w:val="24"/>
                <w:highlight w:val="none"/>
              </w:rPr>
              <w:t>4.15%起</w:t>
            </w:r>
          </w:p>
        </w:tc>
        <w:tc>
          <w:tcPr>
            <w:tcW w:w="1361" w:type="dxa"/>
            <w:vAlign w:val="center"/>
          </w:tcPr>
          <w:p w14:paraId="24AE9995">
            <w:pPr>
              <w:shd w:val="clear"/>
              <w:jc w:val="center"/>
              <w:rPr>
                <w:rFonts w:hint="eastAsia" w:ascii="宋体" w:hAnsi="宋体" w:cs="宋体"/>
                <w:color w:val="auto"/>
                <w:sz w:val="24"/>
                <w:highlight w:val="none"/>
              </w:rPr>
            </w:pPr>
            <w:r>
              <w:rPr>
                <w:rFonts w:hint="eastAsia" w:ascii="宋体" w:hAnsi="宋体" w:cs="宋体"/>
                <w:color w:val="auto"/>
                <w:sz w:val="24"/>
                <w:highlight w:val="none"/>
              </w:rPr>
              <w:t>陈金园</w:t>
            </w:r>
          </w:p>
        </w:tc>
        <w:tc>
          <w:tcPr>
            <w:tcW w:w="3151" w:type="dxa"/>
            <w:vAlign w:val="center"/>
          </w:tcPr>
          <w:p w14:paraId="5946BD46">
            <w:pPr>
              <w:shd w:val="clear"/>
              <w:rPr>
                <w:rFonts w:hint="eastAsia" w:ascii="宋体" w:hAnsi="宋体" w:cs="宋体"/>
                <w:color w:val="auto"/>
                <w:sz w:val="24"/>
                <w:highlight w:val="none"/>
              </w:rPr>
            </w:pPr>
            <w:r>
              <w:rPr>
                <w:rFonts w:hint="eastAsia" w:ascii="宋体" w:hAnsi="宋体" w:cs="宋体"/>
                <w:color w:val="auto"/>
                <w:sz w:val="24"/>
                <w:highlight w:val="none"/>
              </w:rPr>
              <w:t>13586052161</w:t>
            </w:r>
          </w:p>
        </w:tc>
      </w:tr>
      <w:tr w14:paraId="157C8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41E7C233">
            <w:pPr>
              <w:shd w:val="clear"/>
              <w:jc w:val="center"/>
              <w:rPr>
                <w:rFonts w:hint="eastAsia" w:ascii="宋体" w:hAnsi="宋体" w:cs="宋体"/>
                <w:color w:val="auto"/>
                <w:sz w:val="24"/>
                <w:highlight w:val="none"/>
              </w:rPr>
            </w:pPr>
            <w:r>
              <w:rPr>
                <w:rFonts w:hint="eastAsia" w:ascii="宋体" w:hAnsi="宋体" w:cs="宋体"/>
                <w:color w:val="auto"/>
                <w:sz w:val="24"/>
                <w:highlight w:val="none"/>
              </w:rPr>
              <w:t>华夏银行台州分行</w:t>
            </w:r>
          </w:p>
        </w:tc>
        <w:tc>
          <w:tcPr>
            <w:tcW w:w="1733" w:type="dxa"/>
            <w:vAlign w:val="center"/>
          </w:tcPr>
          <w:p w14:paraId="7311F777">
            <w:pPr>
              <w:shd w:val="clear"/>
              <w:jc w:val="center"/>
              <w:rPr>
                <w:rFonts w:hint="eastAsia" w:ascii="宋体" w:hAnsi="宋体" w:cs="宋体"/>
                <w:color w:val="auto"/>
                <w:sz w:val="24"/>
                <w:highlight w:val="none"/>
              </w:rPr>
            </w:pPr>
            <w:r>
              <w:rPr>
                <w:rFonts w:hint="eastAsia" w:ascii="宋体" w:hAnsi="宋体" w:cs="宋体"/>
                <w:color w:val="auto"/>
                <w:sz w:val="24"/>
                <w:highlight w:val="none"/>
              </w:rPr>
              <w:t>4.5%起</w:t>
            </w:r>
          </w:p>
        </w:tc>
        <w:tc>
          <w:tcPr>
            <w:tcW w:w="1361" w:type="dxa"/>
            <w:vAlign w:val="center"/>
          </w:tcPr>
          <w:p w14:paraId="134F8160">
            <w:pPr>
              <w:shd w:val="clear"/>
              <w:jc w:val="center"/>
              <w:rPr>
                <w:rFonts w:hint="eastAsia" w:ascii="宋体" w:hAnsi="宋体" w:cs="宋体"/>
                <w:color w:val="auto"/>
                <w:sz w:val="24"/>
                <w:highlight w:val="none"/>
              </w:rPr>
            </w:pPr>
            <w:r>
              <w:rPr>
                <w:rFonts w:hint="eastAsia" w:ascii="宋体" w:hAnsi="宋体" w:cs="宋体"/>
                <w:color w:val="auto"/>
                <w:sz w:val="24"/>
                <w:highlight w:val="none"/>
              </w:rPr>
              <w:t>邱明达</w:t>
            </w:r>
          </w:p>
        </w:tc>
        <w:tc>
          <w:tcPr>
            <w:tcW w:w="3151" w:type="dxa"/>
            <w:vAlign w:val="center"/>
          </w:tcPr>
          <w:p w14:paraId="6C22FE23">
            <w:pPr>
              <w:shd w:val="clear"/>
              <w:rPr>
                <w:rFonts w:hint="eastAsia" w:ascii="宋体" w:hAnsi="宋体" w:cs="宋体"/>
                <w:color w:val="auto"/>
                <w:sz w:val="24"/>
                <w:highlight w:val="none"/>
              </w:rPr>
            </w:pPr>
            <w:r>
              <w:rPr>
                <w:rFonts w:hint="eastAsia" w:ascii="宋体" w:hAnsi="宋体" w:cs="宋体"/>
                <w:color w:val="auto"/>
                <w:sz w:val="24"/>
                <w:highlight w:val="none"/>
              </w:rPr>
              <w:t>81871518/13736252233</w:t>
            </w:r>
          </w:p>
        </w:tc>
      </w:tr>
      <w:tr w14:paraId="0FA5B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64B0A0F1">
            <w:pPr>
              <w:shd w:val="clear"/>
              <w:jc w:val="center"/>
              <w:rPr>
                <w:rFonts w:hint="eastAsia" w:ascii="宋体" w:hAnsi="宋体" w:cs="宋体"/>
                <w:color w:val="auto"/>
                <w:sz w:val="24"/>
                <w:highlight w:val="none"/>
              </w:rPr>
            </w:pPr>
            <w:r>
              <w:rPr>
                <w:rFonts w:hint="eastAsia" w:ascii="宋体" w:hAnsi="宋体" w:cs="宋体"/>
                <w:color w:val="auto"/>
                <w:sz w:val="24"/>
                <w:highlight w:val="none"/>
              </w:rPr>
              <w:t>泰隆银行开发区支行</w:t>
            </w:r>
          </w:p>
        </w:tc>
        <w:tc>
          <w:tcPr>
            <w:tcW w:w="1733" w:type="dxa"/>
            <w:vAlign w:val="center"/>
          </w:tcPr>
          <w:p w14:paraId="671B294C">
            <w:pPr>
              <w:shd w:val="clear"/>
              <w:jc w:val="center"/>
              <w:rPr>
                <w:rFonts w:hint="eastAsia" w:ascii="宋体" w:hAnsi="宋体" w:cs="宋体"/>
                <w:color w:val="auto"/>
                <w:sz w:val="24"/>
                <w:highlight w:val="none"/>
              </w:rPr>
            </w:pPr>
            <w:r>
              <w:rPr>
                <w:rFonts w:hint="eastAsia" w:ascii="宋体" w:hAnsi="宋体" w:cs="宋体"/>
                <w:color w:val="auto"/>
                <w:sz w:val="24"/>
                <w:highlight w:val="none"/>
              </w:rPr>
              <w:t>5.6%起</w:t>
            </w:r>
          </w:p>
        </w:tc>
        <w:tc>
          <w:tcPr>
            <w:tcW w:w="1361" w:type="dxa"/>
            <w:vAlign w:val="center"/>
          </w:tcPr>
          <w:p w14:paraId="180C2A18">
            <w:pPr>
              <w:shd w:val="clear"/>
              <w:jc w:val="center"/>
              <w:rPr>
                <w:rFonts w:hint="eastAsia" w:ascii="宋体" w:hAnsi="宋体" w:cs="宋体"/>
                <w:color w:val="auto"/>
                <w:sz w:val="24"/>
                <w:highlight w:val="none"/>
              </w:rPr>
            </w:pPr>
            <w:r>
              <w:rPr>
                <w:rFonts w:hint="eastAsia" w:ascii="宋体" w:hAnsi="宋体" w:cs="宋体"/>
                <w:color w:val="auto"/>
                <w:sz w:val="24"/>
                <w:highlight w:val="none"/>
              </w:rPr>
              <w:t>梁宛莉</w:t>
            </w:r>
          </w:p>
        </w:tc>
        <w:tc>
          <w:tcPr>
            <w:tcW w:w="3151" w:type="dxa"/>
            <w:vAlign w:val="center"/>
          </w:tcPr>
          <w:p w14:paraId="25B79A43">
            <w:pPr>
              <w:shd w:val="clear"/>
              <w:rPr>
                <w:rFonts w:hint="eastAsia" w:ascii="宋体" w:hAnsi="宋体" w:cs="宋体"/>
                <w:color w:val="auto"/>
                <w:sz w:val="24"/>
                <w:highlight w:val="none"/>
              </w:rPr>
            </w:pPr>
            <w:r>
              <w:rPr>
                <w:rFonts w:hint="eastAsia" w:ascii="宋体" w:hAnsi="宋体" w:cs="宋体"/>
                <w:color w:val="auto"/>
                <w:sz w:val="24"/>
                <w:highlight w:val="none"/>
              </w:rPr>
              <w:t>13306869100</w:t>
            </w:r>
          </w:p>
        </w:tc>
      </w:tr>
      <w:tr w14:paraId="1E4F6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6284B487">
            <w:pPr>
              <w:shd w:val="clear"/>
              <w:jc w:val="center"/>
              <w:rPr>
                <w:rFonts w:hint="eastAsia" w:ascii="宋体" w:hAnsi="宋体" w:cs="宋体"/>
                <w:color w:val="auto"/>
                <w:sz w:val="24"/>
                <w:highlight w:val="none"/>
              </w:rPr>
            </w:pPr>
            <w:r>
              <w:rPr>
                <w:rFonts w:hint="eastAsia" w:ascii="宋体" w:hAnsi="宋体" w:cs="宋体"/>
                <w:color w:val="auto"/>
                <w:sz w:val="24"/>
                <w:highlight w:val="none"/>
              </w:rPr>
              <w:t>民泰银行椒江支行</w:t>
            </w:r>
          </w:p>
        </w:tc>
        <w:tc>
          <w:tcPr>
            <w:tcW w:w="1733" w:type="dxa"/>
            <w:vAlign w:val="center"/>
          </w:tcPr>
          <w:p w14:paraId="180E833A">
            <w:pPr>
              <w:shd w:val="clear"/>
              <w:jc w:val="center"/>
              <w:rPr>
                <w:rFonts w:hint="eastAsia" w:ascii="宋体" w:hAnsi="宋体" w:cs="宋体"/>
                <w:color w:val="auto"/>
                <w:sz w:val="24"/>
                <w:highlight w:val="none"/>
              </w:rPr>
            </w:pPr>
            <w:r>
              <w:rPr>
                <w:rFonts w:hint="eastAsia" w:ascii="宋体" w:hAnsi="宋体" w:cs="宋体"/>
                <w:color w:val="auto"/>
                <w:sz w:val="24"/>
                <w:highlight w:val="none"/>
              </w:rPr>
              <w:t>5.8%起</w:t>
            </w:r>
          </w:p>
        </w:tc>
        <w:tc>
          <w:tcPr>
            <w:tcW w:w="1361" w:type="dxa"/>
            <w:vAlign w:val="center"/>
          </w:tcPr>
          <w:p w14:paraId="7FCCF5EC">
            <w:pPr>
              <w:shd w:val="clear"/>
              <w:jc w:val="center"/>
              <w:rPr>
                <w:rFonts w:hint="eastAsia" w:ascii="宋体" w:hAnsi="宋体" w:cs="宋体"/>
                <w:color w:val="auto"/>
                <w:sz w:val="24"/>
                <w:highlight w:val="none"/>
              </w:rPr>
            </w:pPr>
            <w:r>
              <w:rPr>
                <w:rFonts w:hint="eastAsia" w:ascii="宋体" w:hAnsi="宋体" w:cs="宋体"/>
                <w:color w:val="auto"/>
                <w:sz w:val="24"/>
                <w:highlight w:val="none"/>
              </w:rPr>
              <w:t>陈慧珠</w:t>
            </w:r>
          </w:p>
        </w:tc>
        <w:tc>
          <w:tcPr>
            <w:tcW w:w="3151" w:type="dxa"/>
            <w:vAlign w:val="center"/>
          </w:tcPr>
          <w:p w14:paraId="7503653A">
            <w:pPr>
              <w:shd w:val="clear"/>
              <w:rPr>
                <w:rFonts w:hint="eastAsia" w:ascii="宋体" w:hAnsi="宋体" w:cs="宋体"/>
                <w:color w:val="auto"/>
                <w:sz w:val="24"/>
                <w:highlight w:val="none"/>
              </w:rPr>
            </w:pPr>
            <w:r>
              <w:rPr>
                <w:rFonts w:hint="eastAsia" w:ascii="宋体" w:hAnsi="宋体" w:cs="宋体"/>
                <w:color w:val="auto"/>
                <w:sz w:val="24"/>
                <w:highlight w:val="none"/>
              </w:rPr>
              <w:t>13857699669</w:t>
            </w:r>
          </w:p>
        </w:tc>
      </w:tr>
      <w:tr w14:paraId="1AD07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66BEE612">
            <w:pPr>
              <w:shd w:val="clear"/>
              <w:jc w:val="center"/>
              <w:rPr>
                <w:rFonts w:hint="eastAsia" w:ascii="宋体" w:hAnsi="宋体" w:cs="宋体"/>
                <w:color w:val="auto"/>
                <w:sz w:val="24"/>
                <w:highlight w:val="none"/>
              </w:rPr>
            </w:pPr>
            <w:r>
              <w:rPr>
                <w:rFonts w:hint="eastAsia" w:ascii="宋体" w:hAnsi="宋体" w:cs="宋体"/>
                <w:color w:val="auto"/>
                <w:sz w:val="24"/>
                <w:highlight w:val="none"/>
              </w:rPr>
              <w:t>绍兴银行台州分行</w:t>
            </w:r>
          </w:p>
        </w:tc>
        <w:tc>
          <w:tcPr>
            <w:tcW w:w="1733" w:type="dxa"/>
            <w:vAlign w:val="center"/>
          </w:tcPr>
          <w:p w14:paraId="448D3115">
            <w:pPr>
              <w:shd w:val="clear"/>
              <w:jc w:val="center"/>
              <w:rPr>
                <w:rFonts w:hint="eastAsia" w:ascii="宋体" w:hAnsi="宋体" w:cs="宋体"/>
                <w:color w:val="auto"/>
                <w:sz w:val="24"/>
                <w:highlight w:val="none"/>
              </w:rPr>
            </w:pPr>
            <w:r>
              <w:rPr>
                <w:rFonts w:hint="eastAsia" w:ascii="宋体" w:hAnsi="宋体" w:cs="宋体"/>
                <w:color w:val="auto"/>
                <w:sz w:val="24"/>
                <w:highlight w:val="none"/>
              </w:rPr>
              <w:t>5.1%起</w:t>
            </w:r>
          </w:p>
        </w:tc>
        <w:tc>
          <w:tcPr>
            <w:tcW w:w="1361" w:type="dxa"/>
            <w:vAlign w:val="center"/>
          </w:tcPr>
          <w:p w14:paraId="77A0C5B9">
            <w:pPr>
              <w:shd w:val="clear"/>
              <w:jc w:val="center"/>
              <w:rPr>
                <w:rFonts w:hint="eastAsia" w:ascii="宋体" w:hAnsi="宋体" w:cs="宋体"/>
                <w:color w:val="auto"/>
                <w:sz w:val="24"/>
                <w:highlight w:val="none"/>
              </w:rPr>
            </w:pPr>
            <w:r>
              <w:rPr>
                <w:rFonts w:hint="eastAsia" w:ascii="宋体" w:hAnsi="宋体" w:cs="宋体"/>
                <w:color w:val="auto"/>
                <w:sz w:val="24"/>
                <w:highlight w:val="none"/>
              </w:rPr>
              <w:t>郭庭斌</w:t>
            </w:r>
          </w:p>
        </w:tc>
        <w:tc>
          <w:tcPr>
            <w:tcW w:w="3151" w:type="dxa"/>
            <w:vAlign w:val="center"/>
          </w:tcPr>
          <w:p w14:paraId="6DCE34E7">
            <w:pPr>
              <w:shd w:val="clear"/>
              <w:rPr>
                <w:rFonts w:hint="eastAsia" w:ascii="宋体" w:hAnsi="宋体" w:cs="宋体"/>
                <w:color w:val="auto"/>
                <w:sz w:val="24"/>
                <w:highlight w:val="none"/>
              </w:rPr>
            </w:pPr>
            <w:r>
              <w:rPr>
                <w:rFonts w:hint="eastAsia" w:ascii="宋体" w:hAnsi="宋体" w:cs="宋体"/>
                <w:color w:val="auto"/>
                <w:sz w:val="24"/>
                <w:highlight w:val="none"/>
              </w:rPr>
              <w:t>15958633119</w:t>
            </w:r>
          </w:p>
        </w:tc>
      </w:tr>
      <w:tr w14:paraId="60580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4A22C7C5">
            <w:pPr>
              <w:shd w:val="clear"/>
              <w:jc w:val="center"/>
              <w:rPr>
                <w:rFonts w:hint="eastAsia" w:ascii="宋体" w:hAnsi="宋体" w:cs="宋体"/>
                <w:color w:val="auto"/>
                <w:sz w:val="24"/>
                <w:highlight w:val="none"/>
              </w:rPr>
            </w:pPr>
            <w:r>
              <w:rPr>
                <w:rFonts w:hint="eastAsia" w:ascii="宋体" w:hAnsi="宋体" w:cs="宋体"/>
                <w:color w:val="auto"/>
                <w:sz w:val="24"/>
                <w:highlight w:val="none"/>
              </w:rPr>
              <w:t>温州银行台州分行</w:t>
            </w:r>
          </w:p>
        </w:tc>
        <w:tc>
          <w:tcPr>
            <w:tcW w:w="1733" w:type="dxa"/>
            <w:vAlign w:val="center"/>
          </w:tcPr>
          <w:p w14:paraId="3356AD54">
            <w:pPr>
              <w:shd w:val="clear"/>
              <w:jc w:val="center"/>
              <w:rPr>
                <w:rFonts w:hint="eastAsia" w:ascii="宋体" w:hAnsi="宋体" w:cs="宋体"/>
                <w:color w:val="auto"/>
                <w:sz w:val="24"/>
                <w:highlight w:val="none"/>
              </w:rPr>
            </w:pPr>
            <w:r>
              <w:rPr>
                <w:rFonts w:hint="eastAsia" w:ascii="宋体" w:hAnsi="宋体" w:cs="宋体"/>
                <w:color w:val="auto"/>
                <w:sz w:val="24"/>
                <w:highlight w:val="none"/>
              </w:rPr>
              <w:t>4.55%起</w:t>
            </w:r>
          </w:p>
        </w:tc>
        <w:tc>
          <w:tcPr>
            <w:tcW w:w="1361" w:type="dxa"/>
            <w:vAlign w:val="center"/>
          </w:tcPr>
          <w:p w14:paraId="1F444469">
            <w:pPr>
              <w:shd w:val="clear"/>
              <w:jc w:val="center"/>
              <w:rPr>
                <w:rFonts w:hint="eastAsia" w:ascii="宋体" w:hAnsi="宋体" w:cs="宋体"/>
                <w:color w:val="auto"/>
                <w:sz w:val="24"/>
                <w:highlight w:val="none"/>
              </w:rPr>
            </w:pPr>
            <w:r>
              <w:rPr>
                <w:rFonts w:hint="eastAsia" w:ascii="宋体" w:hAnsi="宋体" w:cs="宋体"/>
                <w:color w:val="auto"/>
                <w:sz w:val="24"/>
                <w:highlight w:val="none"/>
              </w:rPr>
              <w:t>王晓波</w:t>
            </w:r>
          </w:p>
        </w:tc>
        <w:tc>
          <w:tcPr>
            <w:tcW w:w="3151" w:type="dxa"/>
            <w:vAlign w:val="center"/>
          </w:tcPr>
          <w:p w14:paraId="19014245">
            <w:pPr>
              <w:shd w:val="clear"/>
              <w:rPr>
                <w:rFonts w:hint="eastAsia" w:ascii="宋体" w:hAnsi="宋体" w:cs="宋体"/>
                <w:color w:val="auto"/>
                <w:sz w:val="24"/>
                <w:highlight w:val="none"/>
              </w:rPr>
            </w:pPr>
            <w:r>
              <w:rPr>
                <w:rFonts w:hint="eastAsia" w:ascii="宋体" w:hAnsi="宋体" w:cs="宋体"/>
                <w:color w:val="auto"/>
                <w:sz w:val="24"/>
                <w:highlight w:val="none"/>
              </w:rPr>
              <w:t>15824005475</w:t>
            </w:r>
          </w:p>
        </w:tc>
      </w:tr>
      <w:tr w14:paraId="63A2B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2C2614FF">
            <w:pPr>
              <w:shd w:val="clear"/>
              <w:jc w:val="center"/>
              <w:rPr>
                <w:rFonts w:hint="eastAsia" w:ascii="宋体" w:hAnsi="宋体" w:cs="宋体"/>
                <w:color w:val="auto"/>
                <w:sz w:val="24"/>
                <w:highlight w:val="none"/>
              </w:rPr>
            </w:pPr>
            <w:r>
              <w:rPr>
                <w:rFonts w:hint="eastAsia" w:ascii="宋体" w:hAnsi="宋体" w:cs="宋体"/>
                <w:color w:val="auto"/>
                <w:sz w:val="24"/>
                <w:highlight w:val="none"/>
              </w:rPr>
              <w:t>平安银行台州分行</w:t>
            </w:r>
          </w:p>
        </w:tc>
        <w:tc>
          <w:tcPr>
            <w:tcW w:w="1733" w:type="dxa"/>
            <w:vAlign w:val="center"/>
          </w:tcPr>
          <w:p w14:paraId="4C0048A3">
            <w:pPr>
              <w:shd w:val="clear"/>
              <w:jc w:val="center"/>
              <w:rPr>
                <w:rFonts w:hint="eastAsia" w:ascii="宋体" w:hAnsi="宋体" w:cs="宋体"/>
                <w:color w:val="auto"/>
                <w:sz w:val="24"/>
                <w:highlight w:val="none"/>
              </w:rPr>
            </w:pPr>
            <w:r>
              <w:rPr>
                <w:rFonts w:hint="eastAsia" w:ascii="宋体" w:hAnsi="宋体" w:cs="宋体"/>
                <w:color w:val="auto"/>
                <w:sz w:val="24"/>
                <w:highlight w:val="none"/>
              </w:rPr>
              <w:t>6.53%起</w:t>
            </w:r>
          </w:p>
        </w:tc>
        <w:tc>
          <w:tcPr>
            <w:tcW w:w="1361" w:type="dxa"/>
            <w:vAlign w:val="center"/>
          </w:tcPr>
          <w:p w14:paraId="41EF726D">
            <w:pPr>
              <w:shd w:val="clear"/>
              <w:jc w:val="center"/>
              <w:rPr>
                <w:rFonts w:hint="eastAsia" w:ascii="宋体" w:hAnsi="宋体" w:cs="宋体"/>
                <w:color w:val="auto"/>
                <w:sz w:val="24"/>
                <w:highlight w:val="none"/>
              </w:rPr>
            </w:pPr>
            <w:r>
              <w:rPr>
                <w:rFonts w:hint="eastAsia" w:ascii="宋体" w:hAnsi="宋体" w:cs="宋体"/>
                <w:color w:val="auto"/>
                <w:sz w:val="24"/>
                <w:highlight w:val="none"/>
              </w:rPr>
              <w:t>李俊丽</w:t>
            </w:r>
          </w:p>
        </w:tc>
        <w:tc>
          <w:tcPr>
            <w:tcW w:w="3151" w:type="dxa"/>
            <w:vAlign w:val="center"/>
          </w:tcPr>
          <w:p w14:paraId="1A0597F1">
            <w:pPr>
              <w:shd w:val="clear"/>
              <w:rPr>
                <w:rFonts w:hint="eastAsia" w:ascii="宋体" w:hAnsi="宋体" w:cs="宋体"/>
                <w:color w:val="auto"/>
                <w:sz w:val="24"/>
                <w:highlight w:val="none"/>
              </w:rPr>
            </w:pPr>
            <w:r>
              <w:rPr>
                <w:rFonts w:hint="eastAsia" w:ascii="宋体" w:hAnsi="宋体" w:cs="宋体"/>
                <w:color w:val="auto"/>
                <w:sz w:val="24"/>
                <w:highlight w:val="none"/>
              </w:rPr>
              <w:t>15906861025</w:t>
            </w:r>
          </w:p>
        </w:tc>
      </w:tr>
      <w:tr w14:paraId="1C9B0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73916FFF">
            <w:pPr>
              <w:shd w:val="clear"/>
              <w:jc w:val="center"/>
              <w:rPr>
                <w:rFonts w:hint="eastAsia" w:ascii="宋体" w:hAnsi="宋体" w:cs="宋体"/>
                <w:color w:val="auto"/>
                <w:sz w:val="24"/>
                <w:highlight w:val="none"/>
              </w:rPr>
            </w:pPr>
            <w:r>
              <w:rPr>
                <w:rFonts w:hint="eastAsia" w:ascii="宋体" w:hAnsi="宋体" w:cs="宋体"/>
                <w:color w:val="auto"/>
                <w:sz w:val="24"/>
                <w:highlight w:val="none"/>
              </w:rPr>
              <w:t>宁波银行台州分行</w:t>
            </w:r>
          </w:p>
        </w:tc>
        <w:tc>
          <w:tcPr>
            <w:tcW w:w="1733" w:type="dxa"/>
            <w:vAlign w:val="center"/>
          </w:tcPr>
          <w:p w14:paraId="2D8276BC">
            <w:pPr>
              <w:shd w:val="clear"/>
              <w:jc w:val="center"/>
              <w:rPr>
                <w:rFonts w:hint="eastAsia" w:ascii="宋体" w:hAnsi="宋体" w:cs="宋体"/>
                <w:color w:val="auto"/>
                <w:sz w:val="24"/>
                <w:highlight w:val="none"/>
              </w:rPr>
            </w:pPr>
            <w:r>
              <w:rPr>
                <w:rFonts w:hint="eastAsia" w:ascii="宋体" w:hAnsi="宋体" w:cs="宋体"/>
                <w:color w:val="auto"/>
                <w:sz w:val="24"/>
                <w:highlight w:val="none"/>
              </w:rPr>
              <w:t>4.35%起</w:t>
            </w:r>
          </w:p>
        </w:tc>
        <w:tc>
          <w:tcPr>
            <w:tcW w:w="1361" w:type="dxa"/>
            <w:vAlign w:val="center"/>
          </w:tcPr>
          <w:p w14:paraId="0111CFC2">
            <w:pPr>
              <w:shd w:val="clear"/>
              <w:jc w:val="center"/>
              <w:rPr>
                <w:rFonts w:hint="eastAsia" w:ascii="宋体" w:hAnsi="宋体" w:cs="宋体"/>
                <w:color w:val="auto"/>
                <w:sz w:val="24"/>
                <w:highlight w:val="none"/>
              </w:rPr>
            </w:pPr>
            <w:r>
              <w:rPr>
                <w:rFonts w:hint="eastAsia" w:ascii="宋体" w:hAnsi="宋体" w:cs="宋体"/>
                <w:color w:val="auto"/>
                <w:sz w:val="24"/>
                <w:highlight w:val="none"/>
              </w:rPr>
              <w:t>戴莉丽</w:t>
            </w:r>
          </w:p>
        </w:tc>
        <w:tc>
          <w:tcPr>
            <w:tcW w:w="3151" w:type="dxa"/>
            <w:vAlign w:val="center"/>
          </w:tcPr>
          <w:p w14:paraId="235C0791">
            <w:pPr>
              <w:shd w:val="clear"/>
              <w:rPr>
                <w:rFonts w:hint="eastAsia" w:ascii="宋体" w:hAnsi="宋体" w:cs="宋体"/>
                <w:color w:val="auto"/>
                <w:sz w:val="24"/>
                <w:highlight w:val="none"/>
              </w:rPr>
            </w:pPr>
            <w:r>
              <w:rPr>
                <w:rFonts w:hint="eastAsia" w:ascii="宋体" w:hAnsi="宋体" w:cs="宋体"/>
                <w:color w:val="auto"/>
                <w:sz w:val="24"/>
                <w:highlight w:val="none"/>
              </w:rPr>
              <w:t>13566627207</w:t>
            </w:r>
          </w:p>
        </w:tc>
      </w:tr>
      <w:tr w14:paraId="5CD15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0185DCA3">
            <w:pPr>
              <w:shd w:val="clear"/>
              <w:jc w:val="center"/>
              <w:rPr>
                <w:rFonts w:hint="eastAsia" w:ascii="宋体" w:hAnsi="宋体" w:cs="宋体"/>
                <w:color w:val="auto"/>
                <w:sz w:val="24"/>
                <w:highlight w:val="none"/>
              </w:rPr>
            </w:pPr>
            <w:r>
              <w:rPr>
                <w:rFonts w:hint="eastAsia" w:ascii="宋体" w:hAnsi="宋体" w:cs="宋体"/>
                <w:color w:val="auto"/>
                <w:sz w:val="24"/>
                <w:highlight w:val="none"/>
              </w:rPr>
              <w:t>金华银行台州分行</w:t>
            </w:r>
          </w:p>
        </w:tc>
        <w:tc>
          <w:tcPr>
            <w:tcW w:w="1733" w:type="dxa"/>
            <w:vAlign w:val="center"/>
          </w:tcPr>
          <w:p w14:paraId="076E0C0F">
            <w:pPr>
              <w:shd w:val="clear"/>
              <w:jc w:val="center"/>
              <w:rPr>
                <w:rFonts w:hint="eastAsia" w:ascii="宋体" w:hAnsi="宋体" w:cs="宋体"/>
                <w:color w:val="auto"/>
                <w:sz w:val="24"/>
                <w:highlight w:val="none"/>
              </w:rPr>
            </w:pPr>
            <w:r>
              <w:rPr>
                <w:rFonts w:hint="eastAsia" w:ascii="宋体" w:hAnsi="宋体" w:cs="宋体"/>
                <w:color w:val="auto"/>
                <w:sz w:val="24"/>
                <w:highlight w:val="none"/>
              </w:rPr>
              <w:t>4.05%起</w:t>
            </w:r>
          </w:p>
        </w:tc>
        <w:tc>
          <w:tcPr>
            <w:tcW w:w="1361" w:type="dxa"/>
            <w:vAlign w:val="center"/>
          </w:tcPr>
          <w:p w14:paraId="23D14513">
            <w:pPr>
              <w:shd w:val="clear"/>
              <w:jc w:val="center"/>
              <w:rPr>
                <w:rFonts w:hint="eastAsia" w:ascii="宋体" w:hAnsi="宋体" w:cs="宋体"/>
                <w:color w:val="auto"/>
                <w:sz w:val="24"/>
                <w:highlight w:val="none"/>
              </w:rPr>
            </w:pPr>
            <w:r>
              <w:rPr>
                <w:rFonts w:hint="eastAsia" w:ascii="宋体" w:hAnsi="宋体" w:cs="宋体"/>
                <w:color w:val="auto"/>
                <w:sz w:val="24"/>
                <w:highlight w:val="none"/>
              </w:rPr>
              <w:t>金雪婷</w:t>
            </w:r>
          </w:p>
        </w:tc>
        <w:tc>
          <w:tcPr>
            <w:tcW w:w="3151" w:type="dxa"/>
            <w:vAlign w:val="center"/>
          </w:tcPr>
          <w:p w14:paraId="2E53B847">
            <w:pPr>
              <w:shd w:val="clear"/>
              <w:rPr>
                <w:rFonts w:hint="eastAsia" w:ascii="宋体" w:hAnsi="宋体" w:cs="宋体"/>
                <w:color w:val="auto"/>
                <w:sz w:val="24"/>
                <w:highlight w:val="none"/>
              </w:rPr>
            </w:pPr>
            <w:r>
              <w:rPr>
                <w:rFonts w:hint="eastAsia" w:ascii="宋体" w:hAnsi="宋体" w:cs="宋体"/>
                <w:color w:val="auto"/>
                <w:sz w:val="24"/>
                <w:highlight w:val="none"/>
              </w:rPr>
              <w:t>81886670/15968661569</w:t>
            </w:r>
          </w:p>
        </w:tc>
      </w:tr>
      <w:tr w14:paraId="4B606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952" w:type="dxa"/>
            <w:vAlign w:val="center"/>
          </w:tcPr>
          <w:p w14:paraId="65C939C8">
            <w:pPr>
              <w:shd w:val="clear"/>
              <w:jc w:val="center"/>
              <w:rPr>
                <w:rFonts w:hint="eastAsia" w:ascii="宋体" w:hAnsi="宋体" w:cs="宋体"/>
                <w:color w:val="auto"/>
                <w:sz w:val="24"/>
                <w:highlight w:val="none"/>
              </w:rPr>
            </w:pPr>
            <w:r>
              <w:rPr>
                <w:rFonts w:hint="eastAsia" w:ascii="宋体" w:hAnsi="宋体" w:cs="宋体"/>
                <w:color w:val="auto"/>
                <w:sz w:val="24"/>
                <w:highlight w:val="none"/>
              </w:rPr>
              <w:t>台州银行</w:t>
            </w:r>
          </w:p>
        </w:tc>
        <w:tc>
          <w:tcPr>
            <w:tcW w:w="1733" w:type="dxa"/>
            <w:vAlign w:val="center"/>
          </w:tcPr>
          <w:p w14:paraId="73BA8F49">
            <w:pPr>
              <w:shd w:val="clear"/>
              <w:jc w:val="center"/>
              <w:rPr>
                <w:rFonts w:hint="eastAsia" w:ascii="宋体" w:hAnsi="宋体" w:cs="宋体"/>
                <w:color w:val="auto"/>
                <w:sz w:val="24"/>
                <w:highlight w:val="none"/>
              </w:rPr>
            </w:pPr>
            <w:r>
              <w:rPr>
                <w:rFonts w:hint="eastAsia" w:ascii="宋体" w:hAnsi="宋体" w:cs="宋体"/>
                <w:color w:val="auto"/>
                <w:sz w:val="24"/>
                <w:highlight w:val="none"/>
              </w:rPr>
              <w:t>5.6%起</w:t>
            </w:r>
          </w:p>
        </w:tc>
        <w:tc>
          <w:tcPr>
            <w:tcW w:w="1361" w:type="dxa"/>
            <w:vAlign w:val="center"/>
          </w:tcPr>
          <w:p w14:paraId="5717D75C">
            <w:pPr>
              <w:shd w:val="clear"/>
              <w:jc w:val="center"/>
              <w:rPr>
                <w:rFonts w:hint="eastAsia" w:ascii="宋体" w:hAnsi="宋体" w:cs="宋体"/>
                <w:color w:val="auto"/>
                <w:sz w:val="24"/>
                <w:highlight w:val="none"/>
              </w:rPr>
            </w:pPr>
            <w:r>
              <w:rPr>
                <w:rFonts w:hint="eastAsia" w:ascii="宋体" w:hAnsi="宋体" w:cs="宋体"/>
                <w:color w:val="auto"/>
                <w:sz w:val="24"/>
                <w:highlight w:val="none"/>
              </w:rPr>
              <w:t>洪婷</w:t>
            </w:r>
          </w:p>
        </w:tc>
        <w:tc>
          <w:tcPr>
            <w:tcW w:w="3151" w:type="dxa"/>
            <w:vAlign w:val="center"/>
          </w:tcPr>
          <w:p w14:paraId="48ADB75E">
            <w:pPr>
              <w:shd w:val="clear"/>
              <w:rPr>
                <w:rFonts w:hint="eastAsia" w:ascii="宋体" w:hAnsi="宋体" w:cs="宋体"/>
                <w:color w:val="auto"/>
                <w:sz w:val="24"/>
                <w:highlight w:val="none"/>
              </w:rPr>
            </w:pPr>
            <w:r>
              <w:rPr>
                <w:rFonts w:hint="eastAsia" w:ascii="宋体" w:hAnsi="宋体" w:cs="宋体"/>
                <w:color w:val="auto"/>
                <w:sz w:val="24"/>
                <w:highlight w:val="none"/>
              </w:rPr>
              <w:t>15858624999</w:t>
            </w:r>
          </w:p>
        </w:tc>
      </w:tr>
      <w:tr w14:paraId="70BAF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2952" w:type="dxa"/>
            <w:vAlign w:val="center"/>
          </w:tcPr>
          <w:p w14:paraId="4D65588A">
            <w:pPr>
              <w:shd w:val="clear"/>
              <w:jc w:val="center"/>
              <w:rPr>
                <w:rFonts w:hint="eastAsia" w:ascii="宋体" w:hAnsi="宋体" w:cs="宋体"/>
                <w:color w:val="auto"/>
                <w:sz w:val="24"/>
                <w:highlight w:val="none"/>
              </w:rPr>
            </w:pPr>
            <w:r>
              <w:rPr>
                <w:rFonts w:hint="eastAsia" w:ascii="宋体" w:hAnsi="宋体" w:cs="宋体"/>
                <w:color w:val="auto"/>
                <w:sz w:val="24"/>
                <w:highlight w:val="none"/>
              </w:rPr>
              <w:t>邮储银行台州分行</w:t>
            </w:r>
          </w:p>
        </w:tc>
        <w:tc>
          <w:tcPr>
            <w:tcW w:w="1733" w:type="dxa"/>
            <w:vAlign w:val="center"/>
          </w:tcPr>
          <w:p w14:paraId="44027841">
            <w:pPr>
              <w:shd w:val="clear"/>
              <w:jc w:val="center"/>
              <w:rPr>
                <w:rFonts w:hint="eastAsia" w:ascii="宋体" w:hAnsi="宋体" w:cs="宋体"/>
                <w:color w:val="auto"/>
                <w:sz w:val="24"/>
                <w:highlight w:val="none"/>
              </w:rPr>
            </w:pPr>
            <w:r>
              <w:rPr>
                <w:rFonts w:hint="eastAsia" w:ascii="宋体" w:hAnsi="宋体" w:cs="宋体"/>
                <w:color w:val="auto"/>
                <w:sz w:val="24"/>
                <w:highlight w:val="none"/>
              </w:rPr>
              <w:t>3.85%起</w:t>
            </w:r>
          </w:p>
        </w:tc>
        <w:tc>
          <w:tcPr>
            <w:tcW w:w="1361" w:type="dxa"/>
            <w:vAlign w:val="center"/>
          </w:tcPr>
          <w:p w14:paraId="2DCC3273">
            <w:pPr>
              <w:shd w:val="clear"/>
              <w:jc w:val="center"/>
              <w:rPr>
                <w:rFonts w:hint="eastAsia" w:ascii="宋体" w:hAnsi="宋体" w:cs="宋体"/>
                <w:color w:val="auto"/>
                <w:sz w:val="24"/>
                <w:highlight w:val="none"/>
              </w:rPr>
            </w:pPr>
            <w:r>
              <w:rPr>
                <w:rFonts w:hint="eastAsia" w:ascii="宋体" w:hAnsi="宋体" w:cs="宋体"/>
                <w:color w:val="auto"/>
                <w:sz w:val="24"/>
                <w:highlight w:val="none"/>
              </w:rPr>
              <w:t>董庆</w:t>
            </w:r>
          </w:p>
        </w:tc>
        <w:tc>
          <w:tcPr>
            <w:tcW w:w="3151" w:type="dxa"/>
            <w:vAlign w:val="center"/>
          </w:tcPr>
          <w:p w14:paraId="0DB841A5">
            <w:pPr>
              <w:shd w:val="clear"/>
              <w:rPr>
                <w:rFonts w:hint="eastAsia" w:ascii="宋体" w:hAnsi="宋体" w:cs="宋体"/>
                <w:color w:val="auto"/>
                <w:sz w:val="24"/>
                <w:highlight w:val="none"/>
              </w:rPr>
            </w:pPr>
            <w:r>
              <w:rPr>
                <w:rFonts w:hint="eastAsia" w:ascii="宋体" w:hAnsi="宋体" w:cs="宋体"/>
                <w:color w:val="auto"/>
                <w:sz w:val="24"/>
                <w:highlight w:val="none"/>
              </w:rPr>
              <w:t>81888982/18957683735</w:t>
            </w:r>
          </w:p>
        </w:tc>
      </w:tr>
    </w:tbl>
    <w:p w14:paraId="50C550FA">
      <w:pPr>
        <w:shd w:val="clear"/>
        <w:spacing w:line="360" w:lineRule="auto"/>
        <w:ind w:firstLine="2160" w:firstLineChars="900"/>
        <w:rPr>
          <w:rFonts w:hint="eastAsia" w:ascii="宋体" w:hAnsi="宋体" w:cs="宋体"/>
          <w:color w:val="auto"/>
          <w:sz w:val="24"/>
          <w:szCs w:val="32"/>
          <w:highlight w:val="none"/>
        </w:rPr>
      </w:pPr>
      <w:r>
        <w:rPr>
          <w:rFonts w:hint="eastAsia" w:ascii="宋体" w:hAnsi="宋体" w:cs="宋体"/>
          <w:color w:val="auto"/>
          <w:sz w:val="24"/>
          <w:szCs w:val="32"/>
          <w:highlight w:val="none"/>
        </w:rPr>
        <w:t>合同履约保函联系方式</w:t>
      </w:r>
    </w:p>
    <w:tbl>
      <w:tblPr>
        <w:tblStyle w:val="30"/>
        <w:tblW w:w="9477"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3883"/>
        <w:gridCol w:w="2666"/>
        <w:gridCol w:w="1071"/>
        <w:gridCol w:w="1857"/>
      </w:tblGrid>
      <w:tr w14:paraId="5D56644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67" w:hRule="atLeast"/>
          <w:jc w:val="center"/>
        </w:trPr>
        <w:tc>
          <w:tcPr>
            <w:tcW w:w="3883" w:type="dxa"/>
            <w:vAlign w:val="center"/>
          </w:tcPr>
          <w:p w14:paraId="3CC05F29">
            <w:pPr>
              <w:shd w:val="clear"/>
              <w:jc w:val="center"/>
              <w:rPr>
                <w:rFonts w:hint="eastAsia" w:ascii="宋体" w:hAnsi="宋体" w:cs="宋体"/>
                <w:color w:val="auto"/>
                <w:sz w:val="24"/>
                <w:highlight w:val="none"/>
              </w:rPr>
            </w:pPr>
            <w:r>
              <w:rPr>
                <w:rFonts w:hint="eastAsia" w:ascii="宋体" w:hAnsi="宋体" w:cs="宋体"/>
                <w:color w:val="auto"/>
                <w:sz w:val="24"/>
                <w:highlight w:val="none"/>
              </w:rPr>
              <w:t>保险公司名称</w:t>
            </w:r>
          </w:p>
        </w:tc>
        <w:tc>
          <w:tcPr>
            <w:tcW w:w="2666" w:type="dxa"/>
            <w:vAlign w:val="center"/>
          </w:tcPr>
          <w:p w14:paraId="3B0F87A7">
            <w:pPr>
              <w:shd w:val="clear"/>
              <w:jc w:val="center"/>
              <w:rPr>
                <w:rFonts w:hint="eastAsia" w:ascii="宋体" w:hAnsi="宋体" w:cs="宋体"/>
                <w:color w:val="auto"/>
                <w:sz w:val="24"/>
                <w:highlight w:val="none"/>
              </w:rPr>
            </w:pPr>
            <w:r>
              <w:rPr>
                <w:rFonts w:hint="eastAsia" w:ascii="宋体" w:hAnsi="宋体" w:cs="宋体"/>
                <w:color w:val="auto"/>
                <w:sz w:val="24"/>
                <w:highlight w:val="none"/>
              </w:rPr>
              <w:t>保费率</w:t>
            </w:r>
          </w:p>
        </w:tc>
        <w:tc>
          <w:tcPr>
            <w:tcW w:w="1071" w:type="dxa"/>
            <w:vAlign w:val="center"/>
          </w:tcPr>
          <w:p w14:paraId="5DD3F0C0">
            <w:pPr>
              <w:shd w:val="clear"/>
              <w:jc w:val="center"/>
              <w:rPr>
                <w:rFonts w:hint="eastAsia" w:ascii="宋体" w:hAnsi="宋体" w:cs="宋体"/>
                <w:color w:val="auto"/>
                <w:sz w:val="24"/>
                <w:highlight w:val="none"/>
              </w:rPr>
            </w:pPr>
            <w:r>
              <w:rPr>
                <w:rFonts w:hint="eastAsia" w:ascii="宋体" w:hAnsi="宋体" w:cs="宋体"/>
                <w:color w:val="auto"/>
                <w:sz w:val="24"/>
                <w:highlight w:val="none"/>
              </w:rPr>
              <w:t>联系人</w:t>
            </w:r>
          </w:p>
        </w:tc>
        <w:tc>
          <w:tcPr>
            <w:tcW w:w="1857" w:type="dxa"/>
            <w:vAlign w:val="center"/>
          </w:tcPr>
          <w:p w14:paraId="26C7E2D9">
            <w:pPr>
              <w:shd w:val="clear"/>
              <w:jc w:val="center"/>
              <w:rPr>
                <w:rFonts w:hint="eastAsia" w:ascii="宋体" w:hAnsi="宋体" w:cs="宋体"/>
                <w:color w:val="auto"/>
                <w:sz w:val="24"/>
                <w:highlight w:val="none"/>
              </w:rPr>
            </w:pPr>
            <w:r>
              <w:rPr>
                <w:rFonts w:hint="eastAsia" w:ascii="宋体" w:hAnsi="宋体" w:cs="宋体"/>
                <w:color w:val="auto"/>
                <w:sz w:val="24"/>
                <w:highlight w:val="none"/>
              </w:rPr>
              <w:t>联系电话</w:t>
            </w:r>
          </w:p>
        </w:tc>
      </w:tr>
      <w:tr w14:paraId="0B48E5B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8" w:hRule="atLeast"/>
          <w:jc w:val="center"/>
        </w:trPr>
        <w:tc>
          <w:tcPr>
            <w:tcW w:w="3883" w:type="dxa"/>
            <w:vAlign w:val="center"/>
          </w:tcPr>
          <w:p w14:paraId="56525355">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中国人寿财产保险股份有限公司台州中心支公司</w:t>
            </w:r>
          </w:p>
        </w:tc>
        <w:tc>
          <w:tcPr>
            <w:tcW w:w="2666" w:type="dxa"/>
            <w:vAlign w:val="center"/>
          </w:tcPr>
          <w:p w14:paraId="2F53C5A9">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年费率1%，最低保费500元</w:t>
            </w:r>
          </w:p>
        </w:tc>
        <w:tc>
          <w:tcPr>
            <w:tcW w:w="1071" w:type="dxa"/>
            <w:vAlign w:val="center"/>
          </w:tcPr>
          <w:p w14:paraId="3BD2BFCF">
            <w:pPr>
              <w:shd w:val="clear"/>
              <w:jc w:val="center"/>
              <w:rPr>
                <w:rFonts w:hint="eastAsia" w:ascii="宋体" w:hAnsi="宋体" w:cs="宋体"/>
                <w:color w:val="auto"/>
                <w:sz w:val="24"/>
                <w:highlight w:val="none"/>
              </w:rPr>
            </w:pPr>
            <w:r>
              <w:rPr>
                <w:rFonts w:hint="eastAsia" w:ascii="宋体" w:hAnsi="宋体" w:cs="宋体"/>
                <w:color w:val="auto"/>
                <w:sz w:val="24"/>
                <w:highlight w:val="none"/>
              </w:rPr>
              <w:t>徐凌</w:t>
            </w:r>
          </w:p>
        </w:tc>
        <w:tc>
          <w:tcPr>
            <w:tcW w:w="1857" w:type="dxa"/>
            <w:vAlign w:val="center"/>
          </w:tcPr>
          <w:p w14:paraId="1F1532C1">
            <w:pPr>
              <w:shd w:val="clear"/>
              <w:jc w:val="center"/>
              <w:rPr>
                <w:rFonts w:hint="eastAsia" w:ascii="宋体" w:hAnsi="宋体" w:cs="宋体"/>
                <w:color w:val="auto"/>
                <w:sz w:val="24"/>
                <w:highlight w:val="none"/>
              </w:rPr>
            </w:pPr>
            <w:r>
              <w:rPr>
                <w:rFonts w:hint="eastAsia" w:ascii="宋体" w:hAnsi="宋体" w:cs="宋体"/>
                <w:color w:val="auto"/>
                <w:sz w:val="24"/>
                <w:highlight w:val="none"/>
              </w:rPr>
              <w:t>13905168070</w:t>
            </w:r>
          </w:p>
        </w:tc>
      </w:tr>
      <w:tr w14:paraId="2D377BD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8" w:hRule="atLeast"/>
          <w:jc w:val="center"/>
        </w:trPr>
        <w:tc>
          <w:tcPr>
            <w:tcW w:w="3883" w:type="dxa"/>
            <w:vAlign w:val="center"/>
          </w:tcPr>
          <w:p w14:paraId="06A06709">
            <w:pPr>
              <w:shd w:val="clear"/>
              <w:jc w:val="center"/>
              <w:rPr>
                <w:rFonts w:hint="eastAsia" w:ascii="宋体" w:hAnsi="宋体" w:cs="宋体"/>
                <w:color w:val="auto"/>
                <w:sz w:val="24"/>
                <w:highlight w:val="none"/>
              </w:rPr>
            </w:pPr>
            <w:r>
              <w:rPr>
                <w:rFonts w:hint="eastAsia" w:ascii="宋体" w:hAnsi="宋体" w:cs="宋体"/>
                <w:color w:val="auto"/>
                <w:sz w:val="24"/>
                <w:highlight w:val="none"/>
              </w:rPr>
              <w:t>永诚财产保险股份有限公司台州分公司</w:t>
            </w:r>
          </w:p>
        </w:tc>
        <w:tc>
          <w:tcPr>
            <w:tcW w:w="2666" w:type="dxa"/>
            <w:vAlign w:val="center"/>
          </w:tcPr>
          <w:p w14:paraId="529D6C6E">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年费率1%，最低保费1000元</w:t>
            </w:r>
          </w:p>
        </w:tc>
        <w:tc>
          <w:tcPr>
            <w:tcW w:w="1071" w:type="dxa"/>
            <w:vAlign w:val="center"/>
          </w:tcPr>
          <w:p w14:paraId="7C559F95">
            <w:pPr>
              <w:shd w:val="clear"/>
              <w:jc w:val="center"/>
              <w:rPr>
                <w:rFonts w:hint="eastAsia" w:ascii="宋体" w:hAnsi="宋体" w:cs="宋体"/>
                <w:color w:val="auto"/>
                <w:sz w:val="24"/>
                <w:highlight w:val="none"/>
              </w:rPr>
            </w:pPr>
            <w:r>
              <w:rPr>
                <w:rFonts w:hint="eastAsia" w:ascii="宋体" w:hAnsi="宋体" w:cs="宋体"/>
                <w:color w:val="auto"/>
                <w:sz w:val="24"/>
                <w:highlight w:val="none"/>
              </w:rPr>
              <w:t>尹刚强</w:t>
            </w:r>
          </w:p>
        </w:tc>
        <w:tc>
          <w:tcPr>
            <w:tcW w:w="1857" w:type="dxa"/>
            <w:vAlign w:val="center"/>
          </w:tcPr>
          <w:p w14:paraId="7BD81F58">
            <w:pPr>
              <w:shd w:val="clear"/>
              <w:jc w:val="center"/>
              <w:rPr>
                <w:rFonts w:hint="eastAsia" w:ascii="宋体" w:hAnsi="宋体" w:cs="宋体"/>
                <w:color w:val="auto"/>
                <w:sz w:val="24"/>
                <w:highlight w:val="none"/>
              </w:rPr>
            </w:pPr>
            <w:r>
              <w:rPr>
                <w:rFonts w:hint="eastAsia" w:ascii="宋体" w:hAnsi="宋体" w:cs="宋体"/>
                <w:color w:val="auto"/>
                <w:sz w:val="24"/>
                <w:highlight w:val="none"/>
              </w:rPr>
              <w:t>13750668184</w:t>
            </w:r>
          </w:p>
        </w:tc>
      </w:tr>
      <w:tr w14:paraId="3B250D4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8" w:hRule="atLeast"/>
          <w:jc w:val="center"/>
        </w:trPr>
        <w:tc>
          <w:tcPr>
            <w:tcW w:w="3883" w:type="dxa"/>
            <w:vAlign w:val="center"/>
          </w:tcPr>
          <w:p w14:paraId="4497A1BB">
            <w:pPr>
              <w:shd w:val="clear"/>
              <w:jc w:val="center"/>
              <w:rPr>
                <w:rFonts w:hint="eastAsia" w:ascii="宋体" w:hAnsi="宋体" w:cs="宋体"/>
                <w:color w:val="auto"/>
                <w:sz w:val="24"/>
                <w:highlight w:val="none"/>
              </w:rPr>
            </w:pPr>
            <w:r>
              <w:rPr>
                <w:rFonts w:hint="eastAsia" w:ascii="宋体" w:hAnsi="宋体" w:cs="宋体"/>
                <w:color w:val="auto"/>
                <w:sz w:val="24"/>
                <w:highlight w:val="none"/>
              </w:rPr>
              <w:t>华泰财产保险有限公司台州中心支公司</w:t>
            </w:r>
          </w:p>
        </w:tc>
        <w:tc>
          <w:tcPr>
            <w:tcW w:w="2666" w:type="dxa"/>
            <w:vAlign w:val="center"/>
          </w:tcPr>
          <w:p w14:paraId="0824519D">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年费率0.5%，最低保费1000元</w:t>
            </w:r>
          </w:p>
        </w:tc>
        <w:tc>
          <w:tcPr>
            <w:tcW w:w="1071" w:type="dxa"/>
            <w:vAlign w:val="center"/>
          </w:tcPr>
          <w:p w14:paraId="745B9CDE">
            <w:pPr>
              <w:shd w:val="clear"/>
              <w:jc w:val="center"/>
              <w:rPr>
                <w:rFonts w:hint="eastAsia" w:ascii="宋体" w:hAnsi="宋体" w:cs="宋体"/>
                <w:color w:val="auto"/>
                <w:sz w:val="24"/>
                <w:highlight w:val="none"/>
              </w:rPr>
            </w:pPr>
            <w:r>
              <w:rPr>
                <w:rFonts w:hint="eastAsia" w:ascii="宋体" w:hAnsi="宋体" w:cs="宋体"/>
                <w:color w:val="auto"/>
                <w:sz w:val="24"/>
                <w:highlight w:val="none"/>
              </w:rPr>
              <w:t>王灵芳</w:t>
            </w:r>
          </w:p>
        </w:tc>
        <w:tc>
          <w:tcPr>
            <w:tcW w:w="1857" w:type="dxa"/>
            <w:vAlign w:val="center"/>
          </w:tcPr>
          <w:p w14:paraId="799DF09F">
            <w:pPr>
              <w:shd w:val="clear"/>
              <w:jc w:val="center"/>
              <w:rPr>
                <w:rFonts w:hint="eastAsia" w:ascii="宋体" w:hAnsi="宋体" w:cs="宋体"/>
                <w:color w:val="auto"/>
                <w:sz w:val="24"/>
                <w:highlight w:val="none"/>
              </w:rPr>
            </w:pPr>
            <w:r>
              <w:rPr>
                <w:rFonts w:hint="eastAsia" w:ascii="宋体" w:hAnsi="宋体" w:cs="宋体"/>
                <w:color w:val="auto"/>
                <w:sz w:val="24"/>
                <w:highlight w:val="none"/>
              </w:rPr>
              <w:t>88869818 13586123199</w:t>
            </w:r>
          </w:p>
        </w:tc>
      </w:tr>
      <w:tr w14:paraId="4E95447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8" w:hRule="atLeast"/>
          <w:jc w:val="center"/>
        </w:trPr>
        <w:tc>
          <w:tcPr>
            <w:tcW w:w="3883" w:type="dxa"/>
            <w:vAlign w:val="center"/>
          </w:tcPr>
          <w:p w14:paraId="177A5C72">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中国大地财产保险股份有限公司台州中心支公司</w:t>
            </w:r>
          </w:p>
        </w:tc>
        <w:tc>
          <w:tcPr>
            <w:tcW w:w="2666" w:type="dxa"/>
            <w:vAlign w:val="center"/>
          </w:tcPr>
          <w:p w14:paraId="4C392F1F">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年费率1.5%，最低保费1000元</w:t>
            </w:r>
          </w:p>
        </w:tc>
        <w:tc>
          <w:tcPr>
            <w:tcW w:w="1071" w:type="dxa"/>
            <w:vAlign w:val="center"/>
          </w:tcPr>
          <w:p w14:paraId="48D18A75">
            <w:pPr>
              <w:shd w:val="clear"/>
              <w:jc w:val="center"/>
              <w:rPr>
                <w:rFonts w:hint="eastAsia" w:ascii="宋体" w:hAnsi="宋体" w:cs="宋体"/>
                <w:color w:val="auto"/>
                <w:sz w:val="24"/>
                <w:highlight w:val="none"/>
              </w:rPr>
            </w:pPr>
            <w:r>
              <w:rPr>
                <w:rFonts w:hint="eastAsia" w:ascii="宋体" w:hAnsi="宋体" w:cs="宋体"/>
                <w:color w:val="auto"/>
                <w:sz w:val="24"/>
                <w:highlight w:val="none"/>
              </w:rPr>
              <w:t>徐小明</w:t>
            </w:r>
          </w:p>
        </w:tc>
        <w:tc>
          <w:tcPr>
            <w:tcW w:w="1857" w:type="dxa"/>
            <w:vAlign w:val="center"/>
          </w:tcPr>
          <w:p w14:paraId="29B98E4F">
            <w:pPr>
              <w:shd w:val="clear"/>
              <w:jc w:val="center"/>
              <w:rPr>
                <w:rFonts w:hint="eastAsia" w:ascii="宋体" w:hAnsi="宋体" w:cs="宋体"/>
                <w:color w:val="auto"/>
                <w:sz w:val="24"/>
                <w:highlight w:val="none"/>
              </w:rPr>
            </w:pPr>
            <w:r>
              <w:rPr>
                <w:rFonts w:hint="eastAsia" w:ascii="宋体" w:hAnsi="宋体" w:cs="宋体"/>
                <w:color w:val="auto"/>
                <w:sz w:val="24"/>
                <w:highlight w:val="none"/>
              </w:rPr>
              <w:t>88552788      13968603112</w:t>
            </w:r>
          </w:p>
        </w:tc>
      </w:tr>
      <w:tr w14:paraId="4DF854D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8" w:hRule="atLeast"/>
          <w:jc w:val="center"/>
        </w:trPr>
        <w:tc>
          <w:tcPr>
            <w:tcW w:w="3883" w:type="dxa"/>
            <w:vAlign w:val="center"/>
          </w:tcPr>
          <w:p w14:paraId="4F6F716D">
            <w:pPr>
              <w:shd w:val="clear"/>
              <w:jc w:val="center"/>
              <w:rPr>
                <w:rFonts w:hint="eastAsia" w:ascii="宋体" w:hAnsi="宋体" w:cs="宋体"/>
                <w:color w:val="auto"/>
                <w:sz w:val="24"/>
                <w:highlight w:val="none"/>
              </w:rPr>
            </w:pPr>
            <w:r>
              <w:rPr>
                <w:rFonts w:hint="eastAsia" w:ascii="宋体" w:hAnsi="宋体" w:cs="宋体"/>
                <w:color w:val="auto"/>
                <w:sz w:val="24"/>
                <w:highlight w:val="none"/>
              </w:rPr>
              <w:t>阳光保险台州中心支公司</w:t>
            </w:r>
          </w:p>
        </w:tc>
        <w:tc>
          <w:tcPr>
            <w:tcW w:w="2666" w:type="dxa"/>
            <w:vAlign w:val="center"/>
          </w:tcPr>
          <w:p w14:paraId="015F3C4A">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年费率1%，最低保费500元</w:t>
            </w:r>
          </w:p>
        </w:tc>
        <w:tc>
          <w:tcPr>
            <w:tcW w:w="1071" w:type="dxa"/>
            <w:vAlign w:val="center"/>
          </w:tcPr>
          <w:p w14:paraId="3D98A69E">
            <w:pPr>
              <w:shd w:val="clear"/>
              <w:jc w:val="center"/>
              <w:rPr>
                <w:rFonts w:hint="eastAsia" w:ascii="宋体" w:hAnsi="宋体" w:cs="宋体"/>
                <w:color w:val="auto"/>
                <w:sz w:val="24"/>
                <w:highlight w:val="none"/>
              </w:rPr>
            </w:pPr>
            <w:r>
              <w:rPr>
                <w:rFonts w:hint="eastAsia" w:ascii="宋体" w:hAnsi="宋体" w:cs="宋体"/>
                <w:color w:val="auto"/>
                <w:sz w:val="24"/>
                <w:highlight w:val="none"/>
              </w:rPr>
              <w:t>林高明</w:t>
            </w:r>
          </w:p>
        </w:tc>
        <w:tc>
          <w:tcPr>
            <w:tcW w:w="1857" w:type="dxa"/>
            <w:vAlign w:val="center"/>
          </w:tcPr>
          <w:p w14:paraId="243CDD08">
            <w:pPr>
              <w:shd w:val="clear"/>
              <w:jc w:val="center"/>
              <w:rPr>
                <w:rFonts w:hint="eastAsia" w:ascii="宋体" w:hAnsi="宋体" w:cs="宋体"/>
                <w:color w:val="auto"/>
                <w:sz w:val="24"/>
                <w:highlight w:val="none"/>
              </w:rPr>
            </w:pPr>
            <w:r>
              <w:rPr>
                <w:rFonts w:hint="eastAsia" w:ascii="宋体" w:hAnsi="宋体" w:cs="宋体"/>
                <w:color w:val="auto"/>
                <w:sz w:val="24"/>
                <w:highlight w:val="none"/>
              </w:rPr>
              <w:t>15888682693</w:t>
            </w:r>
          </w:p>
        </w:tc>
      </w:tr>
      <w:tr w14:paraId="4D4277F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8" w:hRule="atLeast"/>
          <w:jc w:val="center"/>
        </w:trPr>
        <w:tc>
          <w:tcPr>
            <w:tcW w:w="3883" w:type="dxa"/>
            <w:vAlign w:val="center"/>
          </w:tcPr>
          <w:p w14:paraId="4ADBD39C">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中华联合财产保险股份有限公司台州中心支公司</w:t>
            </w:r>
          </w:p>
        </w:tc>
        <w:tc>
          <w:tcPr>
            <w:tcW w:w="2666" w:type="dxa"/>
            <w:vAlign w:val="center"/>
          </w:tcPr>
          <w:p w14:paraId="6E51EC26">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年费率2%，最低保费500元</w:t>
            </w:r>
          </w:p>
        </w:tc>
        <w:tc>
          <w:tcPr>
            <w:tcW w:w="1071" w:type="dxa"/>
            <w:vAlign w:val="center"/>
          </w:tcPr>
          <w:p w14:paraId="57DD5DE5">
            <w:pPr>
              <w:shd w:val="clear"/>
              <w:jc w:val="center"/>
              <w:rPr>
                <w:rFonts w:hint="eastAsia" w:ascii="宋体" w:hAnsi="宋体" w:cs="宋体"/>
                <w:color w:val="auto"/>
                <w:sz w:val="24"/>
                <w:highlight w:val="none"/>
              </w:rPr>
            </w:pPr>
            <w:r>
              <w:rPr>
                <w:rFonts w:hint="eastAsia" w:ascii="宋体" w:hAnsi="宋体" w:cs="宋体"/>
                <w:color w:val="auto"/>
                <w:sz w:val="24"/>
                <w:highlight w:val="none"/>
              </w:rPr>
              <w:t>王仙高</w:t>
            </w:r>
          </w:p>
        </w:tc>
        <w:tc>
          <w:tcPr>
            <w:tcW w:w="1857" w:type="dxa"/>
            <w:vAlign w:val="center"/>
          </w:tcPr>
          <w:p w14:paraId="62681034">
            <w:pPr>
              <w:shd w:val="clear"/>
              <w:jc w:val="center"/>
              <w:rPr>
                <w:rFonts w:hint="eastAsia" w:ascii="宋体" w:hAnsi="宋体" w:cs="宋体"/>
                <w:color w:val="auto"/>
                <w:sz w:val="24"/>
                <w:highlight w:val="none"/>
              </w:rPr>
            </w:pPr>
            <w:r>
              <w:rPr>
                <w:rFonts w:hint="eastAsia" w:ascii="宋体" w:hAnsi="宋体" w:cs="宋体"/>
                <w:color w:val="auto"/>
                <w:sz w:val="24"/>
                <w:highlight w:val="none"/>
              </w:rPr>
              <w:t>13858600221</w:t>
            </w:r>
          </w:p>
        </w:tc>
      </w:tr>
      <w:tr w14:paraId="2CE2971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8" w:hRule="atLeast"/>
          <w:jc w:val="center"/>
        </w:trPr>
        <w:tc>
          <w:tcPr>
            <w:tcW w:w="3883" w:type="dxa"/>
            <w:vAlign w:val="center"/>
          </w:tcPr>
          <w:p w14:paraId="0A00960C">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中国人民财产保险股份有限公司台州中心支公司</w:t>
            </w:r>
          </w:p>
        </w:tc>
        <w:tc>
          <w:tcPr>
            <w:tcW w:w="2666" w:type="dxa"/>
            <w:vAlign w:val="center"/>
          </w:tcPr>
          <w:p w14:paraId="53890BFF">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年费率0.3%，最低保费1000元</w:t>
            </w:r>
          </w:p>
        </w:tc>
        <w:tc>
          <w:tcPr>
            <w:tcW w:w="1071" w:type="dxa"/>
            <w:vAlign w:val="center"/>
          </w:tcPr>
          <w:p w14:paraId="4B9E13F9">
            <w:pPr>
              <w:shd w:val="clear"/>
              <w:jc w:val="center"/>
              <w:rPr>
                <w:rFonts w:hint="eastAsia" w:ascii="宋体" w:hAnsi="宋体" w:cs="宋体"/>
                <w:color w:val="auto"/>
                <w:sz w:val="24"/>
                <w:highlight w:val="none"/>
              </w:rPr>
            </w:pPr>
            <w:r>
              <w:rPr>
                <w:rFonts w:hint="eastAsia" w:ascii="宋体" w:hAnsi="宋体" w:cs="宋体"/>
                <w:color w:val="auto"/>
                <w:sz w:val="24"/>
                <w:highlight w:val="none"/>
              </w:rPr>
              <w:t>王仙春</w:t>
            </w:r>
          </w:p>
        </w:tc>
        <w:tc>
          <w:tcPr>
            <w:tcW w:w="1857" w:type="dxa"/>
            <w:vAlign w:val="center"/>
          </w:tcPr>
          <w:p w14:paraId="0A71053C">
            <w:pPr>
              <w:shd w:val="clear"/>
              <w:jc w:val="center"/>
              <w:rPr>
                <w:rFonts w:hint="eastAsia" w:ascii="宋体" w:hAnsi="宋体" w:cs="宋体"/>
                <w:color w:val="auto"/>
                <w:sz w:val="24"/>
                <w:highlight w:val="none"/>
              </w:rPr>
            </w:pPr>
            <w:r>
              <w:rPr>
                <w:rFonts w:hint="eastAsia" w:ascii="宋体" w:hAnsi="宋体" w:cs="宋体"/>
                <w:color w:val="auto"/>
                <w:sz w:val="24"/>
                <w:highlight w:val="none"/>
              </w:rPr>
              <w:t>13515769179</w:t>
            </w:r>
          </w:p>
        </w:tc>
      </w:tr>
      <w:tr w14:paraId="335A9FC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59" w:hRule="atLeast"/>
          <w:jc w:val="center"/>
        </w:trPr>
        <w:tc>
          <w:tcPr>
            <w:tcW w:w="3883" w:type="dxa"/>
            <w:vAlign w:val="center"/>
          </w:tcPr>
          <w:p w14:paraId="0BCBA527">
            <w:pPr>
              <w:shd w:val="clear"/>
              <w:jc w:val="center"/>
              <w:rPr>
                <w:rFonts w:hint="eastAsia" w:ascii="宋体" w:hAnsi="宋体" w:cs="宋体"/>
                <w:color w:val="auto"/>
                <w:sz w:val="24"/>
                <w:highlight w:val="none"/>
              </w:rPr>
            </w:pPr>
            <w:r>
              <w:rPr>
                <w:rFonts w:hint="eastAsia" w:ascii="宋体" w:hAnsi="宋体" w:cs="宋体"/>
                <w:color w:val="auto"/>
                <w:sz w:val="24"/>
                <w:highlight w:val="none"/>
              </w:rPr>
              <w:t>永安财产保险股份有限公司台州中心支公司</w:t>
            </w:r>
          </w:p>
        </w:tc>
        <w:tc>
          <w:tcPr>
            <w:tcW w:w="2666" w:type="dxa"/>
            <w:vAlign w:val="center"/>
          </w:tcPr>
          <w:p w14:paraId="1E8B8171">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年费率0.3%，最低保费1000</w:t>
            </w:r>
          </w:p>
        </w:tc>
        <w:tc>
          <w:tcPr>
            <w:tcW w:w="1071" w:type="dxa"/>
            <w:vAlign w:val="center"/>
          </w:tcPr>
          <w:p w14:paraId="68F18F56">
            <w:pPr>
              <w:shd w:val="clear"/>
              <w:jc w:val="center"/>
              <w:rPr>
                <w:rFonts w:hint="eastAsia" w:ascii="宋体" w:hAnsi="宋体" w:cs="宋体"/>
                <w:color w:val="auto"/>
                <w:sz w:val="24"/>
                <w:highlight w:val="none"/>
              </w:rPr>
            </w:pPr>
            <w:r>
              <w:rPr>
                <w:rFonts w:hint="eastAsia" w:ascii="宋体" w:hAnsi="宋体" w:cs="宋体"/>
                <w:color w:val="auto"/>
                <w:sz w:val="24"/>
                <w:highlight w:val="none"/>
              </w:rPr>
              <w:t>王春宇</w:t>
            </w:r>
          </w:p>
        </w:tc>
        <w:tc>
          <w:tcPr>
            <w:tcW w:w="1857" w:type="dxa"/>
            <w:vAlign w:val="center"/>
          </w:tcPr>
          <w:p w14:paraId="1614B46E">
            <w:pPr>
              <w:shd w:val="clear"/>
              <w:jc w:val="center"/>
              <w:rPr>
                <w:rFonts w:hint="eastAsia" w:ascii="宋体" w:hAnsi="宋体" w:cs="宋体"/>
                <w:color w:val="auto"/>
                <w:sz w:val="24"/>
                <w:highlight w:val="none"/>
              </w:rPr>
            </w:pPr>
            <w:r>
              <w:rPr>
                <w:rFonts w:hint="eastAsia" w:ascii="宋体" w:hAnsi="宋体" w:cs="宋体"/>
                <w:color w:val="auto"/>
                <w:sz w:val="24"/>
                <w:highlight w:val="none"/>
              </w:rPr>
              <w:t>13676675331</w:t>
            </w:r>
          </w:p>
        </w:tc>
      </w:tr>
    </w:tbl>
    <w:p w14:paraId="36B14C05">
      <w:pPr>
        <w:shd w:val="clear"/>
        <w:spacing w:line="360" w:lineRule="auto"/>
        <w:jc w:val="center"/>
        <w:rPr>
          <w:rFonts w:hint="eastAsia" w:ascii="宋体" w:hAnsi="宋体" w:cs="宋体"/>
          <w:color w:val="auto"/>
          <w:sz w:val="24"/>
          <w:szCs w:val="32"/>
          <w:highlight w:val="none"/>
        </w:rPr>
      </w:pPr>
    </w:p>
    <w:p w14:paraId="4ABE3FC5">
      <w:pPr>
        <w:shd w:val="clear"/>
        <w:spacing w:line="360" w:lineRule="auto"/>
        <w:jc w:val="center"/>
        <w:rPr>
          <w:rFonts w:hint="eastAsia" w:ascii="宋体" w:hAnsi="宋体" w:cs="宋体"/>
          <w:color w:val="auto"/>
          <w:sz w:val="24"/>
          <w:szCs w:val="32"/>
          <w:highlight w:val="none"/>
        </w:rPr>
      </w:pPr>
      <w:r>
        <w:rPr>
          <w:rFonts w:hint="eastAsia" w:ascii="宋体" w:hAnsi="宋体" w:cs="宋体"/>
          <w:color w:val="auto"/>
          <w:sz w:val="24"/>
          <w:szCs w:val="32"/>
          <w:highlight w:val="none"/>
        </w:rPr>
        <w:t>预付款保函联系方式</w:t>
      </w:r>
    </w:p>
    <w:tbl>
      <w:tblPr>
        <w:tblStyle w:val="30"/>
        <w:tblW w:w="965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4311"/>
        <w:gridCol w:w="2374"/>
        <w:gridCol w:w="1093"/>
        <w:gridCol w:w="1880"/>
      </w:tblGrid>
      <w:tr w14:paraId="0CF849E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69" w:hRule="atLeast"/>
          <w:jc w:val="center"/>
        </w:trPr>
        <w:tc>
          <w:tcPr>
            <w:tcW w:w="4311" w:type="dxa"/>
            <w:vAlign w:val="center"/>
          </w:tcPr>
          <w:p w14:paraId="7FA14E3E">
            <w:pPr>
              <w:shd w:val="clear"/>
              <w:jc w:val="center"/>
              <w:rPr>
                <w:rFonts w:hint="eastAsia" w:ascii="宋体" w:hAnsi="宋体" w:cs="宋体"/>
                <w:color w:val="auto"/>
                <w:sz w:val="24"/>
                <w:highlight w:val="none"/>
              </w:rPr>
            </w:pPr>
            <w:r>
              <w:rPr>
                <w:rFonts w:hint="eastAsia" w:ascii="宋体" w:hAnsi="宋体" w:cs="宋体"/>
                <w:color w:val="auto"/>
                <w:sz w:val="24"/>
                <w:highlight w:val="none"/>
              </w:rPr>
              <w:t>保险公司名称</w:t>
            </w:r>
          </w:p>
        </w:tc>
        <w:tc>
          <w:tcPr>
            <w:tcW w:w="2374" w:type="dxa"/>
            <w:vAlign w:val="center"/>
          </w:tcPr>
          <w:p w14:paraId="6A438D04">
            <w:pPr>
              <w:shd w:val="clear"/>
              <w:jc w:val="center"/>
              <w:rPr>
                <w:rFonts w:hint="eastAsia" w:ascii="宋体" w:hAnsi="宋体" w:cs="宋体"/>
                <w:color w:val="auto"/>
                <w:sz w:val="24"/>
                <w:highlight w:val="none"/>
              </w:rPr>
            </w:pPr>
            <w:r>
              <w:rPr>
                <w:rFonts w:hint="eastAsia" w:ascii="宋体" w:hAnsi="宋体" w:cs="宋体"/>
                <w:color w:val="auto"/>
                <w:sz w:val="24"/>
                <w:highlight w:val="none"/>
              </w:rPr>
              <w:t>保费率</w:t>
            </w:r>
          </w:p>
        </w:tc>
        <w:tc>
          <w:tcPr>
            <w:tcW w:w="1093" w:type="dxa"/>
            <w:vAlign w:val="center"/>
          </w:tcPr>
          <w:p w14:paraId="3C85D341">
            <w:pPr>
              <w:shd w:val="clear"/>
              <w:jc w:val="center"/>
              <w:rPr>
                <w:rFonts w:hint="eastAsia" w:ascii="宋体" w:hAnsi="宋体" w:cs="宋体"/>
                <w:color w:val="auto"/>
                <w:sz w:val="24"/>
                <w:highlight w:val="none"/>
              </w:rPr>
            </w:pPr>
            <w:r>
              <w:rPr>
                <w:rFonts w:hint="eastAsia" w:ascii="宋体" w:hAnsi="宋体" w:cs="宋体"/>
                <w:color w:val="auto"/>
                <w:sz w:val="24"/>
                <w:highlight w:val="none"/>
              </w:rPr>
              <w:t>联系人</w:t>
            </w:r>
          </w:p>
        </w:tc>
        <w:tc>
          <w:tcPr>
            <w:tcW w:w="1880" w:type="dxa"/>
            <w:vAlign w:val="center"/>
          </w:tcPr>
          <w:p w14:paraId="750647AA">
            <w:pPr>
              <w:shd w:val="clear"/>
              <w:jc w:val="center"/>
              <w:rPr>
                <w:rFonts w:hint="eastAsia" w:ascii="宋体" w:hAnsi="宋体" w:cs="宋体"/>
                <w:color w:val="auto"/>
                <w:sz w:val="24"/>
                <w:highlight w:val="none"/>
              </w:rPr>
            </w:pPr>
            <w:r>
              <w:rPr>
                <w:rFonts w:hint="eastAsia" w:ascii="宋体" w:hAnsi="宋体" w:cs="宋体"/>
                <w:color w:val="auto"/>
                <w:sz w:val="24"/>
                <w:highlight w:val="none"/>
              </w:rPr>
              <w:t>联系电话</w:t>
            </w:r>
          </w:p>
        </w:tc>
      </w:tr>
      <w:tr w14:paraId="380D6BD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6" w:hRule="atLeast"/>
          <w:jc w:val="center"/>
        </w:trPr>
        <w:tc>
          <w:tcPr>
            <w:tcW w:w="4311" w:type="dxa"/>
            <w:vAlign w:val="center"/>
          </w:tcPr>
          <w:p w14:paraId="2C381A94">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中国人寿财产保险股份有限公司台州中心支公司</w:t>
            </w:r>
          </w:p>
        </w:tc>
        <w:tc>
          <w:tcPr>
            <w:tcW w:w="2374" w:type="dxa"/>
            <w:vAlign w:val="center"/>
          </w:tcPr>
          <w:p w14:paraId="7F607CAC">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年费率3%，最低保费500元</w:t>
            </w:r>
          </w:p>
        </w:tc>
        <w:tc>
          <w:tcPr>
            <w:tcW w:w="1093" w:type="dxa"/>
            <w:vAlign w:val="center"/>
          </w:tcPr>
          <w:p w14:paraId="339BDBAE">
            <w:pPr>
              <w:shd w:val="clear"/>
              <w:jc w:val="center"/>
              <w:rPr>
                <w:rFonts w:hint="eastAsia" w:ascii="宋体" w:hAnsi="宋体" w:cs="宋体"/>
                <w:color w:val="auto"/>
                <w:sz w:val="24"/>
                <w:highlight w:val="none"/>
              </w:rPr>
            </w:pPr>
            <w:r>
              <w:rPr>
                <w:rFonts w:hint="eastAsia" w:ascii="宋体" w:hAnsi="宋体" w:cs="宋体"/>
                <w:color w:val="auto"/>
                <w:sz w:val="24"/>
                <w:highlight w:val="none"/>
              </w:rPr>
              <w:t>徐凌</w:t>
            </w:r>
          </w:p>
        </w:tc>
        <w:tc>
          <w:tcPr>
            <w:tcW w:w="1880" w:type="dxa"/>
            <w:vAlign w:val="center"/>
          </w:tcPr>
          <w:p w14:paraId="7D476C29">
            <w:pPr>
              <w:shd w:val="clear"/>
              <w:jc w:val="center"/>
              <w:rPr>
                <w:rFonts w:hint="eastAsia" w:ascii="宋体" w:hAnsi="宋体" w:cs="宋体"/>
                <w:color w:val="auto"/>
                <w:sz w:val="24"/>
                <w:highlight w:val="none"/>
              </w:rPr>
            </w:pPr>
            <w:r>
              <w:rPr>
                <w:rFonts w:hint="eastAsia" w:ascii="宋体" w:hAnsi="宋体" w:cs="宋体"/>
                <w:color w:val="auto"/>
                <w:sz w:val="24"/>
                <w:highlight w:val="none"/>
              </w:rPr>
              <w:t>13905168070</w:t>
            </w:r>
          </w:p>
        </w:tc>
      </w:tr>
      <w:tr w14:paraId="47F9174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6" w:hRule="atLeast"/>
          <w:jc w:val="center"/>
        </w:trPr>
        <w:tc>
          <w:tcPr>
            <w:tcW w:w="4311" w:type="dxa"/>
            <w:vAlign w:val="center"/>
          </w:tcPr>
          <w:p w14:paraId="75EDDB68">
            <w:pPr>
              <w:shd w:val="clear"/>
              <w:jc w:val="center"/>
              <w:rPr>
                <w:rFonts w:hint="eastAsia" w:ascii="宋体" w:hAnsi="宋体" w:cs="宋体"/>
                <w:color w:val="auto"/>
                <w:sz w:val="24"/>
                <w:highlight w:val="none"/>
              </w:rPr>
            </w:pPr>
            <w:r>
              <w:rPr>
                <w:rFonts w:hint="eastAsia" w:ascii="宋体" w:hAnsi="宋体" w:cs="宋体"/>
                <w:color w:val="auto"/>
                <w:sz w:val="24"/>
                <w:highlight w:val="none"/>
              </w:rPr>
              <w:t>阳光保险台州中心支公司</w:t>
            </w:r>
          </w:p>
        </w:tc>
        <w:tc>
          <w:tcPr>
            <w:tcW w:w="2374" w:type="dxa"/>
            <w:vAlign w:val="center"/>
          </w:tcPr>
          <w:p w14:paraId="4107249C">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年费率1%，最低保费500元</w:t>
            </w:r>
          </w:p>
        </w:tc>
        <w:tc>
          <w:tcPr>
            <w:tcW w:w="1093" w:type="dxa"/>
            <w:vAlign w:val="center"/>
          </w:tcPr>
          <w:p w14:paraId="4A144A04">
            <w:pPr>
              <w:shd w:val="clear"/>
              <w:jc w:val="center"/>
              <w:rPr>
                <w:rFonts w:hint="eastAsia" w:ascii="宋体" w:hAnsi="宋体" w:cs="宋体"/>
                <w:color w:val="auto"/>
                <w:sz w:val="24"/>
                <w:highlight w:val="none"/>
              </w:rPr>
            </w:pPr>
            <w:r>
              <w:rPr>
                <w:rFonts w:hint="eastAsia" w:ascii="宋体" w:hAnsi="宋体" w:cs="宋体"/>
                <w:color w:val="auto"/>
                <w:sz w:val="24"/>
                <w:highlight w:val="none"/>
              </w:rPr>
              <w:t>林高明</w:t>
            </w:r>
          </w:p>
        </w:tc>
        <w:tc>
          <w:tcPr>
            <w:tcW w:w="1880" w:type="dxa"/>
            <w:vAlign w:val="center"/>
          </w:tcPr>
          <w:p w14:paraId="07685106">
            <w:pPr>
              <w:shd w:val="clear"/>
              <w:jc w:val="center"/>
              <w:rPr>
                <w:rFonts w:hint="eastAsia" w:ascii="宋体" w:hAnsi="宋体" w:cs="宋体"/>
                <w:color w:val="auto"/>
                <w:sz w:val="24"/>
                <w:highlight w:val="none"/>
              </w:rPr>
            </w:pPr>
            <w:r>
              <w:rPr>
                <w:rFonts w:hint="eastAsia" w:ascii="宋体" w:hAnsi="宋体" w:cs="宋体"/>
                <w:color w:val="auto"/>
                <w:sz w:val="24"/>
                <w:highlight w:val="none"/>
              </w:rPr>
              <w:t>15888682693</w:t>
            </w:r>
          </w:p>
        </w:tc>
      </w:tr>
      <w:tr w14:paraId="56A883C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56" w:hRule="atLeast"/>
          <w:jc w:val="center"/>
        </w:trPr>
        <w:tc>
          <w:tcPr>
            <w:tcW w:w="4311" w:type="dxa"/>
            <w:vAlign w:val="center"/>
          </w:tcPr>
          <w:p w14:paraId="39FF4FFE">
            <w:pPr>
              <w:shd w:val="clear"/>
              <w:jc w:val="center"/>
              <w:rPr>
                <w:rFonts w:hint="eastAsia" w:ascii="宋体" w:hAnsi="宋体" w:cs="宋体"/>
                <w:color w:val="auto"/>
                <w:sz w:val="24"/>
                <w:highlight w:val="none"/>
              </w:rPr>
            </w:pPr>
            <w:r>
              <w:rPr>
                <w:rFonts w:hint="eastAsia" w:ascii="宋体" w:hAnsi="宋体" w:cs="宋体"/>
                <w:color w:val="auto"/>
                <w:sz w:val="24"/>
                <w:highlight w:val="none"/>
              </w:rPr>
              <w:t>天安财产保险股份有限公司台州中心支公司</w:t>
            </w:r>
          </w:p>
        </w:tc>
        <w:tc>
          <w:tcPr>
            <w:tcW w:w="2374" w:type="dxa"/>
            <w:vAlign w:val="center"/>
          </w:tcPr>
          <w:p w14:paraId="12ACA283">
            <w:pPr>
              <w:shd w:val="clear"/>
              <w:jc w:val="center"/>
              <w:rPr>
                <w:rFonts w:hint="eastAsia" w:ascii="宋体" w:hAnsi="宋体" w:cs="宋体"/>
                <w:color w:val="auto"/>
                <w:sz w:val="24"/>
                <w:highlight w:val="none"/>
              </w:rPr>
            </w:pPr>
            <w:r>
              <w:rPr>
                <w:rFonts w:hint="eastAsia" w:ascii="宋体" w:hAnsi="宋体" w:cs="宋体"/>
                <w:color w:val="auto"/>
                <w:sz w:val="24"/>
                <w:highlight w:val="none"/>
              </w:rPr>
              <w:t>年费率1%-2%，最低保费500元</w:t>
            </w:r>
          </w:p>
        </w:tc>
        <w:tc>
          <w:tcPr>
            <w:tcW w:w="1093" w:type="dxa"/>
            <w:vAlign w:val="center"/>
          </w:tcPr>
          <w:p w14:paraId="03E329E6">
            <w:pPr>
              <w:shd w:val="clear"/>
              <w:jc w:val="center"/>
              <w:rPr>
                <w:rFonts w:hint="eastAsia" w:ascii="宋体" w:hAnsi="宋体" w:cs="宋体"/>
                <w:color w:val="auto"/>
                <w:sz w:val="24"/>
                <w:highlight w:val="none"/>
              </w:rPr>
            </w:pPr>
            <w:r>
              <w:rPr>
                <w:rFonts w:hint="eastAsia" w:ascii="宋体" w:hAnsi="宋体" w:cs="宋体"/>
                <w:color w:val="auto"/>
                <w:sz w:val="24"/>
                <w:highlight w:val="none"/>
              </w:rPr>
              <w:t>罗赛</w:t>
            </w:r>
          </w:p>
        </w:tc>
        <w:tc>
          <w:tcPr>
            <w:tcW w:w="1880" w:type="dxa"/>
            <w:vAlign w:val="center"/>
          </w:tcPr>
          <w:p w14:paraId="3CCB19C6">
            <w:pPr>
              <w:shd w:val="clear"/>
              <w:jc w:val="center"/>
              <w:rPr>
                <w:rFonts w:hint="eastAsia" w:ascii="宋体" w:hAnsi="宋体" w:cs="宋体"/>
                <w:color w:val="auto"/>
                <w:sz w:val="24"/>
                <w:highlight w:val="none"/>
              </w:rPr>
            </w:pPr>
            <w:r>
              <w:rPr>
                <w:rFonts w:hint="eastAsia" w:ascii="宋体" w:hAnsi="宋体" w:cs="宋体"/>
                <w:color w:val="auto"/>
                <w:sz w:val="24"/>
                <w:highlight w:val="none"/>
              </w:rPr>
              <w:t>13736605643</w:t>
            </w:r>
          </w:p>
        </w:tc>
      </w:tr>
    </w:tbl>
    <w:p w14:paraId="19D3D0F2">
      <w:pPr>
        <w:shd w:val="clear"/>
        <w:spacing w:line="360" w:lineRule="auto"/>
        <w:jc w:val="right"/>
        <w:rPr>
          <w:rFonts w:hint="eastAsia" w:ascii="宋体" w:hAnsi="宋体" w:cs="宋体"/>
          <w:color w:val="auto"/>
          <w:sz w:val="24"/>
          <w:szCs w:val="32"/>
          <w:highlight w:val="none"/>
        </w:rPr>
      </w:pPr>
      <w:r>
        <w:rPr>
          <w:rFonts w:hint="eastAsia" w:ascii="宋体" w:hAnsi="宋体" w:cs="宋体"/>
          <w:color w:val="auto"/>
          <w:sz w:val="24"/>
          <w:szCs w:val="32"/>
          <w:highlight w:val="none"/>
        </w:rPr>
        <w:t>浙江五石中正工程咨询有限公司</w:t>
      </w:r>
    </w:p>
    <w:p w14:paraId="6E03861D">
      <w:pPr>
        <w:shd w:val="clear"/>
        <w:spacing w:line="360" w:lineRule="auto"/>
        <w:ind w:firstLine="6240" w:firstLineChars="2600"/>
        <w:rPr>
          <w:rFonts w:hint="eastAsia" w:ascii="宋体" w:hAnsi="宋体" w:cs="宋体"/>
          <w:color w:val="auto"/>
          <w:sz w:val="24"/>
          <w:szCs w:val="32"/>
          <w:highlight w:val="none"/>
        </w:rPr>
      </w:pPr>
      <w:r>
        <w:rPr>
          <w:rFonts w:hint="eastAsia" w:ascii="宋体" w:hAnsi="宋体" w:cs="宋体"/>
          <w:color w:val="auto"/>
          <w:sz w:val="24"/>
          <w:szCs w:val="32"/>
          <w:highlight w:val="none"/>
        </w:rPr>
        <w:t>202</w:t>
      </w:r>
      <w:r>
        <w:rPr>
          <w:rFonts w:hint="eastAsia" w:ascii="宋体" w:hAnsi="宋体" w:cs="宋体"/>
          <w:color w:val="auto"/>
          <w:sz w:val="24"/>
          <w:szCs w:val="32"/>
          <w:highlight w:val="none"/>
          <w:lang w:val="en-US" w:eastAsia="zh-CN"/>
        </w:rPr>
        <w:t>5</w:t>
      </w:r>
      <w:r>
        <w:rPr>
          <w:rFonts w:hint="eastAsia" w:ascii="宋体" w:hAnsi="宋体" w:cs="宋体"/>
          <w:color w:val="auto"/>
          <w:sz w:val="24"/>
          <w:szCs w:val="32"/>
          <w:highlight w:val="none"/>
        </w:rPr>
        <w:t>年</w:t>
      </w:r>
      <w:r>
        <w:rPr>
          <w:rFonts w:hint="eastAsia" w:ascii="宋体" w:hAnsi="宋体" w:cs="宋体"/>
          <w:color w:val="auto"/>
          <w:sz w:val="24"/>
          <w:szCs w:val="32"/>
          <w:highlight w:val="none"/>
          <w:lang w:val="en-US" w:eastAsia="zh-CN"/>
        </w:rPr>
        <w:t>4</w:t>
      </w:r>
      <w:r>
        <w:rPr>
          <w:rFonts w:hint="eastAsia" w:ascii="宋体" w:hAnsi="宋体" w:cs="宋体"/>
          <w:color w:val="auto"/>
          <w:sz w:val="24"/>
          <w:szCs w:val="32"/>
          <w:highlight w:val="none"/>
        </w:rPr>
        <w:t>月</w:t>
      </w:r>
    </w:p>
    <w:p w14:paraId="183CFB34">
      <w:pPr>
        <w:shd w:val="clear"/>
        <w:spacing w:line="360" w:lineRule="auto"/>
        <w:rPr>
          <w:rFonts w:hint="eastAsia" w:ascii="宋体" w:hAnsi="宋体" w:cs="宋体"/>
          <w:color w:val="auto"/>
          <w:sz w:val="24"/>
          <w:szCs w:val="32"/>
          <w:highlight w:val="none"/>
        </w:rPr>
      </w:pPr>
    </w:p>
    <w:p w14:paraId="767DA652">
      <w:pPr>
        <w:shd w:val="clear"/>
        <w:spacing w:line="360" w:lineRule="auto"/>
        <w:rPr>
          <w:rFonts w:hint="eastAsia" w:ascii="宋体" w:hAnsi="宋体" w:cs="宋体"/>
          <w:color w:val="auto"/>
          <w:sz w:val="24"/>
          <w:szCs w:val="32"/>
          <w:highlight w:val="none"/>
        </w:rPr>
      </w:pPr>
    </w:p>
    <w:p w14:paraId="4D628CFA">
      <w:pPr>
        <w:shd w:val="clear"/>
        <w:spacing w:line="360" w:lineRule="auto"/>
        <w:rPr>
          <w:rFonts w:hint="eastAsia" w:ascii="宋体" w:hAnsi="宋体" w:cs="宋体"/>
          <w:color w:val="auto"/>
          <w:sz w:val="24"/>
          <w:szCs w:val="32"/>
          <w:highlight w:val="none"/>
        </w:rPr>
      </w:pPr>
    </w:p>
    <w:p w14:paraId="58C72FF4">
      <w:pPr>
        <w:shd w:val="clear"/>
        <w:spacing w:line="360" w:lineRule="auto"/>
        <w:rPr>
          <w:rFonts w:hint="eastAsia" w:ascii="宋体" w:hAnsi="宋体" w:cs="宋体"/>
          <w:color w:val="auto"/>
          <w:sz w:val="24"/>
          <w:szCs w:val="32"/>
          <w:highlight w:val="none"/>
        </w:rPr>
      </w:pPr>
    </w:p>
    <w:p w14:paraId="6C879B60">
      <w:pPr>
        <w:shd w:val="clear"/>
        <w:spacing w:line="360" w:lineRule="auto"/>
        <w:rPr>
          <w:rFonts w:hint="eastAsia" w:ascii="宋体" w:hAnsi="宋体" w:cs="宋体"/>
          <w:color w:val="auto"/>
          <w:sz w:val="24"/>
          <w:szCs w:val="32"/>
          <w:highlight w:val="none"/>
        </w:rPr>
      </w:pPr>
    </w:p>
    <w:p w14:paraId="296095C2">
      <w:pPr>
        <w:shd w:val="clear"/>
        <w:spacing w:line="360" w:lineRule="auto"/>
        <w:rPr>
          <w:rFonts w:hint="eastAsia" w:ascii="宋体" w:hAnsi="宋体" w:cs="宋体"/>
          <w:color w:val="auto"/>
          <w:sz w:val="24"/>
          <w:szCs w:val="32"/>
          <w:highlight w:val="none"/>
        </w:rPr>
      </w:pPr>
    </w:p>
    <w:p w14:paraId="795DEBE5">
      <w:pPr>
        <w:shd w:val="clear"/>
        <w:spacing w:line="360" w:lineRule="auto"/>
        <w:rPr>
          <w:rFonts w:hint="eastAsia" w:ascii="宋体" w:hAnsi="宋体" w:cs="宋体"/>
          <w:color w:val="auto"/>
          <w:sz w:val="24"/>
          <w:szCs w:val="32"/>
          <w:highlight w:val="none"/>
        </w:rPr>
      </w:pPr>
    </w:p>
    <w:p w14:paraId="232FA7C7">
      <w:pPr>
        <w:shd w:val="clear"/>
        <w:spacing w:line="360" w:lineRule="auto"/>
        <w:rPr>
          <w:rFonts w:hint="eastAsia" w:ascii="宋体" w:hAnsi="宋体" w:cs="宋体"/>
          <w:color w:val="auto"/>
          <w:sz w:val="24"/>
          <w:szCs w:val="32"/>
          <w:highlight w:val="none"/>
        </w:rPr>
      </w:pPr>
    </w:p>
    <w:p w14:paraId="7644533C">
      <w:pPr>
        <w:shd w:val="clear"/>
        <w:spacing w:line="360" w:lineRule="auto"/>
        <w:rPr>
          <w:rFonts w:hint="eastAsia" w:ascii="宋体" w:hAnsi="宋体" w:cs="宋体"/>
          <w:color w:val="auto"/>
          <w:sz w:val="24"/>
          <w:szCs w:val="32"/>
          <w:highlight w:val="none"/>
        </w:rPr>
      </w:pPr>
    </w:p>
    <w:p w14:paraId="363A0BC0">
      <w:pPr>
        <w:shd w:val="clear"/>
        <w:spacing w:line="360" w:lineRule="auto"/>
        <w:rPr>
          <w:rFonts w:hint="eastAsia" w:ascii="宋体" w:hAnsi="宋体" w:cs="宋体"/>
          <w:color w:val="auto"/>
          <w:sz w:val="24"/>
          <w:szCs w:val="32"/>
          <w:highlight w:val="none"/>
        </w:rPr>
      </w:pPr>
    </w:p>
    <w:p w14:paraId="6BE18E67">
      <w:pPr>
        <w:pStyle w:val="11"/>
        <w:shd w:val="clear"/>
        <w:rPr>
          <w:rFonts w:hint="eastAsia" w:ascii="宋体" w:hAnsi="宋体" w:cs="宋体"/>
          <w:color w:val="auto"/>
          <w:szCs w:val="32"/>
          <w:highlight w:val="none"/>
        </w:rPr>
      </w:pPr>
    </w:p>
    <w:p w14:paraId="4720F476">
      <w:pPr>
        <w:pStyle w:val="27"/>
        <w:shd w:val="clear"/>
        <w:rPr>
          <w:rFonts w:hint="eastAsia" w:ascii="宋体" w:hAnsi="宋体" w:cs="宋体"/>
          <w:color w:val="auto"/>
          <w:highlight w:val="none"/>
        </w:rPr>
      </w:pPr>
    </w:p>
    <w:p w14:paraId="564F3433">
      <w:pPr>
        <w:shd w:val="clear"/>
        <w:spacing w:line="360" w:lineRule="auto"/>
        <w:rPr>
          <w:rFonts w:hint="eastAsia" w:ascii="宋体" w:hAnsi="宋体" w:cs="宋体"/>
          <w:color w:val="auto"/>
          <w:sz w:val="24"/>
          <w:szCs w:val="32"/>
          <w:highlight w:val="none"/>
        </w:rPr>
      </w:pPr>
    </w:p>
    <w:p w14:paraId="3792607E">
      <w:pPr>
        <w:shd w:val="clear"/>
        <w:spacing w:line="360" w:lineRule="auto"/>
        <w:rPr>
          <w:rFonts w:hint="eastAsia" w:ascii="宋体" w:hAnsi="宋体" w:cs="宋体"/>
          <w:color w:val="auto"/>
          <w:sz w:val="24"/>
          <w:szCs w:val="32"/>
          <w:highlight w:val="none"/>
        </w:rPr>
      </w:pPr>
    </w:p>
    <w:p w14:paraId="058CA50F">
      <w:pPr>
        <w:shd w:val="clear"/>
        <w:spacing w:line="360" w:lineRule="auto"/>
        <w:rPr>
          <w:rFonts w:hint="eastAsia" w:ascii="宋体" w:hAnsi="宋体" w:cs="宋体"/>
          <w:color w:val="auto"/>
          <w:sz w:val="24"/>
          <w:szCs w:val="32"/>
          <w:highlight w:val="none"/>
        </w:rPr>
      </w:pPr>
    </w:p>
    <w:p w14:paraId="7FA4D769">
      <w:pPr>
        <w:shd w:val="clear"/>
        <w:spacing w:line="360" w:lineRule="auto"/>
        <w:rPr>
          <w:rFonts w:hint="eastAsia" w:ascii="宋体" w:hAnsi="宋体" w:cs="宋体"/>
          <w:color w:val="auto"/>
          <w:sz w:val="24"/>
          <w:szCs w:val="32"/>
          <w:highlight w:val="none"/>
        </w:rPr>
      </w:pPr>
    </w:p>
    <w:p w14:paraId="71E8C25D">
      <w:pPr>
        <w:shd w:val="clear"/>
        <w:spacing w:line="360" w:lineRule="auto"/>
        <w:rPr>
          <w:rFonts w:hint="eastAsia" w:ascii="宋体" w:hAnsi="宋体" w:cs="宋体"/>
          <w:b/>
          <w:bCs/>
          <w:color w:val="auto"/>
          <w:sz w:val="36"/>
          <w:szCs w:val="44"/>
          <w:highlight w:val="none"/>
        </w:rPr>
      </w:pPr>
    </w:p>
    <w:p w14:paraId="0975674B">
      <w:pPr>
        <w:shd w:val="clear"/>
        <w:spacing w:line="360" w:lineRule="auto"/>
        <w:rPr>
          <w:rFonts w:hint="eastAsia" w:ascii="宋体" w:hAnsi="宋体" w:cs="宋体"/>
          <w:b/>
          <w:bCs/>
          <w:color w:val="auto"/>
          <w:sz w:val="36"/>
          <w:szCs w:val="44"/>
          <w:highlight w:val="none"/>
        </w:rPr>
      </w:pPr>
    </w:p>
    <w:p w14:paraId="7808654F">
      <w:pPr>
        <w:shd w:val="clear"/>
        <w:spacing w:line="360" w:lineRule="auto"/>
        <w:jc w:val="center"/>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第二章 投标人须知</w:t>
      </w:r>
    </w:p>
    <w:p w14:paraId="75238952">
      <w:pPr>
        <w:shd w:val="clear"/>
        <w:spacing w:line="360" w:lineRule="auto"/>
        <w:ind w:firstLine="482" w:firstLineChars="200"/>
        <w:jc w:val="center"/>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前附表</w:t>
      </w:r>
    </w:p>
    <w:tbl>
      <w:tblPr>
        <w:tblStyle w:val="29"/>
        <w:tblW w:w="10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2407"/>
        <w:gridCol w:w="7050"/>
      </w:tblGrid>
      <w:tr w14:paraId="19361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vAlign w:val="center"/>
          </w:tcPr>
          <w:p w14:paraId="6F581848">
            <w:pPr>
              <w:shd w:val="clea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2407" w:type="dxa"/>
            <w:vAlign w:val="center"/>
          </w:tcPr>
          <w:p w14:paraId="21A867FC">
            <w:pPr>
              <w:shd w:val="clear"/>
              <w:jc w:val="center"/>
              <w:rPr>
                <w:rFonts w:hint="eastAsia" w:ascii="宋体" w:hAnsi="宋体" w:cs="宋体"/>
                <w:color w:val="auto"/>
                <w:sz w:val="24"/>
                <w:highlight w:val="none"/>
              </w:rPr>
            </w:pPr>
            <w:r>
              <w:rPr>
                <w:rFonts w:hint="eastAsia" w:ascii="宋体" w:hAnsi="宋体" w:cs="宋体"/>
                <w:color w:val="auto"/>
                <w:sz w:val="24"/>
                <w:highlight w:val="none"/>
              </w:rPr>
              <w:t>项目</w:t>
            </w:r>
          </w:p>
        </w:tc>
        <w:tc>
          <w:tcPr>
            <w:tcW w:w="7050" w:type="dxa"/>
            <w:vAlign w:val="center"/>
          </w:tcPr>
          <w:p w14:paraId="54AA02B1">
            <w:pPr>
              <w:shd w:val="clear"/>
              <w:jc w:val="center"/>
              <w:rPr>
                <w:rFonts w:hint="eastAsia" w:ascii="宋体" w:hAnsi="宋体" w:cs="宋体"/>
                <w:color w:val="auto"/>
                <w:sz w:val="24"/>
                <w:highlight w:val="none"/>
              </w:rPr>
            </w:pPr>
            <w:r>
              <w:rPr>
                <w:rFonts w:hint="eastAsia" w:ascii="宋体" w:hAnsi="宋体" w:cs="宋体"/>
                <w:color w:val="auto"/>
                <w:sz w:val="24"/>
                <w:highlight w:val="none"/>
              </w:rPr>
              <w:t>内容</w:t>
            </w:r>
          </w:p>
        </w:tc>
      </w:tr>
      <w:tr w14:paraId="74DC8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vAlign w:val="center"/>
          </w:tcPr>
          <w:p w14:paraId="4B7BC9EA">
            <w:pPr>
              <w:shd w:val="clea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407" w:type="dxa"/>
            <w:vAlign w:val="center"/>
          </w:tcPr>
          <w:p w14:paraId="66FDEE1F">
            <w:pPr>
              <w:shd w:val="clear"/>
              <w:jc w:val="center"/>
              <w:rPr>
                <w:rFonts w:hint="eastAsia" w:ascii="宋体" w:hAnsi="宋体" w:cs="宋体"/>
                <w:color w:val="auto"/>
                <w:sz w:val="24"/>
                <w:highlight w:val="none"/>
              </w:rPr>
            </w:pPr>
            <w:r>
              <w:rPr>
                <w:rFonts w:hint="eastAsia" w:ascii="宋体" w:hAnsi="宋体" w:cs="宋体"/>
                <w:color w:val="auto"/>
                <w:sz w:val="24"/>
                <w:highlight w:val="none"/>
              </w:rPr>
              <w:t>供应商特定资格要求</w:t>
            </w:r>
          </w:p>
        </w:tc>
        <w:tc>
          <w:tcPr>
            <w:tcW w:w="7050" w:type="dxa"/>
            <w:vAlign w:val="center"/>
          </w:tcPr>
          <w:p w14:paraId="36A50C7B">
            <w:pPr>
              <w:shd w:val="clear"/>
              <w:rPr>
                <w:rFonts w:hint="eastAsia" w:ascii="宋体" w:hAnsi="宋体" w:cs="宋体"/>
                <w:color w:val="auto"/>
                <w:sz w:val="24"/>
                <w:highlight w:val="none"/>
              </w:rPr>
            </w:pPr>
            <w:r>
              <w:rPr>
                <w:rFonts w:hint="eastAsia" w:ascii="宋体" w:hAnsi="宋体" w:cs="宋体"/>
                <w:color w:val="auto"/>
                <w:sz w:val="24"/>
                <w:highlight w:val="none"/>
              </w:rPr>
              <w:t>符合招标公告资格要求的供应商。</w:t>
            </w:r>
          </w:p>
        </w:tc>
      </w:tr>
      <w:tr w14:paraId="74A5E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vAlign w:val="center"/>
          </w:tcPr>
          <w:p w14:paraId="4C843E2D">
            <w:pPr>
              <w:shd w:val="clea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407" w:type="dxa"/>
            <w:vAlign w:val="center"/>
          </w:tcPr>
          <w:p w14:paraId="08521473">
            <w:pPr>
              <w:shd w:val="clear"/>
              <w:jc w:val="center"/>
              <w:rPr>
                <w:rFonts w:hint="eastAsia" w:ascii="宋体" w:hAnsi="宋体" w:cs="宋体"/>
                <w:color w:val="auto"/>
                <w:sz w:val="24"/>
                <w:highlight w:val="none"/>
              </w:rPr>
            </w:pPr>
            <w:r>
              <w:rPr>
                <w:rFonts w:hint="eastAsia" w:ascii="宋体" w:hAnsi="宋体" w:cs="宋体"/>
                <w:color w:val="auto"/>
                <w:kern w:val="0"/>
                <w:sz w:val="24"/>
                <w:highlight w:val="none"/>
              </w:rPr>
              <w:t>答疑会或</w:t>
            </w:r>
            <w:r>
              <w:rPr>
                <w:rFonts w:hint="eastAsia" w:ascii="宋体" w:hAnsi="宋体" w:cs="宋体"/>
                <w:color w:val="auto"/>
                <w:sz w:val="24"/>
                <w:highlight w:val="none"/>
              </w:rPr>
              <w:t>现场踏勘</w:t>
            </w:r>
          </w:p>
        </w:tc>
        <w:tc>
          <w:tcPr>
            <w:tcW w:w="7050" w:type="dxa"/>
            <w:vAlign w:val="center"/>
          </w:tcPr>
          <w:p w14:paraId="4FE739EC">
            <w:pPr>
              <w:shd w:val="clear"/>
              <w:rPr>
                <w:rFonts w:hint="eastAsia" w:ascii="宋体" w:hAnsi="宋体" w:cs="宋体"/>
                <w:color w:val="auto"/>
                <w:sz w:val="24"/>
                <w:highlight w:val="none"/>
              </w:rPr>
            </w:pPr>
            <w:r>
              <w:rPr>
                <w:rFonts w:hint="eastAsia" w:ascii="宋体" w:hAnsi="宋体" w:cs="宋体"/>
                <w:color w:val="auto"/>
                <w:sz w:val="24"/>
                <w:highlight w:val="none"/>
              </w:rPr>
              <w:t>无。</w:t>
            </w:r>
          </w:p>
        </w:tc>
      </w:tr>
      <w:tr w14:paraId="4C147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2" w:hRule="atLeast"/>
          <w:jc w:val="center"/>
        </w:trPr>
        <w:tc>
          <w:tcPr>
            <w:tcW w:w="756" w:type="dxa"/>
            <w:vAlign w:val="center"/>
          </w:tcPr>
          <w:p w14:paraId="1C2C982E">
            <w:pPr>
              <w:shd w:val="clea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407" w:type="dxa"/>
            <w:vAlign w:val="center"/>
          </w:tcPr>
          <w:p w14:paraId="75D6E610">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投标文件递交要求</w:t>
            </w:r>
          </w:p>
        </w:tc>
        <w:tc>
          <w:tcPr>
            <w:tcW w:w="7050" w:type="dxa"/>
            <w:vAlign w:val="center"/>
          </w:tcPr>
          <w:p w14:paraId="5044ED58">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本项目实行</w:t>
            </w:r>
            <w:r>
              <w:rPr>
                <w:rFonts w:hint="eastAsia" w:ascii="宋体" w:hAnsi="宋体" w:cs="宋体"/>
                <w:b/>
                <w:bCs/>
                <w:color w:val="auto"/>
                <w:sz w:val="24"/>
                <w:highlight w:val="none"/>
              </w:rPr>
              <w:t>电子投标</w:t>
            </w:r>
            <w:r>
              <w:rPr>
                <w:rFonts w:hint="eastAsia" w:ascii="宋体" w:hAnsi="宋体" w:cs="宋体"/>
                <w:color w:val="auto"/>
                <w:sz w:val="24"/>
                <w:highlight w:val="none"/>
              </w:rPr>
              <w:t>，供应商应准备电子投标文件。</w:t>
            </w:r>
            <w:r>
              <w:rPr>
                <w:rFonts w:hint="eastAsia" w:ascii="宋体" w:hAnsi="宋体" w:cs="宋体"/>
                <w:b/>
                <w:bCs/>
                <w:color w:val="auto"/>
                <w:sz w:val="24"/>
                <w:highlight w:val="none"/>
              </w:rPr>
              <w:t>还可以提供以介质（U盘）存储的数据电文形式、纸质备份投标文件。</w:t>
            </w:r>
          </w:p>
          <w:p w14:paraId="7F523AC8">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1.电子投标文件，按政采云平台项目采购--电子招投标操作指南及本招标文件要求编制、递交。</w:t>
            </w:r>
          </w:p>
          <w:p w14:paraId="10A6077D">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2.以介质（U盘）存储的数据电文形式的备份投标文件，按政采云平台项目采购-电子招投标操作指南中上传的电子投标文件格式，以U盘形式提供。</w:t>
            </w:r>
          </w:p>
          <w:p w14:paraId="4C7A1190">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3.纸质备份投标文件以纸质文件的形式编制，按资格证明文件、商务技术文件、报价文件三部分分别编制并单独装订成册，</w:t>
            </w:r>
            <w:r>
              <w:rPr>
                <w:rFonts w:hint="eastAsia" w:ascii="宋体" w:hAnsi="宋体" w:cs="宋体"/>
                <w:b/>
                <w:bCs/>
                <w:color w:val="auto"/>
                <w:sz w:val="24"/>
                <w:highlight w:val="none"/>
              </w:rPr>
              <w:t>数量均为2份（一正一副）</w:t>
            </w:r>
            <w:r>
              <w:rPr>
                <w:rFonts w:hint="eastAsia" w:ascii="宋体" w:hAnsi="宋体" w:cs="宋体"/>
                <w:color w:val="auto"/>
                <w:sz w:val="24"/>
                <w:highlight w:val="none"/>
              </w:rPr>
              <w:t>。资格证明文件、商务技术文件、报价文件三部分须分别密封封装，资格证明文件、商务技术文件、报价文件三部分未分别密封的投标文件将为无效。</w:t>
            </w:r>
          </w:p>
          <w:p w14:paraId="0200A246">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4.投标文件启用顺序和效力：投标文件的启用，按先后顺位分别为电子投标文件、以介质（U盘）存储的数据电文形式的备份投标文件。</w:t>
            </w:r>
          </w:p>
          <w:p w14:paraId="6D5E0C8D">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5.▲未传输递交电子投标文件的，投标无效。</w:t>
            </w:r>
          </w:p>
        </w:tc>
      </w:tr>
      <w:tr w14:paraId="2FB8A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56" w:type="dxa"/>
            <w:vAlign w:val="center"/>
          </w:tcPr>
          <w:p w14:paraId="47DD95B4">
            <w:pPr>
              <w:shd w:val="clea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2407" w:type="dxa"/>
            <w:vAlign w:val="center"/>
          </w:tcPr>
          <w:p w14:paraId="1AC4EEC3">
            <w:pPr>
              <w:shd w:val="clear"/>
              <w:jc w:val="center"/>
              <w:rPr>
                <w:rFonts w:hint="eastAsia" w:ascii="宋体" w:hAnsi="宋体" w:cs="宋体"/>
                <w:color w:val="auto"/>
                <w:sz w:val="24"/>
                <w:highlight w:val="none"/>
              </w:rPr>
            </w:pPr>
            <w:r>
              <w:rPr>
                <w:rFonts w:hint="eastAsia" w:ascii="宋体" w:hAnsi="宋体" w:cs="宋体"/>
                <w:color w:val="auto"/>
                <w:sz w:val="24"/>
                <w:highlight w:val="none"/>
              </w:rPr>
              <w:t>投标有效期</w:t>
            </w:r>
          </w:p>
        </w:tc>
        <w:tc>
          <w:tcPr>
            <w:tcW w:w="7050" w:type="dxa"/>
            <w:vAlign w:val="center"/>
          </w:tcPr>
          <w:p w14:paraId="1008768D">
            <w:pPr>
              <w:shd w:val="clear"/>
              <w:rPr>
                <w:rFonts w:hint="eastAsia" w:ascii="宋体" w:hAnsi="宋体" w:cs="宋体"/>
                <w:color w:val="auto"/>
                <w:sz w:val="24"/>
                <w:highlight w:val="none"/>
              </w:rPr>
            </w:pPr>
            <w:r>
              <w:rPr>
                <w:rFonts w:hint="eastAsia" w:ascii="宋体" w:hAnsi="宋体" w:cs="宋体"/>
                <w:color w:val="auto"/>
                <w:sz w:val="24"/>
                <w:highlight w:val="none"/>
              </w:rPr>
              <w:t>投标有效期为开标后90天，</w:t>
            </w:r>
            <w:r>
              <w:rPr>
                <w:rFonts w:hint="eastAsia" w:ascii="宋体" w:hAnsi="宋体" w:cs="宋体"/>
                <w:color w:val="auto"/>
                <w:kern w:val="0"/>
                <w:sz w:val="24"/>
                <w:highlight w:val="none"/>
              </w:rPr>
              <w:t>投标有效期从提交投标文件的截止之日起算。</w:t>
            </w:r>
          </w:p>
        </w:tc>
      </w:tr>
      <w:tr w14:paraId="7C7E3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56" w:type="dxa"/>
            <w:vAlign w:val="center"/>
          </w:tcPr>
          <w:p w14:paraId="5AB239F3">
            <w:pPr>
              <w:shd w:val="clea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2407" w:type="dxa"/>
            <w:vAlign w:val="center"/>
          </w:tcPr>
          <w:p w14:paraId="026605EF">
            <w:pPr>
              <w:shd w:val="clear"/>
              <w:jc w:val="center"/>
              <w:rPr>
                <w:rFonts w:hint="eastAsia" w:ascii="宋体" w:hAnsi="宋体" w:cs="宋体"/>
                <w:color w:val="auto"/>
                <w:sz w:val="24"/>
                <w:highlight w:val="none"/>
              </w:rPr>
            </w:pPr>
            <w:r>
              <w:rPr>
                <w:rFonts w:hint="eastAsia" w:ascii="宋体" w:hAnsi="宋体" w:cs="宋体"/>
                <w:color w:val="auto"/>
                <w:sz w:val="24"/>
                <w:highlight w:val="none"/>
              </w:rPr>
              <w:t>投标文件递交</w:t>
            </w:r>
          </w:p>
        </w:tc>
        <w:tc>
          <w:tcPr>
            <w:tcW w:w="7050" w:type="dxa"/>
            <w:vAlign w:val="center"/>
          </w:tcPr>
          <w:p w14:paraId="1EFE4F75">
            <w:pPr>
              <w:shd w:val="clear"/>
              <w:rPr>
                <w:rFonts w:hint="eastAsia" w:ascii="宋体" w:hAnsi="宋体" w:cs="宋体"/>
                <w:color w:val="auto"/>
                <w:sz w:val="24"/>
                <w:highlight w:val="none"/>
              </w:rPr>
            </w:pPr>
            <w:r>
              <w:rPr>
                <w:rFonts w:hint="eastAsia" w:ascii="宋体" w:hAnsi="宋体" w:cs="宋体"/>
                <w:color w:val="auto"/>
                <w:sz w:val="24"/>
                <w:highlight w:val="none"/>
              </w:rPr>
              <w:t>截止时间：北京时间</w:t>
            </w:r>
            <w:r>
              <w:rPr>
                <w:rFonts w:hint="eastAsia" w:ascii="宋体" w:hAnsi="宋体" w:cs="宋体"/>
                <w:color w:val="auto"/>
                <w:sz w:val="24"/>
                <w:highlight w:val="none"/>
                <w:lang w:eastAsia="zh-CN"/>
              </w:rPr>
              <w:t>2025年5月8日上午09:00</w:t>
            </w:r>
            <w:r>
              <w:rPr>
                <w:rFonts w:hint="eastAsia" w:ascii="宋体" w:hAnsi="宋体" w:cs="宋体"/>
                <w:color w:val="auto"/>
                <w:sz w:val="24"/>
                <w:highlight w:val="none"/>
              </w:rPr>
              <w:t>整</w:t>
            </w:r>
          </w:p>
          <w:p w14:paraId="1D3B06BD">
            <w:pPr>
              <w:shd w:val="clear"/>
              <w:rPr>
                <w:rFonts w:hint="eastAsia" w:ascii="宋体" w:hAnsi="宋体" w:cs="宋体"/>
                <w:color w:val="auto"/>
                <w:sz w:val="24"/>
                <w:highlight w:val="none"/>
              </w:rPr>
            </w:pPr>
            <w:r>
              <w:rPr>
                <w:rFonts w:hint="eastAsia" w:ascii="宋体" w:hAnsi="宋体" w:cs="宋体"/>
                <w:color w:val="auto"/>
                <w:sz w:val="24"/>
                <w:highlight w:val="none"/>
              </w:rPr>
              <w:t>投标供应商应当在投标截止时间前将生成的“电子加密投标文件”上传递交至“政府采购云平台”，并在开标当日投标截止时间前提交纸质备份投标文件。</w:t>
            </w:r>
          </w:p>
        </w:tc>
      </w:tr>
      <w:tr w14:paraId="53C7C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756" w:type="dxa"/>
            <w:vAlign w:val="center"/>
          </w:tcPr>
          <w:p w14:paraId="10721697">
            <w:pPr>
              <w:shd w:val="clea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2407" w:type="dxa"/>
            <w:vAlign w:val="center"/>
          </w:tcPr>
          <w:p w14:paraId="03D94B4B">
            <w:pPr>
              <w:shd w:val="clear"/>
              <w:jc w:val="center"/>
              <w:rPr>
                <w:rFonts w:hint="eastAsia" w:ascii="宋体" w:hAnsi="宋体" w:cs="宋体"/>
                <w:color w:val="auto"/>
                <w:sz w:val="24"/>
                <w:highlight w:val="none"/>
              </w:rPr>
            </w:pPr>
            <w:r>
              <w:rPr>
                <w:rFonts w:hint="eastAsia" w:ascii="宋体" w:hAnsi="宋体" w:cs="宋体"/>
                <w:color w:val="auto"/>
                <w:sz w:val="24"/>
                <w:highlight w:val="none"/>
              </w:rPr>
              <w:t>开标时间及地点</w:t>
            </w:r>
          </w:p>
        </w:tc>
        <w:tc>
          <w:tcPr>
            <w:tcW w:w="7050" w:type="dxa"/>
            <w:vAlign w:val="center"/>
          </w:tcPr>
          <w:p w14:paraId="422A24B5">
            <w:pPr>
              <w:shd w:val="clear"/>
              <w:rPr>
                <w:rFonts w:hint="eastAsia" w:ascii="宋体" w:hAnsi="宋体" w:cs="宋体"/>
                <w:color w:val="auto"/>
                <w:sz w:val="24"/>
                <w:highlight w:val="none"/>
              </w:rPr>
            </w:pPr>
            <w:r>
              <w:rPr>
                <w:rFonts w:hint="eastAsia" w:ascii="宋体" w:hAnsi="宋体" w:cs="宋体"/>
                <w:color w:val="auto"/>
                <w:sz w:val="24"/>
                <w:highlight w:val="none"/>
              </w:rPr>
              <w:t>时间：北京时间</w:t>
            </w:r>
            <w:r>
              <w:rPr>
                <w:rFonts w:hint="eastAsia" w:ascii="宋体" w:hAnsi="宋体" w:cs="宋体"/>
                <w:color w:val="auto"/>
                <w:sz w:val="24"/>
                <w:highlight w:val="none"/>
                <w:lang w:eastAsia="zh-CN"/>
              </w:rPr>
              <w:t>2025年5月8日上午09:00</w:t>
            </w:r>
            <w:r>
              <w:rPr>
                <w:rFonts w:hint="eastAsia" w:ascii="宋体" w:hAnsi="宋体" w:cs="宋体"/>
                <w:color w:val="auto"/>
                <w:sz w:val="24"/>
                <w:highlight w:val="none"/>
              </w:rPr>
              <w:t>整</w:t>
            </w:r>
          </w:p>
          <w:p w14:paraId="65CF10E3">
            <w:pPr>
              <w:shd w:val="clear"/>
              <w:rPr>
                <w:rFonts w:hint="eastAsia" w:ascii="宋体" w:hAnsi="宋体" w:eastAsia="宋体" w:cs="宋体"/>
                <w:color w:val="auto"/>
                <w:sz w:val="24"/>
                <w:highlight w:val="none"/>
                <w:lang w:eastAsia="zh-CN"/>
              </w:rPr>
            </w:pPr>
            <w:r>
              <w:rPr>
                <w:rFonts w:hint="eastAsia" w:ascii="宋体" w:hAnsi="宋体" w:cs="宋体"/>
                <w:color w:val="auto"/>
                <w:sz w:val="24"/>
                <w:highlight w:val="none"/>
              </w:rPr>
              <w:t>地点：</w:t>
            </w:r>
            <w:r>
              <w:rPr>
                <w:rFonts w:hint="eastAsia" w:ascii="宋体" w:hAnsi="宋体" w:cs="宋体"/>
                <w:color w:val="auto"/>
                <w:sz w:val="24"/>
                <w:szCs w:val="32"/>
                <w:highlight w:val="none"/>
              </w:rPr>
              <w:t>“政府采购云平台”线上开标/椒江区椒江区市府大道777号民泰大楼3楼一号开标室</w:t>
            </w:r>
            <w:r>
              <w:rPr>
                <w:rFonts w:hint="eastAsia" w:ascii="宋体" w:hAnsi="宋体" w:cs="宋体"/>
                <w:color w:val="auto"/>
                <w:sz w:val="24"/>
                <w:szCs w:val="32"/>
                <w:highlight w:val="none"/>
                <w:lang w:val="en-US" w:eastAsia="zh-CN"/>
              </w:rPr>
              <w:t>A</w:t>
            </w:r>
            <w:r>
              <w:rPr>
                <w:rFonts w:hint="eastAsia" w:ascii="宋体" w:hAnsi="宋体" w:cs="宋体"/>
                <w:color w:val="auto"/>
                <w:sz w:val="24"/>
                <w:szCs w:val="32"/>
                <w:highlight w:val="none"/>
                <w:lang w:eastAsia="zh-CN"/>
              </w:rPr>
              <w:t>场地</w:t>
            </w:r>
          </w:p>
        </w:tc>
      </w:tr>
      <w:tr w14:paraId="72EAA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vAlign w:val="center"/>
          </w:tcPr>
          <w:p w14:paraId="32F1A468">
            <w:pPr>
              <w:shd w:val="clea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2407" w:type="dxa"/>
            <w:vAlign w:val="center"/>
          </w:tcPr>
          <w:p w14:paraId="7B3D087D">
            <w:pPr>
              <w:shd w:val="clear"/>
              <w:jc w:val="center"/>
              <w:rPr>
                <w:rFonts w:hint="eastAsia" w:ascii="宋体" w:hAnsi="宋体" w:cs="宋体"/>
                <w:color w:val="auto"/>
                <w:sz w:val="24"/>
                <w:highlight w:val="none"/>
              </w:rPr>
            </w:pPr>
            <w:r>
              <w:rPr>
                <w:rFonts w:hint="eastAsia" w:ascii="宋体" w:hAnsi="宋体" w:cs="宋体"/>
                <w:color w:val="auto"/>
                <w:sz w:val="24"/>
                <w:highlight w:val="none"/>
              </w:rPr>
              <w:t>履约保证金</w:t>
            </w:r>
          </w:p>
        </w:tc>
        <w:tc>
          <w:tcPr>
            <w:tcW w:w="7050" w:type="dxa"/>
            <w:vAlign w:val="center"/>
          </w:tcPr>
          <w:p w14:paraId="6F7B9406">
            <w:pPr>
              <w:shd w:val="clear"/>
              <w:rPr>
                <w:rFonts w:hint="eastAsia" w:ascii="宋体" w:hAnsi="宋体" w:cs="宋体"/>
                <w:color w:val="auto"/>
                <w:sz w:val="24"/>
                <w:highlight w:val="none"/>
              </w:rPr>
            </w:pPr>
            <w:r>
              <w:rPr>
                <w:rFonts w:hint="eastAsia" w:ascii="宋体" w:hAnsi="宋体" w:cs="宋体"/>
                <w:color w:val="auto"/>
                <w:sz w:val="24"/>
                <w:highlight w:val="none"/>
              </w:rPr>
              <w:t>无</w:t>
            </w:r>
          </w:p>
        </w:tc>
      </w:tr>
      <w:tr w14:paraId="15CCE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vAlign w:val="center"/>
          </w:tcPr>
          <w:p w14:paraId="2FA2C2D5">
            <w:pPr>
              <w:shd w:val="clea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2407" w:type="dxa"/>
            <w:vAlign w:val="center"/>
          </w:tcPr>
          <w:p w14:paraId="12193555">
            <w:pPr>
              <w:shd w:val="clear"/>
              <w:autoSpaceDE w:val="0"/>
              <w:autoSpaceDN w:val="0"/>
              <w:adjustRightInd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实质性条款</w:t>
            </w:r>
          </w:p>
        </w:tc>
        <w:tc>
          <w:tcPr>
            <w:tcW w:w="7050" w:type="dxa"/>
            <w:vAlign w:val="center"/>
          </w:tcPr>
          <w:p w14:paraId="6C1FAA16">
            <w:pPr>
              <w:shd w:val="clear"/>
              <w:rPr>
                <w:rFonts w:hint="eastAsia" w:ascii="宋体" w:hAnsi="宋体" w:cs="宋体"/>
                <w:color w:val="auto"/>
                <w:sz w:val="24"/>
                <w:highlight w:val="none"/>
              </w:rPr>
            </w:pPr>
            <w:r>
              <w:rPr>
                <w:rFonts w:hint="eastAsia" w:ascii="宋体" w:hAnsi="宋体" w:cs="宋体"/>
                <w:color w:val="auto"/>
                <w:sz w:val="24"/>
                <w:highlight w:val="none"/>
                <w:lang w:val="zh-CN"/>
              </w:rPr>
              <w:t>带“</w:t>
            </w:r>
            <w:r>
              <w:rPr>
                <w:rFonts w:hint="eastAsia" w:ascii="宋体" w:hAnsi="宋体" w:cs="宋体"/>
                <w:color w:val="auto"/>
                <w:sz w:val="24"/>
                <w:highlight w:val="none"/>
              </w:rPr>
              <w:t>▲”的条款是实质性条款，投标文件须作出实质性响应，否则作无效投标处理。</w:t>
            </w:r>
          </w:p>
        </w:tc>
      </w:tr>
      <w:tr w14:paraId="7858F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tcBorders>
              <w:top w:val="single" w:color="auto" w:sz="4" w:space="0"/>
              <w:left w:val="single" w:color="auto" w:sz="4" w:space="0"/>
              <w:bottom w:val="single" w:color="auto" w:sz="4" w:space="0"/>
              <w:right w:val="single" w:color="auto" w:sz="4" w:space="0"/>
            </w:tcBorders>
            <w:vAlign w:val="center"/>
          </w:tcPr>
          <w:p w14:paraId="71DDDD00">
            <w:pPr>
              <w:shd w:val="clea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2407" w:type="dxa"/>
            <w:tcBorders>
              <w:top w:val="single" w:color="auto" w:sz="4" w:space="0"/>
              <w:left w:val="single" w:color="auto" w:sz="4" w:space="0"/>
              <w:bottom w:val="single" w:color="auto" w:sz="4" w:space="0"/>
              <w:right w:val="single" w:color="auto" w:sz="4" w:space="0"/>
            </w:tcBorders>
            <w:vAlign w:val="center"/>
          </w:tcPr>
          <w:p w14:paraId="67744694">
            <w:pPr>
              <w:shd w:val="clear"/>
              <w:autoSpaceDE w:val="0"/>
              <w:autoSpaceDN w:val="0"/>
              <w:adjustRightInd w:val="0"/>
              <w:jc w:val="center"/>
              <w:rPr>
                <w:rFonts w:hint="eastAsia" w:ascii="宋体" w:hAnsi="宋体" w:cs="宋体"/>
                <w:color w:val="auto"/>
                <w:sz w:val="24"/>
                <w:highlight w:val="none"/>
              </w:rPr>
            </w:pPr>
            <w:r>
              <w:rPr>
                <w:rFonts w:hint="eastAsia" w:ascii="宋体" w:hAnsi="宋体" w:cs="宋体"/>
                <w:color w:val="auto"/>
                <w:sz w:val="24"/>
                <w:highlight w:val="none"/>
                <w:lang w:val="zh-CN"/>
              </w:rPr>
              <w:t>样品</w:t>
            </w:r>
            <w:r>
              <w:rPr>
                <w:rFonts w:hint="eastAsia" w:ascii="宋体" w:hAnsi="宋体" w:cs="宋体"/>
                <w:color w:val="auto"/>
                <w:sz w:val="24"/>
                <w:highlight w:val="none"/>
              </w:rPr>
              <w:t>及演示</w:t>
            </w:r>
          </w:p>
        </w:tc>
        <w:tc>
          <w:tcPr>
            <w:tcW w:w="7050" w:type="dxa"/>
            <w:tcBorders>
              <w:top w:val="single" w:color="auto" w:sz="4" w:space="0"/>
              <w:left w:val="single" w:color="auto" w:sz="4" w:space="0"/>
              <w:bottom w:val="single" w:color="auto" w:sz="4" w:space="0"/>
              <w:right w:val="single" w:color="auto" w:sz="4" w:space="0"/>
            </w:tcBorders>
            <w:vAlign w:val="center"/>
          </w:tcPr>
          <w:p w14:paraId="40D53849">
            <w:pPr>
              <w:shd w:val="clear"/>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详见评分标准。</w:t>
            </w:r>
          </w:p>
          <w:p w14:paraId="3CE0A0E1">
            <w:pPr>
              <w:shd w:val="clear"/>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1.投标人将需演示的部分自行演示并录制成视频制作在U盘中，录制视频时长不超过10分钟，录制的视频为MP4格式，在投标截止时间前将U盘密封完好递交到招标代理机构处。（地址：浙江省台州市椒江区市府大道777号民泰大楼3楼）递交压缩加密的演示视频（U盘介质）</w:t>
            </w:r>
            <w:r>
              <w:rPr>
                <w:rFonts w:hint="eastAsia" w:ascii="宋体" w:hAnsi="宋体" w:cs="宋体"/>
                <w:color w:val="auto"/>
                <w:sz w:val="24"/>
                <w:highlight w:val="none"/>
                <w:lang w:eastAsia="zh-CN"/>
              </w:rPr>
              <w:t>，</w:t>
            </w:r>
            <w:r>
              <w:rPr>
                <w:rFonts w:hint="eastAsia" w:ascii="宋体" w:hAnsi="宋体" w:cs="宋体"/>
                <w:color w:val="auto"/>
                <w:sz w:val="24"/>
                <w:highlight w:val="none"/>
              </w:rPr>
              <w:t>接</w:t>
            </w:r>
            <w:r>
              <w:rPr>
                <w:rFonts w:hint="eastAsia" w:ascii="宋体" w:hAnsi="宋体" w:cs="宋体"/>
                <w:color w:val="auto"/>
                <w:sz w:val="24"/>
                <w:highlight w:val="none"/>
                <w:lang w:val="en-US" w:eastAsia="zh-CN"/>
              </w:rPr>
              <w:t>收</w:t>
            </w:r>
            <w:r>
              <w:rPr>
                <w:rFonts w:hint="eastAsia" w:ascii="宋体" w:hAnsi="宋体" w:cs="宋体"/>
                <w:color w:val="auto"/>
                <w:sz w:val="24"/>
                <w:highlight w:val="none"/>
              </w:rPr>
              <w:t>人：徐先生，联系电话：15088711407）</w:t>
            </w:r>
          </w:p>
          <w:p w14:paraId="72C48616">
            <w:pPr>
              <w:shd w:val="clear"/>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2.开标评审的演示评审环节，演示顺序按电子交易平台解密后自动生成的“投标（响应）文件签收登记表”名单顺序分别进行，代理机构向各投标人获取视频解密密码，未及时提供解密密码或无法打开视频的，演示不得分。</w:t>
            </w:r>
          </w:p>
        </w:tc>
      </w:tr>
      <w:tr w14:paraId="5AB53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tcBorders>
              <w:top w:val="single" w:color="auto" w:sz="4" w:space="0"/>
              <w:left w:val="single" w:color="auto" w:sz="4" w:space="0"/>
              <w:bottom w:val="single" w:color="auto" w:sz="4" w:space="0"/>
              <w:right w:val="single" w:color="auto" w:sz="4" w:space="0"/>
            </w:tcBorders>
            <w:vAlign w:val="center"/>
          </w:tcPr>
          <w:p w14:paraId="071052AC">
            <w:pPr>
              <w:shd w:val="clea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2407" w:type="dxa"/>
            <w:tcBorders>
              <w:top w:val="single" w:color="auto" w:sz="4" w:space="0"/>
              <w:left w:val="single" w:color="auto" w:sz="4" w:space="0"/>
              <w:bottom w:val="single" w:color="auto" w:sz="4" w:space="0"/>
              <w:right w:val="single" w:color="auto" w:sz="4" w:space="0"/>
            </w:tcBorders>
            <w:vAlign w:val="center"/>
          </w:tcPr>
          <w:p w14:paraId="18404C0E">
            <w:pPr>
              <w:shd w:val="clear"/>
              <w:autoSpaceDE w:val="0"/>
              <w:autoSpaceDN w:val="0"/>
              <w:adjustRightInd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节能环保</w:t>
            </w:r>
          </w:p>
        </w:tc>
        <w:tc>
          <w:tcPr>
            <w:tcW w:w="7050" w:type="dxa"/>
            <w:tcBorders>
              <w:top w:val="single" w:color="auto" w:sz="4" w:space="0"/>
              <w:left w:val="single" w:color="auto" w:sz="4" w:space="0"/>
              <w:bottom w:val="single" w:color="auto" w:sz="4" w:space="0"/>
              <w:right w:val="single" w:color="auto" w:sz="4" w:space="0"/>
            </w:tcBorders>
            <w:vAlign w:val="center"/>
          </w:tcPr>
          <w:p w14:paraId="75B27812">
            <w:pPr>
              <w:shd w:val="clear"/>
              <w:rPr>
                <w:rFonts w:hint="eastAsia" w:ascii="宋体" w:hAnsi="宋体" w:cs="宋体"/>
                <w:color w:val="auto"/>
                <w:sz w:val="24"/>
                <w:highlight w:val="none"/>
              </w:rPr>
            </w:pPr>
            <w:r>
              <w:rPr>
                <w:rFonts w:hint="eastAsia" w:ascii="宋体" w:hAnsi="宋体" w:cs="宋体"/>
                <w:color w:val="auto"/>
                <w:sz w:val="24"/>
                <w:highlight w:val="none"/>
              </w:rPr>
              <w:t>符合国家相关法律规定。</w:t>
            </w:r>
          </w:p>
        </w:tc>
      </w:tr>
      <w:tr w14:paraId="082CE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tcBorders>
              <w:top w:val="single" w:color="auto" w:sz="4" w:space="0"/>
              <w:left w:val="single" w:color="auto" w:sz="4" w:space="0"/>
              <w:bottom w:val="single" w:color="auto" w:sz="4" w:space="0"/>
              <w:right w:val="single" w:color="auto" w:sz="4" w:space="0"/>
            </w:tcBorders>
            <w:vAlign w:val="center"/>
          </w:tcPr>
          <w:p w14:paraId="747A9560">
            <w:pPr>
              <w:shd w:val="clear"/>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2407" w:type="dxa"/>
            <w:tcBorders>
              <w:top w:val="single" w:color="auto" w:sz="4" w:space="0"/>
              <w:left w:val="single" w:color="auto" w:sz="4" w:space="0"/>
              <w:bottom w:val="single" w:color="auto" w:sz="4" w:space="0"/>
              <w:right w:val="single" w:color="auto" w:sz="4" w:space="0"/>
            </w:tcBorders>
            <w:vAlign w:val="center"/>
          </w:tcPr>
          <w:p w14:paraId="1DC18042">
            <w:pPr>
              <w:widowControl/>
              <w:shd w:val="clear"/>
              <w:jc w:val="center"/>
              <w:rPr>
                <w:rFonts w:hint="eastAsia" w:ascii="宋体" w:hAnsi="宋体" w:cs="宋体"/>
                <w:color w:val="auto"/>
                <w:sz w:val="24"/>
                <w:highlight w:val="none"/>
              </w:rPr>
            </w:pPr>
            <w:r>
              <w:rPr>
                <w:rFonts w:hint="eastAsia" w:ascii="宋体" w:hAnsi="宋体" w:cs="宋体"/>
                <w:color w:val="auto"/>
                <w:kern w:val="0"/>
                <w:sz w:val="24"/>
                <w:highlight w:val="none"/>
              </w:rPr>
              <w:t>是否专门面向中小微企业采购</w:t>
            </w:r>
          </w:p>
        </w:tc>
        <w:tc>
          <w:tcPr>
            <w:tcW w:w="7050" w:type="dxa"/>
            <w:tcBorders>
              <w:top w:val="single" w:color="auto" w:sz="4" w:space="0"/>
              <w:left w:val="single" w:color="auto" w:sz="4" w:space="0"/>
              <w:bottom w:val="single" w:color="auto" w:sz="4" w:space="0"/>
              <w:right w:val="single" w:color="auto" w:sz="4" w:space="0"/>
            </w:tcBorders>
            <w:vAlign w:val="center"/>
          </w:tcPr>
          <w:p w14:paraId="23622B89">
            <w:pPr>
              <w:widowControl/>
              <w:shd w:val="clear"/>
              <w:jc w:val="left"/>
              <w:rPr>
                <w:rFonts w:hint="eastAsia" w:ascii="宋体" w:hAnsi="宋体" w:cs="宋体"/>
                <w:color w:val="auto"/>
                <w:highlight w:val="none"/>
              </w:rPr>
            </w:pPr>
            <w:r>
              <w:rPr>
                <w:rFonts w:hint="eastAsia" w:ascii="宋体" w:hAnsi="宋体" w:cs="宋体"/>
                <w:color w:val="auto"/>
                <w:kern w:val="0"/>
                <w:sz w:val="24"/>
                <w:highlight w:val="none"/>
              </w:rPr>
              <w:t>否。</w:t>
            </w:r>
          </w:p>
        </w:tc>
      </w:tr>
      <w:tr w14:paraId="584AE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tcBorders>
              <w:top w:val="single" w:color="auto" w:sz="4" w:space="0"/>
              <w:left w:val="single" w:color="auto" w:sz="4" w:space="0"/>
              <w:bottom w:val="single" w:color="auto" w:sz="4" w:space="0"/>
              <w:right w:val="single" w:color="auto" w:sz="4" w:space="0"/>
            </w:tcBorders>
            <w:vAlign w:val="center"/>
          </w:tcPr>
          <w:p w14:paraId="3E6C75A6">
            <w:pPr>
              <w:shd w:val="clear"/>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2407" w:type="dxa"/>
            <w:tcBorders>
              <w:top w:val="single" w:color="auto" w:sz="4" w:space="0"/>
              <w:left w:val="single" w:color="auto" w:sz="4" w:space="0"/>
              <w:bottom w:val="single" w:color="auto" w:sz="4" w:space="0"/>
              <w:right w:val="single" w:color="auto" w:sz="4" w:space="0"/>
            </w:tcBorders>
            <w:vAlign w:val="center"/>
          </w:tcPr>
          <w:p w14:paraId="61EA4735">
            <w:pPr>
              <w:shd w:val="clear"/>
              <w:jc w:val="center"/>
              <w:rPr>
                <w:rFonts w:hint="eastAsia" w:ascii="宋体" w:hAnsi="宋体" w:cs="宋体"/>
                <w:color w:val="auto"/>
                <w:sz w:val="24"/>
                <w:highlight w:val="none"/>
              </w:rPr>
            </w:pPr>
            <w:r>
              <w:rPr>
                <w:rFonts w:hint="eastAsia" w:ascii="宋体" w:hAnsi="宋体" w:cs="宋体"/>
                <w:color w:val="auto"/>
                <w:sz w:val="24"/>
                <w:highlight w:val="none"/>
              </w:rPr>
              <w:t>中小企业划分标准所属行业</w:t>
            </w:r>
          </w:p>
        </w:tc>
        <w:tc>
          <w:tcPr>
            <w:tcW w:w="7050" w:type="dxa"/>
            <w:tcBorders>
              <w:top w:val="single" w:color="auto" w:sz="4" w:space="0"/>
              <w:left w:val="single" w:color="auto" w:sz="4" w:space="0"/>
              <w:bottom w:val="single" w:color="auto" w:sz="4" w:space="0"/>
              <w:right w:val="single" w:color="auto" w:sz="4" w:space="0"/>
            </w:tcBorders>
            <w:vAlign w:val="center"/>
          </w:tcPr>
          <w:p w14:paraId="73BA974A">
            <w:pPr>
              <w:shd w:val="clear"/>
              <w:rPr>
                <w:rFonts w:hint="eastAsia" w:ascii="宋体" w:hAnsi="宋体" w:cs="宋体"/>
                <w:color w:val="auto"/>
                <w:sz w:val="24"/>
                <w:highlight w:val="none"/>
              </w:rPr>
            </w:pPr>
            <w:r>
              <w:rPr>
                <w:rFonts w:hint="eastAsia" w:ascii="宋体" w:hAnsi="宋体" w:cs="宋体"/>
                <w:color w:val="auto"/>
                <w:sz w:val="24"/>
                <w:highlight w:val="none"/>
              </w:rPr>
              <w:t>所属行业：软件和信息技术服务业。</w:t>
            </w:r>
          </w:p>
        </w:tc>
      </w:tr>
      <w:tr w14:paraId="12573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6" w:type="dxa"/>
            <w:tcBorders>
              <w:top w:val="single" w:color="auto" w:sz="4" w:space="0"/>
              <w:left w:val="single" w:color="auto" w:sz="4" w:space="0"/>
              <w:bottom w:val="single" w:color="auto" w:sz="4" w:space="0"/>
              <w:right w:val="single" w:color="auto" w:sz="4" w:space="0"/>
            </w:tcBorders>
            <w:vAlign w:val="center"/>
          </w:tcPr>
          <w:p w14:paraId="4C72BC1E">
            <w:pPr>
              <w:shd w:val="clear"/>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2407" w:type="dxa"/>
            <w:tcBorders>
              <w:top w:val="single" w:color="auto" w:sz="4" w:space="0"/>
              <w:left w:val="single" w:color="auto" w:sz="4" w:space="0"/>
              <w:bottom w:val="single" w:color="auto" w:sz="4" w:space="0"/>
              <w:right w:val="single" w:color="auto" w:sz="4" w:space="0"/>
            </w:tcBorders>
            <w:vAlign w:val="center"/>
          </w:tcPr>
          <w:p w14:paraId="68A7AD0D">
            <w:pPr>
              <w:shd w:val="clear"/>
              <w:jc w:val="center"/>
              <w:rPr>
                <w:rFonts w:hint="eastAsia" w:ascii="宋体" w:hAnsi="宋体" w:cs="宋体"/>
                <w:color w:val="auto"/>
                <w:sz w:val="24"/>
                <w:highlight w:val="none"/>
              </w:rPr>
            </w:pPr>
            <w:r>
              <w:rPr>
                <w:rFonts w:hint="eastAsia" w:ascii="宋体" w:hAnsi="宋体" w:cs="宋体"/>
                <w:color w:val="auto"/>
                <w:sz w:val="24"/>
                <w:highlight w:val="none"/>
              </w:rPr>
              <w:t>其他</w:t>
            </w:r>
          </w:p>
        </w:tc>
        <w:tc>
          <w:tcPr>
            <w:tcW w:w="7050" w:type="dxa"/>
            <w:tcBorders>
              <w:top w:val="single" w:color="auto" w:sz="4" w:space="0"/>
              <w:left w:val="single" w:color="auto" w:sz="4" w:space="0"/>
              <w:bottom w:val="single" w:color="auto" w:sz="4" w:space="0"/>
              <w:right w:val="single" w:color="auto" w:sz="4" w:space="0"/>
            </w:tcBorders>
            <w:vAlign w:val="center"/>
          </w:tcPr>
          <w:p w14:paraId="03A6C9FB">
            <w:pPr>
              <w:shd w:val="clear"/>
              <w:rPr>
                <w:rFonts w:hint="eastAsia" w:ascii="宋体" w:hAnsi="宋体" w:cs="宋体"/>
                <w:color w:val="auto"/>
                <w:sz w:val="24"/>
                <w:highlight w:val="none"/>
              </w:rPr>
            </w:pPr>
            <w:r>
              <w:rPr>
                <w:rFonts w:hint="eastAsia" w:ascii="宋体" w:hAnsi="宋体" w:cs="宋体"/>
                <w:color w:val="auto"/>
                <w:sz w:val="24"/>
                <w:highlight w:val="none"/>
              </w:rPr>
              <w:t>1、各供应商自行在浙江政府采购网下载或查阅采购文件和相关更正公告等，不另行通知，如有遗漏采购人、采购代理机构概不负责。</w:t>
            </w:r>
          </w:p>
          <w:p w14:paraId="309F5822">
            <w:pPr>
              <w:shd w:val="clear"/>
              <w:rPr>
                <w:rFonts w:hint="eastAsia" w:ascii="宋体" w:hAnsi="宋体" w:cs="宋体"/>
                <w:color w:val="auto"/>
                <w:sz w:val="24"/>
                <w:highlight w:val="none"/>
              </w:rPr>
            </w:pPr>
            <w:r>
              <w:rPr>
                <w:rFonts w:hint="eastAsia" w:ascii="宋体" w:hAnsi="宋体" w:cs="宋体"/>
                <w:color w:val="auto"/>
                <w:sz w:val="24"/>
                <w:highlight w:val="none"/>
              </w:rPr>
              <w:t>2、两家或两家以上供应商提供的投标文件出自同一终端设备的，或在相同Internet主机分配地址（相同IP地址）报名或网上投标的，后果由供应商自行承担。</w:t>
            </w:r>
          </w:p>
          <w:p w14:paraId="6C04E1CC">
            <w:pPr>
              <w:shd w:val="clear"/>
              <w:rPr>
                <w:rFonts w:hint="eastAsia" w:ascii="宋体" w:hAnsi="宋体" w:cs="宋体"/>
                <w:color w:val="auto"/>
                <w:sz w:val="24"/>
                <w:highlight w:val="none"/>
              </w:rPr>
            </w:pPr>
            <w:r>
              <w:rPr>
                <w:rFonts w:hint="eastAsia" w:ascii="宋体" w:hAnsi="宋体" w:cs="宋体"/>
                <w:color w:val="auto"/>
                <w:sz w:val="24"/>
                <w:highlight w:val="none"/>
              </w:rPr>
              <w:t>3、开标时间后30分钟内供应商须携带CA自备电脑登录“政采云”平台，用“项目采购-开标评标”功能解密投标文件，投标人未按时解密或解密失败的，其上传的电子投标文件自动失效。</w:t>
            </w:r>
          </w:p>
        </w:tc>
      </w:tr>
    </w:tbl>
    <w:p w14:paraId="375746BE">
      <w:pPr>
        <w:shd w:val="clear"/>
        <w:spacing w:line="360" w:lineRule="auto"/>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一、总  则</w:t>
      </w:r>
    </w:p>
    <w:p w14:paraId="2A41BF97">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（一） 适用范围</w:t>
      </w:r>
    </w:p>
    <w:p w14:paraId="375FD22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本招标文件适用于本次项目的招标、投标、评标、定标、验收、合同履约、付款等行为（法律、法规另有规定的，从其规定）。</w:t>
      </w:r>
    </w:p>
    <w:p w14:paraId="720E1B40">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（二）定义</w:t>
      </w:r>
    </w:p>
    <w:p w14:paraId="2238547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zh-CN"/>
        </w:rPr>
        <w:t>“采购组织机构”指采购人委托组织招标的采购代理机构。</w:t>
      </w:r>
    </w:p>
    <w:p w14:paraId="660D60E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2、采购人：是指委托采购代理机构采购本次项目的国家机关、事业单位和团体组织。</w:t>
      </w:r>
    </w:p>
    <w:p w14:paraId="2A4C3C11">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3、投标人：是指向采购</w:t>
      </w:r>
      <w:r>
        <w:rPr>
          <w:rFonts w:hint="eastAsia" w:ascii="宋体" w:hAnsi="宋体" w:cs="宋体"/>
          <w:color w:val="auto"/>
          <w:sz w:val="24"/>
          <w:szCs w:val="32"/>
          <w:highlight w:val="none"/>
          <w:lang w:val="zh-CN"/>
        </w:rPr>
        <w:t>组织</w:t>
      </w:r>
      <w:r>
        <w:rPr>
          <w:rFonts w:hint="eastAsia" w:ascii="宋体" w:hAnsi="宋体" w:cs="宋体"/>
          <w:color w:val="auto"/>
          <w:sz w:val="24"/>
          <w:szCs w:val="32"/>
          <w:highlight w:val="none"/>
        </w:rPr>
        <w:t>机构提交投标文件的单位或个人。</w:t>
      </w:r>
    </w:p>
    <w:p w14:paraId="49A9151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4、货物：是指各种形态和种类的物品，包括原材料、燃料、设备、产品等。</w:t>
      </w:r>
    </w:p>
    <w:p w14:paraId="769B070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5、服务：是指除货物和工程以外的政府采购对象，包括各类专业服务、信息网络开发服务、金融保险服务、运输服务，以及维修与维护服务等。</w:t>
      </w:r>
    </w:p>
    <w:p w14:paraId="346A1C3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6、“书面形式”包括信函、传真等。</w:t>
      </w:r>
    </w:p>
    <w:p w14:paraId="65C9677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7、“▲”系指实质性要求条款。</w:t>
      </w:r>
    </w:p>
    <w:p w14:paraId="7A93E366">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（三）投标费用</w:t>
      </w:r>
    </w:p>
    <w:p w14:paraId="1687BAB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不论投标结果如何，投标人均应自行承担所有与投标有关的全部费用（招标文件有相关规定除外）。</w:t>
      </w:r>
    </w:p>
    <w:p w14:paraId="7012BF4A">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（四）特别说明</w:t>
      </w:r>
    </w:p>
    <w:p w14:paraId="1A417EA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cs="宋体"/>
          <w:color w:val="auto"/>
          <w:sz w:val="24"/>
          <w:szCs w:val="32"/>
          <w:highlight w:val="none"/>
        </w:rPr>
        <w:tab/>
      </w:r>
    </w:p>
    <w:p w14:paraId="5DA4C7C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1590E17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3、投标人不得相互串通投标报价，不得妨碍其他投标人的公平竞争，不得损害采购人或其他投标人的合法权益，投标人不得以向采购人、评标委员会成员行贿或者采取其他不正当手段谋取中标。</w:t>
      </w:r>
    </w:p>
    <w:p w14:paraId="7226EA6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4、为采购项目提供整体设计、规范编制或者项目管理、监理、检测等服务的供应商，不得再参加该采购项目的其他采购活动。</w:t>
      </w:r>
    </w:p>
    <w:p w14:paraId="59FB262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5、投标文件格式中的表格式样可以根据项目差别做适当调整，但应当保持表格样式基本形态不变。</w:t>
      </w:r>
    </w:p>
    <w:p w14:paraId="12F414A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6、单位负责人为同一人或者存在直接控股、管理关系的不同供应商，不得参加同一合同项下的政府采购活动。</w:t>
      </w:r>
    </w:p>
    <w:p w14:paraId="38C99DD1">
      <w:pPr>
        <w:shd w:val="clear"/>
        <w:spacing w:line="360" w:lineRule="auto"/>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二、招标文件</w:t>
      </w:r>
    </w:p>
    <w:p w14:paraId="29B82F8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（一）招标文件由招标文件总目录所列内容组成。</w:t>
      </w:r>
    </w:p>
    <w:p w14:paraId="1A03DDE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（二）招标文件的澄清或修改</w:t>
      </w:r>
    </w:p>
    <w:p w14:paraId="2165BA6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14:paraId="56AD753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2、投标人在规定的时间内未对招标文件提出疑问、质疑或要求澄清的，将视其为无异议。对招标文件中描述有歧义或前后不一致的地方，评标委员会有权进行评判，但对同一条款的评判应适用于每个投标人。</w:t>
      </w:r>
    </w:p>
    <w:p w14:paraId="57775AE2">
      <w:pPr>
        <w:shd w:val="clear"/>
        <w:spacing w:line="360" w:lineRule="auto"/>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三、投标文件</w:t>
      </w:r>
    </w:p>
    <w:p w14:paraId="18E67302">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lang w:val="zh-CN"/>
        </w:rPr>
        <w:t>（一）</w:t>
      </w:r>
      <w:r>
        <w:rPr>
          <w:rFonts w:hint="eastAsia" w:ascii="宋体" w:hAnsi="宋体" w:cs="宋体"/>
          <w:b/>
          <w:bCs/>
          <w:color w:val="auto"/>
          <w:sz w:val="24"/>
          <w:szCs w:val="32"/>
          <w:highlight w:val="none"/>
        </w:rPr>
        <w:t>投标文件的组成</w:t>
      </w:r>
    </w:p>
    <w:p w14:paraId="5BD6E493">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rPr>
        <w:t>投标人接到招标文件后，按照采购组织机构的要求提供：资格证明文件、商务与技术文件和报价文件。</w:t>
      </w:r>
      <w:r>
        <w:rPr>
          <w:rFonts w:hint="eastAsia" w:ascii="宋体" w:hAnsi="宋体" w:cs="宋体"/>
          <w:color w:val="auto"/>
          <w:sz w:val="24"/>
          <w:szCs w:val="32"/>
          <w:highlight w:val="none"/>
          <w:lang w:val="zh-CN"/>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14:paraId="5E0BB4DD">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▲1、资格证明文件的组成：</w:t>
      </w:r>
    </w:p>
    <w:p w14:paraId="02267DD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（1）投标声明书；</w:t>
      </w:r>
    </w:p>
    <w:p w14:paraId="19B68F1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（2）授权委托书（法定代表人亲自办理投标事宜的，则无需提交）；</w:t>
      </w:r>
    </w:p>
    <w:p w14:paraId="0B9CA4C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（3）法人或者其他组织的营业执照等证明文件，自然人的身份证明；</w:t>
      </w:r>
    </w:p>
    <w:p w14:paraId="136B1A7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（4）具有良好的商业信誉和健全的财务会计制度的承诺；</w:t>
      </w:r>
    </w:p>
    <w:p w14:paraId="0EE3712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（5）依法缴纳税收和社会保障资金的承诺；</w:t>
      </w:r>
    </w:p>
    <w:p w14:paraId="467956F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（6）参加政府采购活动前三年内，在经营活动中没有重大违法记录；</w:t>
      </w:r>
    </w:p>
    <w:p w14:paraId="3809FB20">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（7）具有履行合同所必需的设备和专业技术能力承诺函。</w:t>
      </w:r>
    </w:p>
    <w:p w14:paraId="71F3D9B5">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2、商务与技术文件的组成：</w:t>
      </w:r>
    </w:p>
    <w:p w14:paraId="32F3E1D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（1）投标人情况介绍。</w:t>
      </w:r>
    </w:p>
    <w:p w14:paraId="512C2DA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（2）投标方案描述：</w:t>
      </w:r>
    </w:p>
    <w:p w14:paraId="26E0481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A.项目需求的理解与分析（投标人对项目现状及需求的理解情况，对项目现状和需求描述的全面性、准确性、针对性，项目功能设计完备、对系统各组成部分等功能进行准确的分析，对项目重点、难点的把握，解决方案及合理化建议）。</w:t>
      </w:r>
    </w:p>
    <w:p w14:paraId="053B88A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B.项目组织实施方案（包括项目工期、确保项目供货的措施或方案、项目实施进度安排、项目实施人员及项目负责人的资质、类似经验及社保证明等）。</w:t>
      </w:r>
    </w:p>
    <w:p w14:paraId="57F7569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C.安装、调试及验收方案（包括项目验收标准和验收方法等）和措施；</w:t>
      </w:r>
    </w:p>
    <w:p w14:paraId="46C302A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（3）投标产品描述及相关资料：</w:t>
      </w:r>
    </w:p>
    <w:p w14:paraId="424A9CC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A.设备配置清单</w:t>
      </w:r>
      <w:r>
        <w:rPr>
          <w:rFonts w:hint="eastAsia" w:ascii="宋体" w:hAnsi="宋体" w:cs="宋体"/>
          <w:b/>
          <w:bCs/>
          <w:color w:val="auto"/>
          <w:sz w:val="24"/>
          <w:szCs w:val="32"/>
          <w:highlight w:val="none"/>
        </w:rPr>
        <w:t>（均不含报价）</w:t>
      </w:r>
      <w:r>
        <w:rPr>
          <w:rFonts w:hint="eastAsia" w:ascii="宋体" w:hAnsi="宋体" w:cs="宋体"/>
          <w:color w:val="auto"/>
          <w:sz w:val="24"/>
          <w:szCs w:val="32"/>
          <w:highlight w:val="none"/>
        </w:rPr>
        <w:t>。</w:t>
      </w:r>
    </w:p>
    <w:p w14:paraId="436DA11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B.产品品牌及型号、技术参数指标、性能特点、图片资料以及所遵循的技术规范、产品质保期、出厂标准、产品质量相关检测报告等内容。</w:t>
      </w:r>
    </w:p>
    <w:p w14:paraId="5FCAA40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C.商务及技术响应表。</w:t>
      </w:r>
    </w:p>
    <w:p w14:paraId="7C04BB1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D.投标产品中有节能产品的，应列明投标产品中有列入最新一期财政部、发展改革委公布的“节能产品政府采购清单”明细（提供所投产品在清单中所处的页码、截图，并以明显标识标注）；投标产品中有环保产品的，应列明投标产品中有列入最新一期财政部、环境保护部公布的“环境标志产品政府采购清单”明细（提供所投产品在清单中所处的页码、截图，并以明显标识标注）。</w:t>
      </w:r>
    </w:p>
    <w:p w14:paraId="5C89A9C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【特别提示：节能和环境标志产品最新一期政府采购清单，可在“中国政府采购网”中查看】</w:t>
      </w:r>
    </w:p>
    <w:p w14:paraId="28425A0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（4）投标人通过的质量管理和质量保证体系、环保体系、自主创新相关证书、软件著作权证等等与本项目相关的认证证书或文件；</w:t>
      </w:r>
    </w:p>
    <w:p w14:paraId="1483D31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（5）近三年来类似项目的成功案例；</w:t>
      </w:r>
    </w:p>
    <w:p w14:paraId="20462DC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（6）如是代理商需提供代理证明（或制造商出具的授权书）；</w:t>
      </w:r>
    </w:p>
    <w:p w14:paraId="3F5771B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（7）投标人认为需要提供的其他资料（包括可能影响投标人商务与技术文件评分的各类证明材料）；</w:t>
      </w:r>
    </w:p>
    <w:p w14:paraId="18B1DFA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（8）售后服务描述及承诺：</w:t>
      </w:r>
    </w:p>
    <w:p w14:paraId="7ADD0A2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A.距采购人最近的服务网点详细介绍（包括地理位置、资质资格、技术力量、工作业绩、服务内容及联系电话等）。</w:t>
      </w:r>
    </w:p>
    <w:p w14:paraId="0CDADB1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B.针对本项目的售后服务措施及承诺（售后技术服务方案、人员配备、故障响应时间、技术培训方案等）。</w:t>
      </w:r>
    </w:p>
    <w:p w14:paraId="43133335">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2、报价文件的组成</w:t>
      </w:r>
    </w:p>
    <w:p w14:paraId="52A040C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（1）报价文件由开标一览表、报价明细表、中小企业等声明函（不符合中小企业要求的无需提供）以及投标人认为其他需要说明的内容组成。</w:t>
      </w:r>
    </w:p>
    <w:p w14:paraId="68E2324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（2）此报价为投标人一次性报出唯一的最终价格，包含其它一切所要涉及到的费用，有选择的报价将被拒绝。</w:t>
      </w:r>
    </w:p>
    <w:p w14:paraId="48AF2CF9">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本项目投标报价为完成本项目的所有费用，投标报价是履行合同的最终价格，投标人应考虑企业自身实力、经验及项目实施过程中的各种因素，在投标报价中应充分考虑所有可能发生的费用，否则采购人将视投标总价中已包括所有费用。</w:t>
      </w:r>
    </w:p>
    <w:p w14:paraId="035D373C">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政府采购优惠政策相关资料（如有）。</w:t>
      </w:r>
    </w:p>
    <w:p w14:paraId="2A1CA60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（5）相关报价单需打印或用不退色的墨水填写，投标报价单不得涂改和增删，如有错漏必须修改，修改处须由同一签署人签字或盖章。由于字迹模糊或表达不清引起的后果由投标人负责。</w:t>
      </w:r>
    </w:p>
    <w:p w14:paraId="281B35D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（6）投标报价应按招标文件中相关附表格式填写。</w:t>
      </w:r>
    </w:p>
    <w:p w14:paraId="36ED28E9">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（二）投标文件的制作及递交要求</w:t>
      </w:r>
    </w:p>
    <w:p w14:paraId="43474823">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1、投标文件的制作要求</w:t>
      </w:r>
    </w:p>
    <w:p w14:paraId="20A74A3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（1）投标人应按照投标文件组成内容及项目招标需求制作投标文件，不按招标文件要求制作投标文件的将视情处理（拒收、扣分等），由此产生的责任由投标人自行承担。</w:t>
      </w:r>
    </w:p>
    <w:p w14:paraId="4CD72893">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rPr>
        <w:t>（2）投标人应对所提供的全部资料的真实性承担法律责任，</w:t>
      </w:r>
      <w:r>
        <w:rPr>
          <w:rFonts w:hint="eastAsia" w:ascii="宋体" w:hAnsi="宋体" w:cs="宋体"/>
          <w:color w:val="auto"/>
          <w:sz w:val="24"/>
          <w:szCs w:val="32"/>
          <w:highlight w:val="none"/>
          <w:lang w:val="zh-CN"/>
        </w:rPr>
        <w:t>投标文件内容中有要求盖章或签字的地方，必须加盖投标人的公章以及法定代表人或授权委托代理人盖章或签字。</w:t>
      </w:r>
    </w:p>
    <w:p w14:paraId="753C6E4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投标文件以及投标人与采购组织机构就有关投标事宜的所有来往函电，均应以中文汉语书写。除签字、盖章、专用名称等特殊情形外，以中文汉语以外的文字表述的投标文件视同未提供。</w:t>
      </w:r>
    </w:p>
    <w:p w14:paraId="2A5ED88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（4）投标计量单位，招标文件已有明确规定的，使用招标文件规定的计量单位；招标文件没有规定的，应采用中华人民共和国法定计量单位（货币单位：人民币元）。</w:t>
      </w:r>
    </w:p>
    <w:p w14:paraId="13A5AB4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（5）若投标人不按招标文件的要求提供资格审查材料，其风险由投标人自行承担。</w:t>
      </w:r>
    </w:p>
    <w:p w14:paraId="55A9974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（6）与本次投标无关的内容请不要制作在内，确保投标文件有针对性、简洁明了。</w:t>
      </w:r>
    </w:p>
    <w:p w14:paraId="661CF3ED">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①投标文件的编制</w:t>
      </w:r>
    </w:p>
    <w:p w14:paraId="7FC6BE5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本项目实行电子投标，</w:t>
      </w:r>
      <w:r>
        <w:rPr>
          <w:rFonts w:hint="eastAsia" w:ascii="宋体" w:hAnsi="宋体" w:cs="宋体"/>
          <w:color w:val="auto"/>
          <w:sz w:val="24"/>
          <w:highlight w:val="none"/>
        </w:rPr>
        <w:t>供应商应准备电子投标文件、以介质（U盘）存储的数据电文形式的备份投标文件、纸质备份投标文件三类</w:t>
      </w:r>
      <w:r>
        <w:rPr>
          <w:rFonts w:hint="eastAsia" w:ascii="宋体" w:hAnsi="宋体" w:cs="宋体"/>
          <w:color w:val="auto"/>
          <w:sz w:val="24"/>
          <w:szCs w:val="32"/>
          <w:highlight w:val="none"/>
        </w:rPr>
        <w:t>：</w:t>
      </w:r>
    </w:p>
    <w:p w14:paraId="0680D106">
      <w:pPr>
        <w:shd w:val="clear"/>
        <w:spacing w:line="360" w:lineRule="auto"/>
        <w:ind w:firstLine="480" w:firstLineChars="200"/>
        <w:rPr>
          <w:rFonts w:hint="eastAsia" w:ascii="宋体" w:hAnsi="宋体" w:cs="宋体"/>
          <w:color w:val="auto"/>
          <w:sz w:val="24"/>
          <w:szCs w:val="32"/>
          <w:highlight w:val="none"/>
          <w:lang w:val="en-GB"/>
        </w:rPr>
      </w:pPr>
      <w:r>
        <w:rPr>
          <w:rFonts w:hint="eastAsia" w:ascii="宋体" w:hAnsi="宋体" w:cs="宋体"/>
          <w:color w:val="auto"/>
          <w:sz w:val="24"/>
          <w:szCs w:val="32"/>
          <w:highlight w:val="none"/>
        </w:rPr>
        <w:t>（1）按政采云平台项目采购--电子招投标操作指南及本招标文件要求编制。</w:t>
      </w:r>
      <w:r>
        <w:rPr>
          <w:rFonts w:hint="eastAsia" w:ascii="宋体" w:hAnsi="宋体" w:cs="宋体"/>
          <w:color w:val="auto"/>
          <w:sz w:val="24"/>
          <w:szCs w:val="32"/>
          <w:highlight w:val="none"/>
          <w:lang w:val="en-GB"/>
        </w:rPr>
        <w:t>投标人应通过“政采云电子交易客户端”，并按照本招标文件和“政府采购云平台”的要求编制并加密投标文件。</w:t>
      </w:r>
    </w:p>
    <w:p w14:paraId="16DF7653">
      <w:pPr>
        <w:shd w:val="clear"/>
        <w:spacing w:line="360" w:lineRule="auto"/>
        <w:ind w:firstLine="480" w:firstLineChars="200"/>
        <w:rPr>
          <w:rFonts w:hint="eastAsia" w:ascii="宋体" w:hAnsi="宋体" w:cs="宋体"/>
          <w:color w:val="auto"/>
          <w:sz w:val="24"/>
          <w:szCs w:val="32"/>
          <w:highlight w:val="none"/>
          <w:lang w:val="en-GB"/>
        </w:rPr>
      </w:pPr>
      <w:r>
        <w:rPr>
          <w:rFonts w:hint="eastAsia" w:ascii="宋体" w:hAnsi="宋体" w:cs="宋体"/>
          <w:color w:val="auto"/>
          <w:sz w:val="24"/>
          <w:szCs w:val="32"/>
          <w:highlight w:val="none"/>
          <w:lang w:val="en-GB"/>
        </w:rPr>
        <w:t>1.</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投标人应当按照本章节 “投标文件组成”规定的内容及顺序在“政采云电子交易客户端”编制投标文件。其中《</w:t>
      </w:r>
      <w:r>
        <w:rPr>
          <w:rFonts w:hint="eastAsia" w:ascii="宋体" w:hAnsi="宋体" w:cs="宋体"/>
          <w:color w:val="auto"/>
          <w:sz w:val="24"/>
          <w:szCs w:val="32"/>
          <w:highlight w:val="none"/>
        </w:rPr>
        <w:t>资格证明文件</w:t>
      </w:r>
      <w:r>
        <w:rPr>
          <w:rFonts w:hint="eastAsia" w:ascii="宋体" w:hAnsi="宋体" w:cs="宋体"/>
          <w:color w:val="auto"/>
          <w:sz w:val="24"/>
          <w:szCs w:val="32"/>
          <w:highlight w:val="none"/>
          <w:lang w:val="en-GB"/>
        </w:rPr>
        <w:t>》和《</w:t>
      </w:r>
      <w:r>
        <w:rPr>
          <w:rFonts w:hint="eastAsia" w:ascii="宋体" w:hAnsi="宋体" w:cs="宋体"/>
          <w:color w:val="auto"/>
          <w:sz w:val="24"/>
          <w:szCs w:val="32"/>
          <w:highlight w:val="none"/>
        </w:rPr>
        <w:t>商务技术文件</w:t>
      </w:r>
      <w:r>
        <w:rPr>
          <w:rFonts w:hint="eastAsia" w:ascii="宋体" w:hAnsi="宋体" w:cs="宋体"/>
          <w:color w:val="auto"/>
          <w:sz w:val="24"/>
          <w:szCs w:val="32"/>
          <w:highlight w:val="none"/>
          <w:lang w:val="en-GB"/>
        </w:rPr>
        <w:t>》中不得出现本项目投标报价，如因投标人原因提前泄露投标报价，是投标人的责任。</w:t>
      </w:r>
    </w:p>
    <w:p w14:paraId="15CB08E6">
      <w:pPr>
        <w:shd w:val="clear"/>
        <w:spacing w:line="360" w:lineRule="auto"/>
        <w:ind w:firstLine="480" w:firstLineChars="200"/>
        <w:rPr>
          <w:rFonts w:hint="eastAsia" w:ascii="宋体" w:hAnsi="宋体" w:cs="宋体"/>
          <w:color w:val="auto"/>
          <w:sz w:val="24"/>
          <w:szCs w:val="32"/>
          <w:highlight w:val="none"/>
          <w:lang w:val="en-GB"/>
        </w:rPr>
      </w:pPr>
      <w:r>
        <w:rPr>
          <w:rFonts w:hint="eastAsia" w:ascii="宋体" w:hAnsi="宋体" w:cs="宋体"/>
          <w:color w:val="auto"/>
          <w:sz w:val="24"/>
          <w:szCs w:val="32"/>
          <w:highlight w:val="none"/>
          <w:lang w:val="zh-CN"/>
        </w:rPr>
        <w:t>1.</w:t>
      </w:r>
      <w:r>
        <w:rPr>
          <w:rFonts w:hint="eastAsia" w:ascii="宋体" w:hAnsi="宋体" w:cs="宋体"/>
          <w:color w:val="auto"/>
          <w:sz w:val="24"/>
          <w:szCs w:val="32"/>
          <w:highlight w:val="none"/>
          <w:lang w:val="en-GB"/>
        </w:rPr>
        <w:t>2</w:t>
      </w:r>
      <w:r>
        <w:rPr>
          <w:rFonts w:hint="eastAsia" w:ascii="宋体" w:hAnsi="宋体" w:cs="宋体"/>
          <w:color w:val="auto"/>
          <w:sz w:val="24"/>
          <w:szCs w:val="32"/>
          <w:highlight w:val="none"/>
          <w:lang w:val="zh-CN"/>
        </w:rPr>
        <w:t>投标文件分为</w:t>
      </w:r>
      <w:r>
        <w:rPr>
          <w:rFonts w:hint="eastAsia" w:ascii="宋体" w:hAnsi="宋体" w:cs="宋体"/>
          <w:color w:val="auto"/>
          <w:sz w:val="24"/>
          <w:szCs w:val="32"/>
          <w:highlight w:val="none"/>
          <w:lang w:val="en-GB"/>
        </w:rPr>
        <w:t>资格证明文件、商务技术文件、报价文件三部分</w:t>
      </w:r>
      <w:r>
        <w:rPr>
          <w:rFonts w:hint="eastAsia" w:ascii="宋体" w:hAnsi="宋体" w:cs="宋体"/>
          <w:color w:val="auto"/>
          <w:sz w:val="24"/>
          <w:szCs w:val="32"/>
          <w:highlight w:val="none"/>
          <w:lang w:val="zh-CN"/>
        </w:rPr>
        <w:t>。各投标人在编制投标文件时请按照采购文件第六章规定的格式进行，</w:t>
      </w:r>
      <w:r>
        <w:rPr>
          <w:rFonts w:hint="eastAsia" w:ascii="宋体" w:hAnsi="宋体" w:cs="宋体"/>
          <w:color w:val="auto"/>
          <w:sz w:val="24"/>
          <w:szCs w:val="32"/>
          <w:highlight w:val="none"/>
          <w:lang w:val="en-GB"/>
        </w:rPr>
        <w:t>并按格式要求在指定位置根据要求进行签章，否则视为未提供，未提供格式的，请各投标人自行拟定格式，并加盖单位公章并由法定代表人或其授权代表签署（签字或盖章），否则视为未提供。</w:t>
      </w:r>
    </w:p>
    <w:p w14:paraId="2921229E">
      <w:pPr>
        <w:shd w:val="clear"/>
        <w:spacing w:line="360" w:lineRule="auto"/>
        <w:ind w:firstLine="480" w:firstLineChars="200"/>
        <w:rPr>
          <w:rFonts w:hint="eastAsia" w:ascii="宋体" w:hAnsi="宋体" w:cs="宋体"/>
          <w:color w:val="auto"/>
          <w:sz w:val="24"/>
          <w:szCs w:val="32"/>
          <w:highlight w:val="none"/>
          <w:lang w:val="en-GB"/>
        </w:rPr>
      </w:pPr>
      <w:r>
        <w:rPr>
          <w:rFonts w:hint="eastAsia" w:ascii="宋体" w:hAnsi="宋体" w:cs="宋体"/>
          <w:color w:val="auto"/>
          <w:sz w:val="24"/>
          <w:szCs w:val="32"/>
          <w:highlight w:val="none"/>
          <w:lang w:val="en-GB"/>
        </w:rPr>
        <w:t>1.3《投标文件》内容不完整、</w:t>
      </w:r>
      <w:r>
        <w:rPr>
          <w:rFonts w:hint="eastAsia" w:ascii="宋体" w:hAnsi="宋体" w:cs="宋体"/>
          <w:color w:val="auto"/>
          <w:sz w:val="24"/>
          <w:szCs w:val="32"/>
          <w:highlight w:val="none"/>
          <w:lang w:val="zh-CN"/>
        </w:rPr>
        <w:t>混乱的编排导致投标文件被误读或评标委员会查找不到有效文件是投标人的责任。</w:t>
      </w:r>
      <w:r>
        <w:rPr>
          <w:rFonts w:hint="eastAsia" w:ascii="宋体" w:hAnsi="宋体" w:cs="宋体"/>
          <w:color w:val="auto"/>
          <w:sz w:val="24"/>
          <w:szCs w:val="32"/>
          <w:highlight w:val="none"/>
          <w:lang w:val="en-GB"/>
        </w:rPr>
        <w:t>《投标文件》因字迹潦草或表达不清所引起的后果由投标人负责。</w:t>
      </w:r>
    </w:p>
    <w:p w14:paraId="7739D0A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（2）以介质</w:t>
      </w:r>
      <w:r>
        <w:rPr>
          <w:rFonts w:hint="eastAsia" w:ascii="宋体" w:hAnsi="宋体" w:cs="宋体"/>
          <w:color w:val="auto"/>
          <w:sz w:val="24"/>
          <w:highlight w:val="none"/>
        </w:rPr>
        <w:t>（U盘）</w:t>
      </w:r>
      <w:r>
        <w:rPr>
          <w:rFonts w:hint="eastAsia" w:ascii="宋体" w:hAnsi="宋体" w:cs="宋体"/>
          <w:color w:val="auto"/>
          <w:sz w:val="24"/>
          <w:szCs w:val="32"/>
          <w:highlight w:val="none"/>
        </w:rPr>
        <w:t>存储的数据电文形式的备份投标文件，按政采云平台项目采购-电子招投标操作指南中上传的电子投标文件格式，以U盘形式提供。数量为1份。</w:t>
      </w:r>
    </w:p>
    <w:p w14:paraId="00076F6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（3）纸质备份投标文件以纸质文件的形式编制，按</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分别编制并单独装订成册，</w:t>
      </w:r>
      <w:r>
        <w:rPr>
          <w:rFonts w:hint="eastAsia" w:ascii="宋体" w:hAnsi="宋体" w:cs="宋体"/>
          <w:b/>
          <w:bCs/>
          <w:color w:val="auto"/>
          <w:sz w:val="24"/>
          <w:highlight w:val="none"/>
        </w:rPr>
        <w:t>数量均为2份（一正一副）</w:t>
      </w:r>
      <w:r>
        <w:rPr>
          <w:rFonts w:hint="eastAsia" w:ascii="宋体" w:hAnsi="宋体" w:cs="宋体"/>
          <w:color w:val="auto"/>
          <w:sz w:val="24"/>
          <w:szCs w:val="32"/>
          <w:highlight w:val="none"/>
        </w:rPr>
        <w:t>。</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须分别密封封装，</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未分别密封的投标文件将为无效。除报价文件外其余一律不准出现数字报价。如有不同标段，请按标段号分别装订，密封要求同上。</w:t>
      </w:r>
    </w:p>
    <w:p w14:paraId="384A0502">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Ⅰ电子投标文件</w:t>
      </w:r>
    </w:p>
    <w:p w14:paraId="0AAEECD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14:paraId="73C1477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电子投标文件如内容不完整、编排混乱导致投标文件被误读、漏读，或者在按采购文件规定的部位查找不到相关内容的，由投标人自行承担。</w:t>
      </w:r>
    </w:p>
    <w:p w14:paraId="58DFFCD1">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2.温馨提醒：CA签章上目前没有法人或授权代表签字信息，需要投标人联系</w:t>
      </w:r>
      <w:r>
        <w:rPr>
          <w:rFonts w:hint="eastAsia" w:ascii="宋体" w:hAnsi="宋体" w:cs="宋体"/>
          <w:b/>
          <w:bCs/>
          <w:color w:val="auto"/>
          <w:sz w:val="24"/>
          <w:szCs w:val="32"/>
          <w:highlight w:val="none"/>
        </w:rPr>
        <w:t>浙江汇信科技有限公司（400-8884636）、杭州天谷信息科技有限公司（400-0878198）</w:t>
      </w:r>
      <w:r>
        <w:rPr>
          <w:rFonts w:hint="eastAsia" w:ascii="宋体" w:hAnsi="宋体" w:cs="宋体"/>
          <w:color w:val="auto"/>
          <w:sz w:val="24"/>
          <w:szCs w:val="32"/>
          <w:highlight w:val="none"/>
        </w:rPr>
        <w:t>等相应公司进行办理，或在投标文件中涉及到签字的位置线下签好字然后扫描或者拍照做成PDF的格式亦可。</w:t>
      </w:r>
    </w:p>
    <w:p w14:paraId="23F2D48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b/>
          <w:bCs/>
          <w:color w:val="auto"/>
          <w:sz w:val="24"/>
          <w:szCs w:val="32"/>
          <w:highlight w:val="none"/>
        </w:rPr>
        <w:t>以介质（U盘）存储的数据电文形式的备份投标文件</w:t>
      </w:r>
      <w:r>
        <w:rPr>
          <w:rFonts w:hint="eastAsia" w:ascii="宋体" w:hAnsi="宋体" w:cs="宋体"/>
          <w:color w:val="auto"/>
          <w:sz w:val="24"/>
          <w:szCs w:val="32"/>
          <w:highlight w:val="none"/>
        </w:rPr>
        <w:t>，按政采云平台项目采购-电子招投标操作指南中上传的电子投标文件格式，以U盘形式提供。数量为1份。</w:t>
      </w:r>
    </w:p>
    <w:p w14:paraId="35D07A37">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Ⅱ纸质备份投标文件</w:t>
      </w:r>
    </w:p>
    <w:p w14:paraId="19ED5FC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1.所有纸质投标资料应按投标文件的组成所列内容及顺序装订成册，</w:t>
      </w:r>
      <w:r>
        <w:rPr>
          <w:rFonts w:hint="eastAsia" w:ascii="宋体" w:hAnsi="宋体" w:cs="宋体"/>
          <w:color w:val="auto"/>
          <w:sz w:val="24"/>
          <w:szCs w:val="32"/>
          <w:highlight w:val="none"/>
          <w:lang w:val="zh-CN"/>
        </w:rPr>
        <w:t>并逐页连续标注页码。因投标文件内容不完整、编排混乱导致投标文件被误读、漏读或者查找不到相关内容的责任由投标人自行承担。</w:t>
      </w:r>
    </w:p>
    <w:p w14:paraId="4280404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2.投标人应按</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分别编制并单独装订成册，活页装订的投标文件将被拒绝。投标文件需打印或用不褪色的墨水填写。</w:t>
      </w:r>
    </w:p>
    <w:p w14:paraId="4D2F3F6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3.投标人应按</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分别密封封装纸质备份投标文件。</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未分别密封的备份投标文件将为无效。请在密封袋的封口处应有投标单位公章或投标授权委托代理人签字。封皮上写明项目编号、标段、招标项目名称、投标人名称，并注明“投标文件名称（</w:t>
      </w:r>
      <w:r>
        <w:rPr>
          <w:rFonts w:hint="eastAsia" w:ascii="宋体" w:hAnsi="宋体" w:cs="宋体"/>
          <w:color w:val="auto"/>
          <w:sz w:val="24"/>
          <w:szCs w:val="32"/>
          <w:highlight w:val="none"/>
          <w:lang w:val="zh-CN"/>
        </w:rPr>
        <w:t>资格证明文件、商务技术文件、报价文件</w:t>
      </w:r>
      <w:r>
        <w:rPr>
          <w:rFonts w:hint="eastAsia" w:ascii="宋体" w:hAnsi="宋体" w:cs="宋体"/>
          <w:color w:val="auto"/>
          <w:sz w:val="24"/>
          <w:szCs w:val="32"/>
          <w:highlight w:val="none"/>
        </w:rPr>
        <w:t>）”、“开标时启封”字样，未按上述要求密封及加写标记，采购组织机构对投标文件的误投和提前启封不负责任。</w:t>
      </w:r>
    </w:p>
    <w:p w14:paraId="28A0618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4.项目如分标段，各标段投标文件必须分开编制，并按上述份数要求单独密封包装。</w:t>
      </w:r>
    </w:p>
    <w:p w14:paraId="2BCA75B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w:t>
      </w:r>
      <w:r>
        <w:rPr>
          <w:rFonts w:hint="eastAsia" w:ascii="宋体" w:hAnsi="宋体" w:cs="宋体"/>
          <w:color w:val="auto"/>
          <w:sz w:val="24"/>
          <w:szCs w:val="32"/>
          <w:highlight w:val="none"/>
          <w:lang w:val="zh-CN"/>
        </w:rPr>
        <w:t>因密封不严、标记不明而造成失密、拒收、过早启封等情况，采购组织机构概不负责。</w:t>
      </w:r>
    </w:p>
    <w:p w14:paraId="11121EF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相关原件在投标文件递交截止时间前递交，逾期将不予接收（原件放置在档案袋中，可不用密封）。原件仅作为核查复印件真实性之用，如仅提供了原件，投标文件中未提供复印件，不予认定投标文件中具备该份资料。</w:t>
      </w:r>
    </w:p>
    <w:p w14:paraId="7F3A690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投标人在投标截止时间之前，可以对已提交的纸质备份投标文件进行修改或撤回，但应以书面形式通知招标人，书面形式应加盖投标人公章或由法定代表人（或委托人）签署或盖章。投标截止时间后，投标人不得撤回、修改投标文件。修改后重新递交的投标文件应当按本招标文件的要求签署、盖章和密封。</w:t>
      </w:r>
    </w:p>
    <w:p w14:paraId="7EDD25E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7.纸质备份投标文件须由投标人在规定位置盖章并由法定代表人签署或盖章，投标人应写全称。纸质备份投标文件未按照招标文件要求签署、盖章的，其投标无效。</w:t>
      </w:r>
    </w:p>
    <w:p w14:paraId="050538BD">
      <w:pPr>
        <w:shd w:val="clear"/>
        <w:spacing w:line="360" w:lineRule="auto"/>
        <w:ind w:firstLine="480" w:firstLineChars="200"/>
        <w:rPr>
          <w:rFonts w:hint="eastAsia" w:ascii="宋体" w:hAnsi="宋体" w:cs="宋体"/>
          <w:b/>
          <w:bCs/>
          <w:color w:val="auto"/>
          <w:sz w:val="24"/>
          <w:szCs w:val="32"/>
          <w:highlight w:val="none"/>
        </w:rPr>
      </w:pPr>
      <w:r>
        <w:rPr>
          <w:rFonts w:hint="eastAsia" w:ascii="宋体" w:hAnsi="宋体" w:cs="宋体"/>
          <w:color w:val="auto"/>
          <w:sz w:val="24"/>
          <w:szCs w:val="32"/>
          <w:highlight w:val="none"/>
        </w:rPr>
        <w:t>8.纸质备份投标文件不得涂改，若有修改错漏处，须加盖单位公章或法定代表人或授权委托人签字或盖章。投标文件因字迹潦草或表达不清所引起的后果由投标人负责。</w:t>
      </w:r>
    </w:p>
    <w:p w14:paraId="345E6854">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2、投标文件的递交要求</w:t>
      </w:r>
    </w:p>
    <w:p w14:paraId="24D524CD">
      <w:pPr>
        <w:shd w:val="clear"/>
        <w:spacing w:line="360" w:lineRule="auto"/>
        <w:ind w:firstLine="480" w:firstLineChars="200"/>
        <w:rPr>
          <w:rFonts w:hint="eastAsia"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）“投标文件”的上传、递交：见《前附表》。▲未传输递交电子投标文件的，投标无效。</w:t>
      </w:r>
    </w:p>
    <w:p w14:paraId="1FF18E7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（2）以介质</w:t>
      </w:r>
      <w:r>
        <w:rPr>
          <w:rFonts w:hint="eastAsia" w:ascii="宋体" w:hAnsi="宋体" w:cs="宋体"/>
          <w:color w:val="auto"/>
          <w:sz w:val="24"/>
          <w:highlight w:val="none"/>
        </w:rPr>
        <w:t>（U盘）</w:t>
      </w:r>
      <w:r>
        <w:rPr>
          <w:rFonts w:hint="eastAsia" w:ascii="宋体" w:hAnsi="宋体" w:cs="宋体"/>
          <w:color w:val="auto"/>
          <w:sz w:val="24"/>
          <w:szCs w:val="32"/>
          <w:highlight w:val="none"/>
        </w:rPr>
        <w:t>存储的数据电文形式的备份投标文件和纸质备份投标文件必须在规定时间前送达或邮寄至</w:t>
      </w:r>
      <w:r>
        <w:rPr>
          <w:rFonts w:hint="eastAsia" w:ascii="宋体" w:hAnsi="宋体" w:cs="宋体"/>
          <w:color w:val="auto"/>
          <w:sz w:val="24"/>
          <w:highlight w:val="none"/>
          <w:lang w:val="en-GB"/>
        </w:rPr>
        <w:t>公告规定的</w:t>
      </w:r>
      <w:r>
        <w:rPr>
          <w:rFonts w:hint="eastAsia" w:ascii="宋体" w:hAnsi="宋体" w:cs="宋体"/>
          <w:color w:val="auto"/>
          <w:sz w:val="24"/>
          <w:szCs w:val="32"/>
          <w:highlight w:val="none"/>
        </w:rPr>
        <w:t>地点。备份投标文件在截止时间后提交，采购组织机构将拒绝接收。</w:t>
      </w:r>
    </w:p>
    <w:p w14:paraId="10F405D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（3）如有特殊情况，采购组织机构延长截止时间和开标时间，采购组织机构和投标人的权利和义务将受到新的截止时间和开标时间的约束。</w:t>
      </w:r>
    </w:p>
    <w:p w14:paraId="7C91A874">
      <w:pPr>
        <w:shd w:val="clear"/>
        <w:spacing w:line="360" w:lineRule="auto"/>
        <w:ind w:firstLine="480" w:firstLineChars="200"/>
        <w:rPr>
          <w:rFonts w:hint="eastAsia"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en-GB"/>
        </w:rPr>
        <w:t>）投标文件的备选方案</w:t>
      </w:r>
    </w:p>
    <w:p w14:paraId="7AF85AA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lang w:val="en-GB"/>
        </w:rPr>
        <w:t>投标人不得递交任何的投标备选（替代）方案，否则其投标文件将作无效标处理。与“电子加密投标文件”同时生成的“备份投标文件”不是投标备选（替代）方案。</w:t>
      </w:r>
    </w:p>
    <w:p w14:paraId="24BBBED2">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（三）投标文件的有效期</w:t>
      </w:r>
    </w:p>
    <w:p w14:paraId="519450A2">
      <w:pPr>
        <w:shd w:val="clear"/>
        <w:spacing w:line="360" w:lineRule="auto"/>
        <w:ind w:firstLine="480" w:firstLineChars="200"/>
        <w:rPr>
          <w:rFonts w:hint="eastAsia" w:ascii="宋体" w:hAnsi="宋体" w:cs="宋体"/>
          <w:color w:val="auto"/>
          <w:sz w:val="24"/>
          <w:szCs w:val="32"/>
          <w:highlight w:val="none"/>
          <w:lang w:val="en-GB"/>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自投标截止日起90天投标文件应保持有效。有效期不足的投标文件将被拒绝。</w:t>
      </w:r>
    </w:p>
    <w:p w14:paraId="41E64898">
      <w:pPr>
        <w:shd w:val="clear"/>
        <w:spacing w:line="360" w:lineRule="auto"/>
        <w:ind w:firstLine="480" w:firstLineChars="200"/>
        <w:rPr>
          <w:rFonts w:hint="eastAsia" w:ascii="宋体" w:hAnsi="宋体" w:cs="宋体"/>
          <w:color w:val="auto"/>
          <w:sz w:val="24"/>
          <w:szCs w:val="32"/>
          <w:highlight w:val="none"/>
          <w:lang w:val="en-GB"/>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en-GB"/>
        </w:rPr>
        <w:t>在特殊情况下，采购人可与投标人协商延长投标文件的有效期，这种要求和答复均以书面形式进行。</w:t>
      </w:r>
    </w:p>
    <w:p w14:paraId="3A7BBEB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3.中标人的投标文件自开标之日起至合同履行完毕均应保持有效。</w:t>
      </w:r>
    </w:p>
    <w:p w14:paraId="385067F8">
      <w:pPr>
        <w:shd w:val="clear"/>
        <w:spacing w:line="360" w:lineRule="auto"/>
        <w:rPr>
          <w:rFonts w:hint="eastAsia" w:ascii="宋体" w:hAnsi="宋体" w:cs="宋体"/>
          <w:color w:val="auto"/>
          <w:sz w:val="24"/>
          <w:szCs w:val="32"/>
          <w:highlight w:val="none"/>
        </w:rPr>
      </w:pPr>
      <w:r>
        <w:rPr>
          <w:rFonts w:hint="eastAsia" w:ascii="宋体" w:hAnsi="宋体" w:cs="宋体"/>
          <w:b/>
          <w:color w:val="auto"/>
          <w:kern w:val="0"/>
          <w:sz w:val="24"/>
          <w:highlight w:val="none"/>
        </w:rPr>
        <w:t>四、</w:t>
      </w:r>
      <w:r>
        <w:rPr>
          <w:rFonts w:hint="eastAsia" w:ascii="宋体" w:hAnsi="宋体" w:cs="宋体"/>
          <w:b/>
          <w:bCs/>
          <w:color w:val="auto"/>
          <w:sz w:val="24"/>
          <w:szCs w:val="32"/>
          <w:highlight w:val="none"/>
        </w:rPr>
        <w:t>开标</w:t>
      </w:r>
    </w:p>
    <w:p w14:paraId="7FB167B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（一）开标事项</w:t>
      </w:r>
    </w:p>
    <w:p w14:paraId="53E5A4E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采购组织机构在“招标公告”规定的时间和地点公开开标，本次招标采用先评审商务资格和技术服务方案，后公开并评审报价的办法实施。</w:t>
      </w:r>
    </w:p>
    <w:p w14:paraId="2BF4642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采购过程中出现以下情形，导致电子交易平台无法正常运行，或者无法保证电子交易的公平、公正和安全时，采购组织机构可中止电子交易活动：</w:t>
      </w:r>
    </w:p>
    <w:p w14:paraId="59B3CA8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（1）电子交易平台发生故障而无法登录访问的； </w:t>
      </w:r>
    </w:p>
    <w:p w14:paraId="616E192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（2）电子交易平台应用或数据库出现错误，不能进行正常操作的；</w:t>
      </w:r>
    </w:p>
    <w:p w14:paraId="57C8B5A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（3）电子交易平台发现严重安全漏洞，有潜在泄密危险的；</w:t>
      </w:r>
    </w:p>
    <w:p w14:paraId="49EDAD7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（4）病毒导致不能进行正常操作的；</w:t>
      </w:r>
    </w:p>
    <w:p w14:paraId="3E25B53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（5）其他无法保证电子交易的公平、公正和安全的情况。</w:t>
      </w:r>
    </w:p>
    <w:p w14:paraId="47A5847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33D7139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（二） 开标程序：</w:t>
      </w:r>
    </w:p>
    <w:p w14:paraId="5D1712D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1、开标会由招标项目负责人主持，主持人宣布开标会议开始；</w:t>
      </w:r>
    </w:p>
    <w:p w14:paraId="593BC36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2、主持人介绍参加开标会的人员名单； </w:t>
      </w:r>
    </w:p>
    <w:p w14:paraId="64C386A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3、主持人宣布评标期间的有关事项，告知应当回避的情形，提请有关人员回避；对投标人进行签到验证。</w:t>
      </w:r>
    </w:p>
    <w:p w14:paraId="3C119EC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4、向各投标人发出电子加密投标文件【开始解密】通知，由投标人按招标文件规定的时间内自行进行投标文件解密。投标文件的制作和解密应使用同一个数字证书，否则将可能解密失败。</w:t>
      </w:r>
    </w:p>
    <w:p w14:paraId="0B04A6D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5、采购组织机构点击【开启标书信息】，开启标书成功后进入开标流程。</w:t>
      </w:r>
    </w:p>
    <w:p w14:paraId="4C812D3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w:t>
      </w:r>
      <w:r>
        <w:rPr>
          <w:rFonts w:hint="eastAsia" w:ascii="宋体" w:hAnsi="宋体" w:cs="宋体"/>
          <w:color w:val="auto"/>
          <w:sz w:val="24"/>
          <w:szCs w:val="32"/>
          <w:highlight w:val="none"/>
          <w:lang w:val="zh-CN"/>
        </w:rPr>
        <w:t>资格证明文件和商务技术文件</w:t>
      </w:r>
      <w:r>
        <w:rPr>
          <w:rFonts w:hint="eastAsia" w:ascii="宋体" w:hAnsi="宋体" w:cs="宋体"/>
          <w:color w:val="auto"/>
          <w:sz w:val="24"/>
          <w:szCs w:val="32"/>
          <w:highlight w:val="none"/>
        </w:rPr>
        <w:t>评审；</w:t>
      </w:r>
    </w:p>
    <w:p w14:paraId="12B0902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7、由主持人公布无效投标的投标人名单、投标无效的原因及其他有效投标的评分汇总分；</w:t>
      </w:r>
    </w:p>
    <w:p w14:paraId="1A9683E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8、开启报价响应文件：采购代理机构成功开启报价响应文件后，方可查看各供应商报价情况。</w:t>
      </w:r>
    </w:p>
    <w:p w14:paraId="1B4F120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9、报价文件评审；</w:t>
      </w:r>
    </w:p>
    <w:p w14:paraId="4374747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10、由主持人公布无效投标的投标人名单、投标无效的原因及其他有效投标的报价文件得分；</w:t>
      </w:r>
    </w:p>
    <w:p w14:paraId="65A4906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11、宣布综合得分结果及中标候选人名单；</w:t>
      </w:r>
    </w:p>
    <w:p w14:paraId="7543DE4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12、开标会议结束。</w:t>
      </w:r>
    </w:p>
    <w:p w14:paraId="47B46D51">
      <w:pPr>
        <w:shd w:val="clear"/>
        <w:spacing w:line="360" w:lineRule="auto"/>
        <w:jc w:val="left"/>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特别说明：如遇政采云平台电子化开标或评审程序调整的，按调整后程序执行。</w:t>
      </w:r>
    </w:p>
    <w:p w14:paraId="6FD29690">
      <w:pPr>
        <w:shd w:val="clear"/>
        <w:spacing w:line="360" w:lineRule="auto"/>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五、评标</w:t>
      </w:r>
    </w:p>
    <w:p w14:paraId="7CE6FFD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本项目采用电子评审方法。</w:t>
      </w:r>
    </w:p>
    <w:p w14:paraId="44F263FA">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（一）组建评标委员会</w:t>
      </w:r>
    </w:p>
    <w:p w14:paraId="21F24B8F">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评标委员会由采购人代表和评审专家组成，成员人数为5人以上单数，其中评审专家不得少于成员总数的三分之二。</w:t>
      </w:r>
    </w:p>
    <w:p w14:paraId="67496957">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（二）评标程序</w:t>
      </w:r>
    </w:p>
    <w:p w14:paraId="065B17E2">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1、资格审查</w:t>
      </w:r>
    </w:p>
    <w:p w14:paraId="6FAFF471">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公开招标采购项目开标结束后，采购人或者采购组织机构应当依法对投标人的资格进行审查，对审查发现无效的进行必要的询标，结束后公布无效投标的投标人名单、投标无效的原因。</w:t>
      </w:r>
    </w:p>
    <w:p w14:paraId="4C418DDC">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2、符合性审查</w:t>
      </w:r>
    </w:p>
    <w:p w14:paraId="09EBFFA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评标委员会应当对符合资格的投标人的投标文件进行符合性审查，以确定其是否满足招标文件的实质性要求，对审查发现无效的进行必要的询标，结束后公布无效投标的投标人名单、投标无效的原因。</w:t>
      </w:r>
    </w:p>
    <w:p w14:paraId="3DBC3FA7">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3、综合比较与评价</w:t>
      </w:r>
    </w:p>
    <w:p w14:paraId="79E2BF2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（1）对于投标文件中含义不明确、同类问题表述不一致或者有明显文字和计算错误的内容，评标委员会应当以书面形式要求投标人作出必要的澄清、说明或者补正。</w:t>
      </w:r>
    </w:p>
    <w:p w14:paraId="0ACC6B6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（2）评标委员会应当按照招标文件中规定的评标方法和标准，对符合性审查合格的投标文件进行商务和技术评估，综合比较与评价。</w:t>
      </w:r>
    </w:p>
    <w:p w14:paraId="5F410A4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（3）评标时，评标委员会各成员应当独立对每个投标人的投标文件进行评价，并汇总每个投标人的得分。</w:t>
      </w:r>
    </w:p>
    <w:p w14:paraId="5D347161">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4、得分确认及评审报告编写</w:t>
      </w:r>
    </w:p>
    <w:p w14:paraId="3FEE6E6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（1）评标委员会对报价文件进行复核，对于系统计算出的价格分及总得分进行确认；</w:t>
      </w:r>
    </w:p>
    <w:p w14:paraId="390F43C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（2）评标委员会应当按照招标文件中规定的评标方法和标准，对符合性审查合格的投标文件进行商务和技术评估，综合比较与评价。</w:t>
      </w:r>
    </w:p>
    <w:p w14:paraId="19A836F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（3）评标委员会按评标原则及得分情况编写评审报告。</w:t>
      </w:r>
    </w:p>
    <w:p w14:paraId="65522787">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5、评价</w:t>
      </w:r>
    </w:p>
    <w:p w14:paraId="1BC358E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采购组织机构对评标委员会评审专家进行评价。</w:t>
      </w:r>
    </w:p>
    <w:p w14:paraId="3036A794">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（三）澄清问题的形式</w:t>
      </w:r>
    </w:p>
    <w:p w14:paraId="3BC7B6C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投标人的澄清、说明或者补正应当采用书面形式，并加盖公章，或者由法定代理人或其授权委托代理人签字，并不得超出投标文件的范围或者改变投标文件的实质性内容。</w:t>
      </w:r>
    </w:p>
    <w:p w14:paraId="77BCAEBC">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（四）错误修正</w:t>
      </w:r>
    </w:p>
    <w:p w14:paraId="1C88617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投标文件报价出现前后不一致的，除招标文件另有规定外，按照下列规定修正：</w:t>
      </w:r>
    </w:p>
    <w:p w14:paraId="370F5C0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投标文件中开标一览表（报价表）内容与投标文件中相应内容不一致的，以开标一览表（报价表）为准。政采云平台客户端里开标一览表录入的投标报价信息与扫描上传的报价响应文件中开标一览表的报价信息不一致的，以扫描上传的报价响应文件中开标一览表的报价信息为准，修正政采云平台上的报价信息。</w:t>
      </w:r>
    </w:p>
    <w:p w14:paraId="634B78C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2、大写金额和小写金额不一致的，以大写金额为准。</w:t>
      </w:r>
    </w:p>
    <w:p w14:paraId="61652F2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3、单价金额小数点或者百分比有明显错位的，以开标一览表的总价为准，并修改单价。</w:t>
      </w:r>
    </w:p>
    <w:p w14:paraId="01CEC23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4、总价金额与按单价汇总金额不一致的，以单价金额计算结果为准。</w:t>
      </w:r>
    </w:p>
    <w:p w14:paraId="73FE542E">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14:paraId="7EF0677D">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（五）投标人存在下列情况之一的，投标无效：</w:t>
      </w:r>
    </w:p>
    <w:p w14:paraId="67BF243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1、电子投标文件及纸质备份投标文件在指定页面无法定代表人盖章或签字、未在指定页面盖公章、在指定页面无被授权人签字或未提供法定代表人授权委托书。</w:t>
      </w:r>
    </w:p>
    <w:p w14:paraId="2ADD2AE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zh-CN"/>
        </w:rPr>
        <w:t>资格证明文件、商务技术文件</w:t>
      </w:r>
      <w:r>
        <w:rPr>
          <w:rFonts w:hint="eastAsia" w:ascii="宋体" w:hAnsi="宋体" w:cs="宋体"/>
          <w:color w:val="auto"/>
          <w:sz w:val="24"/>
          <w:szCs w:val="32"/>
          <w:highlight w:val="none"/>
        </w:rPr>
        <w:t>跟报价文件出现混装或在</w:t>
      </w:r>
      <w:r>
        <w:rPr>
          <w:rFonts w:hint="eastAsia" w:ascii="宋体" w:hAnsi="宋体" w:cs="宋体"/>
          <w:color w:val="auto"/>
          <w:sz w:val="24"/>
          <w:szCs w:val="32"/>
          <w:highlight w:val="none"/>
          <w:lang w:val="zh-CN"/>
        </w:rPr>
        <w:t>资格证明文件、商务技术文件</w:t>
      </w:r>
      <w:r>
        <w:rPr>
          <w:rFonts w:hint="eastAsia" w:ascii="宋体" w:hAnsi="宋体" w:cs="宋体"/>
          <w:color w:val="auto"/>
          <w:sz w:val="24"/>
          <w:szCs w:val="32"/>
          <w:highlight w:val="none"/>
        </w:rPr>
        <w:t>中出现投标报价的，或者报价文件中报价的货物跟</w:t>
      </w:r>
      <w:r>
        <w:rPr>
          <w:rFonts w:hint="eastAsia" w:ascii="宋体" w:hAnsi="宋体" w:cs="宋体"/>
          <w:color w:val="auto"/>
          <w:sz w:val="24"/>
          <w:szCs w:val="32"/>
          <w:highlight w:val="none"/>
          <w:lang w:val="zh-CN"/>
        </w:rPr>
        <w:t>资格证明文件、商务技术文件</w:t>
      </w:r>
      <w:r>
        <w:rPr>
          <w:rFonts w:hint="eastAsia" w:ascii="宋体" w:hAnsi="宋体" w:cs="宋体"/>
          <w:color w:val="auto"/>
          <w:sz w:val="24"/>
          <w:szCs w:val="32"/>
          <w:highlight w:val="none"/>
        </w:rPr>
        <w:t>中的投标货物出现重大偏差的。</w:t>
      </w:r>
    </w:p>
    <w:p w14:paraId="01C46A8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3、不具备招标文件中规定的资格要求的。</w:t>
      </w:r>
      <w:r>
        <w:rPr>
          <w:rFonts w:hint="eastAsia" w:ascii="宋体" w:hAnsi="宋体" w:cs="宋体"/>
          <w:color w:val="auto"/>
          <w:sz w:val="24"/>
          <w:szCs w:val="32"/>
          <w:highlight w:val="none"/>
        </w:rPr>
        <w:tab/>
      </w:r>
    </w:p>
    <w:p w14:paraId="67370811">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4、投标文件含有采购人不能接受的附加条件的。</w:t>
      </w:r>
    </w:p>
    <w:p w14:paraId="453D644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5、授权委托代理人未能出具身份证明或与法定代表人授权委托人身份不符的。</w:t>
      </w:r>
    </w:p>
    <w:p w14:paraId="5F3C91B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1AF13D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7、报价超过招标文件中规定的预算金额/最高限价。</w:t>
      </w:r>
    </w:p>
    <w:p w14:paraId="2498EA5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8、投标参数未如实填写，完全复制粘贴招标参数的。</w:t>
      </w:r>
    </w:p>
    <w:p w14:paraId="1962A6C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9、投标文件提供虚假材料的。</w:t>
      </w:r>
    </w:p>
    <w:p w14:paraId="78A6043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10、存在中华人民共和国财政部令第87号《政府采购货物和服务招标投标管理办法》第三十七条情形之一的，视为投标人串通投标，其投标无效，并移送采购监管部门：</w:t>
      </w:r>
    </w:p>
    <w:p w14:paraId="13FC10C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（1）不同投标人的投标文件由同一单位或者个人编制；不同投标人的投标文件，由同一台电脑编制；</w:t>
      </w:r>
    </w:p>
    <w:p w14:paraId="481CDD6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（2）不同投标人委托同一单位或者个人办理投标事宜；</w:t>
      </w:r>
    </w:p>
    <w:p w14:paraId="16660E2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（3）不同投标人的投标文件载明的项目管理成员或者联系人员为同一人；</w:t>
      </w:r>
    </w:p>
    <w:p w14:paraId="643A03A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（4）不同投标人的投标文件异常一致或者投标报价呈规律性差异；</w:t>
      </w:r>
    </w:p>
    <w:p w14:paraId="20AADF7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（5）不同投标人的投标文件相互混装。</w:t>
      </w:r>
    </w:p>
    <w:p w14:paraId="564B516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11、不符合其他法律、法规规定的。</w:t>
      </w:r>
    </w:p>
    <w:p w14:paraId="227F150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12、未传输递交电子投标文件的或者未按规定提供相应的备份投标文件，造成项目开评标活动无法进行下去的。</w:t>
      </w:r>
    </w:p>
    <w:p w14:paraId="0057100E">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（六）有下列情况之一的，本次招标作为废标处理：</w:t>
      </w:r>
    </w:p>
    <w:p w14:paraId="270FA06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1、出现影响采购公正的违法、违规行为的；</w:t>
      </w:r>
    </w:p>
    <w:p w14:paraId="1D88AB6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2、评标委员会发现招标文件存在歧义、重大缺陷导致评标工作无法进行，或者招标文件内容违反国家有关强制性规定的； </w:t>
      </w:r>
    </w:p>
    <w:p w14:paraId="1F23F0C0">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3、因重大变故，采购任务取消的；</w:t>
      </w:r>
    </w:p>
    <w:p w14:paraId="40D7ABE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4、法律、法规和招标文件规定的其他导致评标结果无效的。</w:t>
      </w:r>
    </w:p>
    <w:p w14:paraId="2CEB6317">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（七）评标原则和评标办法</w:t>
      </w:r>
    </w:p>
    <w:p w14:paraId="5D45217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4022210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2、评标办法。具体评标内容及评分标准等详见《第三章 评标方法及评分标准》。</w:t>
      </w:r>
    </w:p>
    <w:p w14:paraId="785A1655">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（八）评标过程的监控</w:t>
      </w:r>
    </w:p>
    <w:p w14:paraId="3317A05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本项目评标过程实行全程录音、录像监控，政府采购监管部门视情进行现场监督，投标人在评标过程中所进行的试图影响评标结果的不公正活动，可能导致其投标被拒绝。</w:t>
      </w:r>
    </w:p>
    <w:p w14:paraId="2C6EB49F">
      <w:pPr>
        <w:shd w:val="clear"/>
        <w:spacing w:line="360" w:lineRule="auto"/>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六、定标</w:t>
      </w:r>
    </w:p>
    <w:p w14:paraId="2E14062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14:paraId="513C466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14:paraId="1065C78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3、发出中标通知书。采购组织机构在发布中标结果的同时，向中标人发出中标通知书。</w:t>
      </w:r>
    </w:p>
    <w:p w14:paraId="2BA3F496">
      <w:pPr>
        <w:shd w:val="clear"/>
        <w:spacing w:line="360" w:lineRule="auto"/>
        <w:ind w:firstLine="480" w:firstLineChars="200"/>
        <w:jc w:val="left"/>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4、中标人在领取通知书之后，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14:paraId="11D2880B">
      <w:pPr>
        <w:shd w:val="clear"/>
        <w:spacing w:line="360" w:lineRule="auto"/>
        <w:ind w:firstLine="480" w:firstLineChars="200"/>
        <w:rPr>
          <w:rFonts w:hint="eastAsia" w:ascii="宋体" w:hAnsi="宋体" w:cs="宋体"/>
          <w:color w:val="auto"/>
          <w:sz w:val="24"/>
          <w:szCs w:val="32"/>
          <w:highlight w:val="none"/>
        </w:rPr>
      </w:pPr>
    </w:p>
    <w:p w14:paraId="4BEAEBF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5、代理费用：招标代理服务收费采用差额定率累进计费方式，收费标准根据中标金额按照下列表格中</w:t>
      </w:r>
      <w:r>
        <w:rPr>
          <w:rFonts w:hint="eastAsia" w:ascii="宋体" w:hAnsi="宋体" w:cs="宋体"/>
          <w:color w:val="auto"/>
          <w:sz w:val="24"/>
          <w:szCs w:val="32"/>
          <w:highlight w:val="none"/>
          <w:lang w:val="en-US" w:eastAsia="zh-CN"/>
        </w:rPr>
        <w:t>服务</w:t>
      </w:r>
      <w:r>
        <w:rPr>
          <w:rFonts w:hint="eastAsia" w:ascii="宋体" w:hAnsi="宋体" w:cs="宋体"/>
          <w:color w:val="auto"/>
          <w:sz w:val="24"/>
          <w:szCs w:val="32"/>
          <w:highlight w:val="none"/>
        </w:rPr>
        <w:t>类别费率计算后向中标单位收取，该费用中标人须在中标公告发出5日内一次性付清。（户名：浙江五石中正工程咨询有限公司；账号：1202003209900014176；开户银行：中国工商银行杭州潮王路支行）,财务联系电话：0571-88271625。</w:t>
      </w:r>
    </w:p>
    <w:tbl>
      <w:tblPr>
        <w:tblStyle w:val="29"/>
        <w:tblW w:w="8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09"/>
        <w:gridCol w:w="1510"/>
        <w:gridCol w:w="1510"/>
        <w:gridCol w:w="1510"/>
      </w:tblGrid>
      <w:tr w14:paraId="691F2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3809" w:type="dxa"/>
            <w:vAlign w:val="center"/>
          </w:tcPr>
          <w:p w14:paraId="0E6B5BE5">
            <w:pPr>
              <w:shd w:val="clear"/>
              <w:jc w:val="center"/>
              <w:rPr>
                <w:rFonts w:hint="eastAsia" w:ascii="宋体" w:hAnsi="宋体" w:cs="宋体"/>
                <w:color w:val="auto"/>
                <w:sz w:val="24"/>
                <w:highlight w:val="none"/>
              </w:rPr>
            </w:pPr>
            <w:r>
              <w:rPr>
                <w:rFonts w:hint="eastAsia" w:ascii="宋体" w:hAnsi="宋体" w:cs="宋体"/>
                <w:color w:val="auto"/>
                <w:sz w:val="24"/>
                <w:highlight w:val="none"/>
              </w:rPr>
              <w:t>服务类型、费率、中标金额（万元）</w:t>
            </w:r>
          </w:p>
        </w:tc>
        <w:tc>
          <w:tcPr>
            <w:tcW w:w="1510" w:type="dxa"/>
            <w:vAlign w:val="center"/>
          </w:tcPr>
          <w:p w14:paraId="47B108A7">
            <w:pPr>
              <w:shd w:val="clear"/>
              <w:jc w:val="center"/>
              <w:rPr>
                <w:rFonts w:hint="eastAsia" w:ascii="宋体" w:hAnsi="宋体" w:cs="宋体"/>
                <w:color w:val="auto"/>
                <w:sz w:val="24"/>
                <w:highlight w:val="none"/>
              </w:rPr>
            </w:pPr>
            <w:r>
              <w:rPr>
                <w:rFonts w:hint="eastAsia" w:ascii="宋体" w:hAnsi="宋体" w:cs="宋体"/>
                <w:color w:val="auto"/>
                <w:sz w:val="24"/>
                <w:highlight w:val="none"/>
              </w:rPr>
              <w:t>货物招标</w:t>
            </w:r>
          </w:p>
        </w:tc>
        <w:tc>
          <w:tcPr>
            <w:tcW w:w="1510" w:type="dxa"/>
            <w:vAlign w:val="center"/>
          </w:tcPr>
          <w:p w14:paraId="6DA5CBCD">
            <w:pPr>
              <w:shd w:val="clear"/>
              <w:jc w:val="center"/>
              <w:rPr>
                <w:rFonts w:hint="eastAsia" w:ascii="宋体" w:hAnsi="宋体" w:cs="宋体"/>
                <w:color w:val="auto"/>
                <w:sz w:val="24"/>
                <w:highlight w:val="none"/>
              </w:rPr>
            </w:pPr>
            <w:r>
              <w:rPr>
                <w:rFonts w:hint="eastAsia" w:ascii="宋体" w:hAnsi="宋体" w:cs="宋体"/>
                <w:color w:val="auto"/>
                <w:sz w:val="24"/>
                <w:highlight w:val="none"/>
              </w:rPr>
              <w:t>服务招标</w:t>
            </w:r>
          </w:p>
        </w:tc>
        <w:tc>
          <w:tcPr>
            <w:tcW w:w="1510" w:type="dxa"/>
            <w:vAlign w:val="center"/>
          </w:tcPr>
          <w:p w14:paraId="0C886F36">
            <w:pPr>
              <w:shd w:val="clear"/>
              <w:jc w:val="center"/>
              <w:rPr>
                <w:rFonts w:hint="eastAsia" w:ascii="宋体" w:hAnsi="宋体" w:cs="宋体"/>
                <w:color w:val="auto"/>
                <w:sz w:val="24"/>
                <w:highlight w:val="none"/>
              </w:rPr>
            </w:pPr>
            <w:r>
              <w:rPr>
                <w:rFonts w:hint="eastAsia" w:ascii="宋体" w:hAnsi="宋体" w:cs="宋体"/>
                <w:color w:val="auto"/>
                <w:sz w:val="24"/>
                <w:highlight w:val="none"/>
              </w:rPr>
              <w:t>工程招标</w:t>
            </w:r>
          </w:p>
        </w:tc>
      </w:tr>
      <w:tr w14:paraId="7A2E6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3809" w:type="dxa"/>
            <w:vAlign w:val="center"/>
          </w:tcPr>
          <w:p w14:paraId="6B593ECD">
            <w:pPr>
              <w:shd w:val="clear"/>
              <w:jc w:val="center"/>
              <w:rPr>
                <w:rFonts w:hint="eastAsia" w:ascii="宋体" w:hAnsi="宋体" w:cs="宋体"/>
                <w:color w:val="auto"/>
                <w:sz w:val="24"/>
                <w:highlight w:val="none"/>
              </w:rPr>
            </w:pPr>
            <w:r>
              <w:rPr>
                <w:rFonts w:hint="eastAsia" w:ascii="宋体" w:hAnsi="宋体" w:cs="宋体"/>
                <w:color w:val="auto"/>
                <w:sz w:val="24"/>
                <w:highlight w:val="none"/>
              </w:rPr>
              <w:t>100以下</w:t>
            </w:r>
          </w:p>
        </w:tc>
        <w:tc>
          <w:tcPr>
            <w:tcW w:w="1510" w:type="dxa"/>
            <w:vAlign w:val="center"/>
          </w:tcPr>
          <w:p w14:paraId="59CB26D9">
            <w:pPr>
              <w:shd w:val="clear"/>
              <w:jc w:val="center"/>
              <w:rPr>
                <w:rFonts w:hint="eastAsia" w:ascii="宋体" w:hAnsi="宋体" w:cs="宋体"/>
                <w:color w:val="auto"/>
                <w:sz w:val="24"/>
                <w:highlight w:val="none"/>
              </w:rPr>
            </w:pPr>
            <w:r>
              <w:rPr>
                <w:rFonts w:hint="eastAsia" w:ascii="宋体" w:hAnsi="宋体" w:cs="宋体"/>
                <w:color w:val="auto"/>
                <w:sz w:val="24"/>
                <w:highlight w:val="none"/>
              </w:rPr>
              <w:t>1.50%</w:t>
            </w:r>
          </w:p>
        </w:tc>
        <w:tc>
          <w:tcPr>
            <w:tcW w:w="1510" w:type="dxa"/>
            <w:vAlign w:val="center"/>
          </w:tcPr>
          <w:p w14:paraId="619E2DB8">
            <w:pPr>
              <w:shd w:val="clear"/>
              <w:jc w:val="center"/>
              <w:rPr>
                <w:rFonts w:hint="eastAsia" w:ascii="宋体" w:hAnsi="宋体" w:cs="宋体"/>
                <w:color w:val="auto"/>
                <w:sz w:val="24"/>
                <w:highlight w:val="none"/>
              </w:rPr>
            </w:pPr>
            <w:r>
              <w:rPr>
                <w:rFonts w:hint="eastAsia" w:ascii="宋体" w:hAnsi="宋体" w:cs="宋体"/>
                <w:color w:val="auto"/>
                <w:sz w:val="24"/>
                <w:highlight w:val="none"/>
              </w:rPr>
              <w:t>1.50%</w:t>
            </w:r>
          </w:p>
        </w:tc>
        <w:tc>
          <w:tcPr>
            <w:tcW w:w="1510" w:type="dxa"/>
            <w:vAlign w:val="center"/>
          </w:tcPr>
          <w:p w14:paraId="0C4CD259">
            <w:pPr>
              <w:shd w:val="clear"/>
              <w:jc w:val="center"/>
              <w:rPr>
                <w:rFonts w:hint="eastAsia" w:ascii="宋体" w:hAnsi="宋体" w:cs="宋体"/>
                <w:color w:val="auto"/>
                <w:sz w:val="24"/>
                <w:highlight w:val="none"/>
              </w:rPr>
            </w:pPr>
            <w:r>
              <w:rPr>
                <w:rFonts w:hint="eastAsia" w:ascii="宋体" w:hAnsi="宋体" w:cs="宋体"/>
                <w:color w:val="auto"/>
                <w:sz w:val="24"/>
                <w:highlight w:val="none"/>
              </w:rPr>
              <w:t>1.00%</w:t>
            </w:r>
          </w:p>
        </w:tc>
      </w:tr>
      <w:tr w14:paraId="2F270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3809" w:type="dxa"/>
            <w:vAlign w:val="center"/>
          </w:tcPr>
          <w:p w14:paraId="611ADDCC">
            <w:pPr>
              <w:shd w:val="clear"/>
              <w:jc w:val="center"/>
              <w:rPr>
                <w:rFonts w:hint="eastAsia" w:ascii="宋体" w:hAnsi="宋体" w:cs="宋体"/>
                <w:color w:val="auto"/>
                <w:sz w:val="24"/>
                <w:highlight w:val="none"/>
              </w:rPr>
            </w:pPr>
            <w:r>
              <w:rPr>
                <w:rFonts w:hint="eastAsia" w:ascii="宋体" w:hAnsi="宋体" w:cs="宋体"/>
                <w:color w:val="auto"/>
                <w:sz w:val="24"/>
                <w:highlight w:val="none"/>
              </w:rPr>
              <w:t>100-500</w:t>
            </w:r>
          </w:p>
        </w:tc>
        <w:tc>
          <w:tcPr>
            <w:tcW w:w="1510" w:type="dxa"/>
            <w:vAlign w:val="center"/>
          </w:tcPr>
          <w:p w14:paraId="5EBBC26F">
            <w:pPr>
              <w:shd w:val="clear"/>
              <w:jc w:val="center"/>
              <w:rPr>
                <w:rFonts w:hint="eastAsia" w:ascii="宋体" w:hAnsi="宋体" w:cs="宋体"/>
                <w:color w:val="auto"/>
                <w:sz w:val="24"/>
                <w:highlight w:val="none"/>
              </w:rPr>
            </w:pPr>
            <w:r>
              <w:rPr>
                <w:rFonts w:hint="eastAsia" w:ascii="宋体" w:hAnsi="宋体" w:cs="宋体"/>
                <w:color w:val="auto"/>
                <w:sz w:val="24"/>
                <w:highlight w:val="none"/>
              </w:rPr>
              <w:t>1.10%</w:t>
            </w:r>
          </w:p>
        </w:tc>
        <w:tc>
          <w:tcPr>
            <w:tcW w:w="1510" w:type="dxa"/>
            <w:vAlign w:val="center"/>
          </w:tcPr>
          <w:p w14:paraId="641F08AB">
            <w:pPr>
              <w:shd w:val="clear"/>
              <w:jc w:val="center"/>
              <w:rPr>
                <w:rFonts w:hint="eastAsia" w:ascii="宋体" w:hAnsi="宋体" w:cs="宋体"/>
                <w:color w:val="auto"/>
                <w:sz w:val="24"/>
                <w:highlight w:val="none"/>
              </w:rPr>
            </w:pPr>
            <w:r>
              <w:rPr>
                <w:rFonts w:hint="eastAsia" w:ascii="宋体" w:hAnsi="宋体" w:cs="宋体"/>
                <w:color w:val="auto"/>
                <w:sz w:val="24"/>
                <w:highlight w:val="none"/>
              </w:rPr>
              <w:t>0.80%</w:t>
            </w:r>
          </w:p>
        </w:tc>
        <w:tc>
          <w:tcPr>
            <w:tcW w:w="1510" w:type="dxa"/>
            <w:vAlign w:val="center"/>
          </w:tcPr>
          <w:p w14:paraId="159C7AFD">
            <w:pPr>
              <w:shd w:val="clear"/>
              <w:jc w:val="center"/>
              <w:rPr>
                <w:rFonts w:hint="eastAsia" w:ascii="宋体" w:hAnsi="宋体" w:cs="宋体"/>
                <w:color w:val="auto"/>
                <w:sz w:val="24"/>
                <w:highlight w:val="none"/>
              </w:rPr>
            </w:pPr>
            <w:r>
              <w:rPr>
                <w:rFonts w:hint="eastAsia" w:ascii="宋体" w:hAnsi="宋体" w:cs="宋体"/>
                <w:color w:val="auto"/>
                <w:sz w:val="24"/>
                <w:highlight w:val="none"/>
              </w:rPr>
              <w:t>0.70%</w:t>
            </w:r>
          </w:p>
        </w:tc>
      </w:tr>
      <w:tr w14:paraId="59914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3809" w:type="dxa"/>
            <w:vAlign w:val="center"/>
          </w:tcPr>
          <w:p w14:paraId="06583C82">
            <w:pPr>
              <w:shd w:val="clear"/>
              <w:jc w:val="center"/>
              <w:rPr>
                <w:rFonts w:hint="eastAsia" w:ascii="宋体" w:hAnsi="宋体" w:cs="宋体"/>
                <w:color w:val="auto"/>
                <w:sz w:val="24"/>
                <w:highlight w:val="none"/>
              </w:rPr>
            </w:pPr>
            <w:r>
              <w:rPr>
                <w:rFonts w:hint="eastAsia" w:ascii="宋体" w:hAnsi="宋体" w:cs="宋体"/>
                <w:color w:val="auto"/>
                <w:sz w:val="24"/>
                <w:highlight w:val="none"/>
              </w:rPr>
              <w:t>500-1000</w:t>
            </w:r>
          </w:p>
        </w:tc>
        <w:tc>
          <w:tcPr>
            <w:tcW w:w="1510" w:type="dxa"/>
            <w:vAlign w:val="center"/>
          </w:tcPr>
          <w:p w14:paraId="0215F922">
            <w:pPr>
              <w:shd w:val="clear"/>
              <w:jc w:val="center"/>
              <w:rPr>
                <w:rFonts w:hint="eastAsia" w:ascii="宋体" w:hAnsi="宋体" w:cs="宋体"/>
                <w:color w:val="auto"/>
                <w:sz w:val="24"/>
                <w:highlight w:val="none"/>
              </w:rPr>
            </w:pPr>
            <w:r>
              <w:rPr>
                <w:rFonts w:hint="eastAsia" w:ascii="宋体" w:hAnsi="宋体" w:cs="宋体"/>
                <w:color w:val="auto"/>
                <w:sz w:val="24"/>
                <w:highlight w:val="none"/>
              </w:rPr>
              <w:t>0.80%</w:t>
            </w:r>
          </w:p>
        </w:tc>
        <w:tc>
          <w:tcPr>
            <w:tcW w:w="1510" w:type="dxa"/>
            <w:vAlign w:val="center"/>
          </w:tcPr>
          <w:p w14:paraId="20033FC8">
            <w:pPr>
              <w:shd w:val="clear"/>
              <w:jc w:val="center"/>
              <w:rPr>
                <w:rFonts w:hint="eastAsia" w:ascii="宋体" w:hAnsi="宋体" w:cs="宋体"/>
                <w:color w:val="auto"/>
                <w:sz w:val="24"/>
                <w:highlight w:val="none"/>
              </w:rPr>
            </w:pPr>
            <w:r>
              <w:rPr>
                <w:rFonts w:hint="eastAsia" w:ascii="宋体" w:hAnsi="宋体" w:cs="宋体"/>
                <w:color w:val="auto"/>
                <w:sz w:val="24"/>
                <w:highlight w:val="none"/>
              </w:rPr>
              <w:t>0.45%</w:t>
            </w:r>
          </w:p>
        </w:tc>
        <w:tc>
          <w:tcPr>
            <w:tcW w:w="1510" w:type="dxa"/>
            <w:vAlign w:val="center"/>
          </w:tcPr>
          <w:p w14:paraId="37B29880">
            <w:pPr>
              <w:shd w:val="clear"/>
              <w:jc w:val="center"/>
              <w:rPr>
                <w:rFonts w:hint="eastAsia" w:ascii="宋体" w:hAnsi="宋体" w:cs="宋体"/>
                <w:color w:val="auto"/>
                <w:sz w:val="24"/>
                <w:highlight w:val="none"/>
              </w:rPr>
            </w:pPr>
            <w:r>
              <w:rPr>
                <w:rFonts w:hint="eastAsia" w:ascii="宋体" w:hAnsi="宋体" w:cs="宋体"/>
                <w:color w:val="auto"/>
                <w:sz w:val="24"/>
                <w:highlight w:val="none"/>
              </w:rPr>
              <w:t>0.55%</w:t>
            </w:r>
          </w:p>
        </w:tc>
      </w:tr>
      <w:tr w14:paraId="10FCB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3809" w:type="dxa"/>
            <w:vAlign w:val="center"/>
          </w:tcPr>
          <w:p w14:paraId="34E53533">
            <w:pPr>
              <w:shd w:val="clear"/>
              <w:jc w:val="center"/>
              <w:rPr>
                <w:rFonts w:hint="eastAsia" w:ascii="宋体" w:hAnsi="宋体" w:cs="宋体"/>
                <w:color w:val="auto"/>
                <w:sz w:val="24"/>
                <w:highlight w:val="none"/>
              </w:rPr>
            </w:pPr>
            <w:r>
              <w:rPr>
                <w:rFonts w:hint="eastAsia" w:ascii="宋体" w:hAnsi="宋体" w:cs="宋体"/>
                <w:color w:val="auto"/>
                <w:sz w:val="24"/>
                <w:highlight w:val="none"/>
              </w:rPr>
              <w:t>1000-5000</w:t>
            </w:r>
          </w:p>
        </w:tc>
        <w:tc>
          <w:tcPr>
            <w:tcW w:w="1510" w:type="dxa"/>
            <w:vAlign w:val="center"/>
          </w:tcPr>
          <w:p w14:paraId="5836BD0B">
            <w:pPr>
              <w:shd w:val="clear"/>
              <w:jc w:val="center"/>
              <w:rPr>
                <w:rFonts w:hint="eastAsia" w:ascii="宋体" w:hAnsi="宋体" w:cs="宋体"/>
                <w:color w:val="auto"/>
                <w:sz w:val="24"/>
                <w:highlight w:val="none"/>
              </w:rPr>
            </w:pPr>
            <w:r>
              <w:rPr>
                <w:rFonts w:hint="eastAsia" w:ascii="宋体" w:hAnsi="宋体" w:cs="宋体"/>
                <w:color w:val="auto"/>
                <w:sz w:val="24"/>
                <w:highlight w:val="none"/>
              </w:rPr>
              <w:t>0.50%</w:t>
            </w:r>
          </w:p>
        </w:tc>
        <w:tc>
          <w:tcPr>
            <w:tcW w:w="1510" w:type="dxa"/>
            <w:vAlign w:val="center"/>
          </w:tcPr>
          <w:p w14:paraId="46FF2ED4">
            <w:pPr>
              <w:shd w:val="clear"/>
              <w:jc w:val="center"/>
              <w:rPr>
                <w:rFonts w:hint="eastAsia" w:ascii="宋体" w:hAnsi="宋体" w:cs="宋体"/>
                <w:color w:val="auto"/>
                <w:sz w:val="24"/>
                <w:highlight w:val="none"/>
              </w:rPr>
            </w:pPr>
            <w:r>
              <w:rPr>
                <w:rFonts w:hint="eastAsia" w:ascii="宋体" w:hAnsi="宋体" w:cs="宋体"/>
                <w:color w:val="auto"/>
                <w:sz w:val="24"/>
                <w:highlight w:val="none"/>
              </w:rPr>
              <w:t>0.25%</w:t>
            </w:r>
          </w:p>
        </w:tc>
        <w:tc>
          <w:tcPr>
            <w:tcW w:w="1510" w:type="dxa"/>
            <w:vAlign w:val="center"/>
          </w:tcPr>
          <w:p w14:paraId="46B46111">
            <w:pPr>
              <w:shd w:val="clear"/>
              <w:jc w:val="center"/>
              <w:rPr>
                <w:rFonts w:hint="eastAsia" w:ascii="宋体" w:hAnsi="宋体" w:cs="宋体"/>
                <w:color w:val="auto"/>
                <w:sz w:val="24"/>
                <w:highlight w:val="none"/>
              </w:rPr>
            </w:pPr>
            <w:r>
              <w:rPr>
                <w:rFonts w:hint="eastAsia" w:ascii="宋体" w:hAnsi="宋体" w:cs="宋体"/>
                <w:color w:val="auto"/>
                <w:sz w:val="24"/>
                <w:highlight w:val="none"/>
              </w:rPr>
              <w:t>0.35%</w:t>
            </w:r>
          </w:p>
        </w:tc>
      </w:tr>
      <w:tr w14:paraId="105E9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3809" w:type="dxa"/>
            <w:vAlign w:val="center"/>
          </w:tcPr>
          <w:p w14:paraId="494B4800">
            <w:pPr>
              <w:shd w:val="clear"/>
              <w:jc w:val="center"/>
              <w:rPr>
                <w:rFonts w:hint="eastAsia" w:ascii="宋体" w:hAnsi="宋体" w:cs="宋体"/>
                <w:color w:val="auto"/>
                <w:sz w:val="24"/>
                <w:highlight w:val="none"/>
              </w:rPr>
            </w:pPr>
            <w:r>
              <w:rPr>
                <w:rFonts w:hint="eastAsia" w:ascii="宋体" w:hAnsi="宋体" w:cs="宋体"/>
                <w:color w:val="auto"/>
                <w:sz w:val="24"/>
                <w:highlight w:val="none"/>
              </w:rPr>
              <w:t>5000-10000</w:t>
            </w:r>
          </w:p>
        </w:tc>
        <w:tc>
          <w:tcPr>
            <w:tcW w:w="1510" w:type="dxa"/>
            <w:vAlign w:val="center"/>
          </w:tcPr>
          <w:p w14:paraId="68160CED">
            <w:pPr>
              <w:shd w:val="clear"/>
              <w:jc w:val="center"/>
              <w:rPr>
                <w:rFonts w:hint="eastAsia" w:ascii="宋体" w:hAnsi="宋体" w:cs="宋体"/>
                <w:color w:val="auto"/>
                <w:sz w:val="24"/>
                <w:highlight w:val="none"/>
              </w:rPr>
            </w:pPr>
            <w:r>
              <w:rPr>
                <w:rFonts w:hint="eastAsia" w:ascii="宋体" w:hAnsi="宋体" w:cs="宋体"/>
                <w:color w:val="auto"/>
                <w:sz w:val="24"/>
                <w:highlight w:val="none"/>
              </w:rPr>
              <w:t>0.25%</w:t>
            </w:r>
          </w:p>
        </w:tc>
        <w:tc>
          <w:tcPr>
            <w:tcW w:w="1510" w:type="dxa"/>
            <w:vAlign w:val="center"/>
          </w:tcPr>
          <w:p w14:paraId="30FAD3A3">
            <w:pPr>
              <w:shd w:val="clear"/>
              <w:jc w:val="center"/>
              <w:rPr>
                <w:rFonts w:hint="eastAsia" w:ascii="宋体" w:hAnsi="宋体" w:cs="宋体"/>
                <w:color w:val="auto"/>
                <w:sz w:val="24"/>
                <w:highlight w:val="none"/>
              </w:rPr>
            </w:pPr>
            <w:r>
              <w:rPr>
                <w:rFonts w:hint="eastAsia" w:ascii="宋体" w:hAnsi="宋体" w:cs="宋体"/>
                <w:color w:val="auto"/>
                <w:sz w:val="24"/>
                <w:highlight w:val="none"/>
              </w:rPr>
              <w:t>0.10%</w:t>
            </w:r>
          </w:p>
        </w:tc>
        <w:tc>
          <w:tcPr>
            <w:tcW w:w="1510" w:type="dxa"/>
            <w:vAlign w:val="center"/>
          </w:tcPr>
          <w:p w14:paraId="2195F181">
            <w:pPr>
              <w:shd w:val="clear"/>
              <w:jc w:val="center"/>
              <w:rPr>
                <w:rFonts w:hint="eastAsia" w:ascii="宋体" w:hAnsi="宋体" w:cs="宋体"/>
                <w:color w:val="auto"/>
                <w:sz w:val="24"/>
                <w:highlight w:val="none"/>
              </w:rPr>
            </w:pPr>
            <w:r>
              <w:rPr>
                <w:rFonts w:hint="eastAsia" w:ascii="宋体" w:hAnsi="宋体" w:cs="宋体"/>
                <w:color w:val="auto"/>
                <w:sz w:val="24"/>
                <w:highlight w:val="none"/>
              </w:rPr>
              <w:t>0.20%</w:t>
            </w:r>
          </w:p>
        </w:tc>
      </w:tr>
      <w:tr w14:paraId="37E32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3809" w:type="dxa"/>
            <w:vAlign w:val="center"/>
          </w:tcPr>
          <w:p w14:paraId="1865D2D7">
            <w:pPr>
              <w:shd w:val="clear"/>
              <w:jc w:val="center"/>
              <w:rPr>
                <w:rFonts w:hint="eastAsia" w:ascii="宋体" w:hAnsi="宋体" w:cs="宋体"/>
                <w:color w:val="auto"/>
                <w:sz w:val="24"/>
                <w:highlight w:val="none"/>
              </w:rPr>
            </w:pPr>
            <w:r>
              <w:rPr>
                <w:rFonts w:hint="eastAsia" w:ascii="宋体" w:hAnsi="宋体" w:cs="宋体"/>
                <w:color w:val="auto"/>
                <w:sz w:val="24"/>
                <w:highlight w:val="none"/>
              </w:rPr>
              <w:t>10000-100000</w:t>
            </w:r>
          </w:p>
        </w:tc>
        <w:tc>
          <w:tcPr>
            <w:tcW w:w="1510" w:type="dxa"/>
            <w:vAlign w:val="center"/>
          </w:tcPr>
          <w:p w14:paraId="15563B34">
            <w:pPr>
              <w:shd w:val="clear"/>
              <w:jc w:val="center"/>
              <w:rPr>
                <w:rFonts w:hint="eastAsia" w:ascii="宋体" w:hAnsi="宋体" w:cs="宋体"/>
                <w:color w:val="auto"/>
                <w:sz w:val="24"/>
                <w:highlight w:val="none"/>
              </w:rPr>
            </w:pPr>
            <w:r>
              <w:rPr>
                <w:rFonts w:hint="eastAsia" w:ascii="宋体" w:hAnsi="宋体" w:cs="宋体"/>
                <w:color w:val="auto"/>
                <w:sz w:val="24"/>
                <w:highlight w:val="none"/>
              </w:rPr>
              <w:t>0.05%</w:t>
            </w:r>
          </w:p>
        </w:tc>
        <w:tc>
          <w:tcPr>
            <w:tcW w:w="1510" w:type="dxa"/>
            <w:vAlign w:val="center"/>
          </w:tcPr>
          <w:p w14:paraId="2829FD1A">
            <w:pPr>
              <w:shd w:val="clear"/>
              <w:jc w:val="center"/>
              <w:rPr>
                <w:rFonts w:hint="eastAsia" w:ascii="宋体" w:hAnsi="宋体" w:cs="宋体"/>
                <w:color w:val="auto"/>
                <w:sz w:val="24"/>
                <w:highlight w:val="none"/>
              </w:rPr>
            </w:pPr>
            <w:r>
              <w:rPr>
                <w:rFonts w:hint="eastAsia" w:ascii="宋体" w:hAnsi="宋体" w:cs="宋体"/>
                <w:color w:val="auto"/>
                <w:sz w:val="24"/>
                <w:highlight w:val="none"/>
              </w:rPr>
              <w:t>0.05%</w:t>
            </w:r>
          </w:p>
        </w:tc>
        <w:tc>
          <w:tcPr>
            <w:tcW w:w="1510" w:type="dxa"/>
            <w:vAlign w:val="center"/>
          </w:tcPr>
          <w:p w14:paraId="6DDFA5A9">
            <w:pPr>
              <w:shd w:val="clear"/>
              <w:jc w:val="center"/>
              <w:rPr>
                <w:rFonts w:hint="eastAsia" w:ascii="宋体" w:hAnsi="宋体" w:cs="宋体"/>
                <w:color w:val="auto"/>
                <w:sz w:val="24"/>
                <w:highlight w:val="none"/>
              </w:rPr>
            </w:pPr>
            <w:r>
              <w:rPr>
                <w:rFonts w:hint="eastAsia" w:ascii="宋体" w:hAnsi="宋体" w:cs="宋体"/>
                <w:color w:val="auto"/>
                <w:sz w:val="24"/>
                <w:highlight w:val="none"/>
              </w:rPr>
              <w:t>0.05%</w:t>
            </w:r>
          </w:p>
        </w:tc>
      </w:tr>
      <w:tr w14:paraId="6C1D5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3809" w:type="dxa"/>
            <w:vAlign w:val="center"/>
          </w:tcPr>
          <w:p w14:paraId="21841918">
            <w:pPr>
              <w:shd w:val="clear"/>
              <w:jc w:val="center"/>
              <w:rPr>
                <w:rFonts w:hint="eastAsia" w:ascii="宋体" w:hAnsi="宋体" w:cs="宋体"/>
                <w:color w:val="auto"/>
                <w:sz w:val="24"/>
                <w:highlight w:val="none"/>
              </w:rPr>
            </w:pPr>
            <w:r>
              <w:rPr>
                <w:rFonts w:hint="eastAsia" w:ascii="宋体" w:hAnsi="宋体" w:cs="宋体"/>
                <w:color w:val="auto"/>
                <w:sz w:val="24"/>
                <w:highlight w:val="none"/>
              </w:rPr>
              <w:t>100000以上</w:t>
            </w:r>
          </w:p>
        </w:tc>
        <w:tc>
          <w:tcPr>
            <w:tcW w:w="1510" w:type="dxa"/>
            <w:vAlign w:val="center"/>
          </w:tcPr>
          <w:p w14:paraId="63C375CC">
            <w:pPr>
              <w:shd w:val="clear"/>
              <w:jc w:val="center"/>
              <w:rPr>
                <w:rFonts w:hint="eastAsia" w:ascii="宋体" w:hAnsi="宋体" w:cs="宋体"/>
                <w:color w:val="auto"/>
                <w:sz w:val="24"/>
                <w:highlight w:val="none"/>
              </w:rPr>
            </w:pPr>
            <w:r>
              <w:rPr>
                <w:rFonts w:hint="eastAsia" w:ascii="宋体" w:hAnsi="宋体" w:cs="宋体"/>
                <w:color w:val="auto"/>
                <w:sz w:val="24"/>
                <w:highlight w:val="none"/>
              </w:rPr>
              <w:t>0.01%</w:t>
            </w:r>
          </w:p>
        </w:tc>
        <w:tc>
          <w:tcPr>
            <w:tcW w:w="1510" w:type="dxa"/>
            <w:vAlign w:val="center"/>
          </w:tcPr>
          <w:p w14:paraId="5C8B0945">
            <w:pPr>
              <w:shd w:val="clear"/>
              <w:jc w:val="center"/>
              <w:rPr>
                <w:rFonts w:hint="eastAsia" w:ascii="宋体" w:hAnsi="宋体" w:cs="宋体"/>
                <w:color w:val="auto"/>
                <w:sz w:val="24"/>
                <w:highlight w:val="none"/>
              </w:rPr>
            </w:pPr>
            <w:r>
              <w:rPr>
                <w:rFonts w:hint="eastAsia" w:ascii="宋体" w:hAnsi="宋体" w:cs="宋体"/>
                <w:color w:val="auto"/>
                <w:sz w:val="24"/>
                <w:highlight w:val="none"/>
              </w:rPr>
              <w:t>0.01%</w:t>
            </w:r>
          </w:p>
        </w:tc>
        <w:tc>
          <w:tcPr>
            <w:tcW w:w="1510" w:type="dxa"/>
            <w:vAlign w:val="center"/>
          </w:tcPr>
          <w:p w14:paraId="5CEF8710">
            <w:pPr>
              <w:shd w:val="clear"/>
              <w:jc w:val="center"/>
              <w:rPr>
                <w:rFonts w:hint="eastAsia" w:ascii="宋体" w:hAnsi="宋体" w:cs="宋体"/>
                <w:color w:val="auto"/>
                <w:sz w:val="24"/>
                <w:highlight w:val="none"/>
              </w:rPr>
            </w:pPr>
            <w:r>
              <w:rPr>
                <w:rFonts w:hint="eastAsia" w:ascii="宋体" w:hAnsi="宋体" w:cs="宋体"/>
                <w:color w:val="auto"/>
                <w:sz w:val="24"/>
                <w:highlight w:val="none"/>
              </w:rPr>
              <w:t>0.01%</w:t>
            </w:r>
          </w:p>
        </w:tc>
      </w:tr>
    </w:tbl>
    <w:p w14:paraId="3CF920FE">
      <w:pPr>
        <w:shd w:val="clear"/>
        <w:spacing w:line="360" w:lineRule="auto"/>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七、合同签订及公告</w:t>
      </w:r>
    </w:p>
    <w:p w14:paraId="3C7387B7">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（一）签订合同</w:t>
      </w:r>
    </w:p>
    <w:p w14:paraId="372A505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1、采购人应当自中标通知书发出之日起30天内，按照招标文件和中标人投标文件的规定，与中标人签订书面合同。所签订的合同不得对招标文件确定的事项和中标人投标文件作实质性修改。</w:t>
      </w:r>
    </w:p>
    <w:p w14:paraId="6D592A2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2、采购人不得向中标人提出任何不合理的要求作为签订合同的条件。</w:t>
      </w:r>
    </w:p>
    <w:p w14:paraId="10B28FAE">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3、中标供应商无故拖延、拒签合同的，取消中标资格。</w:t>
      </w:r>
    </w:p>
    <w:p w14:paraId="2D3ECF91">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14:paraId="5DADC0D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5、询问或者质疑事项可能影响中标结果的，采购人应当暂停签订合同，已经签订合同的，应当中止履行合同（中标结果的质疑期为中标结果公告期限届满之日起七个工作日）。</w:t>
      </w:r>
    </w:p>
    <w:p w14:paraId="6DCC1022">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（二）合同公告及备案</w:t>
      </w:r>
    </w:p>
    <w:p w14:paraId="4893D73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1、采购人应当自政府采购合同签订之日起2个工作日内，在省级以上财政部门指定的政府采购信息发布媒体及相关网站上公告。</w:t>
      </w:r>
    </w:p>
    <w:p w14:paraId="6AB55F21">
      <w:pPr>
        <w:shd w:val="clear"/>
        <w:spacing w:line="360" w:lineRule="auto"/>
        <w:ind w:firstLine="480" w:firstLineChars="200"/>
        <w:rPr>
          <w:rFonts w:hint="eastAsia" w:ascii="宋体" w:hAnsi="宋体" w:cs="宋体"/>
          <w:b/>
          <w:bCs/>
          <w:color w:val="auto"/>
          <w:sz w:val="36"/>
          <w:szCs w:val="44"/>
          <w:highlight w:val="none"/>
        </w:rPr>
      </w:pPr>
      <w:r>
        <w:rPr>
          <w:rFonts w:hint="eastAsia" w:ascii="宋体" w:hAnsi="宋体" w:cs="宋体"/>
          <w:color w:val="auto"/>
          <w:sz w:val="24"/>
          <w:szCs w:val="32"/>
          <w:highlight w:val="none"/>
        </w:rPr>
        <w:t>2、采购人应当自政府采购合同签订之日起7个工作日内，将政府采购合同副本报同级人民政府财政部门备案以及采购组织机构存档。</w:t>
      </w:r>
    </w:p>
    <w:p w14:paraId="4B0F6D9F">
      <w:pPr>
        <w:shd w:val="clear"/>
        <w:spacing w:line="360" w:lineRule="auto"/>
        <w:jc w:val="center"/>
        <w:rPr>
          <w:rFonts w:hint="eastAsia" w:ascii="宋体" w:hAnsi="宋体" w:cs="宋体"/>
          <w:b/>
          <w:bCs/>
          <w:color w:val="auto"/>
          <w:sz w:val="36"/>
          <w:szCs w:val="44"/>
          <w:highlight w:val="none"/>
        </w:rPr>
      </w:pPr>
    </w:p>
    <w:p w14:paraId="783C83F8">
      <w:pPr>
        <w:shd w:val="clear"/>
        <w:spacing w:line="360" w:lineRule="auto"/>
        <w:jc w:val="center"/>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第三章 评标办法及评分标准</w:t>
      </w:r>
    </w:p>
    <w:p w14:paraId="449FC72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一、采购组织机构将组织评标委员会，对投标人提供的投标文件进行综合评审。</w:t>
      </w:r>
    </w:p>
    <w:p w14:paraId="40A7884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二、本次招标项目的评标方法为综合评分法，总计100分。</w:t>
      </w:r>
    </w:p>
    <w:p w14:paraId="762390E3">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（一）商务与技术文件</w:t>
      </w:r>
      <w:r>
        <w:rPr>
          <w:rFonts w:hint="eastAsia" w:ascii="宋体" w:hAnsi="宋体" w:cs="宋体"/>
          <w:color w:val="auto"/>
          <w:sz w:val="24"/>
          <w:szCs w:val="32"/>
          <w:highlight w:val="none"/>
          <w:lang w:val="en-US" w:eastAsia="zh-CN"/>
        </w:rPr>
        <w:t>得</w:t>
      </w:r>
      <w:r>
        <w:rPr>
          <w:rFonts w:hint="eastAsia" w:ascii="宋体" w:hAnsi="宋体" w:cs="宋体"/>
          <w:color w:val="auto"/>
          <w:sz w:val="24"/>
          <w:szCs w:val="32"/>
          <w:highlight w:val="none"/>
          <w:lang w:val="zh-CN"/>
        </w:rPr>
        <w:t>分由评标委员会在规定的分值内单独评定打分。</w:t>
      </w:r>
    </w:p>
    <w:p w14:paraId="4D7A3BCA">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（二）各投标人商务与技术文件得分按照评标委员会成员的独立评分结果汇总后的算术平均分计算，计算公式为：</w:t>
      </w:r>
    </w:p>
    <w:p w14:paraId="6554A0CD">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rPr>
        <w:t>商务与技术文件得分</w:t>
      </w:r>
      <w:r>
        <w:rPr>
          <w:rFonts w:hint="eastAsia" w:ascii="宋体" w:hAnsi="宋体" w:cs="宋体"/>
          <w:color w:val="auto"/>
          <w:sz w:val="24"/>
          <w:szCs w:val="32"/>
          <w:highlight w:val="none"/>
          <w:lang w:val="zh-CN"/>
        </w:rPr>
        <w:t>=评标委员会所有成员评分合计数/评标委员会组成人员数。</w:t>
      </w:r>
    </w:p>
    <w:p w14:paraId="7AA9D24E">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（三）投标报价得分采用低价优先法计算，即满足招标文件要求且投标价格最低的投标报价为评标基准价，其报价得满分</w:t>
      </w:r>
      <w:r>
        <w:rPr>
          <w:rFonts w:hint="eastAsia" w:ascii="宋体" w:hAnsi="宋体" w:cs="宋体"/>
          <w:color w:val="auto"/>
          <w:sz w:val="24"/>
          <w:szCs w:val="32"/>
          <w:highlight w:val="none"/>
          <w:lang w:val="en-US" w:eastAsia="zh-CN"/>
        </w:rPr>
        <w:t>12分</w:t>
      </w:r>
      <w:r>
        <w:rPr>
          <w:rFonts w:hint="eastAsia" w:ascii="宋体" w:hAnsi="宋体" w:cs="宋体"/>
          <w:color w:val="auto"/>
          <w:sz w:val="24"/>
          <w:szCs w:val="32"/>
          <w:highlight w:val="none"/>
          <w:lang w:val="zh-CN"/>
        </w:rPr>
        <w:t>。其他投标人的投标报价得分按下列公式计算：</w:t>
      </w:r>
    </w:p>
    <w:p w14:paraId="5FF5E183">
      <w:pPr>
        <w:shd w:val="clear"/>
        <w:spacing w:line="360" w:lineRule="auto"/>
        <w:ind w:firstLine="480" w:firstLineChars="200"/>
        <w:rPr>
          <w:rFonts w:hint="eastAsia" w:ascii="宋体" w:hAnsi="宋体" w:cs="宋体"/>
          <w:color w:val="auto"/>
          <w:sz w:val="24"/>
          <w:szCs w:val="32"/>
          <w:highlight w:val="none"/>
          <w:u w:val="single"/>
        </w:rPr>
      </w:pPr>
      <w:r>
        <w:rPr>
          <w:rFonts w:hint="eastAsia" w:ascii="宋体" w:hAnsi="宋体" w:cs="宋体"/>
          <w:color w:val="auto"/>
          <w:sz w:val="24"/>
          <w:szCs w:val="32"/>
          <w:highlight w:val="none"/>
          <w:u w:val="single"/>
        </w:rPr>
        <w:t>投标报价得分=（评标基准价／投标报价）×1</w:t>
      </w:r>
      <w:r>
        <w:rPr>
          <w:rFonts w:hint="eastAsia" w:ascii="宋体" w:hAnsi="宋体" w:cs="宋体"/>
          <w:color w:val="auto"/>
          <w:sz w:val="24"/>
          <w:szCs w:val="32"/>
          <w:highlight w:val="none"/>
          <w:u w:val="single"/>
          <w:lang w:val="en-US" w:eastAsia="zh-CN"/>
        </w:rPr>
        <w:t>2</w:t>
      </w:r>
      <w:r>
        <w:rPr>
          <w:rFonts w:hint="eastAsia" w:ascii="宋体" w:hAnsi="宋体" w:cs="宋体"/>
          <w:color w:val="auto"/>
          <w:sz w:val="24"/>
          <w:szCs w:val="32"/>
          <w:highlight w:val="none"/>
          <w:u w:val="single"/>
        </w:rPr>
        <w:t>%×100 。</w:t>
      </w:r>
    </w:p>
    <w:p w14:paraId="76D93D12">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（四）投标人综合得分＝资格证明文件、商务技术文件得分＋投标报价得分。</w:t>
      </w:r>
    </w:p>
    <w:p w14:paraId="0708DD9E">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（五）政府采购政策及优惠：</w:t>
      </w:r>
    </w:p>
    <w:p w14:paraId="7A2AB675">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根据财政部、工业和信息化部发布的《政府采购促进中小企业发展管理办法》【财库（2020）46号】和《财政部关于进一步加大政府采购支持中小企业力度的通知》【财库（2022）19号】有关规定，货物和服务项目中未预留份额专门面向中小企业采购的，以及预留份额项目中的非预留部分采购包，采购单位、采购代理机构应当对符合规定的小微企业报价给予10%的扣除，用扣除后的价格参加评审。</w:t>
      </w:r>
    </w:p>
    <w:p w14:paraId="53A6B252">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接受大中型企业与小微企业组成联合体或者允许大中型企业向一家或者多家小微企业分包的采购项目，对于联合体协议或者分包意向协议约定小微企业的合同份额占到合同总金额30%以上的，采购单位、采购代理机构应当对联合体或者大中型企业的报价给予4%的扣除，用扣除后的价格参加评审。</w:t>
      </w:r>
    </w:p>
    <w:p w14:paraId="3D13CB88">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组成联合体或者接受分包的小微企业与联合体内其他企业、分包企业之间存在直接控股、管理关系的，不享受价格扣除优惠政策。</w:t>
      </w:r>
    </w:p>
    <w:p w14:paraId="3B73EEC8">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以联合体形式参加政府采购活动，联合体各方均为中小企业的，联合体视同中小企业。其中，联合体各方均为小微企业的，联合体视同小微企业。</w:t>
      </w:r>
    </w:p>
    <w:p w14:paraId="699C4858">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投标文件中须同时出具《政府采购促进中小企业发展管理办法》【财库（2020）46号】规定的《中小企业声明函》，否则不得享受价格扣除。</w:t>
      </w:r>
    </w:p>
    <w:p w14:paraId="2B904212">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本项目对符合规定的小微企业（含小型企业）报价给予10%的扣除。</w:t>
      </w:r>
    </w:p>
    <w:p w14:paraId="584367CE">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（2）根据《关于政府采购支持监狱企业发展有关问题的通知》（财库[2014]68号）的规定，供应商如为监狱企业且所投产品为小型或微型企业生产的，其投标报价扣除10%后参与评审。</w:t>
      </w:r>
    </w:p>
    <w:p w14:paraId="2CF23DAD">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投标文件中须同时提供：供应商的省级以上监狱管理局、戒毒管理局（含新疆生产建设兵团）出具的属于监狱企业的证明文件，未提供完整证明材料的，投标报价不予扣减。</w:t>
      </w:r>
    </w:p>
    <w:p w14:paraId="6434E8A4">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残疾人福利性单位视同小型、微型企业，享受预留份额、评审中价格扣除等促进中小企业发展的政府采购政策。符合条件的残疾人福利性单位在参加政府采购活动时，应当提供本通知规定的《残疾人福利性单位声明函》（见附件），并对声明的真实性负责。</w:t>
      </w:r>
    </w:p>
    <w:p w14:paraId="5CCDD0C4">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享受政府采购支持政策的残疾人福利性单位应当同时满足以下条件：</w:t>
      </w:r>
    </w:p>
    <w:p w14:paraId="5ECECC56">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①安置的残疾人占本单位在职职工人数的比例不低于25%（含25%），并且安置的残疾人人数不少于10人（含10人）；</w:t>
      </w:r>
    </w:p>
    <w:p w14:paraId="3E81F6FA">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②依法与安置的每位残疾人签订了一年以上（含一年）的劳动合同或服务协议；</w:t>
      </w:r>
    </w:p>
    <w:p w14:paraId="1AECB8B4">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③为安置的每位残疾人按月足额缴纳了基本养老保险、基本医疗保险、失业保险、工伤保险和生育保险等社会保险费；</w:t>
      </w:r>
    </w:p>
    <w:p w14:paraId="067689BE">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④通过银行等金融机构向安置的每位残疾人，按月支付了不低于单位所在区县适用的经省级人民政府批准的月最低工资标准的工资；</w:t>
      </w:r>
    </w:p>
    <w:p w14:paraId="0C8EE1EB">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⑤提供本单位制造的货物、承担的工程或者服务（以下简称产品），或者提供其他残疾人福利性单位制造的货物（不包括使用非残疾人福利性单位注册商标的货物）。</w:t>
      </w:r>
    </w:p>
    <w:p w14:paraId="607DA812">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highlight w:val="none"/>
        </w:rPr>
        <w:t>前款所称残疾人是指法定劳动年龄内，持有《中华人民共和国残疾人证》或者《中华人民共和国残疾军人证（1至8级）》的自然人，包括具有劳动条件和</w:t>
      </w:r>
      <w:r>
        <w:rPr>
          <w:rFonts w:hint="eastAsia" w:ascii="宋体" w:hAnsi="宋体" w:cs="宋体"/>
          <w:color w:val="auto"/>
          <w:sz w:val="24"/>
          <w:szCs w:val="32"/>
          <w:highlight w:val="none"/>
          <w:lang w:val="zh-CN"/>
        </w:rPr>
        <w:t>劳动意愿的精神残疾人。在职职工人数是指与残疾人福利性单位建立劳动关系并依法签订劳动合同或者服务协议的雇员人数。</w:t>
      </w:r>
    </w:p>
    <w:p w14:paraId="4FA5A11E">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注：得分以系统计算为准，保留2位小数。</w:t>
      </w:r>
    </w:p>
    <w:p w14:paraId="2022C8ED">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三、在最大限度地满足招标文件实质性要求前提下，评标委员会按照招标文件中规定的各项因素进行综合评审后，推荐二名合格的中标候选人，并按评标报告推荐的顺序确定排名第一的中标候选人为中标人。</w:t>
      </w:r>
    </w:p>
    <w:p w14:paraId="7182FB72">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四、如综合得分相同，投标报价低者为先；如综合得分且投标报价相同的，货物类采购项目以技术性能得分较高者为先，服务类采购项目以实力信誉及业绩得分较高者为先。</w:t>
      </w:r>
    </w:p>
    <w:p w14:paraId="48F52BF7">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五、提供相同品牌产品的不同投标人参加同一合同项下投标的，按一家供应商认定：</w:t>
      </w:r>
    </w:p>
    <w:p w14:paraId="00A47DC6">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（1）采用最低评标价法的采购项目，以其中通过资格审查、符合性审查且报价最低的参加评标；报价相同的，由评标委员会集体确定一个投标人参加评标，其他投标无效。</w:t>
      </w:r>
    </w:p>
    <w:p w14:paraId="4179BCA4">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（2）使用综合评分法的采购项目，评审后得分最高的同品牌投标人获得中标人推荐资格；评审得分相同的，由评标委员会集体推荐一个投标人作为中标候选人，其他同品牌投标人不作为中标候选人。</w:t>
      </w:r>
    </w:p>
    <w:p w14:paraId="7646C3C1">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六、本次评分具体分值细化条款如下表：</w:t>
      </w:r>
    </w:p>
    <w:tbl>
      <w:tblPr>
        <w:tblStyle w:val="29"/>
        <w:tblW w:w="565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255"/>
        <w:gridCol w:w="6707"/>
        <w:gridCol w:w="887"/>
      </w:tblGrid>
      <w:tr w14:paraId="76563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406" w:type="pct"/>
            <w:vAlign w:val="center"/>
          </w:tcPr>
          <w:p w14:paraId="70C64C4C">
            <w:pPr>
              <w:widowControl/>
              <w:shd w:val="clear"/>
              <w:spacing w:line="420" w:lineRule="exact"/>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651" w:type="pct"/>
            <w:vAlign w:val="center"/>
          </w:tcPr>
          <w:p w14:paraId="17D39F07">
            <w:pPr>
              <w:widowControl/>
              <w:shd w:val="clear"/>
              <w:spacing w:line="420" w:lineRule="exact"/>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评标项目</w:t>
            </w:r>
          </w:p>
        </w:tc>
        <w:tc>
          <w:tcPr>
            <w:tcW w:w="3481" w:type="pct"/>
            <w:vAlign w:val="center"/>
          </w:tcPr>
          <w:p w14:paraId="659AA75A">
            <w:pPr>
              <w:widowControl/>
              <w:shd w:val="clear"/>
              <w:spacing w:line="420" w:lineRule="exact"/>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评分说明</w:t>
            </w:r>
          </w:p>
        </w:tc>
        <w:tc>
          <w:tcPr>
            <w:tcW w:w="460" w:type="pct"/>
            <w:vAlign w:val="center"/>
          </w:tcPr>
          <w:p w14:paraId="21DEB1C9">
            <w:pPr>
              <w:widowControl/>
              <w:shd w:val="clear"/>
              <w:spacing w:line="420" w:lineRule="exact"/>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分值</w:t>
            </w:r>
          </w:p>
        </w:tc>
      </w:tr>
      <w:tr w14:paraId="738F3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9" w:hRule="atLeast"/>
          <w:jc w:val="center"/>
        </w:trPr>
        <w:tc>
          <w:tcPr>
            <w:tcW w:w="406" w:type="pct"/>
            <w:vAlign w:val="center"/>
          </w:tcPr>
          <w:p w14:paraId="028989D2">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651" w:type="pct"/>
          </w:tcPr>
          <w:p w14:paraId="126A89F1">
            <w:pPr>
              <w:shd w:val="clear"/>
              <w:spacing w:line="360" w:lineRule="auto"/>
              <w:jc w:val="center"/>
              <w:rPr>
                <w:rFonts w:hint="eastAsia" w:ascii="宋体" w:hAnsi="宋体" w:cs="宋体"/>
                <w:color w:val="auto"/>
                <w:sz w:val="24"/>
                <w:highlight w:val="none"/>
              </w:rPr>
            </w:pPr>
          </w:p>
          <w:p w14:paraId="33E4D9B2">
            <w:pPr>
              <w:shd w:val="clear"/>
              <w:spacing w:line="360" w:lineRule="auto"/>
              <w:jc w:val="center"/>
              <w:rPr>
                <w:rFonts w:hint="eastAsia" w:ascii="宋体" w:hAnsi="宋体" w:cs="宋体"/>
                <w:color w:val="auto"/>
                <w:sz w:val="24"/>
                <w:highlight w:val="none"/>
              </w:rPr>
            </w:pPr>
          </w:p>
          <w:p w14:paraId="01CA861F">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功能参数要求</w:t>
            </w:r>
          </w:p>
        </w:tc>
        <w:tc>
          <w:tcPr>
            <w:tcW w:w="3481" w:type="pct"/>
          </w:tcPr>
          <w:p w14:paraId="3CBBE556">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技术参数及功能要求：</w:t>
            </w:r>
          </w:p>
          <w:p w14:paraId="33493326">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1、招标需求技术参数中加“▲”指标为必须纳入采购需求的指标，投标单位提供的产品参数必须满足,有负偏离的作无效标处理。</w:t>
            </w:r>
          </w:p>
          <w:p w14:paraId="3609CFD8">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2、完全满足招标需求技术参数的得满分2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分；正偏离不加分。</w:t>
            </w:r>
          </w:p>
          <w:p w14:paraId="58732759">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3、招标需求技术参数中负偏离的每项扣1分,带“★”条款负偏离的每项扣2分，扣完为止。</w:t>
            </w:r>
          </w:p>
        </w:tc>
        <w:tc>
          <w:tcPr>
            <w:tcW w:w="460" w:type="pct"/>
            <w:vAlign w:val="center"/>
          </w:tcPr>
          <w:p w14:paraId="23E7DF38">
            <w:pPr>
              <w:shd w:val="clear"/>
              <w:spacing w:line="360" w:lineRule="auto"/>
              <w:jc w:val="center"/>
              <w:rPr>
                <w:rFonts w:hint="eastAsia" w:ascii="宋体" w:hAnsi="宋体" w:cs="宋体"/>
                <w:color w:val="auto"/>
                <w:sz w:val="24"/>
                <w:highlight w:val="none"/>
                <w:lang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p>
        </w:tc>
      </w:tr>
      <w:tr w14:paraId="49F87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Align w:val="center"/>
          </w:tcPr>
          <w:p w14:paraId="5488D80E">
            <w:pPr>
              <w:widowControl/>
              <w:shd w:val="clear"/>
              <w:spacing w:line="420" w:lineRule="exact"/>
              <w:jc w:val="center"/>
              <w:textAlignment w:val="center"/>
              <w:rPr>
                <w:rFonts w:hint="eastAsia" w:ascii="宋体" w:hAnsi="宋体" w:cs="宋体"/>
                <w:bCs/>
                <w:color w:val="auto"/>
                <w:kern w:val="0"/>
                <w:sz w:val="24"/>
                <w:highlight w:val="none"/>
                <w:lang w:bidi="ar"/>
              </w:rPr>
            </w:pPr>
            <w:r>
              <w:rPr>
                <w:rFonts w:hint="eastAsia" w:ascii="宋体" w:hAnsi="宋体" w:cs="宋体"/>
                <w:bCs/>
                <w:color w:val="auto"/>
                <w:kern w:val="0"/>
                <w:sz w:val="24"/>
                <w:highlight w:val="none"/>
                <w:lang w:bidi="ar"/>
              </w:rPr>
              <w:t>2</w:t>
            </w:r>
          </w:p>
        </w:tc>
        <w:tc>
          <w:tcPr>
            <w:tcW w:w="651" w:type="pct"/>
            <w:vAlign w:val="center"/>
          </w:tcPr>
          <w:p w14:paraId="3FBAF3E2">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资质证书</w:t>
            </w:r>
          </w:p>
        </w:tc>
        <w:tc>
          <w:tcPr>
            <w:tcW w:w="3481" w:type="pct"/>
            <w:vAlign w:val="center"/>
          </w:tcPr>
          <w:p w14:paraId="61CDBC0A">
            <w:pPr>
              <w:pStyle w:val="9"/>
              <w:numPr>
                <w:ilvl w:val="0"/>
                <w:numId w:val="0"/>
              </w:numPr>
              <w:shd w:val="clea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1、投标人具有人力资源系统，员工年度考核，干部考核等相关软件著作权每个得1分，最高3分。(提供软件著作权证书扫描件并加盖公章)</w:t>
            </w:r>
          </w:p>
          <w:p w14:paraId="2D38F4BC">
            <w:pPr>
              <w:pStyle w:val="9"/>
              <w:numPr>
                <w:ilvl w:val="0"/>
                <w:numId w:val="0"/>
              </w:numPr>
              <w:shd w:val="clear"/>
              <w:spacing w:line="360" w:lineRule="auto"/>
              <w:jc w:val="left"/>
              <w:rPr>
                <w:rFonts w:hint="eastAsia" w:ascii="宋体" w:hAnsi="宋体" w:cs="宋体"/>
                <w:color w:val="auto"/>
                <w:sz w:val="24"/>
                <w:szCs w:val="24"/>
                <w:highlight w:val="none"/>
              </w:rPr>
            </w:pPr>
            <w:bookmarkStart w:id="16" w:name="_GoBack"/>
            <w:bookmarkEnd w:id="16"/>
            <w:r>
              <w:rPr>
                <w:rFonts w:hint="eastAsia" w:ascii="宋体" w:hAnsi="宋体" w:eastAsia="宋体" w:cs="宋体"/>
                <w:color w:val="auto"/>
                <w:kern w:val="2"/>
                <w:sz w:val="24"/>
                <w:szCs w:val="24"/>
                <w:lang w:val="en-US" w:eastAsia="zh-CN" w:bidi="ar-SA"/>
              </w:rPr>
              <w:t>2、投标人具有人力资源、员工年度考核、干部考核等技术领域方面的有效发明专利，且投标人应为第一申请人，每一个得 0.5分，最高得1分。(提供发明专利受理通知书、专利证书扫描件并加盖公章)</w:t>
            </w:r>
          </w:p>
        </w:tc>
        <w:tc>
          <w:tcPr>
            <w:tcW w:w="460" w:type="pct"/>
            <w:vAlign w:val="center"/>
          </w:tcPr>
          <w:p w14:paraId="521120CC">
            <w:pPr>
              <w:widowControl/>
              <w:shd w:val="clear"/>
              <w:spacing w:line="420" w:lineRule="exact"/>
              <w:jc w:val="center"/>
              <w:textAlignment w:val="center"/>
              <w:rPr>
                <w:rFonts w:hint="eastAsia" w:ascii="宋体" w:hAnsi="宋体" w:eastAsia="宋体" w:cs="宋体"/>
                <w:bCs/>
                <w:color w:val="auto"/>
                <w:kern w:val="0"/>
                <w:sz w:val="24"/>
                <w:highlight w:val="none"/>
                <w:lang w:eastAsia="zh-CN" w:bidi="ar"/>
              </w:rPr>
            </w:pPr>
            <w:r>
              <w:rPr>
                <w:rFonts w:hint="eastAsia" w:ascii="宋体" w:hAnsi="宋体" w:cs="宋体"/>
                <w:bCs/>
                <w:color w:val="auto"/>
                <w:kern w:val="0"/>
                <w:sz w:val="24"/>
                <w:highlight w:val="none"/>
                <w:lang w:val="en-US" w:eastAsia="zh-CN" w:bidi="ar"/>
              </w:rPr>
              <w:t>4</w:t>
            </w:r>
          </w:p>
        </w:tc>
      </w:tr>
      <w:tr w14:paraId="47EC5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Align w:val="center"/>
          </w:tcPr>
          <w:p w14:paraId="6718C112">
            <w:pPr>
              <w:widowControl/>
              <w:shd w:val="clear"/>
              <w:spacing w:line="420" w:lineRule="exact"/>
              <w:jc w:val="center"/>
              <w:textAlignment w:val="center"/>
              <w:rPr>
                <w:rFonts w:hint="eastAsia" w:ascii="宋体" w:hAnsi="宋体" w:cs="宋体"/>
                <w:bCs/>
                <w:color w:val="auto"/>
                <w:kern w:val="0"/>
                <w:sz w:val="24"/>
                <w:highlight w:val="none"/>
                <w:lang w:bidi="ar"/>
              </w:rPr>
            </w:pPr>
            <w:r>
              <w:rPr>
                <w:rFonts w:hint="eastAsia" w:ascii="宋体" w:hAnsi="宋体" w:cs="宋体"/>
                <w:bCs/>
                <w:color w:val="auto"/>
                <w:kern w:val="0"/>
                <w:sz w:val="24"/>
                <w:highlight w:val="none"/>
                <w:lang w:bidi="ar"/>
              </w:rPr>
              <w:t>3</w:t>
            </w:r>
          </w:p>
        </w:tc>
        <w:tc>
          <w:tcPr>
            <w:tcW w:w="651" w:type="pct"/>
            <w:vAlign w:val="center"/>
          </w:tcPr>
          <w:p w14:paraId="621D90B2">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同类业绩</w:t>
            </w:r>
          </w:p>
        </w:tc>
        <w:tc>
          <w:tcPr>
            <w:tcW w:w="3481" w:type="pct"/>
            <w:vAlign w:val="center"/>
          </w:tcPr>
          <w:p w14:paraId="1FD80003">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投标人具有三级甲等医院的人力资源管理系统典型案例合同,每一个得分0.25分，最高得1分。（签订日期在2021年1月1日后，提供合同原件扫描件）。</w:t>
            </w:r>
          </w:p>
        </w:tc>
        <w:tc>
          <w:tcPr>
            <w:tcW w:w="460" w:type="pct"/>
            <w:vAlign w:val="center"/>
          </w:tcPr>
          <w:p w14:paraId="3765D826">
            <w:pPr>
              <w:widowControl/>
              <w:shd w:val="clear"/>
              <w:spacing w:line="420" w:lineRule="exact"/>
              <w:jc w:val="center"/>
              <w:textAlignment w:val="center"/>
              <w:rPr>
                <w:rFonts w:hint="eastAsia" w:ascii="宋体" w:hAnsi="宋体" w:cs="宋体"/>
                <w:bCs/>
                <w:color w:val="auto"/>
                <w:kern w:val="0"/>
                <w:sz w:val="24"/>
                <w:highlight w:val="none"/>
                <w:lang w:bidi="ar"/>
              </w:rPr>
            </w:pPr>
            <w:r>
              <w:rPr>
                <w:rFonts w:hint="eastAsia" w:ascii="宋体" w:hAnsi="宋体" w:cs="宋体"/>
                <w:bCs/>
                <w:color w:val="auto"/>
                <w:kern w:val="0"/>
                <w:sz w:val="24"/>
                <w:highlight w:val="none"/>
                <w:lang w:bidi="ar"/>
              </w:rPr>
              <w:t>1</w:t>
            </w:r>
          </w:p>
        </w:tc>
      </w:tr>
      <w:tr w14:paraId="5D43D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Align w:val="center"/>
          </w:tcPr>
          <w:p w14:paraId="7B4D673C">
            <w:pPr>
              <w:widowControl/>
              <w:shd w:val="clear"/>
              <w:spacing w:line="420" w:lineRule="exact"/>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651" w:type="pct"/>
            <w:vAlign w:val="center"/>
          </w:tcPr>
          <w:p w14:paraId="2DC77747">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项目技术方案</w:t>
            </w:r>
          </w:p>
        </w:tc>
        <w:tc>
          <w:tcPr>
            <w:tcW w:w="3481" w:type="pct"/>
            <w:vAlign w:val="center"/>
          </w:tcPr>
          <w:p w14:paraId="34B3986C">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项目技术方案包含：技术路线、技术特点、部署模式、系统架构、技术架构、业务架构、系统关键技术、安全解决方案、运行环境等。</w:t>
            </w:r>
          </w:p>
          <w:p w14:paraId="58702A0E">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方案</w:t>
            </w:r>
            <w:r>
              <w:rPr>
                <w:rFonts w:hint="eastAsia" w:ascii="宋体" w:hAnsi="宋体" w:cs="宋体"/>
                <w:color w:val="auto"/>
                <w:sz w:val="24"/>
                <w:highlight w:val="none"/>
                <w:lang w:val="en-US" w:eastAsia="zh-CN"/>
              </w:rPr>
              <w:t>明确，</w:t>
            </w:r>
            <w:r>
              <w:rPr>
                <w:rFonts w:hint="eastAsia" w:ascii="宋体" w:hAnsi="宋体" w:cs="宋体"/>
                <w:color w:val="auto"/>
                <w:sz w:val="24"/>
                <w:highlight w:val="none"/>
              </w:rPr>
              <w:t>设计详尽合理，与需求的吻合度高的得</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分；</w:t>
            </w:r>
          </w:p>
          <w:p w14:paraId="5E9CDED8">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方案</w:t>
            </w:r>
            <w:r>
              <w:rPr>
                <w:rFonts w:hint="eastAsia" w:ascii="宋体" w:hAnsi="宋体" w:cs="宋体"/>
                <w:color w:val="auto"/>
                <w:sz w:val="24"/>
                <w:highlight w:val="none"/>
                <w:lang w:val="en-US" w:eastAsia="zh-CN"/>
              </w:rPr>
              <w:t>较明确，但方案内容未详细展开描述</w:t>
            </w:r>
            <w:r>
              <w:rPr>
                <w:rFonts w:hint="eastAsia" w:ascii="宋体" w:hAnsi="宋体" w:cs="宋体"/>
                <w:color w:val="auto"/>
                <w:sz w:val="24"/>
                <w:highlight w:val="none"/>
              </w:rPr>
              <w:t>，能基本符合用户需求的得7分；</w:t>
            </w:r>
          </w:p>
          <w:p w14:paraId="4729E286">
            <w:pPr>
              <w:shd w:val="clea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方案</w:t>
            </w:r>
            <w:r>
              <w:rPr>
                <w:rFonts w:hint="eastAsia" w:ascii="宋体" w:hAnsi="宋体" w:cs="宋体"/>
                <w:color w:val="auto"/>
                <w:sz w:val="24"/>
                <w:highlight w:val="none"/>
                <w:lang w:val="en-US" w:eastAsia="zh-CN"/>
              </w:rPr>
              <w:t>不够明确，</w:t>
            </w:r>
            <w:r>
              <w:rPr>
                <w:rFonts w:hint="eastAsia" w:ascii="宋体" w:hAnsi="宋体" w:cs="宋体"/>
                <w:color w:val="auto"/>
                <w:sz w:val="24"/>
                <w:highlight w:val="none"/>
              </w:rPr>
              <w:t>设计不充分，内容结构不清晰的得3分</w:t>
            </w:r>
            <w:r>
              <w:rPr>
                <w:rFonts w:hint="eastAsia" w:ascii="宋体" w:hAnsi="宋体" w:cs="宋体"/>
                <w:color w:val="auto"/>
                <w:sz w:val="24"/>
                <w:highlight w:val="none"/>
                <w:lang w:eastAsia="zh-CN"/>
              </w:rPr>
              <w:t>。</w:t>
            </w:r>
          </w:p>
        </w:tc>
        <w:tc>
          <w:tcPr>
            <w:tcW w:w="460" w:type="pct"/>
            <w:vAlign w:val="center"/>
          </w:tcPr>
          <w:p w14:paraId="7117ADEC">
            <w:pPr>
              <w:widowControl/>
              <w:shd w:val="clear"/>
              <w:spacing w:line="420" w:lineRule="exact"/>
              <w:jc w:val="center"/>
              <w:textAlignment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r>
      <w:tr w14:paraId="0359D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Align w:val="center"/>
          </w:tcPr>
          <w:p w14:paraId="7C745935">
            <w:pPr>
              <w:widowControl/>
              <w:shd w:val="clear"/>
              <w:spacing w:line="420" w:lineRule="exact"/>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5</w:t>
            </w:r>
          </w:p>
        </w:tc>
        <w:tc>
          <w:tcPr>
            <w:tcW w:w="651" w:type="pct"/>
            <w:shd w:val="clear" w:color="auto" w:fill="auto"/>
            <w:vAlign w:val="center"/>
          </w:tcPr>
          <w:p w14:paraId="240C1A98">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平台可扩展性</w:t>
            </w:r>
          </w:p>
        </w:tc>
        <w:tc>
          <w:tcPr>
            <w:tcW w:w="3481" w:type="pct"/>
            <w:shd w:val="clear" w:color="auto" w:fill="auto"/>
            <w:vAlign w:val="center"/>
          </w:tcPr>
          <w:p w14:paraId="221EB578">
            <w:pPr>
              <w:shd w:val="clear"/>
              <w:spacing w:line="360" w:lineRule="auto"/>
              <w:jc w:val="left"/>
              <w:rPr>
                <w:rFonts w:hint="eastAsia" w:ascii="宋体" w:hAnsi="宋体" w:eastAsia="宋体" w:cs="宋体"/>
                <w:color w:val="auto"/>
                <w:sz w:val="24"/>
                <w:highlight w:val="none"/>
                <w:lang w:eastAsia="zh-CN"/>
              </w:rPr>
            </w:pPr>
            <w:r>
              <w:rPr>
                <w:rFonts w:hint="eastAsia" w:ascii="宋体" w:hAnsi="宋体" w:eastAsia="宋体" w:cs="宋体"/>
                <w:color w:val="auto"/>
                <w:kern w:val="2"/>
                <w:sz w:val="24"/>
                <w:szCs w:val="24"/>
                <w:highlight w:val="none"/>
                <w:lang w:val="en-US" w:eastAsia="zh-CN" w:bidi="ar-SA"/>
              </w:rPr>
              <w:t>扩展能力范围要求平台支持医院扩展其他管理应用，且扩展领域与医院实际需求相关(如：学科管理系统，干部系统，党建系统，报销系统等)，实施证明材料需清晰展示医院名称、人员规模、扩展应用的实施时间及范围、系统功能及运行效果、平台支持能力，每项最高得1.5分，同一系统不重复给分，最高6分。</w:t>
            </w:r>
          </w:p>
        </w:tc>
        <w:tc>
          <w:tcPr>
            <w:tcW w:w="460" w:type="pct"/>
            <w:vAlign w:val="center"/>
          </w:tcPr>
          <w:p w14:paraId="6BAFC6BD">
            <w:pPr>
              <w:widowControl/>
              <w:shd w:val="clear"/>
              <w:spacing w:line="420" w:lineRule="exact"/>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6</w:t>
            </w:r>
          </w:p>
        </w:tc>
      </w:tr>
      <w:tr w14:paraId="7FE59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Align w:val="center"/>
          </w:tcPr>
          <w:p w14:paraId="099F4668">
            <w:pPr>
              <w:widowControl/>
              <w:shd w:val="clear"/>
              <w:spacing w:line="420" w:lineRule="exact"/>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6</w:t>
            </w:r>
          </w:p>
        </w:tc>
        <w:tc>
          <w:tcPr>
            <w:tcW w:w="651" w:type="pct"/>
            <w:vAlign w:val="center"/>
          </w:tcPr>
          <w:p w14:paraId="5A4A2FC3">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系统代码开放性</w:t>
            </w:r>
          </w:p>
        </w:tc>
        <w:tc>
          <w:tcPr>
            <w:tcW w:w="3481" w:type="pct"/>
            <w:vAlign w:val="center"/>
          </w:tcPr>
          <w:p w14:paraId="3526BB0A">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提供系统得源码开放范围和控制权限，并</w:t>
            </w:r>
            <w:r>
              <w:rPr>
                <w:rFonts w:hint="eastAsia" w:ascii="宋体" w:hAnsi="宋体" w:cs="宋体"/>
                <w:color w:val="auto"/>
                <w:sz w:val="24"/>
                <w:szCs w:val="24"/>
                <w:highlight w:val="none"/>
                <w:shd w:val="clear" w:color="auto" w:fill="FDFDFE"/>
              </w:rPr>
              <w:t>提供必要的技术支持和维护服务</w:t>
            </w:r>
            <w:r>
              <w:rPr>
                <w:rFonts w:hint="eastAsia" w:ascii="宋体" w:hAnsi="宋体" w:cs="宋体"/>
                <w:color w:val="auto"/>
                <w:sz w:val="24"/>
                <w:szCs w:val="24"/>
                <w:highlight w:val="none"/>
              </w:rPr>
              <w:t>。</w:t>
            </w:r>
          </w:p>
          <w:p w14:paraId="34700DEB">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系统代码完全开放得</w:t>
            </w:r>
            <w:r>
              <w:rPr>
                <w:rFonts w:hint="eastAsia" w:ascii="宋体" w:hAnsi="宋体" w:cs="宋体"/>
                <w:color w:val="auto"/>
                <w:sz w:val="24"/>
                <w:szCs w:val="24"/>
                <w:highlight w:val="none"/>
                <w:lang w:val="en-US" w:eastAsia="zh-CN"/>
              </w:rPr>
              <w:t>9</w:t>
            </w:r>
            <w:r>
              <w:rPr>
                <w:rFonts w:hint="eastAsia" w:ascii="宋体" w:hAnsi="宋体" w:cs="宋体"/>
                <w:color w:val="auto"/>
                <w:sz w:val="24"/>
                <w:szCs w:val="24"/>
                <w:highlight w:val="none"/>
              </w:rPr>
              <w:t>分；</w:t>
            </w:r>
          </w:p>
          <w:p w14:paraId="7E757B49">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代码开放程度较高并</w:t>
            </w:r>
            <w:r>
              <w:rPr>
                <w:rFonts w:hint="eastAsia" w:ascii="宋体" w:hAnsi="宋体" w:cs="宋体"/>
                <w:color w:val="auto"/>
                <w:sz w:val="24"/>
                <w:szCs w:val="24"/>
                <w:highlight w:val="none"/>
                <w:shd w:val="clear" w:color="auto" w:fill="FDFDFE"/>
              </w:rPr>
              <w:t>提供相应的支持得</w:t>
            </w:r>
            <w:r>
              <w:rPr>
                <w:rFonts w:hint="eastAsia" w:ascii="宋体" w:hAnsi="宋体" w:cs="宋体"/>
                <w:color w:val="auto"/>
                <w:sz w:val="24"/>
                <w:szCs w:val="24"/>
                <w:highlight w:val="none"/>
                <w:shd w:val="clear" w:color="auto" w:fill="FDFDFE"/>
                <w:lang w:val="en-US" w:eastAsia="zh-CN"/>
              </w:rPr>
              <w:t>5</w:t>
            </w:r>
            <w:r>
              <w:rPr>
                <w:rFonts w:hint="eastAsia" w:ascii="宋体" w:hAnsi="宋体" w:cs="宋体"/>
                <w:color w:val="auto"/>
                <w:sz w:val="24"/>
                <w:szCs w:val="24"/>
                <w:highlight w:val="none"/>
              </w:rPr>
              <w:t>分；</w:t>
            </w:r>
          </w:p>
          <w:p w14:paraId="37E3EAE8">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代码开放程度</w:t>
            </w:r>
            <w:r>
              <w:rPr>
                <w:rFonts w:hint="eastAsia" w:ascii="宋体" w:hAnsi="宋体" w:cs="宋体"/>
                <w:color w:val="auto"/>
                <w:sz w:val="24"/>
                <w:szCs w:val="24"/>
                <w:highlight w:val="none"/>
                <w:lang w:val="en-US" w:eastAsia="zh-CN"/>
              </w:rPr>
              <w:t>较小</w:t>
            </w:r>
            <w:r>
              <w:rPr>
                <w:rFonts w:hint="eastAsia" w:ascii="宋体" w:hAnsi="宋体" w:cs="宋体"/>
                <w:color w:val="auto"/>
                <w:sz w:val="24"/>
                <w:szCs w:val="24"/>
                <w:highlight w:val="none"/>
              </w:rPr>
              <w:t>并</w:t>
            </w:r>
            <w:r>
              <w:rPr>
                <w:rFonts w:hint="eastAsia" w:ascii="宋体" w:hAnsi="宋体" w:cs="宋体"/>
                <w:color w:val="auto"/>
                <w:sz w:val="24"/>
                <w:szCs w:val="24"/>
                <w:highlight w:val="none"/>
                <w:shd w:val="clear" w:color="auto" w:fill="FDFDFE"/>
              </w:rPr>
              <w:t>提供相应的支持</w:t>
            </w:r>
            <w:r>
              <w:rPr>
                <w:rFonts w:hint="eastAsia" w:ascii="宋体" w:hAnsi="宋体" w:cs="宋体"/>
                <w:color w:val="auto"/>
                <w:sz w:val="24"/>
                <w:szCs w:val="24"/>
                <w:highlight w:val="none"/>
              </w:rPr>
              <w:t>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分；</w:t>
            </w:r>
          </w:p>
          <w:p w14:paraId="7CDC59A6">
            <w:pPr>
              <w:shd w:val="clea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不开放代码得0分</w:t>
            </w:r>
            <w:r>
              <w:rPr>
                <w:rFonts w:hint="eastAsia" w:ascii="宋体" w:hAnsi="宋体" w:cs="宋体"/>
                <w:color w:val="auto"/>
                <w:sz w:val="24"/>
                <w:highlight w:val="none"/>
                <w:lang w:eastAsia="zh-CN"/>
              </w:rPr>
              <w:t>。</w:t>
            </w:r>
          </w:p>
        </w:tc>
        <w:tc>
          <w:tcPr>
            <w:tcW w:w="460" w:type="pct"/>
            <w:vAlign w:val="center"/>
          </w:tcPr>
          <w:p w14:paraId="130E5F37">
            <w:pPr>
              <w:widowControl/>
              <w:shd w:val="clear"/>
              <w:spacing w:line="420" w:lineRule="exact"/>
              <w:jc w:val="center"/>
              <w:textAlignment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r>
      <w:tr w14:paraId="24652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Align w:val="center"/>
          </w:tcPr>
          <w:p w14:paraId="3382E77A">
            <w:pPr>
              <w:widowControl/>
              <w:shd w:val="clear"/>
              <w:spacing w:line="420" w:lineRule="exact"/>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7</w:t>
            </w:r>
          </w:p>
        </w:tc>
        <w:tc>
          <w:tcPr>
            <w:tcW w:w="651" w:type="pct"/>
            <w:vAlign w:val="center"/>
          </w:tcPr>
          <w:p w14:paraId="52A4D170">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系统对接能力</w:t>
            </w:r>
          </w:p>
        </w:tc>
        <w:tc>
          <w:tcPr>
            <w:tcW w:w="3481" w:type="pct"/>
            <w:vAlign w:val="center"/>
          </w:tcPr>
          <w:p w14:paraId="11816F14">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插件可扩展能力，二次开发支持，API接口支持。</w:t>
            </w:r>
          </w:p>
          <w:p w14:paraId="1E2701FE">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对接能力和扩展能力强，得</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分；</w:t>
            </w:r>
          </w:p>
          <w:p w14:paraId="558C0C25">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对接能力和扩展能力一般，得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w:t>
            </w:r>
          </w:p>
          <w:p w14:paraId="02BD9859">
            <w:pPr>
              <w:shd w:val="clea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没有对接能力和扩展能力，得0分</w:t>
            </w:r>
            <w:r>
              <w:rPr>
                <w:rFonts w:hint="eastAsia" w:ascii="宋体" w:hAnsi="宋体" w:cs="宋体"/>
                <w:color w:val="auto"/>
                <w:sz w:val="24"/>
                <w:highlight w:val="none"/>
                <w:lang w:eastAsia="zh-CN"/>
              </w:rPr>
              <w:t>。</w:t>
            </w:r>
          </w:p>
        </w:tc>
        <w:tc>
          <w:tcPr>
            <w:tcW w:w="460" w:type="pct"/>
            <w:vAlign w:val="center"/>
          </w:tcPr>
          <w:p w14:paraId="4A433F2D">
            <w:pPr>
              <w:widowControl/>
              <w:shd w:val="clear"/>
              <w:spacing w:line="420" w:lineRule="exact"/>
              <w:jc w:val="center"/>
              <w:textAlignment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r>
      <w:tr w14:paraId="4BFF2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Align w:val="center"/>
          </w:tcPr>
          <w:p w14:paraId="3D3532AC">
            <w:pPr>
              <w:shd w:val="clear"/>
              <w:spacing w:line="420" w:lineRule="exact"/>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8</w:t>
            </w:r>
          </w:p>
        </w:tc>
        <w:tc>
          <w:tcPr>
            <w:tcW w:w="651" w:type="pct"/>
            <w:vAlign w:val="center"/>
          </w:tcPr>
          <w:p w14:paraId="21634280">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演示环节</w:t>
            </w:r>
          </w:p>
        </w:tc>
        <w:tc>
          <w:tcPr>
            <w:tcW w:w="3481" w:type="pct"/>
            <w:vAlign w:val="center"/>
          </w:tcPr>
          <w:p w14:paraId="08EAAC55">
            <w:pPr>
              <w:pStyle w:val="9"/>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演示形式不限。最高得</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分。</w:t>
            </w:r>
          </w:p>
          <w:p w14:paraId="4BBD84F9">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演示系统需具备支持灵活的表结构定义，允许用户根据实际需求创建自定义的数据表。自定义视图允许用户根据自己的需求，灵活地展示所需的数据和信息。分享视图并设置权限，系统能够确保数据的安全性和可控性，同时满足不同用户的需求。被分享的人员能够方便地查看所需的数据和功能，提高工作效率。根据演示情况打分，最高得1分。</w:t>
            </w:r>
          </w:p>
          <w:p w14:paraId="32764B27">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演示说明：</w:t>
            </w:r>
          </w:p>
          <w:p w14:paraId="1E38252E">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系统解析Excel文件和手动输入方式，添加所需的字段，如“学会/协会名称”、“任职时间”、“胸牌号”等，设置字段类型（如文本、日期等），并保存表结构。</w:t>
            </w:r>
          </w:p>
          <w:p w14:paraId="6CB519F9">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用户可以根据刚创建的动态表定义一个新的视图，在视图定义界面中，用户选择需要展示的字段（如技术职务、最高学历、最高学位、胸牌号、学会/协会、任职时间等）。用户还可以设置数据范围权限和功能权限，以确保每个用户只能看到自己管辖范围内的数据和功能权限（如：添加，编辑，删除）。</w:t>
            </w:r>
          </w:p>
          <w:p w14:paraId="619989B1">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被分享的人员登录系统后，可以找到被分享的视图管辖范围下的数据，可以进行下载或编辑。</w:t>
            </w:r>
          </w:p>
          <w:p w14:paraId="39E30709">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演示岗位聘任业务，可自定义审批流程，自定义系统判断条件，能够根据员工个人不同时间段，自动获取员工个人基础材料和业绩材料等信息，无需重复填写，工作量、科研成果等（论文可以根据匹配规则，自动计算所属级别（如论文2021年在某个期刊属于中文核心，2022年不属于中文核心，那么需要根据发表时间自动匹配对应级别））、教学情况等业绩材料可在所有材料中选择申报所需材料，并在申报界面支持增减调整并，系统自动生成岗位聘任报告（报告中，需要包含哪些满足条件，哪些不满足条件）。支持职能部门按分管权限并行审核材料。根据演示情况打分，最高得1分。</w:t>
            </w:r>
          </w:p>
          <w:p w14:paraId="233F5C2C">
            <w:pPr>
              <w:pStyle w:val="9"/>
              <w:numPr>
                <w:ilvl w:val="255"/>
                <w:numId w:val="0"/>
              </w:numPr>
              <w:shd w:val="clear"/>
              <w:spacing w:line="360" w:lineRule="auto"/>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3.演示系统和AI结合功能</w:t>
            </w:r>
            <w:r>
              <w:rPr>
                <w:rFonts w:hint="eastAsia" w:ascii="宋体" w:hAnsi="宋体" w:cs="宋体"/>
                <w:color w:val="auto"/>
                <w:sz w:val="24"/>
                <w:szCs w:val="24"/>
                <w:highlight w:val="none"/>
                <w:lang w:eastAsia="zh-CN"/>
              </w:rPr>
              <w:t>：</w:t>
            </w:r>
          </w:p>
          <w:p w14:paraId="774C22F7">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3.1</w:t>
            </w:r>
            <w:r>
              <w:rPr>
                <w:rFonts w:hint="eastAsia" w:ascii="宋体" w:hAnsi="宋体" w:cs="宋体"/>
                <w:color w:val="auto"/>
                <w:sz w:val="24"/>
                <w:szCs w:val="24"/>
                <w:highlight w:val="none"/>
              </w:rPr>
              <w:t>岗位聘任结果的AI分析建议</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通过智能分析和个性化建议，为员工提供了更加科学、精准的职业发展规划。演示人事系统中的填报任务如何与AI结合，通过AI的自动校对扩写等功能，降低员工在各种填报任务中的工作量。根据演示情况打分，最高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分。</w:t>
            </w:r>
          </w:p>
          <w:p w14:paraId="1F32C3F6">
            <w:pPr>
              <w:pStyle w:val="9"/>
              <w:numPr>
                <w:ilvl w:val="-1"/>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3.2 查询与统计的智能化。演示要求：如输入“高级职称医师岗位人员名单”，输出对应数据。不仅能显示名单，还能通过对话的形式修改表格字段，如输入"加上岗位和年龄"，自动扩展列：表格自动加这两列信息进行输出。</w:t>
            </w:r>
            <w:r>
              <w:rPr>
                <w:rFonts w:hint="eastAsia" w:ascii="宋体" w:hAnsi="宋体" w:cs="宋体"/>
                <w:color w:val="auto"/>
                <w:sz w:val="24"/>
                <w:szCs w:val="24"/>
                <w:highlight w:val="none"/>
              </w:rPr>
              <w:t>根据演示情况打分，最高得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分。</w:t>
            </w:r>
          </w:p>
          <w:p w14:paraId="75BAB949">
            <w:pPr>
              <w:pStyle w:val="9"/>
              <w:numPr>
                <w:ilvl w:val="255"/>
                <w:numId w:val="0"/>
              </w:numPr>
              <w:shd w:val="clea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4. 演示系统流程配置能力，演示事务性入院流程操作，业务类请假流程操作，演示数据更新类员工数据更新流程操作，演示批量审批类业绩批量审批流程自动分配审核人，且对应审核人只看到自己任务的功能。演示数据更新类流程成功后，记录流程记录，并自动更新员工数据。演示基于上下级关系（如科主任与下级医生、学生与导师等），系统自动匹配对应上级人员作为审批人的能力。根据演示情况打分，最高得1分。</w:t>
            </w:r>
          </w:p>
        </w:tc>
        <w:tc>
          <w:tcPr>
            <w:tcW w:w="460" w:type="pct"/>
            <w:vAlign w:val="center"/>
          </w:tcPr>
          <w:p w14:paraId="40BA5937">
            <w:pPr>
              <w:widowControl/>
              <w:shd w:val="clear"/>
              <w:spacing w:line="420" w:lineRule="exact"/>
              <w:jc w:val="center"/>
              <w:textAlignment w:val="center"/>
              <w:rPr>
                <w:rFonts w:hint="eastAsia" w:ascii="宋体" w:hAnsi="宋体" w:eastAsia="宋体" w:cs="宋体"/>
                <w:color w:val="auto"/>
                <w:kern w:val="0"/>
                <w:sz w:val="24"/>
                <w:highlight w:val="none"/>
                <w:lang w:eastAsia="zh-CN" w:bidi="ar"/>
              </w:rPr>
            </w:pPr>
            <w:r>
              <w:rPr>
                <w:rFonts w:hint="eastAsia" w:ascii="宋体" w:hAnsi="宋体" w:cs="宋体"/>
                <w:color w:val="auto"/>
                <w:kern w:val="0"/>
                <w:sz w:val="24"/>
                <w:highlight w:val="none"/>
                <w:lang w:val="en-US" w:eastAsia="zh-CN" w:bidi="ar"/>
              </w:rPr>
              <w:t>6</w:t>
            </w:r>
          </w:p>
        </w:tc>
      </w:tr>
      <w:tr w14:paraId="002EA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Merge w:val="restart"/>
            <w:vAlign w:val="center"/>
          </w:tcPr>
          <w:p w14:paraId="6618C642">
            <w:pPr>
              <w:shd w:val="clear"/>
              <w:spacing w:line="420" w:lineRule="exact"/>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9</w:t>
            </w:r>
          </w:p>
        </w:tc>
        <w:tc>
          <w:tcPr>
            <w:tcW w:w="651" w:type="pct"/>
            <w:vMerge w:val="restart"/>
            <w:vAlign w:val="center"/>
          </w:tcPr>
          <w:p w14:paraId="5662DD6D">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项目实施方案与实施质量</w:t>
            </w:r>
          </w:p>
        </w:tc>
        <w:tc>
          <w:tcPr>
            <w:tcW w:w="3481" w:type="pct"/>
            <w:vAlign w:val="center"/>
          </w:tcPr>
          <w:p w14:paraId="0FCAFDE9">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1、项目实施方案，包括实施路线、项目组织及分工、实施计划、实施工作程序和步骤、风险管控、项目管理和协调方法、验收方案</w:t>
            </w:r>
            <w:r>
              <w:rPr>
                <w:rFonts w:hint="eastAsia" w:ascii="宋体" w:hAnsi="宋体" w:cs="宋体"/>
                <w:color w:val="auto"/>
                <w:sz w:val="24"/>
                <w:highlight w:val="none"/>
                <w:lang w:val="en-US" w:eastAsia="zh-CN"/>
              </w:rPr>
              <w:t>打分</w:t>
            </w:r>
            <w:r>
              <w:rPr>
                <w:rFonts w:hint="eastAsia" w:ascii="宋体" w:hAnsi="宋体" w:cs="宋体"/>
                <w:color w:val="auto"/>
                <w:sz w:val="24"/>
                <w:highlight w:val="none"/>
              </w:rPr>
              <w:t>：（8分）</w:t>
            </w:r>
          </w:p>
          <w:p w14:paraId="41E6F16D">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1）方案</w:t>
            </w:r>
            <w:r>
              <w:rPr>
                <w:rFonts w:hint="eastAsia" w:ascii="宋体" w:hAnsi="宋体" w:cs="宋体"/>
                <w:color w:val="auto"/>
                <w:sz w:val="24"/>
                <w:highlight w:val="none"/>
                <w:lang w:val="en-US" w:eastAsia="zh-CN"/>
              </w:rPr>
              <w:t>内容明确，</w:t>
            </w:r>
            <w:r>
              <w:rPr>
                <w:rFonts w:hint="eastAsia" w:ascii="宋体" w:hAnsi="宋体" w:cs="宋体"/>
                <w:color w:val="auto"/>
                <w:sz w:val="24"/>
                <w:highlight w:val="none"/>
              </w:rPr>
              <w:t>内容全面可行、</w:t>
            </w:r>
            <w:r>
              <w:rPr>
                <w:rFonts w:hint="eastAsia" w:ascii="宋体" w:hAnsi="宋体" w:cs="宋体"/>
                <w:color w:val="auto"/>
                <w:sz w:val="24"/>
                <w:highlight w:val="none"/>
                <w:lang w:val="en-US" w:eastAsia="zh-CN"/>
              </w:rPr>
              <w:t>并</w:t>
            </w:r>
            <w:r>
              <w:rPr>
                <w:rFonts w:hint="eastAsia" w:ascii="宋体" w:hAnsi="宋体" w:cs="宋体"/>
                <w:color w:val="auto"/>
                <w:sz w:val="24"/>
                <w:highlight w:val="none"/>
              </w:rPr>
              <w:t>重点突出的得8分；</w:t>
            </w:r>
          </w:p>
          <w:p w14:paraId="39798931">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2）方案</w:t>
            </w:r>
            <w:r>
              <w:rPr>
                <w:rFonts w:hint="eastAsia" w:ascii="宋体" w:hAnsi="宋体" w:cs="宋体"/>
                <w:color w:val="auto"/>
                <w:sz w:val="24"/>
                <w:highlight w:val="none"/>
                <w:lang w:val="en-US" w:eastAsia="zh-CN"/>
              </w:rPr>
              <w:t>内容比较明确，</w:t>
            </w:r>
            <w:r>
              <w:rPr>
                <w:rFonts w:hint="eastAsia" w:ascii="宋体" w:hAnsi="宋体" w:cs="宋体"/>
                <w:color w:val="auto"/>
                <w:sz w:val="24"/>
                <w:highlight w:val="none"/>
              </w:rPr>
              <w:t>基本合理、内容基本可行的得</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分；</w:t>
            </w:r>
          </w:p>
          <w:p w14:paraId="709A65B3">
            <w:pPr>
              <w:shd w:val="clea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3）方案描述笼统不清晰，内容不全的得2分</w:t>
            </w:r>
            <w:r>
              <w:rPr>
                <w:rFonts w:hint="eastAsia" w:ascii="宋体" w:hAnsi="宋体" w:cs="宋体"/>
                <w:color w:val="auto"/>
                <w:sz w:val="24"/>
                <w:highlight w:val="none"/>
                <w:lang w:eastAsia="zh-CN"/>
              </w:rPr>
              <w:t>。</w:t>
            </w:r>
          </w:p>
        </w:tc>
        <w:tc>
          <w:tcPr>
            <w:tcW w:w="460" w:type="pct"/>
            <w:vMerge w:val="restart"/>
            <w:vAlign w:val="center"/>
          </w:tcPr>
          <w:p w14:paraId="0123DD0D">
            <w:pPr>
              <w:widowControl/>
              <w:shd w:val="clear"/>
              <w:spacing w:line="420" w:lineRule="exact"/>
              <w:jc w:val="center"/>
              <w:textAlignment w:val="center"/>
              <w:rPr>
                <w:rFonts w:hint="eastAsia" w:ascii="宋体" w:hAnsi="宋体" w:eastAsia="宋体" w:cs="宋体"/>
                <w:color w:val="auto"/>
                <w:kern w:val="0"/>
                <w:sz w:val="24"/>
                <w:highlight w:val="none"/>
                <w:lang w:eastAsia="zh-CN" w:bidi="ar"/>
              </w:rPr>
            </w:pPr>
            <w:r>
              <w:rPr>
                <w:rFonts w:hint="eastAsia" w:ascii="宋体" w:hAnsi="宋体" w:cs="宋体"/>
                <w:color w:val="auto"/>
                <w:kern w:val="0"/>
                <w:sz w:val="24"/>
                <w:highlight w:val="none"/>
                <w:lang w:val="en-US" w:eastAsia="zh-CN" w:bidi="ar"/>
              </w:rPr>
              <w:t>9</w:t>
            </w:r>
          </w:p>
        </w:tc>
      </w:tr>
      <w:tr w14:paraId="189E8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06" w:type="pct"/>
            <w:vMerge w:val="continue"/>
            <w:vAlign w:val="center"/>
          </w:tcPr>
          <w:p w14:paraId="300CC220">
            <w:pPr>
              <w:shd w:val="clear"/>
              <w:spacing w:line="420" w:lineRule="exact"/>
              <w:jc w:val="center"/>
              <w:rPr>
                <w:rFonts w:hint="eastAsia" w:ascii="宋体" w:hAnsi="宋体" w:cs="宋体"/>
                <w:color w:val="auto"/>
                <w:sz w:val="24"/>
                <w:highlight w:val="none"/>
              </w:rPr>
            </w:pPr>
          </w:p>
        </w:tc>
        <w:tc>
          <w:tcPr>
            <w:tcW w:w="651" w:type="pct"/>
            <w:vMerge w:val="continue"/>
            <w:vAlign w:val="center"/>
          </w:tcPr>
          <w:p w14:paraId="555FE795">
            <w:pPr>
              <w:shd w:val="clear"/>
              <w:spacing w:line="360" w:lineRule="auto"/>
              <w:ind w:firstLine="480" w:firstLineChars="200"/>
              <w:jc w:val="center"/>
              <w:rPr>
                <w:rFonts w:hint="eastAsia" w:ascii="宋体" w:hAnsi="宋体" w:cs="宋体"/>
                <w:color w:val="auto"/>
                <w:sz w:val="24"/>
                <w:highlight w:val="none"/>
              </w:rPr>
            </w:pPr>
          </w:p>
        </w:tc>
        <w:tc>
          <w:tcPr>
            <w:tcW w:w="3481" w:type="pct"/>
            <w:vAlign w:val="center"/>
          </w:tcPr>
          <w:p w14:paraId="516302CC">
            <w:pPr>
              <w:pStyle w:val="9"/>
              <w:numPr>
                <w:ilvl w:val="255"/>
                <w:numId w:val="0"/>
              </w:numPr>
              <w:shd w:val="clea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2、投标人自2021年1月1日以来，在</w:t>
            </w:r>
            <w:r>
              <w:rPr>
                <w:rFonts w:hint="eastAsia" w:ascii="宋体" w:hAnsi="宋体" w:cs="宋体"/>
                <w:color w:val="auto"/>
                <w:kern w:val="2"/>
                <w:sz w:val="24"/>
                <w:szCs w:val="24"/>
                <w:highlight w:val="none"/>
                <w:lang w:val="en-US" w:eastAsia="zh-CN" w:bidi="ar-SA"/>
              </w:rPr>
              <w:t>集团化医院</w:t>
            </w:r>
            <w:r>
              <w:rPr>
                <w:rFonts w:hint="eastAsia" w:ascii="宋体" w:hAnsi="宋体" w:eastAsia="宋体" w:cs="宋体"/>
                <w:color w:val="auto"/>
                <w:kern w:val="2"/>
                <w:sz w:val="24"/>
                <w:szCs w:val="24"/>
                <w:highlight w:val="none"/>
                <w:lang w:val="en-US" w:eastAsia="zh-CN" w:bidi="ar-SA"/>
              </w:rPr>
              <w:t>人力资源信息系统建设获得的创新管理类奖项。每提供一个符合条件的奖项，投标人将获得0.5分。最高得分上限为1分。</w:t>
            </w:r>
          </w:p>
          <w:p w14:paraId="77F751E2">
            <w:pPr>
              <w:pStyle w:val="9"/>
              <w:numPr>
                <w:ilvl w:val="255"/>
                <w:numId w:val="0"/>
              </w:numPr>
              <w:shd w:val="clea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注意事项：</w:t>
            </w:r>
          </w:p>
          <w:p w14:paraId="0BD752E2">
            <w:pPr>
              <w:pStyle w:val="9"/>
              <w:numPr>
                <w:ilvl w:val="255"/>
                <w:numId w:val="0"/>
              </w:numPr>
              <w:shd w:val="clea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1）奖项必须直接关联到医院人力资源信息系统项目。</w:t>
            </w:r>
          </w:p>
          <w:p w14:paraId="43A026A9">
            <w:pPr>
              <w:pStyle w:val="81"/>
              <w:keepNext w:val="0"/>
              <w:keepLines w:val="0"/>
              <w:pageBreakBefore w:val="0"/>
              <w:widowControl w:val="0"/>
              <w:shd w:val="clear"/>
              <w:kinsoku/>
              <w:wordWrap/>
              <w:overflowPunct/>
              <w:topLinePunct w:val="0"/>
              <w:bidi w:val="0"/>
              <w:spacing w:line="360" w:lineRule="auto"/>
              <w:jc w:val="left"/>
              <w:textAlignment w:val="auto"/>
              <w:rPr>
                <w:rFonts w:hint="eastAsia" w:ascii="宋体" w:hAnsi="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2）提供的奖项证明文件需包含业主方的盖章，以验证奖项的真实性和有效性。</w:t>
            </w:r>
          </w:p>
        </w:tc>
        <w:tc>
          <w:tcPr>
            <w:tcW w:w="460" w:type="pct"/>
            <w:vMerge w:val="continue"/>
            <w:vAlign w:val="center"/>
          </w:tcPr>
          <w:p w14:paraId="7FBF3B41">
            <w:pPr>
              <w:widowControl/>
              <w:shd w:val="clear"/>
              <w:spacing w:line="420" w:lineRule="exact"/>
              <w:jc w:val="center"/>
              <w:textAlignment w:val="center"/>
              <w:rPr>
                <w:rFonts w:hint="eastAsia" w:ascii="宋体" w:hAnsi="宋体" w:cs="宋体"/>
                <w:color w:val="auto"/>
                <w:kern w:val="0"/>
                <w:sz w:val="24"/>
                <w:highlight w:val="none"/>
                <w:lang w:bidi="ar"/>
              </w:rPr>
            </w:pPr>
          </w:p>
        </w:tc>
      </w:tr>
      <w:tr w14:paraId="65E7A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06" w:type="pct"/>
            <w:vAlign w:val="center"/>
          </w:tcPr>
          <w:p w14:paraId="2063C044">
            <w:pPr>
              <w:shd w:val="clear"/>
              <w:spacing w:line="420" w:lineRule="exact"/>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10</w:t>
            </w:r>
          </w:p>
        </w:tc>
        <w:tc>
          <w:tcPr>
            <w:tcW w:w="651" w:type="pct"/>
            <w:vAlign w:val="center"/>
          </w:tcPr>
          <w:p w14:paraId="0049269C">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项目人员资质</w:t>
            </w:r>
          </w:p>
        </w:tc>
        <w:tc>
          <w:tcPr>
            <w:tcW w:w="3481" w:type="pct"/>
            <w:vAlign w:val="center"/>
          </w:tcPr>
          <w:p w14:paraId="23F03B1D">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1.项目团队核心人员要求，该项目5分。</w:t>
            </w:r>
          </w:p>
          <w:p w14:paraId="51FD6165">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1）配备专职</w:t>
            </w:r>
            <w:r>
              <w:rPr>
                <w:rFonts w:hint="eastAsia" w:ascii="宋体" w:hAnsi="宋体" w:cs="宋体"/>
                <w:color w:val="auto"/>
                <w:sz w:val="24"/>
                <w:highlight w:val="none"/>
                <w:lang w:val="en-US" w:eastAsia="zh-CN"/>
              </w:rPr>
              <w:t>项目</w:t>
            </w:r>
            <w:r>
              <w:rPr>
                <w:rFonts w:hint="eastAsia" w:ascii="宋体" w:hAnsi="宋体" w:cs="宋体"/>
                <w:color w:val="auto"/>
                <w:sz w:val="24"/>
                <w:highlight w:val="none"/>
              </w:rPr>
              <w:t>经理不少于1人；需持有项目管理专业资格认证，</w:t>
            </w:r>
            <w:r>
              <w:rPr>
                <w:rFonts w:hint="eastAsia" w:ascii="宋体" w:hAnsi="宋体" w:cs="宋体"/>
                <w:color w:val="auto"/>
                <w:sz w:val="24"/>
                <w:highlight w:val="none"/>
                <w:lang w:val="en-US" w:eastAsia="zh-CN"/>
              </w:rPr>
              <w:t>且</w:t>
            </w:r>
            <w:r>
              <w:rPr>
                <w:rFonts w:hint="eastAsia" w:ascii="宋体" w:hAnsi="宋体" w:cs="宋体"/>
                <w:color w:val="auto"/>
                <w:sz w:val="24"/>
                <w:highlight w:val="none"/>
              </w:rPr>
              <w:t>具有</w:t>
            </w:r>
            <w:r>
              <w:rPr>
                <w:rFonts w:hint="eastAsia" w:ascii="宋体" w:hAnsi="宋体" w:cs="宋体"/>
                <w:color w:val="auto"/>
                <w:sz w:val="24"/>
                <w:highlight w:val="none"/>
                <w:lang w:val="en-US" w:eastAsia="zh-CN"/>
              </w:rPr>
              <w:t>集团化</w:t>
            </w:r>
            <w:r>
              <w:rPr>
                <w:rFonts w:hint="eastAsia" w:ascii="宋体" w:hAnsi="宋体" w:cs="宋体"/>
                <w:color w:val="auto"/>
                <w:sz w:val="24"/>
                <w:highlight w:val="none"/>
              </w:rPr>
              <w:t>医院人力资源系统建设项目的经验</w:t>
            </w:r>
            <w:r>
              <w:rPr>
                <w:rFonts w:hint="eastAsia" w:ascii="宋体" w:hAnsi="宋体" w:cs="宋体"/>
                <w:color w:val="auto"/>
                <w:sz w:val="24"/>
                <w:highlight w:val="none"/>
                <w:lang w:eastAsia="zh-CN"/>
              </w:rPr>
              <w:t>。</w:t>
            </w:r>
            <w:r>
              <w:rPr>
                <w:rFonts w:hint="eastAsia" w:ascii="宋体" w:hAnsi="宋体" w:cs="宋体"/>
                <w:color w:val="auto"/>
                <w:sz w:val="24"/>
                <w:highlight w:val="none"/>
              </w:rPr>
              <w:t>需提供相关项目经验证明及</w:t>
            </w:r>
            <w:r>
              <w:rPr>
                <w:rFonts w:hint="eastAsia" w:ascii="宋体" w:hAnsi="宋体" w:cs="宋体"/>
                <w:color w:val="auto"/>
                <w:sz w:val="24"/>
                <w:highlight w:val="none"/>
                <w:lang w:val="en-US" w:eastAsia="zh-CN"/>
              </w:rPr>
              <w:t>高级项目管理师或PMP证书</w:t>
            </w:r>
            <w:r>
              <w:rPr>
                <w:rFonts w:hint="eastAsia" w:ascii="宋体" w:hAnsi="宋体" w:cs="宋体"/>
                <w:color w:val="auto"/>
                <w:sz w:val="24"/>
                <w:highlight w:val="none"/>
              </w:rPr>
              <w:t>复印件，以上全部满足得</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分，不满足不得分。</w:t>
            </w:r>
          </w:p>
          <w:p w14:paraId="21BF5D07">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2）配备技术人员不少于2人；需持有中级及以上软件设计师证书，并具备</w:t>
            </w:r>
            <w:r>
              <w:rPr>
                <w:rFonts w:hint="eastAsia" w:ascii="宋体" w:hAnsi="宋体" w:cs="宋体"/>
                <w:color w:val="auto"/>
                <w:sz w:val="24"/>
                <w:highlight w:val="none"/>
                <w:lang w:val="en-US" w:eastAsia="zh-CN"/>
              </w:rPr>
              <w:t>集团化</w:t>
            </w:r>
            <w:r>
              <w:rPr>
                <w:rFonts w:hint="eastAsia" w:ascii="宋体" w:hAnsi="宋体" w:cs="宋体"/>
                <w:color w:val="auto"/>
                <w:sz w:val="24"/>
                <w:highlight w:val="none"/>
              </w:rPr>
              <w:t>医院人力资源建设项目经验</w:t>
            </w:r>
            <w:r>
              <w:rPr>
                <w:rFonts w:hint="eastAsia" w:ascii="宋体" w:hAnsi="宋体" w:cs="宋体"/>
                <w:color w:val="auto"/>
                <w:sz w:val="24"/>
                <w:highlight w:val="none"/>
                <w:lang w:eastAsia="zh-CN"/>
              </w:rPr>
              <w:t>。</w:t>
            </w:r>
            <w:r>
              <w:rPr>
                <w:rFonts w:hint="eastAsia" w:ascii="宋体" w:hAnsi="宋体" w:cs="宋体"/>
                <w:color w:val="auto"/>
                <w:sz w:val="24"/>
                <w:highlight w:val="none"/>
              </w:rPr>
              <w:t>需提供相关项目经验证明及中级及以上软件设计师证书复印件，每提供1人得分，满分2分。</w:t>
            </w:r>
          </w:p>
          <w:p w14:paraId="61C37171">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）配备信息安全技术人员不少于1人，需持有中级及以上信息安全工程师证书，并具备</w:t>
            </w:r>
            <w:r>
              <w:rPr>
                <w:rFonts w:hint="eastAsia" w:ascii="宋体" w:hAnsi="宋体" w:cs="宋体"/>
                <w:color w:val="auto"/>
                <w:sz w:val="24"/>
                <w:highlight w:val="none"/>
                <w:lang w:val="en-US" w:eastAsia="zh-CN"/>
              </w:rPr>
              <w:t>集团化</w:t>
            </w:r>
            <w:r>
              <w:rPr>
                <w:rFonts w:hint="eastAsia" w:ascii="宋体" w:hAnsi="宋体" w:cs="宋体"/>
                <w:color w:val="auto"/>
                <w:sz w:val="24"/>
                <w:highlight w:val="none"/>
              </w:rPr>
              <w:t>医院人力资源建设项目经验</w:t>
            </w:r>
            <w:r>
              <w:rPr>
                <w:rFonts w:hint="eastAsia" w:ascii="宋体" w:hAnsi="宋体" w:cs="宋体"/>
                <w:color w:val="auto"/>
                <w:sz w:val="24"/>
                <w:highlight w:val="none"/>
                <w:lang w:eastAsia="zh-CN"/>
              </w:rPr>
              <w:t>。</w:t>
            </w:r>
            <w:r>
              <w:rPr>
                <w:rFonts w:hint="eastAsia" w:ascii="宋体" w:hAnsi="宋体" w:cs="宋体"/>
                <w:color w:val="auto"/>
                <w:sz w:val="24"/>
                <w:highlight w:val="none"/>
              </w:rPr>
              <w:t>需提供相关项目经验证明及中级及以上信息安全工程师证书复印件。每提供1人得1分，满分1分。</w:t>
            </w:r>
          </w:p>
          <w:p w14:paraId="0EF37FB8">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）配备咨询顾问专家团队。（要求专家包含：副高及以上职称，具备</w:t>
            </w:r>
            <w:r>
              <w:rPr>
                <w:rFonts w:hint="eastAsia" w:ascii="宋体" w:hAnsi="宋体" w:cs="宋体"/>
                <w:color w:val="auto"/>
                <w:sz w:val="24"/>
                <w:highlight w:val="none"/>
                <w:lang w:val="en-US" w:eastAsia="zh-CN"/>
              </w:rPr>
              <w:t>集团化</w:t>
            </w:r>
            <w:r>
              <w:rPr>
                <w:rFonts w:hint="eastAsia" w:ascii="宋体" w:hAnsi="宋体" w:cs="宋体"/>
                <w:color w:val="auto"/>
                <w:sz w:val="24"/>
                <w:highlight w:val="none"/>
              </w:rPr>
              <w:t>医院人力资源</w:t>
            </w:r>
            <w:r>
              <w:rPr>
                <w:rFonts w:hint="eastAsia" w:ascii="宋体" w:hAnsi="宋体" w:cs="宋体"/>
                <w:color w:val="auto"/>
                <w:sz w:val="24"/>
                <w:highlight w:val="none"/>
                <w:lang w:val="en-US" w:eastAsia="zh-CN"/>
              </w:rPr>
              <w:t>管理</w:t>
            </w:r>
            <w:r>
              <w:rPr>
                <w:rFonts w:hint="eastAsia" w:ascii="宋体" w:hAnsi="宋体" w:cs="宋体"/>
                <w:color w:val="auto"/>
                <w:sz w:val="24"/>
                <w:highlight w:val="none"/>
              </w:rPr>
              <w:t>经验</w:t>
            </w:r>
            <w:r>
              <w:rPr>
                <w:rFonts w:hint="eastAsia" w:ascii="宋体" w:hAnsi="宋体" w:cs="宋体"/>
                <w:color w:val="auto"/>
                <w:sz w:val="24"/>
                <w:highlight w:val="none"/>
                <w:lang w:eastAsia="zh-CN"/>
              </w:rPr>
              <w:t>。需提供职称证书复印件及相关项目经验证明。</w:t>
            </w:r>
            <w:r>
              <w:rPr>
                <w:rFonts w:hint="eastAsia" w:ascii="宋体" w:hAnsi="宋体" w:cs="宋体"/>
                <w:color w:val="auto"/>
                <w:sz w:val="24"/>
                <w:highlight w:val="none"/>
                <w:lang w:val="en-US" w:eastAsia="zh-CN"/>
              </w:rPr>
              <w:t>满</w:t>
            </w:r>
            <w:r>
              <w:rPr>
                <w:rFonts w:hint="eastAsia" w:ascii="宋体" w:hAnsi="宋体" w:cs="宋体"/>
                <w:color w:val="auto"/>
                <w:sz w:val="24"/>
                <w:highlight w:val="none"/>
              </w:rPr>
              <w:t>足得1分，不满足不得分，需提供证明材料。）</w:t>
            </w:r>
          </w:p>
        </w:tc>
        <w:tc>
          <w:tcPr>
            <w:tcW w:w="460" w:type="pct"/>
            <w:vAlign w:val="center"/>
          </w:tcPr>
          <w:p w14:paraId="6C8F4766">
            <w:pPr>
              <w:widowControl/>
              <w:shd w:val="clear"/>
              <w:spacing w:line="420" w:lineRule="exact"/>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5</w:t>
            </w:r>
          </w:p>
        </w:tc>
      </w:tr>
      <w:tr w14:paraId="1D8DA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Align w:val="center"/>
          </w:tcPr>
          <w:p w14:paraId="1236D887">
            <w:pPr>
              <w:widowControl/>
              <w:shd w:val="clear"/>
              <w:spacing w:line="420" w:lineRule="exact"/>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r>
              <w:rPr>
                <w:rFonts w:hint="eastAsia" w:ascii="宋体" w:hAnsi="宋体" w:cs="宋体"/>
                <w:color w:val="auto"/>
                <w:kern w:val="0"/>
                <w:sz w:val="24"/>
                <w:highlight w:val="none"/>
                <w:lang w:val="en-US" w:eastAsia="zh-CN" w:bidi="ar"/>
              </w:rPr>
              <w:t>1</w:t>
            </w:r>
          </w:p>
        </w:tc>
        <w:tc>
          <w:tcPr>
            <w:tcW w:w="651" w:type="pct"/>
            <w:vAlign w:val="center"/>
          </w:tcPr>
          <w:p w14:paraId="5E4E6290">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培训方案</w:t>
            </w:r>
          </w:p>
        </w:tc>
        <w:tc>
          <w:tcPr>
            <w:tcW w:w="3481" w:type="pct"/>
          </w:tcPr>
          <w:p w14:paraId="605F4DDE">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根据投标人提供的培训方案（包括但不限于培训计划、培训对象、培训内容）进行评审。</w:t>
            </w:r>
          </w:p>
          <w:p w14:paraId="5E10AC79">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培训内容完整、培训时间合理、人员安排可行的得5分；</w:t>
            </w:r>
          </w:p>
          <w:p w14:paraId="4FAC161E">
            <w:pPr>
              <w:shd w:val="clear"/>
              <w:spacing w:line="360" w:lineRule="auto"/>
              <w:jc w:val="left"/>
              <w:rPr>
                <w:rFonts w:hint="eastAsia" w:ascii="宋体" w:hAnsi="宋体" w:cs="宋体"/>
                <w:color w:val="auto"/>
                <w:sz w:val="24"/>
                <w:highlight w:val="none"/>
                <w:lang w:eastAsia="zh-CN"/>
              </w:rPr>
            </w:pPr>
            <w:r>
              <w:rPr>
                <w:rFonts w:hint="eastAsia" w:ascii="宋体" w:hAnsi="宋体" w:cs="宋体"/>
                <w:color w:val="auto"/>
                <w:sz w:val="24"/>
                <w:highlight w:val="none"/>
              </w:rPr>
              <w:t>培训内容较完整、培训时间较合理、人员安排较可行的得3分</w:t>
            </w:r>
            <w:r>
              <w:rPr>
                <w:rFonts w:hint="eastAsia" w:ascii="宋体" w:hAnsi="宋体" w:cs="宋体"/>
                <w:color w:val="auto"/>
                <w:sz w:val="24"/>
                <w:highlight w:val="none"/>
                <w:lang w:eastAsia="zh-CN"/>
              </w:rPr>
              <w:t>；</w:t>
            </w:r>
          </w:p>
          <w:p w14:paraId="591831D0">
            <w:pPr>
              <w:shd w:val="clea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培训内容</w:t>
            </w:r>
            <w:r>
              <w:rPr>
                <w:rFonts w:hint="eastAsia" w:ascii="宋体" w:hAnsi="宋体" w:cs="宋体"/>
                <w:color w:val="auto"/>
                <w:sz w:val="24"/>
                <w:highlight w:val="none"/>
                <w:lang w:val="en-US" w:eastAsia="zh-CN"/>
              </w:rPr>
              <w:t>不够明确，内容简略得1分</w:t>
            </w:r>
            <w:r>
              <w:rPr>
                <w:rFonts w:hint="eastAsia" w:ascii="宋体" w:hAnsi="宋体" w:cs="宋体"/>
                <w:color w:val="auto"/>
                <w:sz w:val="24"/>
                <w:highlight w:val="none"/>
                <w:lang w:eastAsia="zh-CN"/>
              </w:rPr>
              <w:t>。</w:t>
            </w:r>
          </w:p>
        </w:tc>
        <w:tc>
          <w:tcPr>
            <w:tcW w:w="460" w:type="pct"/>
            <w:vAlign w:val="center"/>
          </w:tcPr>
          <w:p w14:paraId="6E0B674B">
            <w:pPr>
              <w:widowControl/>
              <w:shd w:val="clear"/>
              <w:spacing w:line="420" w:lineRule="exact"/>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5</w:t>
            </w:r>
          </w:p>
        </w:tc>
      </w:tr>
      <w:tr w14:paraId="149D8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6" w:type="pct"/>
            <w:vAlign w:val="center"/>
          </w:tcPr>
          <w:p w14:paraId="4216F684">
            <w:pPr>
              <w:widowControl/>
              <w:shd w:val="clear"/>
              <w:spacing w:line="420" w:lineRule="exact"/>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r>
              <w:rPr>
                <w:rFonts w:hint="eastAsia" w:ascii="宋体" w:hAnsi="宋体" w:cs="宋体"/>
                <w:color w:val="auto"/>
                <w:kern w:val="0"/>
                <w:sz w:val="24"/>
                <w:highlight w:val="none"/>
                <w:lang w:val="en-US" w:eastAsia="zh-CN" w:bidi="ar"/>
              </w:rPr>
              <w:t>2</w:t>
            </w:r>
          </w:p>
        </w:tc>
        <w:tc>
          <w:tcPr>
            <w:tcW w:w="651" w:type="pct"/>
            <w:vAlign w:val="center"/>
          </w:tcPr>
          <w:p w14:paraId="7FB6F105">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售后服务方案</w:t>
            </w:r>
          </w:p>
        </w:tc>
        <w:tc>
          <w:tcPr>
            <w:tcW w:w="3481" w:type="pct"/>
            <w:vAlign w:val="center"/>
          </w:tcPr>
          <w:p w14:paraId="51841072">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1、根据投标人提供的售后服务方案（包括但不限于售后服务承诺、故障响应时间）进行评审。</w:t>
            </w:r>
          </w:p>
          <w:p w14:paraId="4AC83CD9">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1）方案内容</w:t>
            </w:r>
            <w:r>
              <w:rPr>
                <w:rFonts w:hint="eastAsia" w:ascii="宋体" w:hAnsi="宋体" w:cs="宋体"/>
                <w:color w:val="auto"/>
                <w:sz w:val="24"/>
                <w:highlight w:val="none"/>
                <w:lang w:val="en-US" w:eastAsia="zh-CN"/>
              </w:rPr>
              <w:t>明确，</w:t>
            </w:r>
            <w:r>
              <w:rPr>
                <w:rFonts w:hint="eastAsia" w:ascii="宋体" w:hAnsi="宋体" w:cs="宋体"/>
                <w:color w:val="auto"/>
                <w:sz w:val="24"/>
                <w:highlight w:val="none"/>
              </w:rPr>
              <w:t>完整、合理、规范可行，完全符合医院实际采购需求的得</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分；</w:t>
            </w:r>
          </w:p>
          <w:p w14:paraId="673C3078">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2）方案内容较</w:t>
            </w:r>
            <w:r>
              <w:rPr>
                <w:rFonts w:hint="eastAsia" w:ascii="宋体" w:hAnsi="宋体" w:cs="宋体"/>
                <w:color w:val="auto"/>
                <w:sz w:val="24"/>
                <w:highlight w:val="none"/>
                <w:lang w:val="en-US" w:eastAsia="zh-CN"/>
              </w:rPr>
              <w:t>明确</w:t>
            </w:r>
            <w:r>
              <w:rPr>
                <w:rFonts w:hint="eastAsia" w:ascii="宋体" w:hAnsi="宋体" w:cs="宋体"/>
                <w:color w:val="auto"/>
                <w:sz w:val="24"/>
                <w:highlight w:val="none"/>
              </w:rPr>
              <w:t>，基本符合采购需求的得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w:t>
            </w:r>
          </w:p>
          <w:p w14:paraId="3D3C4F68">
            <w:pPr>
              <w:shd w:val="clea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3）方案内容</w:t>
            </w:r>
            <w:r>
              <w:rPr>
                <w:rFonts w:hint="eastAsia" w:ascii="宋体" w:hAnsi="宋体" w:cs="宋体"/>
                <w:color w:val="auto"/>
                <w:sz w:val="24"/>
                <w:highlight w:val="none"/>
                <w:lang w:val="en-US" w:eastAsia="zh-CN"/>
              </w:rPr>
              <w:t>不够明确</w:t>
            </w:r>
            <w:r>
              <w:rPr>
                <w:rFonts w:hint="eastAsia" w:ascii="宋体" w:hAnsi="宋体" w:cs="宋体"/>
                <w:color w:val="auto"/>
                <w:sz w:val="24"/>
                <w:highlight w:val="none"/>
              </w:rPr>
              <w:t>得</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分</w:t>
            </w:r>
            <w:r>
              <w:rPr>
                <w:rFonts w:hint="eastAsia" w:ascii="宋体" w:hAnsi="宋体" w:cs="宋体"/>
                <w:color w:val="auto"/>
                <w:sz w:val="24"/>
                <w:highlight w:val="none"/>
                <w:lang w:eastAsia="zh-CN"/>
              </w:rPr>
              <w:t>。</w:t>
            </w:r>
          </w:p>
        </w:tc>
        <w:tc>
          <w:tcPr>
            <w:tcW w:w="460" w:type="pct"/>
            <w:vAlign w:val="center"/>
          </w:tcPr>
          <w:p w14:paraId="32E991FC">
            <w:pPr>
              <w:widowControl/>
              <w:shd w:val="clear"/>
              <w:spacing w:line="420" w:lineRule="exact"/>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5</w:t>
            </w:r>
          </w:p>
        </w:tc>
      </w:tr>
      <w:tr w14:paraId="750ED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39" w:type="pct"/>
            <w:gridSpan w:val="3"/>
            <w:vAlign w:val="center"/>
          </w:tcPr>
          <w:p w14:paraId="745C395B">
            <w:pPr>
              <w:widowControl/>
              <w:shd w:val="clear"/>
              <w:spacing w:line="420" w:lineRule="exact"/>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合计</w:t>
            </w:r>
          </w:p>
        </w:tc>
        <w:tc>
          <w:tcPr>
            <w:tcW w:w="460" w:type="pct"/>
            <w:vAlign w:val="center"/>
          </w:tcPr>
          <w:p w14:paraId="03573F01">
            <w:pPr>
              <w:widowControl/>
              <w:shd w:val="clear"/>
              <w:spacing w:line="420" w:lineRule="exact"/>
              <w:jc w:val="center"/>
              <w:textAlignment w:val="center"/>
              <w:rPr>
                <w:rFonts w:hint="default" w:ascii="宋体" w:hAnsi="宋体" w:eastAsia="宋体" w:cs="宋体"/>
                <w:color w:val="auto"/>
                <w:sz w:val="24"/>
                <w:highlight w:val="none"/>
                <w:lang w:val="en-US" w:eastAsia="zh-CN"/>
              </w:rPr>
            </w:pPr>
            <w:r>
              <w:rPr>
                <w:rFonts w:hint="eastAsia" w:ascii="宋体" w:hAnsi="宋体" w:cs="宋体"/>
                <w:color w:val="auto"/>
                <w:kern w:val="0"/>
                <w:sz w:val="24"/>
                <w:highlight w:val="none"/>
                <w:lang w:val="en-US" w:eastAsia="zh-CN" w:bidi="ar"/>
              </w:rPr>
              <w:t>88</w:t>
            </w:r>
          </w:p>
        </w:tc>
      </w:tr>
    </w:tbl>
    <w:p w14:paraId="5F834F0C">
      <w:pPr>
        <w:widowControl/>
        <w:shd w:val="clear"/>
        <w:jc w:val="center"/>
        <w:rPr>
          <w:rFonts w:hint="eastAsia" w:ascii="宋体" w:hAnsi="宋体" w:cs="宋体"/>
          <w:b/>
          <w:bCs/>
          <w:color w:val="auto"/>
          <w:sz w:val="36"/>
          <w:szCs w:val="44"/>
          <w:highlight w:val="none"/>
        </w:rPr>
      </w:pPr>
    </w:p>
    <w:p w14:paraId="7D2D32DB">
      <w:pPr>
        <w:widowControl/>
        <w:shd w:val="clear"/>
        <w:jc w:val="center"/>
        <w:rPr>
          <w:rFonts w:hint="eastAsia" w:ascii="宋体" w:hAnsi="宋体" w:cs="宋体"/>
          <w:b/>
          <w:bCs/>
          <w:color w:val="auto"/>
          <w:sz w:val="36"/>
          <w:szCs w:val="44"/>
          <w:highlight w:val="none"/>
        </w:rPr>
      </w:pPr>
    </w:p>
    <w:p w14:paraId="0DC0347A">
      <w:pPr>
        <w:widowControl/>
        <w:shd w:val="clear"/>
        <w:jc w:val="center"/>
        <w:rPr>
          <w:rFonts w:hint="eastAsia" w:ascii="宋体" w:hAnsi="宋体" w:cs="宋体"/>
          <w:b/>
          <w:bCs/>
          <w:color w:val="auto"/>
          <w:sz w:val="36"/>
          <w:szCs w:val="44"/>
          <w:highlight w:val="none"/>
        </w:rPr>
      </w:pPr>
    </w:p>
    <w:p w14:paraId="06DEE280">
      <w:pPr>
        <w:widowControl/>
        <w:shd w:val="clear"/>
        <w:jc w:val="center"/>
        <w:rPr>
          <w:rFonts w:hint="eastAsia" w:ascii="宋体" w:hAnsi="宋体" w:cs="宋体"/>
          <w:b/>
          <w:bCs/>
          <w:color w:val="auto"/>
          <w:sz w:val="36"/>
          <w:szCs w:val="44"/>
          <w:highlight w:val="none"/>
        </w:rPr>
      </w:pPr>
    </w:p>
    <w:p w14:paraId="310124BF">
      <w:pPr>
        <w:widowControl/>
        <w:shd w:val="clear"/>
        <w:jc w:val="center"/>
        <w:rPr>
          <w:rFonts w:hint="eastAsia" w:ascii="宋体" w:hAnsi="宋体" w:cs="宋体"/>
          <w:b/>
          <w:bCs/>
          <w:color w:val="auto"/>
          <w:sz w:val="36"/>
          <w:szCs w:val="44"/>
          <w:highlight w:val="none"/>
        </w:rPr>
      </w:pPr>
    </w:p>
    <w:p w14:paraId="4665C045">
      <w:pPr>
        <w:widowControl/>
        <w:shd w:val="clear"/>
        <w:jc w:val="center"/>
        <w:rPr>
          <w:rFonts w:hint="eastAsia" w:ascii="宋体" w:hAnsi="宋体" w:cs="宋体"/>
          <w:b/>
          <w:bCs/>
          <w:color w:val="auto"/>
          <w:sz w:val="36"/>
          <w:szCs w:val="44"/>
          <w:highlight w:val="none"/>
        </w:rPr>
      </w:pPr>
    </w:p>
    <w:p w14:paraId="1510CB88">
      <w:pPr>
        <w:widowControl/>
        <w:shd w:val="clear"/>
        <w:jc w:val="center"/>
        <w:rPr>
          <w:rFonts w:hint="eastAsia" w:ascii="宋体" w:hAnsi="宋体" w:cs="宋体"/>
          <w:b/>
          <w:bCs/>
          <w:color w:val="auto"/>
          <w:sz w:val="36"/>
          <w:szCs w:val="44"/>
          <w:highlight w:val="none"/>
        </w:rPr>
      </w:pPr>
    </w:p>
    <w:p w14:paraId="3B415ECB">
      <w:pPr>
        <w:widowControl/>
        <w:shd w:val="clear"/>
        <w:jc w:val="center"/>
        <w:rPr>
          <w:rFonts w:hint="eastAsia" w:ascii="宋体" w:hAnsi="宋体" w:cs="宋体"/>
          <w:b/>
          <w:bCs/>
          <w:color w:val="auto"/>
          <w:sz w:val="36"/>
          <w:szCs w:val="44"/>
          <w:highlight w:val="none"/>
        </w:rPr>
      </w:pPr>
    </w:p>
    <w:p w14:paraId="292C8FB9">
      <w:pPr>
        <w:widowControl/>
        <w:shd w:val="clear"/>
        <w:jc w:val="center"/>
        <w:rPr>
          <w:rFonts w:hint="eastAsia" w:ascii="宋体" w:hAnsi="宋体" w:cs="宋体"/>
          <w:b/>
          <w:bCs/>
          <w:color w:val="auto"/>
          <w:sz w:val="36"/>
          <w:szCs w:val="44"/>
          <w:highlight w:val="none"/>
        </w:rPr>
      </w:pPr>
    </w:p>
    <w:p w14:paraId="121EB29E">
      <w:pPr>
        <w:widowControl/>
        <w:shd w:val="clear"/>
        <w:jc w:val="center"/>
        <w:rPr>
          <w:rFonts w:hint="eastAsia" w:ascii="宋体" w:hAnsi="宋体" w:cs="宋体"/>
          <w:b/>
          <w:bCs/>
          <w:color w:val="auto"/>
          <w:sz w:val="36"/>
          <w:szCs w:val="44"/>
          <w:highlight w:val="none"/>
        </w:rPr>
      </w:pPr>
    </w:p>
    <w:p w14:paraId="7FF17A33">
      <w:pPr>
        <w:widowControl/>
        <w:shd w:val="clear"/>
        <w:jc w:val="center"/>
        <w:rPr>
          <w:rFonts w:hint="eastAsia" w:ascii="宋体" w:hAnsi="宋体" w:cs="宋体"/>
          <w:b/>
          <w:bCs/>
          <w:color w:val="auto"/>
          <w:sz w:val="36"/>
          <w:szCs w:val="44"/>
          <w:highlight w:val="none"/>
        </w:rPr>
      </w:pPr>
    </w:p>
    <w:p w14:paraId="52E94B9A">
      <w:pPr>
        <w:widowControl/>
        <w:shd w:val="clear"/>
        <w:jc w:val="center"/>
        <w:rPr>
          <w:rFonts w:hint="eastAsia" w:ascii="宋体" w:hAnsi="宋体" w:cs="宋体"/>
          <w:b/>
          <w:bCs/>
          <w:color w:val="auto"/>
          <w:sz w:val="36"/>
          <w:szCs w:val="44"/>
          <w:highlight w:val="none"/>
        </w:rPr>
      </w:pPr>
    </w:p>
    <w:p w14:paraId="32D1E067">
      <w:pPr>
        <w:widowControl/>
        <w:shd w:val="clear"/>
        <w:jc w:val="center"/>
        <w:rPr>
          <w:rFonts w:hint="eastAsia" w:ascii="宋体" w:hAnsi="宋体" w:cs="宋体"/>
          <w:b/>
          <w:bCs/>
          <w:color w:val="auto"/>
          <w:sz w:val="36"/>
          <w:szCs w:val="44"/>
          <w:highlight w:val="none"/>
        </w:rPr>
      </w:pPr>
    </w:p>
    <w:p w14:paraId="17660BFB">
      <w:pPr>
        <w:widowControl/>
        <w:shd w:val="clear"/>
        <w:jc w:val="center"/>
        <w:rPr>
          <w:rFonts w:hint="eastAsia" w:ascii="宋体" w:hAnsi="宋体" w:cs="宋体"/>
          <w:b/>
          <w:bCs/>
          <w:color w:val="auto"/>
          <w:sz w:val="36"/>
          <w:szCs w:val="44"/>
          <w:highlight w:val="none"/>
        </w:rPr>
      </w:pPr>
    </w:p>
    <w:p w14:paraId="6ED9E1E1">
      <w:pPr>
        <w:widowControl/>
        <w:shd w:val="clear"/>
        <w:jc w:val="center"/>
        <w:rPr>
          <w:rFonts w:hint="eastAsia" w:ascii="宋体" w:hAnsi="宋体" w:cs="宋体"/>
          <w:b/>
          <w:bCs/>
          <w:color w:val="auto"/>
          <w:sz w:val="36"/>
          <w:szCs w:val="44"/>
          <w:highlight w:val="none"/>
        </w:rPr>
      </w:pPr>
    </w:p>
    <w:p w14:paraId="1EBABE26">
      <w:pPr>
        <w:widowControl/>
        <w:shd w:val="clear"/>
        <w:jc w:val="center"/>
        <w:rPr>
          <w:rFonts w:hint="eastAsia" w:ascii="宋体" w:hAnsi="宋体" w:cs="宋体"/>
          <w:b/>
          <w:bCs/>
          <w:color w:val="auto"/>
          <w:sz w:val="36"/>
          <w:szCs w:val="44"/>
          <w:highlight w:val="none"/>
        </w:rPr>
      </w:pPr>
    </w:p>
    <w:p w14:paraId="76F921AA">
      <w:pPr>
        <w:widowControl/>
        <w:shd w:val="clear"/>
        <w:jc w:val="center"/>
        <w:rPr>
          <w:rFonts w:hint="eastAsia" w:ascii="宋体" w:hAnsi="宋体" w:cs="宋体"/>
          <w:b/>
          <w:bCs/>
          <w:color w:val="auto"/>
          <w:sz w:val="36"/>
          <w:szCs w:val="44"/>
          <w:highlight w:val="none"/>
        </w:rPr>
      </w:pPr>
    </w:p>
    <w:p w14:paraId="483ED271">
      <w:pPr>
        <w:widowControl/>
        <w:shd w:val="clear"/>
        <w:jc w:val="center"/>
        <w:rPr>
          <w:rFonts w:hint="eastAsia" w:ascii="宋体" w:hAnsi="宋体" w:cs="宋体"/>
          <w:b/>
          <w:bCs/>
          <w:color w:val="auto"/>
          <w:sz w:val="36"/>
          <w:szCs w:val="44"/>
          <w:highlight w:val="none"/>
        </w:rPr>
      </w:pPr>
    </w:p>
    <w:p w14:paraId="5D879313">
      <w:pPr>
        <w:widowControl/>
        <w:shd w:val="clear"/>
        <w:jc w:val="center"/>
        <w:rPr>
          <w:rFonts w:hint="eastAsia" w:ascii="宋体" w:hAnsi="宋体" w:cs="宋体"/>
          <w:b/>
          <w:bCs/>
          <w:color w:val="auto"/>
          <w:sz w:val="36"/>
          <w:szCs w:val="44"/>
          <w:highlight w:val="none"/>
        </w:rPr>
      </w:pPr>
    </w:p>
    <w:p w14:paraId="2592068A">
      <w:pPr>
        <w:widowControl/>
        <w:shd w:val="clear"/>
        <w:jc w:val="both"/>
        <w:rPr>
          <w:rFonts w:hint="eastAsia" w:ascii="宋体" w:hAnsi="宋体" w:cs="宋体"/>
          <w:b/>
          <w:bCs/>
          <w:color w:val="auto"/>
          <w:sz w:val="36"/>
          <w:szCs w:val="44"/>
          <w:highlight w:val="none"/>
        </w:rPr>
      </w:pPr>
    </w:p>
    <w:p w14:paraId="27CB7460">
      <w:pPr>
        <w:widowControl/>
        <w:shd w:val="clear"/>
        <w:jc w:val="center"/>
        <w:rPr>
          <w:rFonts w:hint="eastAsia" w:ascii="宋体" w:hAnsi="宋体" w:cs="宋体"/>
          <w:b/>
          <w:bCs/>
          <w:color w:val="auto"/>
          <w:sz w:val="36"/>
          <w:szCs w:val="44"/>
          <w:highlight w:val="none"/>
        </w:rPr>
      </w:pPr>
    </w:p>
    <w:p w14:paraId="3DA572B9">
      <w:pPr>
        <w:widowControl/>
        <w:shd w:val="clear"/>
        <w:jc w:val="center"/>
        <w:rPr>
          <w:rFonts w:hint="eastAsia" w:ascii="宋体" w:hAnsi="宋体" w:cs="宋体"/>
          <w:b/>
          <w:bCs/>
          <w:color w:val="auto"/>
          <w:sz w:val="36"/>
          <w:szCs w:val="44"/>
          <w:highlight w:val="none"/>
        </w:rPr>
      </w:pPr>
    </w:p>
    <w:p w14:paraId="6E119513">
      <w:pPr>
        <w:widowControl/>
        <w:shd w:val="clear"/>
        <w:jc w:val="center"/>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第四章 公开招标需求</w:t>
      </w:r>
    </w:p>
    <w:p w14:paraId="12FCCC27">
      <w:pPr>
        <w:pStyle w:val="24"/>
        <w:shd w:val="clear"/>
        <w:spacing w:before="0" w:beforeAutospacing="0" w:after="0" w:afterAutospacing="0" w:line="360" w:lineRule="auto"/>
        <w:outlineLvl w:val="0"/>
        <w:rPr>
          <w:rFonts w:hint="eastAsia" w:cs="宋体"/>
          <w:b/>
          <w:bCs/>
          <w:color w:val="auto"/>
          <w:highlight w:val="none"/>
        </w:rPr>
      </w:pPr>
      <w:bookmarkStart w:id="3" w:name="_Toc29219"/>
      <w:r>
        <w:rPr>
          <w:rFonts w:hint="eastAsia" w:cs="宋体"/>
          <w:b/>
          <w:bCs/>
          <w:color w:val="auto"/>
          <w:highlight w:val="none"/>
        </w:rPr>
        <w:t>一、项目背景</w:t>
      </w:r>
      <w:bookmarkEnd w:id="3"/>
    </w:p>
    <w:p w14:paraId="4A711318">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恩泽医疗中心（集团）是一家集医疗、急救、科研、教学、预防为一体的区域综合性</w:t>
      </w:r>
      <w:r>
        <w:rPr>
          <w:rFonts w:hint="eastAsia" w:ascii="宋体" w:hAnsi="宋体" w:cs="宋体"/>
          <w:color w:val="auto"/>
          <w:kern w:val="0"/>
          <w:sz w:val="24"/>
          <w:highlight w:val="none"/>
          <w:lang w:val="en-US" w:eastAsia="zh-CN"/>
        </w:rPr>
        <w:t>集团化医院</w:t>
      </w:r>
      <w:r>
        <w:rPr>
          <w:rFonts w:hint="eastAsia" w:ascii="宋体" w:hAnsi="宋体" w:cs="宋体"/>
          <w:color w:val="auto"/>
          <w:kern w:val="0"/>
          <w:sz w:val="24"/>
          <w:highlight w:val="none"/>
        </w:rPr>
        <w:t>。下辖浙江省台州医院（三级甲等）、台州医院东院区、恩泽医院（台州医院路桥院区）、台州市康复医院（三级）、三家直属公司及九个专科部，现有职工近8000余人。</w:t>
      </w:r>
    </w:p>
    <w:p w14:paraId="1E041AF6">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医院发展的根本在于人才，现代医院人力资源管理的长期目标就是通过科学有效的人力资源管理，实现医院人力资源的合理开发、配置和使用，实现医院社会效益与经济效益的双赢。</w:t>
      </w:r>
    </w:p>
    <w:p w14:paraId="2A86FD1E">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近年来，我国公立医院迎来了事业单位分类改革、公立医院人事制度改革以及医药卫生体制改革等多重改革任务，在强调医院公益属性的同时也放开了更多的用人权限，特别在随着编制身份的逐渐弱化，聘用制、合同制、人事代理、劳务派遣等多种用工形式的同步推进，多种所有制医院的快速发展，优秀的医务人才越发成为稀缺资源，医疗人才市场的竞争正在日益加剧。</w:t>
      </w:r>
    </w:p>
    <w:p w14:paraId="20AB5F9C">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同时，随着医疗制度改革和医院等级评审工作的逐步深入开展，国家卫生健康委办公厅在《医院智慧管理分级评估标准体系》非常明确的对医院人力资源管理从“人力资源规划”、“人事管理”、“人员考核与薪酬管理”三个方面分为五个等级要求，把人力资源管理信息化水平详细纳入到了智慧医院等级评审中，人力资源管理信息化在医院未来的管理提升中成为必不可少的一环。</w:t>
      </w:r>
    </w:p>
    <w:p w14:paraId="6930CD71">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无论是国家政策层面还是医院内部人才管理要求层面，都对医院人力资源管理产生了根本性的影响，由粗放向精细化管理转变，由孤岛运行的人事管理系统，向能够对接其他管理系统的信息化管理网络成为发展趋势。</w:t>
      </w:r>
    </w:p>
    <w:p w14:paraId="41BE699D">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我院于2014年底开始采购、建设宏景人力资源管理系统，已有10余年的人力资源管理信息化经历和经验、数据，在近10年的医院发展建设中发挥了重要作用。在医院管理理念不断革新、信息技术快速发展的现状下，原有人力资源信息化框架和系统已力有不逮，亟待对人力资源信息化管理体系重新规划，升级人力资源管理系统版本，持续支撑智慧医院建设和高质量发展，需进一步完善、提升医院人力资源管理系统技术、扩展人力资源管理信息化业务，提升医院管理水平和员工服务体验，同时对已有数据和业务兼容、提升，不浪费医院已有数据资产。</w:t>
      </w:r>
    </w:p>
    <w:p w14:paraId="353FBA61">
      <w:pPr>
        <w:widowControl/>
        <w:shd w:val="clear" w:color="auto"/>
        <w:spacing w:line="360" w:lineRule="auto"/>
        <w:jc w:val="left"/>
        <w:rPr>
          <w:rFonts w:hint="eastAsia" w:ascii="宋体" w:hAnsi="宋体" w:cs="宋体"/>
          <w:b/>
          <w:bCs/>
          <w:color w:val="auto"/>
          <w:kern w:val="0"/>
          <w:sz w:val="24"/>
          <w:highlight w:val="none"/>
        </w:rPr>
      </w:pPr>
      <w:bookmarkStart w:id="4" w:name="_Toc166"/>
      <w:r>
        <w:rPr>
          <w:rFonts w:hint="eastAsia" w:ascii="宋体" w:hAnsi="宋体" w:cs="宋体"/>
          <w:b/>
          <w:bCs/>
          <w:color w:val="auto"/>
          <w:kern w:val="0"/>
          <w:sz w:val="24"/>
          <w:highlight w:val="none"/>
        </w:rPr>
        <w:t>二、建设目标</w:t>
      </w:r>
      <w:bookmarkEnd w:id="4"/>
    </w:p>
    <w:p w14:paraId="3FAA755A">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本期项目将坚持台州恩泽医疗中心（集团）人力资源数智化的总体目标，基于人力资源数智化蓝图规划，深化落实构建符合台州恩泽医疗中心（集团）发展规划的全集团统一人力资源管理平台，建立以“集中共享、人才管理、业务协作、服务赋能”为核心，支撑快速发展对于人力资源现代化与高效率要求的人力资源管理信息系统平台，实现人力资源全生命周期管理，实现人力资源管理对医院战略管理的支持。提升业务运营效率和数据治理能力，推动医院人力资源业务完成数字化转型。具体项目目标包括如下几个方面：</w:t>
      </w:r>
    </w:p>
    <w:p w14:paraId="4A63E055">
      <w:pPr>
        <w:numPr>
          <w:ilvl w:val="0"/>
          <w:numId w:val="2"/>
        </w:numPr>
        <w:shd w:val="clear"/>
        <w:spacing w:line="360" w:lineRule="auto"/>
        <w:rPr>
          <w:rFonts w:hint="eastAsia" w:ascii="宋体" w:hAnsi="宋体" w:cs="宋体"/>
          <w:b/>
          <w:bCs/>
          <w:color w:val="auto"/>
          <w:sz w:val="24"/>
          <w:highlight w:val="none"/>
        </w:rPr>
      </w:pPr>
      <w:bookmarkStart w:id="5" w:name="_Toc308698590"/>
      <w:bookmarkStart w:id="6" w:name="_Toc308681798"/>
      <w:r>
        <w:rPr>
          <w:rFonts w:hint="eastAsia" w:ascii="宋体" w:hAnsi="宋体" w:cs="宋体"/>
          <w:b/>
          <w:bCs/>
          <w:color w:val="auto"/>
          <w:sz w:val="24"/>
          <w:highlight w:val="none"/>
        </w:rPr>
        <w:t>整合人力数据，打造共享平台</w:t>
      </w:r>
    </w:p>
    <w:p w14:paraId="02A38287">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通过人力资源管理平台，规范信息标准和统计口径，将医院人力数据由分散转变为集中管理，各科室按权限完成行信息维护与业务操作，保证职工全生命周期信息动态更新、增量积累，同时，为各用户提供信息查询、统计分析、报表输出等操作，实现医院职工信息共建共享，为医院人才结构优化提供及时、精准、全面的数据参考。</w:t>
      </w:r>
    </w:p>
    <w:p w14:paraId="5A6B7493">
      <w:pPr>
        <w:numPr>
          <w:ilvl w:val="0"/>
          <w:numId w:val="2"/>
        </w:numPr>
        <w:shd w:val="clear"/>
        <w:spacing w:line="360" w:lineRule="auto"/>
        <w:rPr>
          <w:rFonts w:hint="eastAsia" w:ascii="宋体" w:hAnsi="宋体" w:cs="宋体"/>
          <w:b/>
          <w:bCs/>
          <w:color w:val="auto"/>
          <w:sz w:val="24"/>
          <w:highlight w:val="none"/>
        </w:rPr>
      </w:pPr>
      <w:bookmarkStart w:id="7" w:name="_Toc59204186"/>
      <w:r>
        <w:rPr>
          <w:rFonts w:hint="eastAsia" w:ascii="宋体" w:hAnsi="宋体" w:cs="宋体"/>
          <w:b/>
          <w:bCs/>
          <w:color w:val="auto"/>
          <w:sz w:val="24"/>
          <w:highlight w:val="none"/>
        </w:rPr>
        <w:t>摆脱事务束缚，提高管理效率</w:t>
      </w:r>
      <w:bookmarkEnd w:id="7"/>
    </w:p>
    <w:p w14:paraId="2913F74A">
      <w:pPr>
        <w:widowControl/>
        <w:shd w:val="clear" w:color="auto"/>
        <w:spacing w:line="360" w:lineRule="auto"/>
        <w:ind w:firstLine="480" w:firstLineChars="200"/>
        <w:jc w:val="left"/>
        <w:rPr>
          <w:rFonts w:hint="eastAsia" w:ascii="宋体" w:hAnsi="宋体" w:cs="宋体"/>
          <w:color w:val="auto"/>
          <w:kern w:val="0"/>
          <w:sz w:val="24"/>
          <w:highlight w:val="none"/>
        </w:rPr>
      </w:pPr>
      <w:bookmarkStart w:id="8" w:name="_Toc464551891"/>
      <w:r>
        <w:rPr>
          <w:rFonts w:hint="eastAsia" w:ascii="宋体" w:hAnsi="宋体" w:cs="宋体"/>
          <w:color w:val="auto"/>
          <w:kern w:val="0"/>
          <w:sz w:val="24"/>
          <w:highlight w:val="none"/>
        </w:rPr>
        <w:t>通过人力资源管理系统的建设，医院人力资源工作者可以将日常繁重的事务性工作转由信息系统完成，如人事业务智能提醒、工资业务自动通知、海量简历自动筛选，卫健委、医管局、人社局、统计局等统计报表数据自动生成，考勤数据自动汇总等，既减轻工作压力，减少了工作差错，又提高了人力资源部门的工作效率及管理价值。</w:t>
      </w:r>
    </w:p>
    <w:bookmarkEnd w:id="8"/>
    <w:p w14:paraId="27DDBFF8">
      <w:pPr>
        <w:numPr>
          <w:ilvl w:val="0"/>
          <w:numId w:val="2"/>
        </w:numPr>
        <w:shd w:val="clea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规范业务流程，实现业务协同</w:t>
      </w:r>
    </w:p>
    <w:p w14:paraId="2F8638B7">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通过信息化手段，实现人员入职、转正、调动、离职、退休等多项人事业务线上办理，既规范了业务流程，又确保了信息的及时更新；通过系统能够随时监控审批状态，大大提高工作效率；通过系统间不同业务的无缝衔接，实现业务的协同办理，提升医院整体运营效率。</w:t>
      </w:r>
    </w:p>
    <w:p w14:paraId="4398C5AE">
      <w:pPr>
        <w:numPr>
          <w:ilvl w:val="0"/>
          <w:numId w:val="2"/>
        </w:numPr>
        <w:shd w:val="clear"/>
        <w:spacing w:line="360" w:lineRule="auto"/>
        <w:rPr>
          <w:rFonts w:hint="eastAsia" w:ascii="宋体" w:hAnsi="宋体" w:cs="宋体"/>
          <w:b/>
          <w:bCs/>
          <w:color w:val="auto"/>
          <w:sz w:val="24"/>
          <w:highlight w:val="none"/>
        </w:rPr>
      </w:pPr>
      <w:bookmarkStart w:id="9" w:name="_Toc104113517"/>
      <w:r>
        <w:rPr>
          <w:rFonts w:hint="eastAsia" w:ascii="宋体" w:hAnsi="宋体" w:cs="宋体"/>
          <w:b/>
          <w:bCs/>
          <w:color w:val="auto"/>
          <w:sz w:val="24"/>
          <w:highlight w:val="none"/>
        </w:rPr>
        <w:t>打造年度考核，实现</w:t>
      </w:r>
      <w:bookmarkEnd w:id="9"/>
      <w:r>
        <w:rPr>
          <w:rFonts w:hint="eastAsia" w:ascii="宋体" w:hAnsi="宋体" w:cs="宋体"/>
          <w:b/>
          <w:bCs/>
          <w:color w:val="auto"/>
          <w:sz w:val="24"/>
          <w:highlight w:val="none"/>
        </w:rPr>
        <w:t>管理落地</w:t>
      </w:r>
    </w:p>
    <w:p w14:paraId="6CA36E68">
      <w:pPr>
        <w:widowControl/>
        <w:shd w:val="clear" w:color="auto"/>
        <w:spacing w:line="360" w:lineRule="auto"/>
        <w:ind w:firstLine="480" w:firstLineChars="200"/>
        <w:jc w:val="left"/>
        <w:rPr>
          <w:rFonts w:hint="eastAsia" w:ascii="宋体" w:hAnsi="宋体" w:cs="宋体"/>
          <w:color w:val="auto"/>
          <w:kern w:val="0"/>
          <w:sz w:val="24"/>
          <w:highlight w:val="none"/>
        </w:rPr>
      </w:pPr>
      <w:bookmarkStart w:id="10" w:name="_Toc469920667"/>
      <w:bookmarkStart w:id="11" w:name="_Toc323052732"/>
      <w:r>
        <w:rPr>
          <w:rFonts w:hint="eastAsia" w:ascii="宋体" w:hAnsi="宋体" w:cs="宋体"/>
          <w:color w:val="auto"/>
          <w:kern w:val="0"/>
          <w:sz w:val="24"/>
          <w:highlight w:val="none"/>
        </w:rPr>
        <w:t>人力资源管理系统既支持职工年度考核表的填写申报，还可满足360考核、民主测评、干部考核等考核要求，针对医院班子成员、科室、职工等考核对象制定出差异化的考核方案，考核过程可采用丰富的参数控制各种人为因素干扰，考核结果及时反馈给职工，帮助其发现问题、改进绩效，使绩效管理落到实处。</w:t>
      </w:r>
    </w:p>
    <w:bookmarkEnd w:id="10"/>
    <w:bookmarkEnd w:id="11"/>
    <w:p w14:paraId="67B7B0CF">
      <w:pPr>
        <w:numPr>
          <w:ilvl w:val="0"/>
          <w:numId w:val="2"/>
        </w:numPr>
        <w:shd w:val="clea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搭建员工服务平台，提升服务能力</w:t>
      </w:r>
    </w:p>
    <w:p w14:paraId="0654BA96">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通过员工共享服务中心，职工可在权限范围内查看相应的人事制度，员工个人信息查看、员工个人信息修改上报与审核、人事业务办理申请办理等，并支持上传相关附件，对发现错误的信息及时进行申请更新，避免后期业务出现错误，提高职工的认可和满意度。</w:t>
      </w:r>
    </w:p>
    <w:p w14:paraId="4F0E080C">
      <w:pPr>
        <w:numPr>
          <w:ilvl w:val="0"/>
          <w:numId w:val="2"/>
        </w:numPr>
        <w:shd w:val="clear"/>
        <w:spacing w:line="360" w:lineRule="auto"/>
        <w:rPr>
          <w:rFonts w:hint="eastAsia" w:ascii="宋体" w:hAnsi="宋体" w:cs="宋体"/>
          <w:b/>
          <w:bCs/>
          <w:color w:val="auto"/>
          <w:sz w:val="24"/>
          <w:highlight w:val="none"/>
        </w:rPr>
      </w:pPr>
      <w:bookmarkStart w:id="12" w:name="_Toc35207288"/>
      <w:r>
        <w:rPr>
          <w:rFonts w:hint="eastAsia" w:ascii="宋体" w:hAnsi="宋体" w:cs="宋体"/>
          <w:b/>
          <w:bCs/>
          <w:color w:val="auto"/>
          <w:sz w:val="24"/>
          <w:highlight w:val="none"/>
        </w:rPr>
        <w:t>全面系统集成，实现资源共享</w:t>
      </w:r>
      <w:bookmarkEnd w:id="12"/>
    </w:p>
    <w:p w14:paraId="62174522">
      <w:pPr>
        <w:widowControl/>
        <w:shd w:val="clear" w:color="auto"/>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按照人力资源管理业务需求和医院信息系统建设统一标准，由人力资源管理系统提供组织架构与职工基础信息，并与医院主数据平台、HIS、科研等系统进行集成，实现与医疗、科研等信息系统衔接，逐步实现医院数据的互联互通。</w:t>
      </w:r>
      <w:r>
        <w:rPr>
          <w:rFonts w:hint="eastAsia" w:ascii="宋体" w:hAnsi="宋体" w:cs="宋体"/>
          <w:color w:val="auto"/>
          <w:kern w:val="0"/>
          <w:sz w:val="24"/>
          <w:highlight w:val="none"/>
          <w:lang w:val="en-US" w:eastAsia="zh-CN"/>
        </w:rPr>
        <w:t>同时系统平台上还需有能力扩展其他功能应用，方便医院在学科、党建、科研、干部等多方位多维度的管理闭环。</w:t>
      </w:r>
    </w:p>
    <w:bookmarkEnd w:id="5"/>
    <w:bookmarkEnd w:id="6"/>
    <w:p w14:paraId="010ECADC">
      <w:pPr>
        <w:shd w:val="clear"/>
        <w:spacing w:line="360" w:lineRule="auto"/>
        <w:rPr>
          <w:rFonts w:hint="eastAsia" w:ascii="宋体" w:hAnsi="宋体" w:cs="宋体"/>
          <w:b/>
          <w:bCs/>
          <w:color w:val="auto"/>
          <w:kern w:val="0"/>
          <w:sz w:val="24"/>
          <w:highlight w:val="none"/>
        </w:rPr>
      </w:pPr>
      <w:bookmarkStart w:id="13" w:name="_Toc1866"/>
      <w:r>
        <w:rPr>
          <w:rFonts w:hint="eastAsia" w:ascii="宋体" w:hAnsi="宋体" w:cs="宋体"/>
          <w:b/>
          <w:bCs/>
          <w:color w:val="auto"/>
          <w:kern w:val="0"/>
          <w:sz w:val="24"/>
          <w:highlight w:val="none"/>
        </w:rPr>
        <w:t>三、</w:t>
      </w:r>
      <w:bookmarkEnd w:id="13"/>
      <w:r>
        <w:rPr>
          <w:rFonts w:hint="eastAsia" w:ascii="宋体" w:hAnsi="宋体" w:cs="宋体"/>
          <w:b/>
          <w:bCs/>
          <w:color w:val="auto"/>
          <w:kern w:val="0"/>
          <w:sz w:val="24"/>
          <w:highlight w:val="none"/>
        </w:rPr>
        <w:t>功能参数表</w:t>
      </w:r>
    </w:p>
    <w:tbl>
      <w:tblPr>
        <w:tblStyle w:val="29"/>
        <w:tblW w:w="5326" w:type="pct"/>
        <w:jc w:val="center"/>
        <w:tblLayout w:type="fixed"/>
        <w:tblCellMar>
          <w:top w:w="0" w:type="dxa"/>
          <w:left w:w="108" w:type="dxa"/>
          <w:bottom w:w="0" w:type="dxa"/>
          <w:right w:w="108" w:type="dxa"/>
        </w:tblCellMar>
      </w:tblPr>
      <w:tblGrid>
        <w:gridCol w:w="1310"/>
        <w:gridCol w:w="802"/>
        <w:gridCol w:w="992"/>
        <w:gridCol w:w="5967"/>
      </w:tblGrid>
      <w:tr w14:paraId="0CF75037">
        <w:tblPrEx>
          <w:tblCellMar>
            <w:top w:w="0" w:type="dxa"/>
            <w:left w:w="108" w:type="dxa"/>
            <w:bottom w:w="0" w:type="dxa"/>
            <w:right w:w="108" w:type="dxa"/>
          </w:tblCellMar>
        </w:tblPrEx>
        <w:trPr>
          <w:trHeight w:val="468" w:hRule="atLeast"/>
          <w:jc w:val="center"/>
        </w:trPr>
        <w:tc>
          <w:tcPr>
            <w:tcW w:w="722" w:type="pct"/>
            <w:vMerge w:val="restart"/>
            <w:tcBorders>
              <w:top w:val="single" w:color="000000" w:sz="4" w:space="0"/>
              <w:left w:val="single" w:color="000000" w:sz="4" w:space="0"/>
              <w:bottom w:val="single" w:color="000000" w:sz="4" w:space="0"/>
              <w:right w:val="single" w:color="000000" w:sz="4" w:space="0"/>
            </w:tcBorders>
            <w:shd w:val="clear" w:color="auto" w:fill="BEBEBE"/>
            <w:vAlign w:val="center"/>
          </w:tcPr>
          <w:p w14:paraId="2F2CF5EB">
            <w:pPr>
              <w:shd w:val="clear"/>
              <w:spacing w:line="360" w:lineRule="auto"/>
              <w:ind w:left="21" w:leftChars="-57" w:hanging="141" w:hangingChars="59"/>
              <w:jc w:val="center"/>
              <w:textAlignment w:val="center"/>
              <w:rPr>
                <w:rFonts w:hint="eastAsia" w:ascii="宋体" w:hAnsi="宋体" w:cs="宋体"/>
                <w:b/>
                <w:bCs/>
                <w:color w:val="auto"/>
                <w:sz w:val="24"/>
                <w:highlight w:val="none"/>
              </w:rPr>
            </w:pPr>
            <w:r>
              <w:rPr>
                <w:rStyle w:val="50"/>
                <w:color w:val="auto"/>
                <w:highlight w:val="none"/>
                <w:lang w:bidi="ar"/>
              </w:rPr>
              <w:t>功能模块</w:t>
            </w:r>
          </w:p>
        </w:tc>
        <w:tc>
          <w:tcPr>
            <w:tcW w:w="442" w:type="pct"/>
            <w:vMerge w:val="restart"/>
            <w:tcBorders>
              <w:top w:val="single" w:color="000000" w:sz="4" w:space="0"/>
              <w:left w:val="single" w:color="000000" w:sz="4" w:space="0"/>
              <w:bottom w:val="single" w:color="000000" w:sz="4" w:space="0"/>
              <w:right w:val="single" w:color="000000" w:sz="4" w:space="0"/>
            </w:tcBorders>
            <w:shd w:val="clear" w:color="auto" w:fill="BEBEBE"/>
            <w:vAlign w:val="center"/>
          </w:tcPr>
          <w:p w14:paraId="0563E939">
            <w:pPr>
              <w:shd w:val="clear"/>
              <w:spacing w:line="360" w:lineRule="auto"/>
              <w:jc w:val="center"/>
              <w:textAlignment w:val="center"/>
              <w:rPr>
                <w:rFonts w:hint="eastAsia" w:ascii="宋体" w:hAnsi="宋体" w:cs="宋体"/>
                <w:b/>
                <w:bCs/>
                <w:color w:val="auto"/>
                <w:sz w:val="24"/>
                <w:highlight w:val="none"/>
              </w:rPr>
            </w:pPr>
            <w:r>
              <w:rPr>
                <w:rFonts w:hint="eastAsia" w:ascii="宋体" w:hAnsi="宋体" w:cs="宋体"/>
                <w:b/>
                <w:color w:val="auto"/>
                <w:sz w:val="24"/>
                <w:highlight w:val="none"/>
              </w:rPr>
              <w:t>摘要</w:t>
            </w:r>
          </w:p>
        </w:tc>
        <w:tc>
          <w:tcPr>
            <w:tcW w:w="3835" w:type="pct"/>
            <w:gridSpan w:val="2"/>
            <w:vMerge w:val="restart"/>
            <w:tcBorders>
              <w:top w:val="single" w:color="000000" w:sz="4" w:space="0"/>
              <w:left w:val="single" w:color="000000" w:sz="4" w:space="0"/>
              <w:bottom w:val="single" w:color="000000" w:sz="4" w:space="0"/>
              <w:right w:val="single" w:color="000000" w:sz="4" w:space="0"/>
            </w:tcBorders>
            <w:shd w:val="clear" w:color="auto" w:fill="BEBEBE"/>
            <w:vAlign w:val="center"/>
          </w:tcPr>
          <w:p w14:paraId="3D909931">
            <w:pPr>
              <w:shd w:val="clear"/>
              <w:tabs>
                <w:tab w:val="left" w:pos="7550"/>
                <w:tab w:val="left" w:pos="8041"/>
              </w:tabs>
              <w:spacing w:line="360" w:lineRule="auto"/>
              <w:jc w:val="center"/>
              <w:textAlignment w:val="center"/>
              <w:rPr>
                <w:rFonts w:hint="eastAsia" w:ascii="宋体" w:hAnsi="宋体" w:cs="宋体"/>
                <w:b/>
                <w:bCs/>
                <w:color w:val="auto"/>
                <w:sz w:val="24"/>
                <w:highlight w:val="none"/>
              </w:rPr>
            </w:pPr>
            <w:r>
              <w:rPr>
                <w:rFonts w:hint="eastAsia" w:ascii="宋体" w:hAnsi="宋体" w:cs="宋体"/>
                <w:b/>
                <w:color w:val="auto"/>
                <w:sz w:val="24"/>
                <w:highlight w:val="none"/>
              </w:rPr>
              <w:t>内容</w:t>
            </w:r>
          </w:p>
        </w:tc>
      </w:tr>
      <w:tr w14:paraId="2A06704A">
        <w:tblPrEx>
          <w:tblCellMar>
            <w:top w:w="0" w:type="dxa"/>
            <w:left w:w="108" w:type="dxa"/>
            <w:bottom w:w="0" w:type="dxa"/>
            <w:right w:w="108" w:type="dxa"/>
          </w:tblCellMar>
        </w:tblPrEx>
        <w:trPr>
          <w:trHeight w:val="468"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BEBEBE"/>
            <w:vAlign w:val="center"/>
          </w:tcPr>
          <w:p w14:paraId="5A7BB521">
            <w:pPr>
              <w:shd w:val="clear"/>
              <w:spacing w:line="360" w:lineRule="auto"/>
              <w:jc w:val="center"/>
              <w:rPr>
                <w:rFonts w:hint="eastAsia" w:ascii="宋体" w:hAnsi="宋体" w:cs="宋体"/>
                <w:b/>
                <w:bCs/>
                <w:color w:val="auto"/>
                <w:sz w:val="24"/>
                <w:highlight w:val="none"/>
              </w:rPr>
            </w:pPr>
          </w:p>
        </w:tc>
        <w:tc>
          <w:tcPr>
            <w:tcW w:w="442" w:type="pct"/>
            <w:vMerge w:val="continue"/>
            <w:tcBorders>
              <w:top w:val="single" w:color="000000" w:sz="4" w:space="0"/>
              <w:left w:val="single" w:color="000000" w:sz="4" w:space="0"/>
              <w:bottom w:val="single" w:color="000000" w:sz="4" w:space="0"/>
              <w:right w:val="single" w:color="000000" w:sz="4" w:space="0"/>
            </w:tcBorders>
            <w:shd w:val="clear" w:color="auto" w:fill="BEBEBE"/>
            <w:vAlign w:val="center"/>
          </w:tcPr>
          <w:p w14:paraId="7BA4AF0E">
            <w:pPr>
              <w:shd w:val="clear"/>
              <w:spacing w:line="360" w:lineRule="auto"/>
              <w:jc w:val="center"/>
              <w:rPr>
                <w:rFonts w:hint="eastAsia" w:ascii="宋体" w:hAnsi="宋体" w:cs="宋体"/>
                <w:b/>
                <w:bCs/>
                <w:color w:val="auto"/>
                <w:sz w:val="24"/>
                <w:highlight w:val="none"/>
              </w:rPr>
            </w:pPr>
          </w:p>
        </w:tc>
        <w:tc>
          <w:tcPr>
            <w:tcW w:w="3835" w:type="pct"/>
            <w:gridSpan w:val="2"/>
            <w:vMerge w:val="continue"/>
            <w:tcBorders>
              <w:top w:val="single" w:color="000000" w:sz="4" w:space="0"/>
              <w:left w:val="single" w:color="000000" w:sz="4" w:space="0"/>
              <w:bottom w:val="single" w:color="000000" w:sz="4" w:space="0"/>
              <w:right w:val="single" w:color="000000" w:sz="4" w:space="0"/>
            </w:tcBorders>
            <w:shd w:val="clear" w:color="auto" w:fill="BEBEBE"/>
            <w:vAlign w:val="center"/>
          </w:tcPr>
          <w:p w14:paraId="3EF9CC14">
            <w:pPr>
              <w:shd w:val="clear"/>
              <w:spacing w:line="360" w:lineRule="auto"/>
              <w:jc w:val="center"/>
              <w:rPr>
                <w:rFonts w:hint="eastAsia" w:ascii="宋体" w:hAnsi="宋体" w:cs="宋体"/>
                <w:b/>
                <w:bCs/>
                <w:color w:val="auto"/>
                <w:sz w:val="24"/>
                <w:highlight w:val="none"/>
              </w:rPr>
            </w:pPr>
          </w:p>
        </w:tc>
      </w:tr>
      <w:tr w14:paraId="33C58342">
        <w:tblPrEx>
          <w:tblCellMar>
            <w:top w:w="0" w:type="dxa"/>
            <w:left w:w="108" w:type="dxa"/>
            <w:bottom w:w="0" w:type="dxa"/>
            <w:right w:w="108" w:type="dxa"/>
          </w:tblCellMar>
        </w:tblPrEx>
        <w:trPr>
          <w:trHeight w:val="534" w:hRule="atLeast"/>
          <w:jc w:val="center"/>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607E827">
            <w:pPr>
              <w:shd w:val="clear"/>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1、人力资源管理系统平台升级</w:t>
            </w:r>
          </w:p>
        </w:tc>
      </w:tr>
      <w:tr w14:paraId="2AB56358">
        <w:tblPrEx>
          <w:tblCellMar>
            <w:top w:w="0" w:type="dxa"/>
            <w:left w:w="108" w:type="dxa"/>
            <w:bottom w:w="0" w:type="dxa"/>
            <w:right w:w="108" w:type="dxa"/>
          </w:tblCellMar>
        </w:tblPrEx>
        <w:trPr>
          <w:trHeight w:val="432" w:hRule="atLeast"/>
          <w:jc w:val="center"/>
        </w:trPr>
        <w:tc>
          <w:tcPr>
            <w:tcW w:w="722" w:type="pct"/>
            <w:tcBorders>
              <w:top w:val="single" w:color="000000" w:sz="4" w:space="0"/>
              <w:left w:val="single" w:color="000000" w:sz="4" w:space="0"/>
              <w:right w:val="single" w:color="000000" w:sz="4" w:space="0"/>
            </w:tcBorders>
            <w:shd w:val="clear" w:color="auto" w:fill="auto"/>
            <w:noWrap/>
            <w:vAlign w:val="center"/>
          </w:tcPr>
          <w:p w14:paraId="1ACF3969">
            <w:pPr>
              <w:shd w:val="clear"/>
              <w:spacing w:line="360" w:lineRule="auto"/>
              <w:jc w:val="left"/>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数据升级</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58A2362">
            <w:pPr>
              <w:widowControl/>
              <w:shd w:val="clear" w:color="auto"/>
              <w:spacing w:line="360" w:lineRule="auto"/>
              <w:jc w:val="left"/>
              <w:rPr>
                <w:rFonts w:hint="eastAsia" w:ascii="宋体" w:hAnsi="宋体" w:cs="宋体"/>
                <w:color w:val="auto"/>
                <w:sz w:val="24"/>
                <w:highlight w:val="none"/>
              </w:rPr>
            </w:pPr>
            <w:r>
              <w:rPr>
                <w:rFonts w:hint="eastAsia" w:ascii="宋体" w:hAnsi="宋体" w:cs="宋体"/>
                <w:color w:val="auto"/>
                <w:kern w:val="0"/>
                <w:sz w:val="24"/>
                <w:highlight w:val="none"/>
              </w:rPr>
              <w:t>将我院近10年的历史数据进行清洗升级，在不改变原有基础数据内容的基础上，按医院最新的人力资源管理需求、业务应用和数据标准，将员工信息集的历史数据进行清洗升级至最新版本系统中。</w:t>
            </w:r>
          </w:p>
        </w:tc>
      </w:tr>
      <w:tr w14:paraId="5C2897E3">
        <w:tblPrEx>
          <w:tblCellMar>
            <w:top w:w="0" w:type="dxa"/>
            <w:left w:w="108" w:type="dxa"/>
            <w:bottom w:w="0" w:type="dxa"/>
            <w:right w:w="108" w:type="dxa"/>
          </w:tblCellMar>
        </w:tblPrEx>
        <w:trPr>
          <w:trHeight w:val="677" w:hRule="atLeast"/>
          <w:jc w:val="center"/>
        </w:trPr>
        <w:tc>
          <w:tcPr>
            <w:tcW w:w="722" w:type="pct"/>
            <w:tcBorders>
              <w:top w:val="single" w:color="000000" w:sz="4" w:space="0"/>
              <w:left w:val="single" w:color="000000" w:sz="4" w:space="0"/>
              <w:right w:val="single" w:color="000000" w:sz="4" w:space="0"/>
            </w:tcBorders>
            <w:shd w:val="clear" w:color="auto" w:fill="auto"/>
            <w:noWrap/>
            <w:vAlign w:val="center"/>
          </w:tcPr>
          <w:p w14:paraId="56D5F7C8">
            <w:pPr>
              <w:widowControl/>
              <w:shd w:val="clear" w:color="auto"/>
              <w:spacing w:line="360" w:lineRule="auto"/>
              <w:jc w:val="left"/>
              <w:outlineLvl w:val="2"/>
              <w:rPr>
                <w:rFonts w:hint="eastAsia" w:ascii="宋体" w:hAnsi="宋体" w:cs="宋体"/>
                <w:color w:val="auto"/>
                <w:sz w:val="24"/>
                <w:highlight w:val="none"/>
              </w:rPr>
            </w:pPr>
            <w:r>
              <w:rPr>
                <w:rFonts w:hint="eastAsia" w:ascii="宋体" w:hAnsi="宋体" w:cs="宋体"/>
                <w:b/>
                <w:bCs/>
                <w:color w:val="auto"/>
                <w:kern w:val="0"/>
                <w:sz w:val="24"/>
                <w:highlight w:val="none"/>
              </w:rPr>
              <w:t>应用迁移</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5DCBBDD">
            <w:pPr>
              <w:shd w:val="clear"/>
              <w:spacing w:line="360" w:lineRule="auto"/>
              <w:textAlignment w:val="center"/>
              <w:rPr>
                <w:rFonts w:hint="eastAsia" w:ascii="宋体" w:hAnsi="宋体" w:cs="宋体"/>
                <w:color w:val="auto"/>
                <w:sz w:val="24"/>
                <w:highlight w:val="none"/>
              </w:rPr>
            </w:pPr>
            <w:r>
              <w:rPr>
                <w:rFonts w:hint="eastAsia" w:ascii="宋体" w:hAnsi="宋体" w:cs="宋体"/>
                <w:color w:val="auto"/>
                <w:kern w:val="0"/>
                <w:sz w:val="24"/>
                <w:highlight w:val="none"/>
              </w:rPr>
              <w:t>能够将原系统的机构、人员、异动、考勤、工资、报表等业务数据进行迁移，包括各业务模块使用的业务规则、业务流程、业务数据及计算公式、各类用户权限、统计报表等。</w:t>
            </w:r>
          </w:p>
        </w:tc>
      </w:tr>
      <w:tr w14:paraId="627BAB3E">
        <w:tblPrEx>
          <w:tblCellMar>
            <w:top w:w="0" w:type="dxa"/>
            <w:left w:w="108" w:type="dxa"/>
            <w:bottom w:w="0" w:type="dxa"/>
            <w:right w:w="108" w:type="dxa"/>
          </w:tblCellMar>
        </w:tblPrEx>
        <w:trPr>
          <w:trHeight w:val="288" w:hRule="atLeast"/>
          <w:jc w:val="center"/>
        </w:trPr>
        <w:tc>
          <w:tcPr>
            <w:tcW w:w="722" w:type="pct"/>
            <w:tcBorders>
              <w:top w:val="single" w:color="000000" w:sz="4" w:space="0"/>
              <w:left w:val="single" w:color="000000" w:sz="4" w:space="0"/>
              <w:right w:val="single" w:color="000000" w:sz="4" w:space="0"/>
            </w:tcBorders>
            <w:shd w:val="clear" w:color="auto" w:fill="auto"/>
            <w:noWrap/>
            <w:vAlign w:val="center"/>
          </w:tcPr>
          <w:p w14:paraId="2C4682D6">
            <w:pPr>
              <w:shd w:val="clear"/>
              <w:spacing w:line="360" w:lineRule="auto"/>
              <w:jc w:val="left"/>
              <w:rPr>
                <w:rFonts w:hint="eastAsia" w:ascii="宋体" w:hAnsi="宋体" w:cs="宋体"/>
                <w:color w:val="auto"/>
                <w:sz w:val="24"/>
                <w:highlight w:val="none"/>
              </w:rPr>
            </w:pPr>
            <w:r>
              <w:rPr>
                <w:rFonts w:hint="eastAsia" w:ascii="宋体" w:hAnsi="宋体" w:cs="宋体"/>
                <w:b/>
                <w:bCs/>
                <w:color w:val="auto"/>
                <w:kern w:val="0"/>
                <w:sz w:val="24"/>
                <w:highlight w:val="none"/>
              </w:rPr>
              <w:t>接口、个性化开发迁移</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C22EF0D">
            <w:pPr>
              <w:shd w:val="clear"/>
              <w:spacing w:line="360" w:lineRule="auto"/>
              <w:textAlignment w:val="center"/>
              <w:rPr>
                <w:rFonts w:hint="eastAsia" w:ascii="宋体" w:hAnsi="宋体" w:cs="宋体"/>
                <w:color w:val="auto"/>
                <w:sz w:val="24"/>
                <w:highlight w:val="none"/>
              </w:rPr>
            </w:pPr>
            <w:r>
              <w:rPr>
                <w:rFonts w:hint="eastAsia" w:ascii="宋体" w:hAnsi="宋体" w:cs="宋体"/>
                <w:color w:val="auto"/>
                <w:kern w:val="0"/>
                <w:sz w:val="24"/>
                <w:highlight w:val="none"/>
              </w:rPr>
              <w:t>支持原系统涉及到的相关接口迁移、个性化开发适配，原人力资源管理系统与医院内部其他业务系统集成的接口迁移至新系统，保证数据集成的稳定性和可靠性；</w:t>
            </w:r>
          </w:p>
        </w:tc>
      </w:tr>
      <w:tr w14:paraId="7556D7C6">
        <w:tblPrEx>
          <w:tblCellMar>
            <w:top w:w="0" w:type="dxa"/>
            <w:left w:w="108" w:type="dxa"/>
            <w:bottom w:w="0" w:type="dxa"/>
            <w:right w:w="108" w:type="dxa"/>
          </w:tblCellMar>
        </w:tblPrEx>
        <w:trPr>
          <w:trHeight w:val="288" w:hRule="atLeast"/>
          <w:jc w:val="center"/>
        </w:trPr>
        <w:tc>
          <w:tcPr>
            <w:tcW w:w="722" w:type="pct"/>
            <w:tcBorders>
              <w:top w:val="single" w:color="000000" w:sz="4" w:space="0"/>
              <w:left w:val="single" w:color="000000" w:sz="4" w:space="0"/>
              <w:right w:val="single" w:color="000000" w:sz="4" w:space="0"/>
            </w:tcBorders>
            <w:shd w:val="clear" w:color="auto" w:fill="auto"/>
            <w:noWrap/>
            <w:vAlign w:val="center"/>
          </w:tcPr>
          <w:p w14:paraId="59FA43DB">
            <w:pPr>
              <w:shd w:val="clear"/>
              <w:spacing w:line="360" w:lineRule="auto"/>
              <w:jc w:val="left"/>
              <w:rPr>
                <w:rFonts w:hint="eastAsia" w:ascii="宋体" w:hAnsi="宋体" w:cs="宋体"/>
                <w:color w:val="auto"/>
                <w:sz w:val="24"/>
                <w:highlight w:val="none"/>
              </w:rPr>
            </w:pPr>
            <w:r>
              <w:rPr>
                <w:rFonts w:hint="eastAsia" w:ascii="宋体" w:hAnsi="宋体" w:cs="宋体"/>
                <w:b/>
                <w:bCs/>
                <w:color w:val="auto"/>
                <w:kern w:val="0"/>
                <w:sz w:val="24"/>
                <w:highlight w:val="none"/>
              </w:rPr>
              <w:t>软件版本升级</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62ED347">
            <w:pPr>
              <w:shd w:val="clear"/>
              <w:spacing w:line="360" w:lineRule="auto"/>
              <w:textAlignment w:val="center"/>
              <w:rPr>
                <w:rFonts w:hint="eastAsia" w:ascii="宋体" w:hAnsi="宋体" w:cs="宋体"/>
                <w:color w:val="auto"/>
                <w:sz w:val="24"/>
                <w:highlight w:val="none"/>
              </w:rPr>
            </w:pPr>
            <w:r>
              <w:rPr>
                <w:rFonts w:hint="eastAsia" w:ascii="宋体" w:hAnsi="宋体" w:cs="宋体"/>
                <w:color w:val="auto"/>
                <w:kern w:val="0"/>
                <w:sz w:val="24"/>
                <w:highlight w:val="none"/>
              </w:rPr>
              <w:t>系统应对整个系统功能模块进行重构，支持多浏览器和移动端适配，支持智能查询、标签技术、数据时间轴等功能，实现人事业务流程、干部考核、员工考核、试用期考核、组织绩效考核、薪资核算发放全流程管理、岗位履职能力评估、岗位聘任、培训管理、员工自助共享服务、合同管理、薪资管理等人事业务应用功能。</w:t>
            </w:r>
          </w:p>
        </w:tc>
      </w:tr>
      <w:tr w14:paraId="7F75BA45">
        <w:tblPrEx>
          <w:tblCellMar>
            <w:top w:w="0" w:type="dxa"/>
            <w:left w:w="108" w:type="dxa"/>
            <w:bottom w:w="0" w:type="dxa"/>
            <w:right w:w="108" w:type="dxa"/>
          </w:tblCellMar>
        </w:tblPrEx>
        <w:trPr>
          <w:trHeight w:val="288" w:hRule="atLeast"/>
          <w:jc w:val="center"/>
        </w:trPr>
        <w:tc>
          <w:tcPr>
            <w:tcW w:w="722" w:type="pct"/>
            <w:tcBorders>
              <w:top w:val="single" w:color="000000" w:sz="4" w:space="0"/>
              <w:left w:val="single" w:color="000000" w:sz="4" w:space="0"/>
              <w:right w:val="single" w:color="000000" w:sz="4" w:space="0"/>
            </w:tcBorders>
            <w:shd w:val="clear" w:color="auto" w:fill="auto"/>
            <w:noWrap/>
            <w:vAlign w:val="center"/>
          </w:tcPr>
          <w:p w14:paraId="1D4C340C">
            <w:pPr>
              <w:shd w:val="clear"/>
              <w:spacing w:line="360" w:lineRule="auto"/>
              <w:jc w:val="left"/>
              <w:rPr>
                <w:rFonts w:hint="eastAsia" w:ascii="宋体" w:hAnsi="宋体" w:cs="宋体"/>
                <w:color w:val="auto"/>
                <w:sz w:val="24"/>
                <w:highlight w:val="none"/>
              </w:rPr>
            </w:pPr>
            <w:r>
              <w:rPr>
                <w:rFonts w:hint="eastAsia" w:ascii="宋体" w:hAnsi="宋体" w:cs="宋体"/>
                <w:b/>
                <w:bCs/>
                <w:color w:val="auto"/>
                <w:kern w:val="0"/>
                <w:sz w:val="24"/>
                <w:highlight w:val="none"/>
              </w:rPr>
              <w:t>多院区集团化管理</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20B75E6">
            <w:pPr>
              <w:shd w:val="clear"/>
              <w:spacing w:line="360" w:lineRule="auto"/>
              <w:textAlignment w:val="center"/>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kern w:val="0"/>
                <w:sz w:val="24"/>
                <w:highlight w:val="none"/>
              </w:rPr>
              <w:t>我院现在一院多区的集团化运营管理，有别与一般医院多院区的垂直管理，而是多院区、多法人、管理体系有各自特点要求，本次系统升级建设，要求能够承接目前集团人事的实际组织架构情况，实现真正的集团化医院管理，并能在项目建设过程中充分借鉴国内排名靠前的综合性医院集团化管理体系，要求项目组能提供相关咨询和经验、方案。</w:t>
            </w:r>
          </w:p>
        </w:tc>
      </w:tr>
      <w:tr w14:paraId="7482D143">
        <w:tblPrEx>
          <w:tblCellMar>
            <w:top w:w="0" w:type="dxa"/>
            <w:left w:w="108" w:type="dxa"/>
            <w:bottom w:w="0" w:type="dxa"/>
            <w:right w:w="108" w:type="dxa"/>
          </w:tblCellMar>
        </w:tblPrEx>
        <w:trPr>
          <w:trHeight w:val="90" w:hRule="atLeast"/>
          <w:jc w:val="center"/>
        </w:trPr>
        <w:tc>
          <w:tcPr>
            <w:tcW w:w="722" w:type="pct"/>
            <w:tcBorders>
              <w:top w:val="single" w:color="000000" w:sz="4" w:space="0"/>
              <w:left w:val="single" w:color="000000" w:sz="4" w:space="0"/>
              <w:right w:val="single" w:color="000000" w:sz="4" w:space="0"/>
            </w:tcBorders>
            <w:shd w:val="clear" w:color="auto" w:fill="auto"/>
            <w:noWrap/>
            <w:vAlign w:val="center"/>
          </w:tcPr>
          <w:p w14:paraId="436B6147">
            <w:pPr>
              <w:shd w:val="clear"/>
              <w:spacing w:line="360" w:lineRule="auto"/>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系统要求</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D502A26">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系统要达到智慧管理四级水平，</w:t>
            </w:r>
            <w:r>
              <w:rPr>
                <w:rFonts w:hint="eastAsia" w:ascii="宋体" w:hAnsi="宋体" w:cs="宋体"/>
                <w:color w:val="auto"/>
                <w:sz w:val="24"/>
                <w:highlight w:val="none"/>
              </w:rPr>
              <w:t>符合三级等保和密评要求，涉及人员隐私信息的必须要加密保存，外网的隐私数据如密码、电话号码、住址等要加密保存。系统要求全面适配国产化环境。</w:t>
            </w:r>
            <w:r>
              <w:rPr>
                <w:rFonts w:hint="eastAsia" w:ascii="宋体" w:hAnsi="宋体" w:cs="宋体"/>
                <w:color w:val="auto"/>
                <w:kern w:val="0"/>
                <w:sz w:val="24"/>
                <w:highlight w:val="none"/>
                <w:lang w:val="en-US" w:eastAsia="zh-CN"/>
              </w:rPr>
              <w:t>系统需要支持并开通不限人数的人员管理；并支持1万人以上用户的系统稳定运行。</w:t>
            </w:r>
          </w:p>
        </w:tc>
      </w:tr>
      <w:tr w14:paraId="5F366873">
        <w:tblPrEx>
          <w:tblCellMar>
            <w:top w:w="0" w:type="dxa"/>
            <w:left w:w="108" w:type="dxa"/>
            <w:bottom w:w="0" w:type="dxa"/>
            <w:right w:w="108" w:type="dxa"/>
          </w:tblCellMar>
        </w:tblPrEx>
        <w:trPr>
          <w:trHeight w:val="90"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631D69CF">
            <w:pPr>
              <w:shd w:val="clear"/>
              <w:spacing w:line="360" w:lineRule="auto"/>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技术要求</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18F7ACB">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1. 系统采用B/S架构和微服务部署方式。</w:t>
            </w:r>
          </w:p>
        </w:tc>
      </w:tr>
      <w:tr w14:paraId="2E60BF1A">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right w:val="single" w:color="000000" w:sz="4" w:space="0"/>
            </w:tcBorders>
            <w:shd w:val="clear" w:color="auto" w:fill="auto"/>
            <w:noWrap/>
            <w:vAlign w:val="center"/>
          </w:tcPr>
          <w:p w14:paraId="2F321787">
            <w:pPr>
              <w:shd w:val="clear"/>
              <w:spacing w:line="360" w:lineRule="auto"/>
              <w:jc w:val="left"/>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DDBBB72">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2. 系统支持分布式集群部署，系统服务（除数据存储服务外）支持容器化无状态部署。</w:t>
            </w:r>
          </w:p>
        </w:tc>
      </w:tr>
      <w:tr w14:paraId="188BCD1E">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right w:val="single" w:color="000000" w:sz="4" w:space="0"/>
            </w:tcBorders>
            <w:shd w:val="clear" w:color="auto" w:fill="auto"/>
            <w:noWrap/>
            <w:vAlign w:val="center"/>
          </w:tcPr>
          <w:p w14:paraId="5530CE54">
            <w:pPr>
              <w:shd w:val="clear"/>
              <w:spacing w:line="360" w:lineRule="auto"/>
              <w:jc w:val="left"/>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D61D2FA">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3.系统导入，导出等长时间服务需要支持异步响应。</w:t>
            </w:r>
          </w:p>
        </w:tc>
      </w:tr>
      <w:tr w14:paraId="6C952D3B">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right w:val="single" w:color="000000" w:sz="4" w:space="0"/>
            </w:tcBorders>
            <w:shd w:val="clear" w:color="auto" w:fill="auto"/>
            <w:noWrap/>
            <w:vAlign w:val="center"/>
          </w:tcPr>
          <w:p w14:paraId="38934381">
            <w:pPr>
              <w:shd w:val="clear"/>
              <w:spacing w:line="360" w:lineRule="auto"/>
              <w:jc w:val="left"/>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D88CF58">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4.系统支持基于HTTPS接口的实时和异步的信息共享的能力。</w:t>
            </w:r>
          </w:p>
        </w:tc>
      </w:tr>
      <w:tr w14:paraId="3E18F82C">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right w:val="single" w:color="000000" w:sz="4" w:space="0"/>
            </w:tcBorders>
            <w:shd w:val="clear" w:color="auto" w:fill="auto"/>
            <w:noWrap/>
            <w:vAlign w:val="center"/>
          </w:tcPr>
          <w:p w14:paraId="61998424">
            <w:pPr>
              <w:shd w:val="clear"/>
              <w:spacing w:line="360" w:lineRule="auto"/>
              <w:jc w:val="left"/>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0DFD6E9">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5.系统提供能基于消息队列的实时消息共享能力。</w:t>
            </w:r>
          </w:p>
        </w:tc>
      </w:tr>
      <w:tr w14:paraId="07C78F6B">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right w:val="single" w:color="000000" w:sz="4" w:space="0"/>
            </w:tcBorders>
            <w:shd w:val="clear" w:color="auto" w:fill="auto"/>
            <w:noWrap/>
            <w:vAlign w:val="center"/>
          </w:tcPr>
          <w:p w14:paraId="0D95044A">
            <w:pPr>
              <w:shd w:val="clear"/>
              <w:spacing w:line="360" w:lineRule="auto"/>
              <w:jc w:val="left"/>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93AF941">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6.系统提供统一的字典库，且整个系统中统一的名词，应使用统一的字典，不能以字符串的方式管理字典数据。</w:t>
            </w:r>
          </w:p>
        </w:tc>
      </w:tr>
      <w:tr w14:paraId="2C16F764">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right w:val="single" w:color="000000" w:sz="4" w:space="0"/>
            </w:tcBorders>
            <w:shd w:val="clear" w:color="auto" w:fill="auto"/>
            <w:noWrap/>
            <w:vAlign w:val="center"/>
          </w:tcPr>
          <w:p w14:paraId="77A8D491">
            <w:pPr>
              <w:shd w:val="clear"/>
              <w:spacing w:line="360" w:lineRule="auto"/>
              <w:jc w:val="left"/>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FDC4119">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7.系统提供统一的数据模型管理,提供统一的数据规范和标准，提供系统模型及模型字段进行统一管理，提供针对模型的查询，更新，导入导出能力。</w:t>
            </w:r>
          </w:p>
        </w:tc>
      </w:tr>
      <w:tr w14:paraId="016CCC72">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right w:val="single" w:color="000000" w:sz="4" w:space="0"/>
            </w:tcBorders>
            <w:shd w:val="clear" w:color="auto" w:fill="auto"/>
            <w:noWrap/>
            <w:vAlign w:val="center"/>
          </w:tcPr>
          <w:p w14:paraId="7C215289">
            <w:pPr>
              <w:shd w:val="clear"/>
              <w:spacing w:line="360" w:lineRule="auto"/>
              <w:jc w:val="left"/>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F2E866C">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8. 提供基于业务场景的数据视图配置能力，可以针对具体的场景，组合数据模型，提供针对场景的数据视图管理，能清晰的展示当前业务下所涉及的模型，字段和关联的字典。并提供针对场景的数据查询，更新能力和导出能力。</w:t>
            </w:r>
          </w:p>
        </w:tc>
      </w:tr>
      <w:tr w14:paraId="797FBD6C">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right w:val="single" w:color="000000" w:sz="4" w:space="0"/>
            </w:tcBorders>
            <w:shd w:val="clear" w:color="auto" w:fill="auto"/>
            <w:noWrap/>
            <w:vAlign w:val="center"/>
          </w:tcPr>
          <w:p w14:paraId="3A612505">
            <w:pPr>
              <w:shd w:val="clear"/>
              <w:spacing w:line="360" w:lineRule="auto"/>
              <w:jc w:val="left"/>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57BFDBD">
            <w:pPr>
              <w:shd w:val="clear"/>
              <w:spacing w:line="360" w:lineRule="auto"/>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9. 系统提供WORD,EXCEL的在线编辑能力。</w:t>
            </w:r>
          </w:p>
        </w:tc>
      </w:tr>
      <w:tr w14:paraId="77F1C2D5">
        <w:tblPrEx>
          <w:tblCellMar>
            <w:top w:w="0" w:type="dxa"/>
            <w:left w:w="108" w:type="dxa"/>
            <w:bottom w:w="0" w:type="dxa"/>
            <w:right w:w="108" w:type="dxa"/>
          </w:tblCellMar>
        </w:tblPrEx>
        <w:trPr>
          <w:trHeight w:val="587" w:hRule="atLeast"/>
          <w:jc w:val="center"/>
        </w:trPr>
        <w:tc>
          <w:tcPr>
            <w:tcW w:w="5000" w:type="pct"/>
            <w:gridSpan w:val="4"/>
            <w:tcBorders>
              <w:top w:val="single" w:color="000000" w:sz="4" w:space="0"/>
              <w:left w:val="single" w:color="000000" w:sz="4" w:space="0"/>
              <w:right w:val="single" w:color="000000" w:sz="4" w:space="0"/>
            </w:tcBorders>
            <w:shd w:val="clear" w:color="auto" w:fill="auto"/>
            <w:noWrap/>
            <w:vAlign w:val="center"/>
          </w:tcPr>
          <w:p w14:paraId="3D762990">
            <w:pPr>
              <w:shd w:val="clear"/>
              <w:spacing w:line="360" w:lineRule="auto"/>
              <w:textAlignment w:val="center"/>
              <w:rPr>
                <w:rFonts w:hint="eastAsia" w:ascii="宋体" w:hAnsi="宋体" w:cs="宋体"/>
                <w:color w:val="auto"/>
                <w:kern w:val="0"/>
                <w:sz w:val="24"/>
                <w:highlight w:val="none"/>
              </w:rPr>
            </w:pPr>
            <w:r>
              <w:rPr>
                <w:rFonts w:hint="eastAsia" w:ascii="宋体" w:hAnsi="宋体" w:cs="宋体"/>
                <w:b/>
                <w:bCs/>
                <w:color w:val="auto"/>
                <w:sz w:val="24"/>
                <w:highlight w:val="none"/>
              </w:rPr>
              <w:t>2、软件功能需求</w:t>
            </w:r>
          </w:p>
        </w:tc>
      </w:tr>
      <w:tr w14:paraId="38E30588">
        <w:tblPrEx>
          <w:tblCellMar>
            <w:top w:w="0" w:type="dxa"/>
            <w:left w:w="108" w:type="dxa"/>
            <w:bottom w:w="0" w:type="dxa"/>
            <w:right w:w="108" w:type="dxa"/>
          </w:tblCellMar>
        </w:tblPrEx>
        <w:trPr>
          <w:trHeight w:val="23"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4CE09B36">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组织机构</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DE949F0">
            <w:pPr>
              <w:numPr>
                <w:ilvl w:val="0"/>
                <w:numId w:val="3"/>
              </w:numPr>
              <w:shd w:val="clear"/>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系统需要实现多维度组织机构的管理，行政架构、聘任架构、工会架构、党建架构等，另外职务体系、职位体系、职称体系也应该纳入系统管理，设置对应关系，同一个人员可以在行政、党建、工会同时存在。</w:t>
            </w:r>
          </w:p>
        </w:tc>
      </w:tr>
      <w:tr w14:paraId="043EBF5A">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40E65833">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20B0D31">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建立集团化医院组织架构体系，灵活定义如部门介绍、职责、编制、部门考核指标等各种机构信息指标项，搭建符合医院机构集团化管理要求的组织管理平台。</w:t>
            </w:r>
          </w:p>
        </w:tc>
      </w:tr>
      <w:tr w14:paraId="7A5672B7">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73559589">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4ABF6A0">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能够快捷完成机构的新建、撤消、合并、划转、删除等业务操作，灵活应对机构改革的需要，满足医院在不同时期的管理要求。</w:t>
            </w:r>
          </w:p>
        </w:tc>
      </w:tr>
      <w:tr w14:paraId="307C5001">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67187ABE">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0105128">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能够根据组织关系生成机构图，并支持层层展开与信息的穿透功能，清晰直观体现机构的层级与机构信息。</w:t>
            </w:r>
          </w:p>
        </w:tc>
      </w:tr>
      <w:tr w14:paraId="1CF6A78C">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52816D1D">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7444122">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指定机构的历史时点，系统根据机构的有效期进行历史追溯。</w:t>
            </w:r>
          </w:p>
        </w:tc>
      </w:tr>
      <w:tr w14:paraId="44733B1F">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6DC9F9C4">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3323D6B">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可自动生成各类机构花名册、台帐和登记表，辅助人力资源规划工作。</w:t>
            </w:r>
          </w:p>
        </w:tc>
      </w:tr>
      <w:tr w14:paraId="001FED76">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279FA364">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5A4DE37">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支持对岗位类别、岗位分类、岗位等级等岗位体系的新增、修改、撤销、删除等操作。</w:t>
            </w:r>
          </w:p>
        </w:tc>
      </w:tr>
      <w:tr w14:paraId="7977452A">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2CDFCAB1">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95EB3FB">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支持对岗位信息维护与管理，灵活调整和管理岗位级别、岗位职责、任职资格、岗位编制、岗位评估等信息，并可自动生成岗位说明书。</w:t>
            </w:r>
          </w:p>
        </w:tc>
      </w:tr>
      <w:tr w14:paraId="32CCD7C0">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4D38853E">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99A369F">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支持指定岗位的历史时点，对岗位进行历史追溯。</w:t>
            </w:r>
          </w:p>
        </w:tc>
      </w:tr>
      <w:tr w14:paraId="4EF714F3">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70811ABF">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0D8BEA3">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提供编制信息维护，能够根据人员情况自动生成单位、部门的实有人数，直接反映医院发展动态。</w:t>
            </w:r>
          </w:p>
        </w:tc>
      </w:tr>
      <w:tr w14:paraId="52797F11">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59060D0E">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A3F5B48">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能够根据医院岗位控制要求对岗位设置结构按比例或数量进行灵活控制，控制条件可自定义。</w:t>
            </w:r>
          </w:p>
        </w:tc>
      </w:tr>
      <w:tr w14:paraId="1C38A9E3">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06160013">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97CDEFF">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根据床位数、床医比等基数，自动计算出科室岗位编制人数、正高、副高、初中级职称编制人数。</w:t>
            </w:r>
          </w:p>
        </w:tc>
      </w:tr>
      <w:tr w14:paraId="0B86C864">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right w:val="single" w:color="000000" w:sz="4" w:space="0"/>
            </w:tcBorders>
            <w:shd w:val="clear" w:color="auto" w:fill="auto"/>
            <w:noWrap/>
            <w:vAlign w:val="center"/>
          </w:tcPr>
          <w:p w14:paraId="6B159FC1">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92869EE">
            <w:pPr>
              <w:numPr>
                <w:ilvl w:val="0"/>
                <w:numId w:val="3"/>
              </w:numPr>
              <w:shd w:val="clear"/>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系统权限可以根据组织架构多维度多层次，或者表单字段自定义配置权限范围，进行数据授权。列如：工会可以管理所有人工会人员中的工会属性的人员信息；科室主任可以管理科室下的所有人员的指定信息；下属机构可以管理自己的外包人员等。</w:t>
            </w:r>
          </w:p>
        </w:tc>
      </w:tr>
      <w:tr w14:paraId="3AB2BEAF">
        <w:tblPrEx>
          <w:tblCellMar>
            <w:top w:w="0" w:type="dxa"/>
            <w:left w:w="108" w:type="dxa"/>
            <w:bottom w:w="0" w:type="dxa"/>
            <w:right w:w="108" w:type="dxa"/>
          </w:tblCellMar>
        </w:tblPrEx>
        <w:trPr>
          <w:trHeight w:val="23"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5FC162AB">
            <w:pPr>
              <w:widowControl/>
              <w:shd w:val="clear" w:color="auto"/>
              <w:tabs>
                <w:tab w:val="left" w:pos="420"/>
              </w:tabs>
              <w:spacing w:line="360" w:lineRule="auto"/>
              <w:jc w:val="left"/>
              <w:rPr>
                <w:rFonts w:hint="eastAsia" w:ascii="宋体" w:hAnsi="宋体" w:cs="宋体"/>
                <w:color w:val="auto"/>
                <w:kern w:val="0"/>
                <w:sz w:val="24"/>
                <w:highlight w:val="none"/>
                <w:lang w:bidi="ar"/>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B90D5E5">
            <w:pPr>
              <w:numPr>
                <w:ilvl w:val="0"/>
                <w:numId w:val="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可自动生成各类机构花名册、台帐和登记表，辅助岗位分析与人力资源规划。例如能完成岗位编制与现有人数的比较，形成岗位聘用结果情况表，为岗位分析与人力资源规划配置提供辅助依据。</w:t>
            </w:r>
          </w:p>
        </w:tc>
      </w:tr>
      <w:tr w14:paraId="283E6BB7">
        <w:tblPrEx>
          <w:tblCellMar>
            <w:top w:w="0" w:type="dxa"/>
            <w:left w:w="108" w:type="dxa"/>
            <w:bottom w:w="0" w:type="dxa"/>
            <w:right w:w="108" w:type="dxa"/>
          </w:tblCellMar>
        </w:tblPrEx>
        <w:trPr>
          <w:trHeight w:val="76"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38B65177">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员工管理</w:t>
            </w: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295B4BF5">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数据体系管理</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1BFD0C">
            <w:pPr>
              <w:numPr>
                <w:ilvl w:val="0"/>
                <w:numId w:val="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管理是单位人力资源管理的基础，它与员工的合同管理、人事异动、工资福利管理等均存在关联,在人事业务办理中要能自动提取员工的相关信息，如在工资计算过程可以获取人员的职位、学历、工龄等信息，在人员调动过程中要能自动获取当前岗位等级等信息；</w:t>
            </w:r>
          </w:p>
        </w:tc>
      </w:tr>
      <w:tr w14:paraId="57597D0F">
        <w:tblPrEx>
          <w:tblCellMar>
            <w:top w:w="0" w:type="dxa"/>
            <w:left w:w="108" w:type="dxa"/>
            <w:bottom w:w="0" w:type="dxa"/>
            <w:right w:w="108" w:type="dxa"/>
          </w:tblCellMar>
        </w:tblPrEx>
        <w:trPr>
          <w:trHeight w:val="76" w:hRule="atLeast"/>
          <w:jc w:val="center"/>
        </w:trPr>
        <w:tc>
          <w:tcPr>
            <w:tcW w:w="722" w:type="pct"/>
            <w:vMerge w:val="continue"/>
            <w:tcBorders>
              <w:left w:val="single" w:color="000000" w:sz="4" w:space="0"/>
              <w:right w:val="single" w:color="000000" w:sz="4" w:space="0"/>
            </w:tcBorders>
            <w:shd w:val="clear" w:color="auto" w:fill="auto"/>
            <w:noWrap/>
            <w:vAlign w:val="center"/>
          </w:tcPr>
          <w:p w14:paraId="11C18D89">
            <w:pPr>
              <w:widowControl/>
              <w:shd w:val="clear" w:color="auto"/>
              <w:tabs>
                <w:tab w:val="left" w:pos="420"/>
              </w:tabs>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780FDACB">
            <w:pPr>
              <w:widowControl/>
              <w:shd w:val="clear" w:color="auto"/>
              <w:tabs>
                <w:tab w:val="left" w:pos="420"/>
              </w:tabs>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13E8C9">
            <w:pPr>
              <w:numPr>
                <w:ilvl w:val="0"/>
                <w:numId w:val="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能对员工进行分类管理，如：在职人员、离退休人员、返聘人员、劳务派遣人员等，并能够根据需要进行修改与调整；类别可以根据实际需要进行增减；</w:t>
            </w:r>
          </w:p>
        </w:tc>
      </w:tr>
      <w:tr w14:paraId="490C4266">
        <w:tblPrEx>
          <w:tblCellMar>
            <w:top w:w="0" w:type="dxa"/>
            <w:left w:w="108" w:type="dxa"/>
            <w:bottom w:w="0" w:type="dxa"/>
            <w:right w:w="108" w:type="dxa"/>
          </w:tblCellMar>
        </w:tblPrEx>
        <w:trPr>
          <w:trHeight w:val="76" w:hRule="atLeast"/>
          <w:jc w:val="center"/>
        </w:trPr>
        <w:tc>
          <w:tcPr>
            <w:tcW w:w="722" w:type="pct"/>
            <w:vMerge w:val="continue"/>
            <w:tcBorders>
              <w:left w:val="single" w:color="000000" w:sz="4" w:space="0"/>
              <w:right w:val="single" w:color="000000" w:sz="4" w:space="0"/>
            </w:tcBorders>
            <w:shd w:val="clear" w:color="auto" w:fill="auto"/>
            <w:noWrap/>
            <w:vAlign w:val="center"/>
          </w:tcPr>
          <w:p w14:paraId="75C4A166">
            <w:pPr>
              <w:widowControl/>
              <w:shd w:val="clear" w:color="auto"/>
              <w:tabs>
                <w:tab w:val="left" w:pos="420"/>
              </w:tabs>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7291CCA8">
            <w:pPr>
              <w:widowControl/>
              <w:shd w:val="clear" w:color="auto"/>
              <w:tabs>
                <w:tab w:val="left" w:pos="420"/>
              </w:tabs>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02B357">
            <w:pPr>
              <w:numPr>
                <w:ilvl w:val="0"/>
                <w:numId w:val="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够记录员工从入职到退休整个生命周期的电子信息，如基本信息、身份信息、编制信息、工作简历、学习简历、家庭情况、联系方式、社会兼职等，并建立学历子集、工作简历子集、政治面貌子集、职称子集、获奖情况子集、出国人员子集、兼职子集等行全面、准确的管理；</w:t>
            </w:r>
          </w:p>
        </w:tc>
      </w:tr>
      <w:tr w14:paraId="102EAAFE">
        <w:tblPrEx>
          <w:tblCellMar>
            <w:top w:w="0" w:type="dxa"/>
            <w:left w:w="108" w:type="dxa"/>
            <w:bottom w:w="0" w:type="dxa"/>
            <w:right w:w="108" w:type="dxa"/>
          </w:tblCellMar>
        </w:tblPrEx>
        <w:trPr>
          <w:trHeight w:val="76" w:hRule="atLeast"/>
          <w:jc w:val="center"/>
        </w:trPr>
        <w:tc>
          <w:tcPr>
            <w:tcW w:w="722" w:type="pct"/>
            <w:vMerge w:val="continue"/>
            <w:tcBorders>
              <w:left w:val="single" w:color="000000" w:sz="4" w:space="0"/>
              <w:right w:val="single" w:color="000000" w:sz="4" w:space="0"/>
            </w:tcBorders>
            <w:shd w:val="clear" w:color="auto" w:fill="auto"/>
            <w:noWrap/>
            <w:vAlign w:val="center"/>
          </w:tcPr>
          <w:p w14:paraId="1AAF9446">
            <w:pPr>
              <w:widowControl/>
              <w:shd w:val="clear" w:color="auto"/>
              <w:tabs>
                <w:tab w:val="left" w:pos="420"/>
              </w:tabs>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2E9132F3">
            <w:pPr>
              <w:widowControl/>
              <w:shd w:val="clear" w:color="auto"/>
              <w:tabs>
                <w:tab w:val="left" w:pos="420"/>
              </w:tabs>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9852DB">
            <w:pPr>
              <w:numPr>
                <w:ilvl w:val="0"/>
                <w:numId w:val="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能够根据单位的需要对员工信息项目进行灵活的增加、修改；</w:t>
            </w:r>
          </w:p>
        </w:tc>
      </w:tr>
      <w:tr w14:paraId="63DBA7E9">
        <w:tblPrEx>
          <w:tblCellMar>
            <w:top w:w="0" w:type="dxa"/>
            <w:left w:w="108" w:type="dxa"/>
            <w:bottom w:w="0" w:type="dxa"/>
            <w:right w:w="108" w:type="dxa"/>
          </w:tblCellMar>
        </w:tblPrEx>
        <w:trPr>
          <w:trHeight w:val="76" w:hRule="atLeast"/>
          <w:jc w:val="center"/>
        </w:trPr>
        <w:tc>
          <w:tcPr>
            <w:tcW w:w="722" w:type="pct"/>
            <w:vMerge w:val="continue"/>
            <w:tcBorders>
              <w:left w:val="single" w:color="000000" w:sz="4" w:space="0"/>
              <w:right w:val="single" w:color="000000" w:sz="4" w:space="0"/>
            </w:tcBorders>
            <w:shd w:val="clear" w:color="auto" w:fill="auto"/>
            <w:noWrap/>
            <w:vAlign w:val="center"/>
          </w:tcPr>
          <w:p w14:paraId="24CEB117">
            <w:pPr>
              <w:widowControl/>
              <w:shd w:val="clear" w:color="auto"/>
              <w:tabs>
                <w:tab w:val="left" w:pos="420"/>
              </w:tabs>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B1843E7">
            <w:pPr>
              <w:widowControl/>
              <w:shd w:val="clear" w:color="auto"/>
              <w:tabs>
                <w:tab w:val="left" w:pos="420"/>
              </w:tabs>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E46351">
            <w:pPr>
              <w:numPr>
                <w:ilvl w:val="0"/>
                <w:numId w:val="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要具有国标及国家部委下发的行业标准的相关指标代码，并能够由单位自行修改、增加，以便在系统应用过程中调用、查询统计等；</w:t>
            </w:r>
          </w:p>
        </w:tc>
      </w:tr>
      <w:tr w14:paraId="3582FEE3">
        <w:tblPrEx>
          <w:tblCellMar>
            <w:top w:w="0" w:type="dxa"/>
            <w:left w:w="108" w:type="dxa"/>
            <w:bottom w:w="0" w:type="dxa"/>
            <w:right w:w="108" w:type="dxa"/>
          </w:tblCellMar>
        </w:tblPrEx>
        <w:trPr>
          <w:trHeight w:val="76" w:hRule="atLeast"/>
          <w:jc w:val="center"/>
        </w:trPr>
        <w:tc>
          <w:tcPr>
            <w:tcW w:w="722" w:type="pct"/>
            <w:vMerge w:val="continue"/>
            <w:tcBorders>
              <w:left w:val="single" w:color="000000" w:sz="4" w:space="0"/>
              <w:right w:val="single" w:color="000000" w:sz="4" w:space="0"/>
            </w:tcBorders>
            <w:shd w:val="clear" w:color="auto" w:fill="auto"/>
            <w:noWrap/>
            <w:vAlign w:val="center"/>
          </w:tcPr>
          <w:p w14:paraId="034AF6D7">
            <w:pPr>
              <w:widowControl/>
              <w:shd w:val="clear" w:color="auto"/>
              <w:tabs>
                <w:tab w:val="left" w:pos="420"/>
              </w:tabs>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176D93DA">
            <w:pPr>
              <w:widowControl/>
              <w:shd w:val="clear" w:color="auto"/>
              <w:tabs>
                <w:tab w:val="left" w:pos="420"/>
              </w:tabs>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F9FBE2">
            <w:pPr>
              <w:numPr>
                <w:ilvl w:val="0"/>
                <w:numId w:val="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建立多媒体信息体系管理，通过导入直接查看和浏览，如学历信息点击查看学历证书并能下载打印；</w:t>
            </w:r>
          </w:p>
        </w:tc>
      </w:tr>
      <w:tr w14:paraId="5AD74ABF">
        <w:tblPrEx>
          <w:tblCellMar>
            <w:top w:w="0" w:type="dxa"/>
            <w:left w:w="108" w:type="dxa"/>
            <w:bottom w:w="0" w:type="dxa"/>
            <w:right w:w="108" w:type="dxa"/>
          </w:tblCellMar>
        </w:tblPrEx>
        <w:trPr>
          <w:trHeight w:val="76"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1132E81E">
            <w:pPr>
              <w:widowControl/>
              <w:shd w:val="clear" w:color="auto"/>
              <w:tabs>
                <w:tab w:val="left" w:pos="420"/>
              </w:tabs>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1B65373E">
            <w:pPr>
              <w:widowControl/>
              <w:shd w:val="clear" w:color="auto"/>
              <w:tabs>
                <w:tab w:val="left" w:pos="420"/>
              </w:tabs>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E0A151">
            <w:pPr>
              <w:numPr>
                <w:ilvl w:val="0"/>
                <w:numId w:val="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具有黑名单管理功能，如被解聘人员，再次应聘时能够发出提醒，规避用人风险</w:t>
            </w:r>
          </w:p>
        </w:tc>
      </w:tr>
      <w:tr w14:paraId="6D3969AF">
        <w:tblPrEx>
          <w:tblCellMar>
            <w:top w:w="0" w:type="dxa"/>
            <w:left w:w="108" w:type="dxa"/>
            <w:bottom w:w="0" w:type="dxa"/>
            <w:right w:w="108" w:type="dxa"/>
          </w:tblCellMar>
        </w:tblPrEx>
        <w:trPr>
          <w:trHeight w:val="307"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9A10C">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26CF1F47">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数据迁移</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3A1A2A">
            <w:pPr>
              <w:numPr>
                <w:ilvl w:val="0"/>
                <w:numId w:val="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原始员工档案数据和附件证照材料的梳理</w:t>
            </w:r>
          </w:p>
        </w:tc>
      </w:tr>
      <w:tr w14:paraId="4E68EBD7">
        <w:tblPrEx>
          <w:tblCellMar>
            <w:top w:w="0" w:type="dxa"/>
            <w:left w:w="108" w:type="dxa"/>
            <w:bottom w:w="0" w:type="dxa"/>
            <w:right w:w="108" w:type="dxa"/>
          </w:tblCellMar>
        </w:tblPrEx>
        <w:trPr>
          <w:trHeight w:val="307"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56D6C5CB">
            <w:pPr>
              <w:widowControl/>
              <w:shd w:val="clear" w:color="auto"/>
              <w:tabs>
                <w:tab w:val="left" w:pos="420"/>
              </w:tabs>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025AE92A">
            <w:pPr>
              <w:widowControl/>
              <w:shd w:val="clear" w:color="auto"/>
              <w:tabs>
                <w:tab w:val="left" w:pos="420"/>
              </w:tabs>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EBA75ED">
            <w:pPr>
              <w:numPr>
                <w:ilvl w:val="0"/>
                <w:numId w:val="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对照新系统的数据标准清洗、导入原始数据；</w:t>
            </w:r>
          </w:p>
        </w:tc>
      </w:tr>
      <w:tr w14:paraId="7BB64407">
        <w:tblPrEx>
          <w:tblCellMar>
            <w:top w:w="0" w:type="dxa"/>
            <w:left w:w="108" w:type="dxa"/>
            <w:bottom w:w="0" w:type="dxa"/>
            <w:right w:w="108" w:type="dxa"/>
          </w:tblCellMar>
        </w:tblPrEx>
        <w:trPr>
          <w:trHeight w:val="9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E0AD3">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56336B16">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信息维护、更新</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B2F656">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灵活定义人员信息指标项自定义配置，支持所有指标规则的自定义配置，记录员工从入职到离职全生命周期的信息，包括学历及学位、履历情况、任职情况、奖惩情况、教育培训、考核考察、专业技术职务、合同信息、薪资变动、薪资发放等，可以对历史数据进行查询、统计分析，实现对人员信息全面、准确的管理。基本信息项目及子集项目可以根据实际工作需要进行增减调整。</w:t>
            </w:r>
          </w:p>
        </w:tc>
      </w:tr>
      <w:tr w14:paraId="26ED1EF9">
        <w:tblPrEx>
          <w:tblCellMar>
            <w:top w:w="0" w:type="dxa"/>
            <w:left w:w="108" w:type="dxa"/>
            <w:bottom w:w="0" w:type="dxa"/>
            <w:right w:w="108" w:type="dxa"/>
          </w:tblCellMar>
        </w:tblPrEx>
        <w:trPr>
          <w:trHeight w:val="9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178C7">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080AE58E">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11160E">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支持借调、兼职、挂职等特殊人员的管理，两个机构可以分权维护同一个员工的不同信息支持</w:t>
            </w:r>
          </w:p>
        </w:tc>
      </w:tr>
      <w:tr w14:paraId="7D6F4A6D">
        <w:tblPrEx>
          <w:tblCellMar>
            <w:top w:w="0" w:type="dxa"/>
            <w:left w:w="108" w:type="dxa"/>
            <w:bottom w:w="0" w:type="dxa"/>
            <w:right w:w="108" w:type="dxa"/>
          </w:tblCellMar>
        </w:tblPrEx>
        <w:trPr>
          <w:trHeight w:val="90"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06836">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58FA0B36">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5A20DF">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支持多媒体信息以及其他文本格式文件的导入或关联，支持照片、录像、声音、考核材料、证书复印件等以附件上传到系统中，实现人员信息的立体化管理</w:t>
            </w:r>
          </w:p>
        </w:tc>
      </w:tr>
      <w:tr w14:paraId="759AA690">
        <w:tblPrEx>
          <w:tblCellMar>
            <w:top w:w="0" w:type="dxa"/>
            <w:left w:w="108" w:type="dxa"/>
            <w:bottom w:w="0" w:type="dxa"/>
            <w:right w:w="108" w:type="dxa"/>
          </w:tblCellMar>
        </w:tblPrEx>
        <w:trPr>
          <w:trHeight w:val="9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298C0">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2A19F950">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3FAD5D">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从不同维度进行职工分类管理，如：按照用工形式分为在编人员、合同人员、劳务派遣人员、返聘人员等；按照人员状态可分为在岗人员、离退休人员、进修培训人员，待岗人员、内退人员、待聘人员、调出人员、应聘人员等。</w:t>
            </w:r>
          </w:p>
        </w:tc>
      </w:tr>
      <w:tr w14:paraId="0D459AB7">
        <w:tblPrEx>
          <w:tblCellMar>
            <w:top w:w="0" w:type="dxa"/>
            <w:left w:w="108" w:type="dxa"/>
            <w:bottom w:w="0" w:type="dxa"/>
            <w:right w:w="108" w:type="dxa"/>
          </w:tblCellMar>
        </w:tblPrEx>
        <w:trPr>
          <w:trHeight w:val="9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5388D">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1B3724AB">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BE0FCE">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支持对“双肩挑”人员的管理应用，并能够根据需要不出现重复统计。对各院区兼职人员的数量统计可以根据需要设置，不出现重复统计情况</w:t>
            </w:r>
          </w:p>
        </w:tc>
      </w:tr>
      <w:tr w14:paraId="43D914CC">
        <w:tblPrEx>
          <w:tblCellMar>
            <w:top w:w="0" w:type="dxa"/>
            <w:left w:w="108" w:type="dxa"/>
            <w:bottom w:w="0" w:type="dxa"/>
            <w:right w:w="108" w:type="dxa"/>
          </w:tblCellMar>
        </w:tblPrEx>
        <w:trPr>
          <w:trHeight w:val="9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BAFAE">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5C2E70E9">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901978">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支持批量导入、批量删除、批量计算以及批量修改等功能，实现对职工信息的快速维护，提高工作效率。</w:t>
            </w:r>
          </w:p>
        </w:tc>
      </w:tr>
      <w:tr w14:paraId="46E4F382">
        <w:tblPrEx>
          <w:tblCellMar>
            <w:top w:w="0" w:type="dxa"/>
            <w:left w:w="108" w:type="dxa"/>
            <w:bottom w:w="0" w:type="dxa"/>
            <w:right w:w="108" w:type="dxa"/>
          </w:tblCellMar>
        </w:tblPrEx>
        <w:trPr>
          <w:trHeight w:val="9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99CA5">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4DC42938">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27A8E9">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具有智能计算功能，如通过身份证自动计算出生日期、年龄、性别信息等</w:t>
            </w:r>
          </w:p>
        </w:tc>
      </w:tr>
      <w:tr w14:paraId="5B308143">
        <w:tblPrEx>
          <w:tblCellMar>
            <w:top w:w="0" w:type="dxa"/>
            <w:left w:w="108" w:type="dxa"/>
            <w:bottom w:w="0" w:type="dxa"/>
            <w:right w:w="108" w:type="dxa"/>
          </w:tblCellMar>
        </w:tblPrEx>
        <w:trPr>
          <w:trHeight w:val="9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E6860">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1B2B1F6">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0D94F0">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支持与二代身份证读卡器对接，可以快速采集身份证中的信息，同时可查询定位到身份证对应的人员；支持对身份证号唯一性和合法性校验。</w:t>
            </w:r>
          </w:p>
        </w:tc>
      </w:tr>
      <w:tr w14:paraId="70CC12D3">
        <w:tblPrEx>
          <w:tblCellMar>
            <w:top w:w="0" w:type="dxa"/>
            <w:left w:w="108" w:type="dxa"/>
            <w:bottom w:w="0" w:type="dxa"/>
            <w:right w:w="108" w:type="dxa"/>
          </w:tblCellMar>
        </w:tblPrEx>
        <w:trPr>
          <w:trHeight w:val="9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21217">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00EE7499">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27A245">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支持多媒体信息以及其他文本格式文件的导入或关联，支持照片、录像、声音、考核材料、证书复印件等以附件上传到系统中，实现人员信息的立体化管理</w:t>
            </w:r>
          </w:p>
        </w:tc>
      </w:tr>
      <w:tr w14:paraId="42CE97CC">
        <w:tblPrEx>
          <w:tblCellMar>
            <w:top w:w="0" w:type="dxa"/>
            <w:left w:w="108" w:type="dxa"/>
            <w:bottom w:w="0" w:type="dxa"/>
            <w:right w:w="108" w:type="dxa"/>
          </w:tblCellMar>
        </w:tblPrEx>
        <w:trPr>
          <w:trHeight w:val="92"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6A3D13A4">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69561DB0">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874FA2">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支持职工自助在权限范围内对错误信息进行申请修改，审核后生效</w:t>
            </w:r>
          </w:p>
        </w:tc>
      </w:tr>
      <w:tr w14:paraId="7CE5F260">
        <w:tblPrEx>
          <w:tblCellMar>
            <w:top w:w="0" w:type="dxa"/>
            <w:left w:w="108" w:type="dxa"/>
            <w:bottom w:w="0" w:type="dxa"/>
            <w:right w:w="108" w:type="dxa"/>
          </w:tblCellMar>
        </w:tblPrEx>
        <w:trPr>
          <w:trHeight w:val="92"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0B924E66">
            <w:pPr>
              <w:shd w:val="clear"/>
              <w:spacing w:line="360" w:lineRule="auto"/>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3B0BF6EF">
            <w:pPr>
              <w:shd w:val="clear"/>
              <w:spacing w:line="360" w:lineRule="auto"/>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879B96">
            <w:pPr>
              <w:numPr>
                <w:ilvl w:val="0"/>
                <w:numId w:val="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自定义员工新数据表动态创建和跳转，可以通过EXCEL生成自定义的员工动态数据表，用于记录用户数据，并自动关联用户数据，</w:t>
            </w:r>
          </w:p>
        </w:tc>
      </w:tr>
      <w:tr w14:paraId="74700423">
        <w:tblPrEx>
          <w:tblCellMar>
            <w:top w:w="0" w:type="dxa"/>
            <w:left w:w="108" w:type="dxa"/>
            <w:bottom w:w="0" w:type="dxa"/>
            <w:right w:w="108" w:type="dxa"/>
          </w:tblCellMar>
        </w:tblPrEx>
        <w:trPr>
          <w:trHeight w:val="65"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64101">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5DF75386">
            <w:pPr>
              <w:shd w:val="clear"/>
              <w:spacing w:line="360" w:lineRule="auto"/>
              <w:jc w:val="center"/>
              <w:rPr>
                <w:rFonts w:hint="eastAsia" w:ascii="宋体" w:hAnsi="宋体" w:cs="宋体"/>
                <w:color w:val="auto"/>
                <w:sz w:val="24"/>
                <w:highlight w:val="none"/>
              </w:rPr>
            </w:pPr>
            <w:r>
              <w:rPr>
                <w:rFonts w:hint="eastAsia" w:ascii="宋体" w:hAnsi="宋体" w:cs="宋体"/>
                <w:b/>
                <w:bCs/>
                <w:color w:val="auto"/>
                <w:kern w:val="0"/>
                <w:sz w:val="24"/>
                <w:highlight w:val="none"/>
              </w:rPr>
              <w:t>查询</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E63AFD">
            <w:pPr>
              <w:numPr>
                <w:ilvl w:val="0"/>
                <w:numId w:val="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信息浏览：可按员工画像模式查看员工信息，并可根据管理数据内容自定义员工画像维度和分析条件</w:t>
            </w:r>
          </w:p>
        </w:tc>
      </w:tr>
      <w:tr w14:paraId="4C18ABA1">
        <w:tblPrEx>
          <w:tblCellMar>
            <w:top w:w="0" w:type="dxa"/>
            <w:left w:w="108" w:type="dxa"/>
            <w:bottom w:w="0" w:type="dxa"/>
            <w:right w:w="108" w:type="dxa"/>
          </w:tblCellMar>
        </w:tblPrEx>
        <w:trPr>
          <w:trHeight w:val="90"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73797">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2E4C300">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A05BF7">
            <w:pPr>
              <w:numPr>
                <w:ilvl w:val="0"/>
                <w:numId w:val="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快速查询：可自定义查询条件，如百度搜索般快速定位人员;（应用场景）</w:t>
            </w:r>
          </w:p>
        </w:tc>
      </w:tr>
      <w:tr w14:paraId="22636502">
        <w:tblPrEx>
          <w:tblCellMar>
            <w:top w:w="0" w:type="dxa"/>
            <w:left w:w="108" w:type="dxa"/>
            <w:bottom w:w="0" w:type="dxa"/>
            <w:right w:w="108" w:type="dxa"/>
          </w:tblCellMar>
        </w:tblPrEx>
        <w:trPr>
          <w:trHeight w:val="65"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59D16">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75E21A8">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56F209">
            <w:pPr>
              <w:numPr>
                <w:ilvl w:val="0"/>
                <w:numId w:val="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简单查询：可以选用多个人员信息集，用多个指标项组合成查询条件，以“且”、“或”等条件进行查询（加个例子）</w:t>
            </w:r>
          </w:p>
        </w:tc>
      </w:tr>
      <w:tr w14:paraId="7FF7069A">
        <w:tblPrEx>
          <w:tblCellMar>
            <w:top w:w="0" w:type="dxa"/>
            <w:left w:w="108" w:type="dxa"/>
            <w:bottom w:w="0" w:type="dxa"/>
            <w:right w:w="108" w:type="dxa"/>
          </w:tblCellMar>
        </w:tblPrEx>
        <w:trPr>
          <w:trHeight w:val="65"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5385F">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0F290AF">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0D0CE1">
            <w:pPr>
              <w:numPr>
                <w:ilvl w:val="0"/>
                <w:numId w:val="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通用查询：通过运用多种逻辑运算符，各个条件因子之间可形成多种形式的表达式查找人员，如查找30-50岁进入本单位5年以上大学本科的人员;</w:t>
            </w:r>
          </w:p>
        </w:tc>
      </w:tr>
      <w:tr w14:paraId="279F64DA">
        <w:tblPrEx>
          <w:tblCellMar>
            <w:top w:w="0" w:type="dxa"/>
            <w:left w:w="108" w:type="dxa"/>
            <w:bottom w:w="0" w:type="dxa"/>
            <w:right w:w="108" w:type="dxa"/>
          </w:tblCellMar>
        </w:tblPrEx>
        <w:trPr>
          <w:trHeight w:val="65"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8BABA">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282BC6ED">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E921C6">
            <w:pPr>
              <w:numPr>
                <w:ilvl w:val="0"/>
                <w:numId w:val="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常用查询：当某一查询条件较为复杂且又经常用到时，可以将此查询条件保存下来，第二次查询时可直接使用。</w:t>
            </w:r>
          </w:p>
        </w:tc>
      </w:tr>
      <w:tr w14:paraId="313B9019">
        <w:tblPrEx>
          <w:tblCellMar>
            <w:top w:w="0" w:type="dxa"/>
            <w:left w:w="108" w:type="dxa"/>
            <w:bottom w:w="0" w:type="dxa"/>
            <w:right w:w="108" w:type="dxa"/>
          </w:tblCellMar>
        </w:tblPrEx>
        <w:trPr>
          <w:trHeight w:val="65"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12F57">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A28AD4B">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697036">
            <w:pPr>
              <w:numPr>
                <w:ilvl w:val="0"/>
                <w:numId w:val="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复杂查询：是实现个人不同维度信息比较，如职称评聘一致的人员</w:t>
            </w:r>
          </w:p>
        </w:tc>
      </w:tr>
      <w:tr w14:paraId="69449248">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03BF49A3">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686AD761">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AF6DF0">
            <w:pPr>
              <w:numPr>
                <w:ilvl w:val="0"/>
                <w:numId w:val="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智能查询：依据关键人员的能力要求，建立人才标签体系，并基于标签体系对员工进行智能查询</w:t>
            </w:r>
          </w:p>
        </w:tc>
      </w:tr>
      <w:tr w14:paraId="68BFCE0B">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72205E2D">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3AB21FE2">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DFCAB5">
            <w:pPr>
              <w:numPr>
                <w:ilvl w:val="0"/>
                <w:numId w:val="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支持各种动态表单的数据查询:动态表单查询支持角色的数据权限管控。表格显示方式，支持平铺或按分组字段合并展示(如：同一个人的学历信息，展示最高学历，点击后展开查看所有学历)</w:t>
            </w:r>
          </w:p>
        </w:tc>
      </w:tr>
      <w:tr w14:paraId="45D42447">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6D745274">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4D3C1112">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9595F3">
            <w:pPr>
              <w:numPr>
                <w:ilvl w:val="0"/>
                <w:numId w:val="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支持自定义标签查询:针对不同标签提供不同的条件和不同的数据和权限控制能力。</w:t>
            </w:r>
          </w:p>
        </w:tc>
      </w:tr>
      <w:tr w14:paraId="24EABE2B">
        <w:tblPrEx>
          <w:tblCellMar>
            <w:top w:w="0" w:type="dxa"/>
            <w:left w:w="108" w:type="dxa"/>
            <w:bottom w:w="0" w:type="dxa"/>
            <w:right w:w="108" w:type="dxa"/>
          </w:tblCellMar>
        </w:tblPrEx>
        <w:trPr>
          <w:trHeight w:val="338"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296BA">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11DEA62C">
            <w:pPr>
              <w:shd w:val="clear"/>
              <w:spacing w:line="360" w:lineRule="auto"/>
              <w:jc w:val="center"/>
              <w:rPr>
                <w:rFonts w:hint="eastAsia" w:ascii="宋体" w:hAnsi="宋体" w:cs="宋体"/>
                <w:color w:val="auto"/>
                <w:sz w:val="24"/>
                <w:highlight w:val="none"/>
              </w:rPr>
            </w:pPr>
            <w:r>
              <w:rPr>
                <w:rFonts w:hint="eastAsia" w:ascii="宋体" w:hAnsi="宋体" w:cs="宋体"/>
                <w:b/>
                <w:bCs/>
                <w:color w:val="auto"/>
                <w:kern w:val="0"/>
                <w:sz w:val="24"/>
                <w:highlight w:val="none"/>
              </w:rPr>
              <w:t>历史时点</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3041AC">
            <w:pPr>
              <w:numPr>
                <w:ilvl w:val="0"/>
                <w:numId w:val="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支持对员工数据历史时点进行信息浏览和查询，满足静态历史数据查询需要。</w:t>
            </w:r>
          </w:p>
        </w:tc>
      </w:tr>
      <w:tr w14:paraId="23FB4EF8">
        <w:tblPrEx>
          <w:tblCellMar>
            <w:top w:w="0" w:type="dxa"/>
            <w:left w:w="108" w:type="dxa"/>
            <w:bottom w:w="0" w:type="dxa"/>
            <w:right w:w="108" w:type="dxa"/>
          </w:tblCellMar>
        </w:tblPrEx>
        <w:trPr>
          <w:trHeight w:val="204"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C5F50">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5FF4ECBD">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03C2D0">
            <w:pPr>
              <w:numPr>
                <w:ilvl w:val="0"/>
                <w:numId w:val="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ab/>
            </w:r>
            <w:r>
              <w:rPr>
                <w:rFonts w:hint="eastAsia" w:ascii="宋体" w:hAnsi="宋体" w:cs="宋体"/>
                <w:color w:val="auto"/>
                <w:sz w:val="24"/>
                <w:highlight w:val="none"/>
              </w:rPr>
              <w:t>支持自定义员工数据历史时点生成频率，满足人力资源管理数据要求。</w:t>
            </w:r>
          </w:p>
        </w:tc>
      </w:tr>
      <w:tr w14:paraId="1C3A81BD">
        <w:tblPrEx>
          <w:tblCellMar>
            <w:top w:w="0" w:type="dxa"/>
            <w:left w:w="108" w:type="dxa"/>
            <w:bottom w:w="0" w:type="dxa"/>
            <w:right w:w="108" w:type="dxa"/>
          </w:tblCellMar>
        </w:tblPrEx>
        <w:trPr>
          <w:trHeight w:val="204"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0F800E67">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34B447B6">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2F5CDB">
            <w:pPr>
              <w:numPr>
                <w:ilvl w:val="0"/>
                <w:numId w:val="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支持对某一历史时点或历史时段根据设置的条件完成查询功能，查询结果能以表格或图表等形式导出外使用。</w:t>
            </w:r>
          </w:p>
        </w:tc>
      </w:tr>
      <w:tr w14:paraId="232FB4FC">
        <w:tblPrEx>
          <w:tblCellMar>
            <w:top w:w="0" w:type="dxa"/>
            <w:left w:w="108" w:type="dxa"/>
            <w:bottom w:w="0" w:type="dxa"/>
            <w:right w:w="108" w:type="dxa"/>
          </w:tblCellMar>
        </w:tblPrEx>
        <w:trPr>
          <w:trHeight w:val="204"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79272B2C">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3D7A9E32">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2EA97D">
            <w:pPr>
              <w:numPr>
                <w:ilvl w:val="0"/>
                <w:numId w:val="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ab/>
            </w:r>
            <w:r>
              <w:rPr>
                <w:rFonts w:hint="eastAsia" w:ascii="宋体" w:hAnsi="宋体" w:cs="宋体"/>
                <w:color w:val="auto"/>
                <w:sz w:val="24"/>
                <w:highlight w:val="none"/>
              </w:rPr>
              <w:t>支持以图形化方式对多个时点数据进行变化趋势分析</w:t>
            </w:r>
          </w:p>
        </w:tc>
      </w:tr>
      <w:tr w14:paraId="137E3E21">
        <w:tblPrEx>
          <w:tblCellMar>
            <w:top w:w="0" w:type="dxa"/>
            <w:left w:w="108" w:type="dxa"/>
            <w:bottom w:w="0" w:type="dxa"/>
            <w:right w:w="108" w:type="dxa"/>
          </w:tblCellMar>
        </w:tblPrEx>
        <w:trPr>
          <w:trHeight w:val="931"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361C1">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034D7E43">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数据输出</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ADF23C">
            <w:pPr>
              <w:numPr>
                <w:ilvl w:val="0"/>
                <w:numId w:val="9"/>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能导入各种登记表、复杂名册excel样式，自定义各种取值条件，无需厂商二次开发；</w:t>
            </w:r>
          </w:p>
        </w:tc>
      </w:tr>
      <w:tr w14:paraId="0EF09727">
        <w:tblPrEx>
          <w:tblCellMar>
            <w:top w:w="0" w:type="dxa"/>
            <w:left w:w="108" w:type="dxa"/>
            <w:bottom w:w="0" w:type="dxa"/>
            <w:right w:w="108" w:type="dxa"/>
          </w:tblCellMar>
        </w:tblPrEx>
        <w:trPr>
          <w:trHeight w:val="9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0BADD0EE">
            <w:pPr>
              <w:widowControl/>
              <w:shd w:val="clear" w:color="auto"/>
              <w:tabs>
                <w:tab w:val="left" w:pos="420"/>
              </w:tabs>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2770FBD8">
            <w:pPr>
              <w:widowControl/>
              <w:shd w:val="clear" w:color="auto"/>
              <w:tabs>
                <w:tab w:val="left" w:pos="420"/>
              </w:tabs>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5D442F7">
            <w:pPr>
              <w:numPr>
                <w:ilvl w:val="0"/>
                <w:numId w:val="9"/>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能对查询的结果进行快速输出，输出方式可以是登记表、花名册、统计报表，并可导出Excel、pdf；</w:t>
            </w:r>
          </w:p>
        </w:tc>
      </w:tr>
      <w:tr w14:paraId="3DD31C96">
        <w:tblPrEx>
          <w:tblCellMar>
            <w:top w:w="0" w:type="dxa"/>
            <w:left w:w="108" w:type="dxa"/>
            <w:bottom w:w="0" w:type="dxa"/>
            <w:right w:w="108" w:type="dxa"/>
          </w:tblCellMar>
        </w:tblPrEx>
        <w:trPr>
          <w:trHeight w:val="984"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E5949">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4EC324B9">
            <w:pPr>
              <w:shd w:val="clear"/>
              <w:spacing w:line="360" w:lineRule="auto"/>
              <w:jc w:val="center"/>
              <w:rPr>
                <w:rFonts w:hint="eastAsia" w:ascii="宋体" w:hAnsi="宋体" w:cs="宋体"/>
                <w:color w:val="auto"/>
                <w:sz w:val="24"/>
                <w:highlight w:val="none"/>
              </w:rPr>
            </w:pPr>
            <w:r>
              <w:rPr>
                <w:rFonts w:hint="eastAsia" w:ascii="宋体" w:hAnsi="宋体" w:cs="宋体"/>
                <w:b/>
                <w:bCs/>
                <w:color w:val="auto"/>
                <w:kern w:val="0"/>
                <w:sz w:val="24"/>
                <w:highlight w:val="none"/>
              </w:rPr>
              <w:t>信息统计</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795BB3">
            <w:pPr>
              <w:numPr>
                <w:ilvl w:val="0"/>
                <w:numId w:val="1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系统提供简单统计、通用统计、二维统计、多维统计、单项统计和常用统计六种统计方法，能够对多个查询结果进行综合统计分析，统计结果可以穿透到具体数据，并能够以直方图、圆饼图、折线图等多种直观的图形方式进行展现。相关的数据和信息能够根据需要导出系统外使用。</w:t>
            </w:r>
          </w:p>
        </w:tc>
      </w:tr>
      <w:tr w14:paraId="6F5B311F">
        <w:tblPrEx>
          <w:tblCellMar>
            <w:top w:w="0" w:type="dxa"/>
            <w:left w:w="108" w:type="dxa"/>
            <w:bottom w:w="0" w:type="dxa"/>
            <w:right w:w="108" w:type="dxa"/>
          </w:tblCellMar>
        </w:tblPrEx>
        <w:trPr>
          <w:trHeight w:val="525"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F31AB">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7794D913">
            <w:pPr>
              <w:shd w:val="clear"/>
              <w:spacing w:line="360" w:lineRule="auto"/>
              <w:jc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36A7E1">
            <w:pPr>
              <w:numPr>
                <w:ilvl w:val="0"/>
                <w:numId w:val="1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支持针对员工相关数据使用维度表统计数据，并使用维度表展示相关数据</w:t>
            </w:r>
          </w:p>
        </w:tc>
      </w:tr>
      <w:tr w14:paraId="2F5EEC68">
        <w:tblPrEx>
          <w:tblCellMar>
            <w:top w:w="0" w:type="dxa"/>
            <w:left w:w="108" w:type="dxa"/>
            <w:bottom w:w="0" w:type="dxa"/>
            <w:right w:w="108" w:type="dxa"/>
          </w:tblCellMar>
        </w:tblPrEx>
        <w:trPr>
          <w:trHeight w:val="90"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7C5A8">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4ED2DE45">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11804F">
            <w:pPr>
              <w:numPr>
                <w:ilvl w:val="0"/>
                <w:numId w:val="1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ab/>
            </w:r>
            <w:r>
              <w:rPr>
                <w:rFonts w:hint="eastAsia" w:ascii="宋体" w:hAnsi="宋体" w:cs="宋体"/>
                <w:color w:val="auto"/>
                <w:sz w:val="24"/>
                <w:highlight w:val="none"/>
              </w:rPr>
              <w:t>能够基于历史时点信息，与以往的人员信息进行比较分析，便于管理回溯。</w:t>
            </w:r>
          </w:p>
        </w:tc>
      </w:tr>
      <w:tr w14:paraId="1986CA95">
        <w:tblPrEx>
          <w:tblCellMar>
            <w:top w:w="0" w:type="dxa"/>
            <w:left w:w="108" w:type="dxa"/>
            <w:bottom w:w="0" w:type="dxa"/>
            <w:right w:w="108" w:type="dxa"/>
          </w:tblCellMar>
        </w:tblPrEx>
        <w:trPr>
          <w:trHeight w:val="984"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705DA816">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3A1A1077">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3C1E07">
            <w:pPr>
              <w:numPr>
                <w:ilvl w:val="0"/>
                <w:numId w:val="1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支持向导式、点选式新建、修改设置统计条件，可自主基于已有数据灵活定义各类统计分析图表，并能够保存为常用统计项目。</w:t>
            </w:r>
          </w:p>
        </w:tc>
      </w:tr>
      <w:tr w14:paraId="1DCE5F7A">
        <w:tblPrEx>
          <w:tblCellMar>
            <w:top w:w="0" w:type="dxa"/>
            <w:left w:w="108" w:type="dxa"/>
            <w:bottom w:w="0" w:type="dxa"/>
            <w:right w:w="108" w:type="dxa"/>
          </w:tblCellMar>
        </w:tblPrEx>
        <w:trPr>
          <w:trHeight w:val="288"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371BC">
            <w:pPr>
              <w:shd w:val="clear"/>
              <w:spacing w:line="360" w:lineRule="auto"/>
              <w:jc w:val="left"/>
              <w:textAlignment w:val="center"/>
              <w:rPr>
                <w:rFonts w:hint="eastAsia" w:ascii="宋体" w:hAnsi="宋体" w:cs="宋体"/>
                <w:b/>
                <w:bCs/>
                <w:color w:val="auto"/>
                <w:kern w:val="0"/>
                <w:sz w:val="24"/>
                <w:highlight w:val="none"/>
              </w:rPr>
            </w:pP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2E916B">
            <w:pPr>
              <w:shd w:val="clear"/>
              <w:spacing w:line="360" w:lineRule="auto"/>
              <w:jc w:val="center"/>
              <w:rPr>
                <w:rFonts w:hint="eastAsia" w:ascii="宋体" w:hAnsi="宋体" w:cs="宋体"/>
                <w:color w:val="auto"/>
                <w:sz w:val="24"/>
                <w:highlight w:val="none"/>
              </w:rPr>
            </w:pPr>
            <w:r>
              <w:rPr>
                <w:rFonts w:hint="eastAsia" w:ascii="宋体" w:hAnsi="宋体" w:cs="宋体"/>
                <w:b/>
                <w:bCs/>
                <w:color w:val="auto"/>
                <w:kern w:val="0"/>
                <w:sz w:val="24"/>
                <w:highlight w:val="none"/>
              </w:rPr>
              <w:t>信息预警</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AD07D70">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为了满足组织对业务控制的需要，使组织能够及时对将要发生或已经发生的情况采取相应措施，系统提供了预警平台，其功能就是通过与各类控制数据的比较来发出警告性的提示信息，提醒相关业务人员有针对性地进行业务处理。</w:t>
            </w:r>
          </w:p>
          <w:p w14:paraId="0FF0F4CD">
            <w:pPr>
              <w:numPr>
                <w:ilvl w:val="0"/>
                <w:numId w:val="1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预警条件自定义：</w:t>
            </w:r>
          </w:p>
          <w:p w14:paraId="4EF012BC">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预警平台上，可以根据工作需要自行定义要进行预警的事件（如合同到期、生日的预警定义等等），以及预警的相关内容事项，如预警触发的条件、预警信息的内容、预警的时间设置、预警信息的接收者、接收方式等。</w:t>
            </w:r>
          </w:p>
          <w:p w14:paraId="4B1BD3A0">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根据定义好预警条件，预警平台采用后台工作的方式，对触发预警的信息，按照预定的方式（系统内通知，邮件、短信）将各类预警信息发送到指定的接收者。</w:t>
            </w:r>
          </w:p>
          <w:p w14:paraId="4AA6DBBA">
            <w:pPr>
              <w:numPr>
                <w:ilvl w:val="0"/>
                <w:numId w:val="1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预警与业务关联处理</w:t>
            </w:r>
          </w:p>
          <w:p w14:paraId="29FBEE55">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对预警出来信息，能够直接与相关的业务模板进行关联，对预警出来的人员直接进行业务处理，如根据人员调配及合同管理要求，未录合同信息提醒需要与合同签订流程关联；未定岗人员提醒需要与定岗流程关联；试用期到期提醒需要与转正定级流程关联，合同到期提醒需要与续签合同流程关联；借调到期提醒需要与借调终止流程关联；人员退休提醒需要与员工退休流程关联等。</w:t>
            </w:r>
          </w:p>
        </w:tc>
      </w:tr>
      <w:tr w14:paraId="2EA82176">
        <w:tblPrEx>
          <w:tblCellMar>
            <w:top w:w="0" w:type="dxa"/>
            <w:left w:w="108" w:type="dxa"/>
            <w:bottom w:w="0" w:type="dxa"/>
            <w:right w:w="108" w:type="dxa"/>
          </w:tblCellMar>
        </w:tblPrEx>
        <w:trPr>
          <w:trHeight w:val="288" w:hRule="atLeast"/>
          <w:jc w:val="center"/>
        </w:trPr>
        <w:tc>
          <w:tcPr>
            <w:tcW w:w="7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6E708">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报表工具</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107D7D1">
            <w:pPr>
              <w:shd w:val="clear"/>
              <w:spacing w:line="360" w:lineRule="auto"/>
              <w:ind w:firstLine="482"/>
              <w:rPr>
                <w:rFonts w:hint="eastAsia" w:ascii="宋体" w:hAnsi="宋体" w:cs="宋体"/>
                <w:bCs/>
                <w:color w:val="auto"/>
                <w:kern w:val="0"/>
                <w:sz w:val="24"/>
                <w:highlight w:val="none"/>
                <w:lang w:bidi="en-US"/>
              </w:rPr>
            </w:pPr>
            <w:r>
              <w:rPr>
                <w:rFonts w:hint="eastAsia" w:ascii="宋体" w:hAnsi="宋体" w:cs="宋体"/>
                <w:bCs/>
                <w:color w:val="auto"/>
                <w:kern w:val="0"/>
                <w:sz w:val="24"/>
                <w:highlight w:val="none"/>
                <w:lang w:bidi="en-US"/>
              </w:rPr>
              <w:t>表格工具提供了多种高效、灵活、方便的报表设计工具，帮助人事工作者完成各类报表的制作。使用表格设计工具，既可自动生成预定义的各种报表，也可由用户自定义各类报表，轻松绘制或导入表样，取数条件定义简单，具有自动取数，自动校验，自动排版、打印输出等功能，极大提高工作效率。</w:t>
            </w:r>
          </w:p>
          <w:p w14:paraId="4D55B124">
            <w:pPr>
              <w:shd w:val="clear"/>
              <w:spacing w:line="360" w:lineRule="auto"/>
              <w:ind w:firstLine="482"/>
              <w:rPr>
                <w:rFonts w:hint="eastAsia" w:ascii="宋体" w:hAnsi="宋体" w:cs="宋体"/>
                <w:bCs/>
                <w:color w:val="auto"/>
                <w:kern w:val="0"/>
                <w:sz w:val="24"/>
                <w:highlight w:val="none"/>
                <w:lang w:bidi="en-US"/>
              </w:rPr>
            </w:pPr>
            <w:r>
              <w:rPr>
                <w:rFonts w:hint="eastAsia" w:ascii="宋体" w:hAnsi="宋体" w:cs="宋体"/>
                <w:bCs/>
                <w:color w:val="auto"/>
                <w:kern w:val="0"/>
                <w:sz w:val="24"/>
                <w:highlight w:val="none"/>
                <w:lang w:bidi="en-US"/>
              </w:rPr>
              <w:t>表格工具包括：</w:t>
            </w:r>
            <w:r>
              <w:rPr>
                <w:rFonts w:hint="eastAsia" w:ascii="宋体" w:hAnsi="宋体" w:cs="宋体"/>
                <w:b/>
                <w:bCs/>
                <w:color w:val="auto"/>
                <w:kern w:val="0"/>
                <w:sz w:val="24"/>
                <w:highlight w:val="none"/>
                <w:lang w:bidi="en-US"/>
              </w:rPr>
              <w:t>登记表、高级花名册、业务模板、统计报表</w:t>
            </w:r>
            <w:r>
              <w:rPr>
                <w:rFonts w:hint="eastAsia" w:ascii="宋体" w:hAnsi="宋体" w:cs="宋体"/>
                <w:bCs/>
                <w:color w:val="auto"/>
                <w:kern w:val="0"/>
                <w:sz w:val="24"/>
                <w:highlight w:val="none"/>
                <w:lang w:bidi="en-US"/>
              </w:rPr>
              <w:t>四个功能模块，各模块主要功能如下：</w:t>
            </w:r>
          </w:p>
          <w:p w14:paraId="3FD1E836">
            <w:pPr>
              <w:shd w:val="clear"/>
              <w:spacing w:line="360" w:lineRule="auto"/>
              <w:ind w:firstLine="482"/>
              <w:rPr>
                <w:rFonts w:hint="eastAsia" w:ascii="宋体" w:hAnsi="宋体" w:cs="宋体"/>
                <w:bCs/>
                <w:color w:val="auto"/>
                <w:kern w:val="0"/>
                <w:sz w:val="24"/>
                <w:highlight w:val="none"/>
                <w:lang w:bidi="en-US"/>
              </w:rPr>
            </w:pPr>
            <w:r>
              <w:rPr>
                <w:rFonts w:hint="eastAsia" w:ascii="宋体" w:hAnsi="宋体" w:cs="宋体"/>
                <w:bCs/>
                <w:color w:val="auto"/>
                <w:kern w:val="0"/>
                <w:sz w:val="24"/>
                <w:highlight w:val="none"/>
                <w:lang w:bidi="en-US"/>
              </w:rPr>
              <w:t>【登 记 表】：可将日常工作中常用到的登记表全部绘制到系统中。</w:t>
            </w:r>
          </w:p>
          <w:p w14:paraId="7EE09676">
            <w:pPr>
              <w:shd w:val="clear"/>
              <w:spacing w:line="360" w:lineRule="auto"/>
              <w:ind w:firstLine="482"/>
              <w:rPr>
                <w:rFonts w:hint="eastAsia" w:ascii="宋体" w:hAnsi="宋体" w:cs="宋体"/>
                <w:bCs/>
                <w:color w:val="auto"/>
                <w:kern w:val="0"/>
                <w:sz w:val="24"/>
                <w:highlight w:val="none"/>
                <w:lang w:bidi="en-US"/>
              </w:rPr>
            </w:pPr>
            <w:r>
              <w:rPr>
                <w:rFonts w:hint="eastAsia" w:ascii="宋体" w:hAnsi="宋体" w:cs="宋体"/>
                <w:bCs/>
                <w:color w:val="auto"/>
                <w:kern w:val="0"/>
                <w:sz w:val="24"/>
                <w:highlight w:val="none"/>
                <w:lang w:bidi="en-US"/>
              </w:rPr>
              <w:t>【高级花名册】：可以灵活制作各种复杂的高级花名册。能够完成历史时点和时段查询结果的数据输出功能。</w:t>
            </w:r>
          </w:p>
          <w:p w14:paraId="57FB7A00">
            <w:pPr>
              <w:shd w:val="clear"/>
              <w:spacing w:line="360" w:lineRule="auto"/>
              <w:ind w:firstLine="482"/>
              <w:rPr>
                <w:rFonts w:hint="eastAsia" w:ascii="宋体" w:hAnsi="宋体" w:cs="宋体"/>
                <w:bCs/>
                <w:color w:val="auto"/>
                <w:kern w:val="0"/>
                <w:sz w:val="24"/>
                <w:highlight w:val="none"/>
                <w:lang w:bidi="en-US"/>
              </w:rPr>
            </w:pPr>
            <w:r>
              <w:rPr>
                <w:rFonts w:hint="eastAsia" w:ascii="宋体" w:hAnsi="宋体" w:cs="宋体"/>
                <w:bCs/>
                <w:color w:val="auto"/>
                <w:kern w:val="0"/>
                <w:sz w:val="24"/>
                <w:highlight w:val="none"/>
                <w:lang w:bidi="en-US"/>
              </w:rPr>
              <w:t>【业务模板】：能够制作人事异动、薪资变动、保险核定、单位和岗位变动等业务模板。</w:t>
            </w:r>
          </w:p>
          <w:p w14:paraId="5BA48E46">
            <w:pPr>
              <w:shd w:val="clear"/>
              <w:spacing w:line="360" w:lineRule="auto"/>
              <w:ind w:firstLine="482"/>
              <w:rPr>
                <w:rFonts w:hint="eastAsia" w:ascii="宋体" w:hAnsi="宋体" w:cs="宋体"/>
                <w:color w:val="auto"/>
                <w:sz w:val="24"/>
                <w:highlight w:val="none"/>
              </w:rPr>
            </w:pPr>
            <w:r>
              <w:rPr>
                <w:rFonts w:hint="eastAsia" w:ascii="宋体" w:hAnsi="宋体" w:cs="宋体"/>
                <w:bCs/>
                <w:color w:val="auto"/>
                <w:kern w:val="0"/>
                <w:sz w:val="24"/>
                <w:highlight w:val="none"/>
                <w:lang w:bidi="en-US"/>
              </w:rPr>
              <w:t>【统计报表】：能够完成各种统计报表的制作。能够完成历史时点和时段查询结果的数据输出功能，并穿透到具体信息内容。</w:t>
            </w:r>
          </w:p>
        </w:tc>
      </w:tr>
      <w:tr w14:paraId="10E9CF0E">
        <w:tblPrEx>
          <w:tblCellMar>
            <w:top w:w="0" w:type="dxa"/>
            <w:left w:w="108" w:type="dxa"/>
            <w:bottom w:w="0" w:type="dxa"/>
            <w:right w:w="108" w:type="dxa"/>
          </w:tblCellMar>
        </w:tblPrEx>
        <w:trPr>
          <w:trHeight w:val="163"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0F65429B">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人力资源共享服务中心</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7211EB0">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建设恩泽医疗集团人力资源管理共享服务中心，将人力资源管理过程中不同的用户和角色联系起来，为人事科、职能管理科室、员工以及科室主任提供一个集中、统一、高效的人力资源共享与服务工作平台，辅助各科室业务管理，以服务为导向为职工提供便捷的信息化服务。</w:t>
            </w:r>
          </w:p>
        </w:tc>
      </w:tr>
      <w:tr w14:paraId="35F9FCE5">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right w:val="single" w:color="000000" w:sz="4" w:space="0"/>
            </w:tcBorders>
            <w:shd w:val="clear" w:color="auto" w:fill="auto"/>
            <w:noWrap/>
            <w:vAlign w:val="center"/>
          </w:tcPr>
          <w:p w14:paraId="7CE06DD0">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5B27ABE">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★能够为全体员工开通账号及对不同人员进行相应的授权；员工账号不受人数限制</w:t>
            </w:r>
          </w:p>
        </w:tc>
      </w:tr>
      <w:tr w14:paraId="213EFEBD">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right w:val="single" w:color="000000" w:sz="4" w:space="0"/>
            </w:tcBorders>
            <w:shd w:val="clear" w:color="auto" w:fill="auto"/>
            <w:noWrap/>
            <w:vAlign w:val="center"/>
          </w:tcPr>
          <w:p w14:paraId="38914AEC">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1396820">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具备通信录功能，可根据权限查看同事通讯录信息</w:t>
            </w:r>
          </w:p>
        </w:tc>
      </w:tr>
      <w:tr w14:paraId="0EC6558F">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right w:val="single" w:color="000000" w:sz="4" w:space="0"/>
            </w:tcBorders>
            <w:shd w:val="clear" w:color="auto" w:fill="auto"/>
            <w:noWrap/>
            <w:vAlign w:val="center"/>
          </w:tcPr>
          <w:p w14:paraId="5974C159">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CDB0F0E">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员工可在线发起信息修改申请，填报更新的个人信息，由人力部门或相关职能部门审核后自动跟新员工档案</w:t>
            </w:r>
          </w:p>
        </w:tc>
      </w:tr>
      <w:tr w14:paraId="72B6E429">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right w:val="single" w:color="000000" w:sz="4" w:space="0"/>
            </w:tcBorders>
            <w:shd w:val="clear" w:color="auto" w:fill="auto"/>
            <w:noWrap/>
            <w:vAlign w:val="center"/>
          </w:tcPr>
          <w:p w14:paraId="70B6D677">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07D65F7">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能够查看每月工资条，包括查看统计时间段（如年度、季度）内工资汇总信息。</w:t>
            </w:r>
          </w:p>
        </w:tc>
      </w:tr>
      <w:tr w14:paraId="74E7C829">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right w:val="single" w:color="000000" w:sz="4" w:space="0"/>
            </w:tcBorders>
            <w:shd w:val="clear" w:color="auto" w:fill="auto"/>
            <w:noWrap/>
            <w:vAlign w:val="center"/>
          </w:tcPr>
          <w:p w14:paraId="69003B77">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93FDAA4">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★通过系统自定义假期额度计算规则，</w:t>
            </w:r>
            <w:r>
              <w:rPr>
                <w:rFonts w:hint="eastAsia" w:ascii="宋体" w:hAnsi="宋体" w:cs="宋体"/>
                <w:color w:val="auto"/>
                <w:sz w:val="24"/>
                <w:highlight w:val="none"/>
              </w:rPr>
              <w:t>并能够根据工作地关系二次分配假期额度，能够在线查看个人的考勤假期信息，合理安排假期；</w:t>
            </w:r>
          </w:p>
        </w:tc>
      </w:tr>
      <w:tr w14:paraId="670EAF17">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right w:val="single" w:color="000000" w:sz="4" w:space="0"/>
            </w:tcBorders>
            <w:shd w:val="clear" w:color="auto" w:fill="auto"/>
            <w:noWrap/>
            <w:vAlign w:val="center"/>
          </w:tcPr>
          <w:p w14:paraId="6EA44A43">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5E09D98">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为员工提供信息查询，实时了解个人信息、包括但不限于基本信息、薪酬福利情况、出勤情况、职称情况、学历信息等，便于员工核对更新的同时，医院也能及时准确掌握员工信息动态。</w:t>
            </w:r>
          </w:p>
        </w:tc>
      </w:tr>
      <w:tr w14:paraId="7C9197EA">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right w:val="single" w:color="000000" w:sz="4" w:space="0"/>
            </w:tcBorders>
            <w:shd w:val="clear" w:color="auto" w:fill="auto"/>
            <w:noWrap/>
            <w:vAlign w:val="center"/>
          </w:tcPr>
          <w:p w14:paraId="7B147691">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E9808FD">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★提供人事业务办理通道，为员工提供便捷办理各类人力资源业务，如请假申请、公出申请、转正申请等，以及获取各类证明文件的渠道。</w:t>
            </w:r>
          </w:p>
        </w:tc>
      </w:tr>
      <w:tr w14:paraId="0A259809">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right w:val="single" w:color="000000" w:sz="4" w:space="0"/>
            </w:tcBorders>
            <w:shd w:val="clear" w:color="auto" w:fill="auto"/>
            <w:noWrap/>
            <w:vAlign w:val="center"/>
          </w:tcPr>
          <w:p w14:paraId="108AAE7D">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06B57A1">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为员工提供人事信息提醒，包括但不限于入职为签订合同、转正提醒、合同即将到期、即将退休、各类证书即将到期等，提醒员工及时办理关键业务，规避医院用人风险（同时加上短信提醒）。</w:t>
            </w:r>
          </w:p>
        </w:tc>
      </w:tr>
      <w:tr w14:paraId="75B29D7B">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right w:val="single" w:color="000000" w:sz="4" w:space="0"/>
            </w:tcBorders>
            <w:shd w:val="clear" w:color="auto" w:fill="auto"/>
            <w:noWrap/>
            <w:vAlign w:val="center"/>
          </w:tcPr>
          <w:p w14:paraId="41A87E60">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5B80ACA">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★智能为员工推送慰问祝福，如生日祝福、党龄祝福、院龄祝福、节假日祝福等，并能够自定义创建与推送规则，做好员工感知度和幸福感，促进医院文化软实力对员工凝聚力的提升。（同时加上短信推送）</w:t>
            </w:r>
          </w:p>
        </w:tc>
      </w:tr>
      <w:tr w14:paraId="474B8947">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336064CE">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767652D">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提供快速检索功能，</w:t>
            </w:r>
            <w:r>
              <w:rPr>
                <w:rFonts w:hint="eastAsia" w:ascii="宋体" w:hAnsi="宋体" w:cs="宋体"/>
                <w:color w:val="auto"/>
                <w:sz w:val="24"/>
                <w:highlight w:val="none"/>
                <w:lang w:val="en-US" w:eastAsia="zh-CN"/>
              </w:rPr>
              <w:t>管理科室层面</w:t>
            </w:r>
            <w:r>
              <w:rPr>
                <w:rFonts w:hint="eastAsia" w:ascii="宋体" w:hAnsi="宋体" w:cs="宋体"/>
                <w:color w:val="auto"/>
                <w:sz w:val="24"/>
                <w:highlight w:val="none"/>
              </w:rPr>
              <w:t>可通过</w:t>
            </w:r>
            <w:r>
              <w:rPr>
                <w:rFonts w:hint="eastAsia" w:ascii="宋体" w:hAnsi="宋体" w:cs="宋体"/>
                <w:color w:val="auto"/>
                <w:sz w:val="24"/>
                <w:highlight w:val="none"/>
                <w:lang w:val="en-US" w:eastAsia="zh-CN"/>
              </w:rPr>
              <w:t>平台</w:t>
            </w:r>
            <w:r>
              <w:rPr>
                <w:rFonts w:hint="eastAsia" w:ascii="宋体" w:hAnsi="宋体" w:cs="宋体"/>
                <w:color w:val="auto"/>
                <w:sz w:val="24"/>
                <w:highlight w:val="none"/>
              </w:rPr>
              <w:t>快速搜索关键字得到相应解答，</w:t>
            </w:r>
            <w:r>
              <w:rPr>
                <w:rFonts w:hint="eastAsia" w:ascii="宋体" w:hAnsi="宋体" w:cs="宋体"/>
                <w:color w:val="auto"/>
                <w:sz w:val="24"/>
                <w:highlight w:val="none"/>
                <w:lang w:val="en-US" w:eastAsia="zh-CN"/>
              </w:rPr>
              <w:t>并提供机器人智能服务功能，根据需求自动导出一些所需要的信息或完成相关分析。</w:t>
            </w:r>
          </w:p>
        </w:tc>
      </w:tr>
      <w:tr w14:paraId="2FF6D2BF">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62C2B1D3">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180DFFB">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提供客服机器人智能服务功能，职能部门整理常规问题，员工可通过</w:t>
            </w:r>
            <w:r>
              <w:rPr>
                <w:rFonts w:hint="eastAsia" w:ascii="宋体" w:hAnsi="宋体" w:cs="宋体"/>
                <w:color w:val="auto"/>
                <w:sz w:val="24"/>
                <w:highlight w:val="none"/>
              </w:rPr>
              <w:t>PC端或移动端</w:t>
            </w:r>
            <w:r>
              <w:rPr>
                <w:rFonts w:hint="eastAsia" w:ascii="宋体" w:hAnsi="宋体" w:cs="宋体"/>
                <w:color w:val="auto"/>
                <w:sz w:val="24"/>
                <w:highlight w:val="none"/>
                <w:lang w:val="en-US" w:eastAsia="zh-CN"/>
              </w:rPr>
              <w:t>快速得到相应解答，对于需要办理业务流程的，可自动链接到相应节点上完成之后的流程。</w:t>
            </w:r>
          </w:p>
        </w:tc>
      </w:tr>
      <w:tr w14:paraId="2BDA59F8">
        <w:tblPrEx>
          <w:tblCellMar>
            <w:top w:w="0" w:type="dxa"/>
            <w:left w:w="108" w:type="dxa"/>
            <w:bottom w:w="0" w:type="dxa"/>
            <w:right w:w="108" w:type="dxa"/>
          </w:tblCellMar>
        </w:tblPrEx>
        <w:trPr>
          <w:trHeight w:val="163"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460B0597">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7AAC13D">
            <w:pPr>
              <w:numPr>
                <w:ilvl w:val="0"/>
                <w:numId w:val="1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★赋能业务、职能科室，各科室主任可随时对下属员工信息进行查询浏览、结构化统计与分析，满足业务职能科室对人力资源管理的需要，提高业务、职能科室对人力资源管理的参与度和满意率。</w:t>
            </w:r>
          </w:p>
        </w:tc>
      </w:tr>
      <w:tr w14:paraId="61A0162C">
        <w:tblPrEx>
          <w:tblCellMar>
            <w:top w:w="0" w:type="dxa"/>
            <w:left w:w="108" w:type="dxa"/>
            <w:bottom w:w="0" w:type="dxa"/>
            <w:right w:w="108" w:type="dxa"/>
          </w:tblCellMar>
        </w:tblPrEx>
        <w:trPr>
          <w:trHeight w:val="853" w:hRule="atLeast"/>
          <w:jc w:val="center"/>
        </w:trPr>
        <w:tc>
          <w:tcPr>
            <w:tcW w:w="722" w:type="pct"/>
            <w:tcBorders>
              <w:left w:val="single" w:color="000000" w:sz="4" w:space="0"/>
              <w:right w:val="single" w:color="000000" w:sz="4" w:space="0"/>
            </w:tcBorders>
            <w:shd w:val="clear" w:color="auto" w:fill="auto"/>
            <w:noWrap/>
            <w:vAlign w:val="center"/>
          </w:tcPr>
          <w:p w14:paraId="418BD943">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移动端应用</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10BF506">
            <w:pPr>
              <w:shd w:val="clea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对接医院钉钉平台，将共享服务中心的内容，通过移动端的应用模式同步为全体员工提供人力资源服务，同时将人力资源系统的业务办理、待办提醒和慰问祝福等服务，推送至钉钉平台，打通内外网壁垒，实现跨空间维度和时间维度的人力资源管理与服务。涉及到员工个人在电脑端需要完成的节点，在移动端同步开通线上功能。</w:t>
            </w:r>
          </w:p>
        </w:tc>
      </w:tr>
      <w:tr w14:paraId="4A2D0ACB">
        <w:tblPrEx>
          <w:tblCellMar>
            <w:top w:w="0" w:type="dxa"/>
            <w:left w:w="108" w:type="dxa"/>
            <w:bottom w:w="0" w:type="dxa"/>
            <w:right w:w="108" w:type="dxa"/>
          </w:tblCellMar>
        </w:tblPrEx>
        <w:trPr>
          <w:trHeight w:val="65"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73943034">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人事业务流程</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858A2F3">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结合大型集团化医院人力资源信息化多院区、多法人、多管理体系的建设经验，围绕员工在医院期间的全职业生涯周期业务，统一规划一院四区模式下员工入职\离职审批，请休假申请与审批，各类信息更新、证明申请等业务流程，规范人力资源业务，以流程驱动各项人力资源业务，提升人力资源业务办理与协同效率。</w:t>
            </w:r>
          </w:p>
        </w:tc>
      </w:tr>
      <w:tr w14:paraId="4F7EF99A">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right w:val="single" w:color="000000" w:sz="4" w:space="0"/>
            </w:tcBorders>
            <w:shd w:val="clear" w:color="auto" w:fill="auto"/>
            <w:noWrap/>
            <w:vAlign w:val="center"/>
          </w:tcPr>
          <w:p w14:paraId="7F661255">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F5A9E9C">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事务性流程：入院（接入招聘录用信息，推送入职审批表给员工补充完善，同时系统根据正式员工与劳务派遣不同的编码规则自动编码员工编号）\离院手续办理、退休手续办理、合同续签及变更申请、出国（境）申请、学历提升申请、岗位变动申请、部门调配申请、职工聘任信息变更申请、报考公务员及其他事业单位备案等。</w:t>
            </w:r>
          </w:p>
        </w:tc>
      </w:tr>
      <w:tr w14:paraId="4856CBA2">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right w:val="single" w:color="000000" w:sz="4" w:space="0"/>
            </w:tcBorders>
            <w:shd w:val="clear" w:color="auto" w:fill="auto"/>
            <w:noWrap/>
            <w:vAlign w:val="center"/>
          </w:tcPr>
          <w:p w14:paraId="028FABB4">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137CC39">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业务类流程：请休假申请与审批（分员工、干部两种）、销假申请与审批、公出申请与审批、人事档案资料复印申请、考勤数据更正申请。</w:t>
            </w:r>
          </w:p>
        </w:tc>
      </w:tr>
      <w:tr w14:paraId="0765A509">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right w:val="single" w:color="000000" w:sz="4" w:space="0"/>
            </w:tcBorders>
            <w:shd w:val="clear" w:color="auto" w:fill="auto"/>
            <w:noWrap/>
            <w:vAlign w:val="center"/>
          </w:tcPr>
          <w:p w14:paraId="39DEC629">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1D302C8">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信息更新类流程：基本信息更新、学历信息更新、家庭成员信息更新、联系方式更新、职称信息更新、社会任职信息等。</w:t>
            </w:r>
          </w:p>
        </w:tc>
      </w:tr>
      <w:tr w14:paraId="5E483A4B">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right w:val="single" w:color="000000" w:sz="4" w:space="0"/>
            </w:tcBorders>
            <w:shd w:val="clear" w:color="auto" w:fill="auto"/>
            <w:noWrap/>
            <w:vAlign w:val="center"/>
          </w:tcPr>
          <w:p w14:paraId="563035ED">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AEF6756">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证明申请类流程：在职证明申请、收入证明申请、聘任证明、工资介绍信开具证明等。同时证明申请需要支持：补充信息，补充信息需要审批等场景自定义配置，满足各类证明生成场景。</w:t>
            </w:r>
          </w:p>
        </w:tc>
      </w:tr>
      <w:tr w14:paraId="54421D06">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right w:val="single" w:color="000000" w:sz="4" w:space="0"/>
            </w:tcBorders>
            <w:shd w:val="clear" w:color="auto" w:fill="auto"/>
            <w:noWrap/>
            <w:vAlign w:val="center"/>
          </w:tcPr>
          <w:p w14:paraId="5D791759">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4A87407">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针对大批量数据审核场景，支持自动根据审核人名单自动分配审核任务，且每个审核人只用关心自己的审核任务，而不是将所有的审核数据分给多个审核人，避免因重复审核增加的工作量。</w:t>
            </w:r>
          </w:p>
        </w:tc>
      </w:tr>
      <w:tr w14:paraId="4AF5E0DE">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right w:val="single" w:color="000000" w:sz="4" w:space="0"/>
            </w:tcBorders>
            <w:shd w:val="clear" w:color="auto" w:fill="auto"/>
            <w:noWrap/>
            <w:vAlign w:val="center"/>
          </w:tcPr>
          <w:p w14:paraId="65257D5D">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606AA6F">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审批人选取支持基于管理范围，基于部门关系，支持基于人与人关系自动选取是审批人。</w:t>
            </w:r>
          </w:p>
        </w:tc>
      </w:tr>
      <w:tr w14:paraId="6936236F">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right w:val="single" w:color="000000" w:sz="4" w:space="0"/>
            </w:tcBorders>
            <w:shd w:val="clear" w:color="auto" w:fill="auto"/>
            <w:noWrap/>
            <w:vAlign w:val="center"/>
          </w:tcPr>
          <w:p w14:paraId="4BBE67E3">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941DEB6">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各类业务流程办理结果自动记录业务历史数据，更新员工档案信息；</w:t>
            </w:r>
          </w:p>
        </w:tc>
      </w:tr>
      <w:tr w14:paraId="52D2A6C9">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05CCA7AC">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EE97716">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可以打印输出各种审批表格和模板。</w:t>
            </w:r>
          </w:p>
        </w:tc>
      </w:tr>
      <w:tr w14:paraId="38DA9757">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703D24C3">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439180B">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业务流程能够完成跨院区审批</w:t>
            </w:r>
          </w:p>
        </w:tc>
      </w:tr>
      <w:tr w14:paraId="0CA6E477">
        <w:tblPrEx>
          <w:tblCellMar>
            <w:top w:w="0" w:type="dxa"/>
            <w:left w:w="108" w:type="dxa"/>
            <w:bottom w:w="0" w:type="dxa"/>
            <w:right w:w="108" w:type="dxa"/>
          </w:tblCellMar>
        </w:tblPrEx>
        <w:trPr>
          <w:trHeight w:val="65"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4C761656">
            <w:pPr>
              <w:widowControl/>
              <w:shd w:val="clear" w:color="auto"/>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49E5E93">
            <w:pPr>
              <w:numPr>
                <w:ilvl w:val="0"/>
                <w:numId w:val="13"/>
              </w:numPr>
              <w:shd w:val="clear"/>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业务流程支持可视化自定义配置，业务角色管理范围支持多院区多维度下的审批业务的审批流程配置。</w:t>
            </w:r>
          </w:p>
        </w:tc>
      </w:tr>
      <w:tr w14:paraId="1E467AF4">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C7DCF">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00A10C18">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sz w:val="24"/>
                <w:highlight w:val="none"/>
              </w:rPr>
              <w:t>入职审批</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C64B2B">
            <w:pPr>
              <w:numPr>
                <w:ilvl w:val="0"/>
                <w:numId w:val="1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可承接预入职信息登记表或单独发起入职审批流程，线上完成人力部、用人部门、分管领导等环节的线上审批</w:t>
            </w:r>
          </w:p>
        </w:tc>
      </w:tr>
      <w:tr w14:paraId="4299990F">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245E3">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6427AE2">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FEDE4D">
            <w:pPr>
              <w:numPr>
                <w:ilvl w:val="0"/>
                <w:numId w:val="14"/>
              </w:numPr>
              <w:shd w:val="clear"/>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入职审批流程完成后员工信息自动转入正式员工库，开启正式员工管理。对二次入院但员工身份变动人员，能够支持员工工号变动并提醒管理员，相关数据信息自动继承，保证所有人员在数据库中有唯一id。</w:t>
            </w:r>
          </w:p>
        </w:tc>
      </w:tr>
      <w:tr w14:paraId="2B634CC5">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B7DDF">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2C8A5771">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9AC207">
            <w:pPr>
              <w:numPr>
                <w:ilvl w:val="0"/>
                <w:numId w:val="1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同时系统推送合同待办业务给合同管理岗，录入合同签订信息，并上传合同扫描件</w:t>
            </w:r>
          </w:p>
        </w:tc>
      </w:tr>
      <w:tr w14:paraId="7FF7770A">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546C4">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9B2C3F8">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DFA7BB">
            <w:pPr>
              <w:numPr>
                <w:ilvl w:val="0"/>
                <w:numId w:val="1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自动发起定薪待办任务给薪酬管理岗，根据任务通知在系统中办理入职定薪业务</w:t>
            </w:r>
          </w:p>
        </w:tc>
      </w:tr>
      <w:tr w14:paraId="157D5B95">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45156">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43C54B33">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8DB847">
            <w:pPr>
              <w:numPr>
                <w:ilvl w:val="0"/>
                <w:numId w:val="1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并通知全院如信息、财务等其他相关的职能管理部门，其它职能部门如有相应信息系统的能够同步数据推送过去。</w:t>
            </w:r>
          </w:p>
        </w:tc>
      </w:tr>
      <w:tr w14:paraId="0DF0A375">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89DDA">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78D3AB9E">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sz w:val="24"/>
                <w:highlight w:val="none"/>
              </w:rPr>
              <w:t>转正审批</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DD1FDF">
            <w:pPr>
              <w:numPr>
                <w:ilvl w:val="0"/>
                <w:numId w:val="1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系统自动预警即将转正人员（含试用期考核评估人员）</w:t>
            </w:r>
          </w:p>
        </w:tc>
      </w:tr>
      <w:tr w14:paraId="39DFBB21">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1BC05">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5DC7CD26">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ED2359">
            <w:pPr>
              <w:numPr>
                <w:ilvl w:val="0"/>
                <w:numId w:val="1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员工完成见习期考核后，根据考核等级结果能够发起转正审批流程，并推送待办至员工端</w:t>
            </w:r>
          </w:p>
        </w:tc>
      </w:tr>
      <w:tr w14:paraId="76AA14ED">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BDB06">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4FAA79F">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A89DA4">
            <w:pPr>
              <w:numPr>
                <w:ilvl w:val="0"/>
                <w:numId w:val="1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员工通过PC或移动端收到转正审批流程后，在线填写个人总结报告</w:t>
            </w:r>
          </w:p>
        </w:tc>
      </w:tr>
      <w:tr w14:paraId="31569717">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43F69">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7D84D9A8">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6B351A">
            <w:pPr>
              <w:numPr>
                <w:ilvl w:val="0"/>
                <w:numId w:val="1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经过用人部门、分管领导审批后确定是否转正</w:t>
            </w:r>
          </w:p>
        </w:tc>
      </w:tr>
      <w:tr w14:paraId="4BA245AF">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165C4">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77928889">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39D353">
            <w:pPr>
              <w:numPr>
                <w:ilvl w:val="0"/>
                <w:numId w:val="1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人力部门确认归档审批结果，并自动更新员工档案，员工自动进入一下管理环节（正式员工或延期转正进入下一试用环节）</w:t>
            </w:r>
          </w:p>
        </w:tc>
      </w:tr>
      <w:tr w14:paraId="51976D33">
        <w:tblPrEx>
          <w:tblCellMar>
            <w:top w:w="0" w:type="dxa"/>
            <w:left w:w="108" w:type="dxa"/>
            <w:bottom w:w="0" w:type="dxa"/>
            <w:right w:w="108" w:type="dxa"/>
          </w:tblCellMar>
        </w:tblPrEx>
        <w:trPr>
          <w:trHeight w:val="102"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532EA76C">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55F101F1">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1F7162">
            <w:pPr>
              <w:numPr>
                <w:ilvl w:val="0"/>
                <w:numId w:val="1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如涉及工资变动的，自动推送调薪待办任务给薪酬管理岗，开展调薪工作</w:t>
            </w:r>
          </w:p>
        </w:tc>
      </w:tr>
      <w:tr w14:paraId="62281DB5">
        <w:tblPrEx>
          <w:tblCellMar>
            <w:top w:w="0" w:type="dxa"/>
            <w:left w:w="108" w:type="dxa"/>
            <w:bottom w:w="0" w:type="dxa"/>
            <w:right w:w="108" w:type="dxa"/>
          </w:tblCellMar>
        </w:tblPrEx>
        <w:trPr>
          <w:trHeight w:val="153"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2A1FC">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44925A57">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sz w:val="24"/>
                <w:highlight w:val="none"/>
              </w:rPr>
              <w:t>调动审批</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8B2D71">
            <w:pPr>
              <w:numPr>
                <w:ilvl w:val="0"/>
                <w:numId w:val="1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人力部门发起员工调动审批流程，填写调动信息</w:t>
            </w:r>
          </w:p>
        </w:tc>
      </w:tr>
      <w:tr w14:paraId="54D88FE0">
        <w:tblPrEx>
          <w:tblCellMar>
            <w:top w:w="0" w:type="dxa"/>
            <w:left w:w="108" w:type="dxa"/>
            <w:bottom w:w="0" w:type="dxa"/>
            <w:right w:w="108" w:type="dxa"/>
          </w:tblCellMar>
        </w:tblPrEx>
        <w:trPr>
          <w:trHeight w:val="153"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F301C">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160C00F7">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0DF4E1">
            <w:pPr>
              <w:numPr>
                <w:ilvl w:val="0"/>
                <w:numId w:val="1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经调出部门、调入部门、分管领导等环节审批后，自动调入新的部门</w:t>
            </w:r>
          </w:p>
        </w:tc>
      </w:tr>
      <w:tr w14:paraId="37C1733A">
        <w:tblPrEx>
          <w:tblCellMar>
            <w:top w:w="0" w:type="dxa"/>
            <w:left w:w="108" w:type="dxa"/>
            <w:bottom w:w="0" w:type="dxa"/>
            <w:right w:w="108" w:type="dxa"/>
          </w:tblCellMar>
        </w:tblPrEx>
        <w:trPr>
          <w:trHeight w:val="153"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9F26F">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4574B4CE">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1CB40B">
            <w:pPr>
              <w:numPr>
                <w:ilvl w:val="0"/>
                <w:numId w:val="1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自动更新员工档案，留存调动历史记录</w:t>
            </w:r>
          </w:p>
        </w:tc>
      </w:tr>
      <w:tr w14:paraId="6BCE1C1D">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6212631A">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63375672">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C1207E">
            <w:pPr>
              <w:numPr>
                <w:ilvl w:val="0"/>
                <w:numId w:val="1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如涉及职级或薪酬待遇水平调整的，自动推送调薪待办任务给薪酬管理岗，开展调薪工作</w:t>
            </w:r>
          </w:p>
        </w:tc>
      </w:tr>
      <w:tr w14:paraId="0C138A74">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F4562">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036A776E">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sz w:val="24"/>
                <w:highlight w:val="none"/>
              </w:rPr>
              <w:t>离职审批</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C022A5">
            <w:pPr>
              <w:numPr>
                <w:ilvl w:val="0"/>
                <w:numId w:val="1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可开放员工自主发起离职审批流程，填写离职原因、预离职时间</w:t>
            </w:r>
          </w:p>
        </w:tc>
      </w:tr>
      <w:tr w14:paraId="69156DB5">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3D0E1">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EF6BC32">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37031F">
            <w:pPr>
              <w:numPr>
                <w:ilvl w:val="0"/>
                <w:numId w:val="1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经过用人部门、分管领导、人力部等部门审批后启动离职程序</w:t>
            </w:r>
          </w:p>
        </w:tc>
      </w:tr>
      <w:tr w14:paraId="6F77739D">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9C00F">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44DD663">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864ABE">
            <w:pPr>
              <w:numPr>
                <w:ilvl w:val="0"/>
                <w:numId w:val="1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自动流转至用人部门、财务、信息等其他职能部门进行离职交接确认后流转至人力资源部</w:t>
            </w:r>
          </w:p>
        </w:tc>
      </w:tr>
      <w:tr w14:paraId="011FAC75">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A7FB7">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0EB483B9">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B3B4B9">
            <w:pPr>
              <w:numPr>
                <w:ilvl w:val="0"/>
                <w:numId w:val="1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人力部办理离职手续，打印离职证明</w:t>
            </w:r>
          </w:p>
        </w:tc>
      </w:tr>
      <w:tr w14:paraId="003CAA07">
        <w:tblPrEx>
          <w:tblCellMar>
            <w:top w:w="0" w:type="dxa"/>
            <w:left w:w="108" w:type="dxa"/>
            <w:bottom w:w="0" w:type="dxa"/>
            <w:right w:w="108" w:type="dxa"/>
          </w:tblCellMar>
        </w:tblPrEx>
        <w:trPr>
          <w:trHeight w:val="10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226B8">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2E483024">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ED33D4">
            <w:pPr>
              <w:numPr>
                <w:ilvl w:val="0"/>
                <w:numId w:val="1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员工信息自动转入离职人员库管理</w:t>
            </w:r>
          </w:p>
        </w:tc>
      </w:tr>
      <w:tr w14:paraId="43D17B80">
        <w:tblPrEx>
          <w:tblCellMar>
            <w:top w:w="0" w:type="dxa"/>
            <w:left w:w="108" w:type="dxa"/>
            <w:bottom w:w="0" w:type="dxa"/>
            <w:right w:w="108" w:type="dxa"/>
          </w:tblCellMar>
        </w:tblPrEx>
        <w:trPr>
          <w:trHeight w:val="102"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547707D8">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22F367D5">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430257">
            <w:pPr>
              <w:numPr>
                <w:ilvl w:val="0"/>
                <w:numId w:val="1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系统自动推送调薪待办任务给薪酬管理岗，开展停薪工作</w:t>
            </w:r>
          </w:p>
        </w:tc>
      </w:tr>
      <w:tr w14:paraId="177DAEBC">
        <w:tblPrEx>
          <w:tblCellMar>
            <w:top w:w="0" w:type="dxa"/>
            <w:left w:w="108" w:type="dxa"/>
            <w:bottom w:w="0" w:type="dxa"/>
            <w:right w:w="108" w:type="dxa"/>
          </w:tblCellMar>
        </w:tblPrEx>
        <w:trPr>
          <w:trHeight w:val="75"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5736F">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043A9F36">
            <w:pPr>
              <w:shd w:val="clear"/>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退休</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C32242">
            <w:pPr>
              <w:numPr>
                <w:ilvl w:val="0"/>
                <w:numId w:val="1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系统自动将即将退休人员的预警提醒推送至人事管理岗</w:t>
            </w:r>
          </w:p>
        </w:tc>
      </w:tr>
      <w:tr w14:paraId="6B6739CF">
        <w:tblPrEx>
          <w:tblCellMar>
            <w:top w:w="0" w:type="dxa"/>
            <w:left w:w="108" w:type="dxa"/>
            <w:bottom w:w="0" w:type="dxa"/>
            <w:right w:w="108" w:type="dxa"/>
          </w:tblCellMar>
        </w:tblPrEx>
        <w:trPr>
          <w:trHeight w:val="75"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9C82D">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0808BF7">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03F738">
            <w:pPr>
              <w:numPr>
                <w:ilvl w:val="0"/>
                <w:numId w:val="1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人事管理岗办理退休相关手续（填写退休时间等）</w:t>
            </w:r>
          </w:p>
        </w:tc>
      </w:tr>
      <w:tr w14:paraId="4FB3736D">
        <w:tblPrEx>
          <w:tblCellMar>
            <w:top w:w="0" w:type="dxa"/>
            <w:left w:w="108" w:type="dxa"/>
            <w:bottom w:w="0" w:type="dxa"/>
            <w:right w:w="108" w:type="dxa"/>
          </w:tblCellMar>
        </w:tblPrEx>
        <w:trPr>
          <w:trHeight w:val="75"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C2083">
            <w:pPr>
              <w:shd w:val="clear"/>
              <w:spacing w:line="360" w:lineRule="auto"/>
              <w:textAlignment w:val="center"/>
              <w:rPr>
                <w:rFonts w:hint="eastAsia" w:ascii="宋体" w:hAnsi="宋体" w:cs="宋体"/>
                <w:color w:val="auto"/>
                <w:kern w:val="0"/>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1EEC43A">
            <w:pPr>
              <w:shd w:val="clear"/>
              <w:spacing w:line="360" w:lineRule="auto"/>
              <w:textAlignment w:val="center"/>
              <w:rPr>
                <w:rFonts w:hint="eastAsia" w:ascii="宋体" w:hAnsi="宋体" w:cs="宋体"/>
                <w:color w:val="auto"/>
                <w:kern w:val="0"/>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8CAD1F">
            <w:pPr>
              <w:numPr>
                <w:ilvl w:val="0"/>
                <w:numId w:val="1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员工信息自动转入退休人员库管理</w:t>
            </w:r>
          </w:p>
        </w:tc>
      </w:tr>
      <w:tr w14:paraId="6D95E98E">
        <w:tblPrEx>
          <w:tblCellMar>
            <w:top w:w="0" w:type="dxa"/>
            <w:left w:w="108" w:type="dxa"/>
            <w:bottom w:w="0" w:type="dxa"/>
            <w:right w:w="108" w:type="dxa"/>
          </w:tblCellMar>
        </w:tblPrEx>
        <w:trPr>
          <w:trHeight w:val="75"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2DC367C7">
            <w:pPr>
              <w:shd w:val="clear"/>
              <w:spacing w:line="360" w:lineRule="auto"/>
              <w:textAlignment w:val="center"/>
              <w:rPr>
                <w:rFonts w:hint="eastAsia" w:ascii="宋体" w:hAnsi="宋体" w:cs="宋体"/>
                <w:color w:val="auto"/>
                <w:kern w:val="0"/>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43E67FB8">
            <w:pPr>
              <w:shd w:val="clear"/>
              <w:spacing w:line="360" w:lineRule="auto"/>
              <w:textAlignment w:val="center"/>
              <w:rPr>
                <w:rFonts w:hint="eastAsia" w:ascii="宋体" w:hAnsi="宋体" w:cs="宋体"/>
                <w:color w:val="auto"/>
                <w:kern w:val="0"/>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DE8741">
            <w:pPr>
              <w:numPr>
                <w:ilvl w:val="0"/>
                <w:numId w:val="1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系统自动推送调薪待办任务给薪酬管理岗，开展停薪工作</w:t>
            </w:r>
          </w:p>
        </w:tc>
      </w:tr>
      <w:tr w14:paraId="3665AA72">
        <w:tblPrEx>
          <w:tblCellMar>
            <w:top w:w="0" w:type="dxa"/>
            <w:left w:w="108" w:type="dxa"/>
            <w:bottom w:w="0" w:type="dxa"/>
            <w:right w:w="108" w:type="dxa"/>
          </w:tblCellMar>
        </w:tblPrEx>
        <w:trPr>
          <w:trHeight w:val="204"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2C5EE">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288B4030">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sz w:val="24"/>
                <w:highlight w:val="none"/>
              </w:rPr>
              <w:t>在职死亡</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E95813">
            <w:pPr>
              <w:numPr>
                <w:ilvl w:val="0"/>
                <w:numId w:val="19"/>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人事科发起在职去世业务表单，并填写去世时间、去世原因、补贴金额、停薪时间等内容</w:t>
            </w:r>
          </w:p>
        </w:tc>
      </w:tr>
      <w:tr w14:paraId="6031C5FA">
        <w:tblPrEx>
          <w:tblCellMar>
            <w:top w:w="0" w:type="dxa"/>
            <w:left w:w="108" w:type="dxa"/>
            <w:bottom w:w="0" w:type="dxa"/>
            <w:right w:w="108" w:type="dxa"/>
          </w:tblCellMar>
        </w:tblPrEx>
        <w:trPr>
          <w:trHeight w:val="204"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5CE04">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5E3A377B">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FCE9E7">
            <w:pPr>
              <w:numPr>
                <w:ilvl w:val="0"/>
                <w:numId w:val="19"/>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提交业务表单，员工信息自动转入去死减员库管理，并自动生成相关材料</w:t>
            </w:r>
          </w:p>
        </w:tc>
      </w:tr>
      <w:tr w14:paraId="03B80D5E">
        <w:tblPrEx>
          <w:tblCellMar>
            <w:top w:w="0" w:type="dxa"/>
            <w:left w:w="108" w:type="dxa"/>
            <w:bottom w:w="0" w:type="dxa"/>
            <w:right w:w="108" w:type="dxa"/>
          </w:tblCellMar>
        </w:tblPrEx>
        <w:trPr>
          <w:trHeight w:val="204"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1C127F6A">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07C42AA4">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EC9AF2">
            <w:pPr>
              <w:numPr>
                <w:ilvl w:val="0"/>
                <w:numId w:val="19"/>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系统自动推送调薪待办任务给薪酬管理岗，开展停薪工作</w:t>
            </w:r>
          </w:p>
        </w:tc>
      </w:tr>
      <w:tr w14:paraId="6FCEDC3A">
        <w:tblPrEx>
          <w:tblCellMar>
            <w:top w:w="0" w:type="dxa"/>
            <w:left w:w="108" w:type="dxa"/>
            <w:bottom w:w="0" w:type="dxa"/>
            <w:right w:w="108" w:type="dxa"/>
          </w:tblCellMar>
        </w:tblPrEx>
        <w:trPr>
          <w:trHeight w:val="68"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31656A7B">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薪资管理</w:t>
            </w: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77583D6F">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薪资体系</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333805">
            <w:pPr>
              <w:numPr>
                <w:ilvl w:val="0"/>
                <w:numId w:val="2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根据医院薪酬管控要求，统一规医院工资发放项目体系，如固定工资、绩效工资、岗位工资、应发工资、实发工资等。后续可根据医院统一规划的管理要求，自定义调整。</w:t>
            </w:r>
          </w:p>
        </w:tc>
      </w:tr>
      <w:tr w14:paraId="32B1F3C7">
        <w:tblPrEx>
          <w:tblCellMar>
            <w:top w:w="0" w:type="dxa"/>
            <w:left w:w="108" w:type="dxa"/>
            <w:bottom w:w="0" w:type="dxa"/>
            <w:right w:w="108" w:type="dxa"/>
          </w:tblCellMar>
        </w:tblPrEx>
        <w:trPr>
          <w:trHeight w:val="68" w:hRule="atLeast"/>
          <w:jc w:val="center"/>
        </w:trPr>
        <w:tc>
          <w:tcPr>
            <w:tcW w:w="722" w:type="pct"/>
            <w:vMerge w:val="continue"/>
            <w:tcBorders>
              <w:left w:val="single" w:color="000000" w:sz="4" w:space="0"/>
              <w:right w:val="single" w:color="000000" w:sz="4" w:space="0"/>
            </w:tcBorders>
            <w:shd w:val="clear" w:color="auto" w:fill="auto"/>
            <w:noWrap/>
            <w:vAlign w:val="center"/>
          </w:tcPr>
          <w:p w14:paraId="0A776C1A">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437BEEAD">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C98984">
            <w:pPr>
              <w:numPr>
                <w:ilvl w:val="0"/>
                <w:numId w:val="2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统一规划工资标准体系，下属医院在同一套工资标准体系的情况下，可根据支行实际情况，自定义不同工资标准金额。工资变动或工资发放中，根据员工岗位、职务等级自动套取对应的工资标准。</w:t>
            </w:r>
          </w:p>
        </w:tc>
      </w:tr>
      <w:tr w14:paraId="0717C2DE">
        <w:tblPrEx>
          <w:tblCellMar>
            <w:top w:w="0" w:type="dxa"/>
            <w:left w:w="108" w:type="dxa"/>
            <w:bottom w:w="0" w:type="dxa"/>
            <w:right w:w="108" w:type="dxa"/>
          </w:tblCellMar>
        </w:tblPrEx>
        <w:trPr>
          <w:trHeight w:val="68" w:hRule="atLeast"/>
          <w:jc w:val="center"/>
        </w:trPr>
        <w:tc>
          <w:tcPr>
            <w:tcW w:w="722" w:type="pct"/>
            <w:vMerge w:val="continue"/>
            <w:tcBorders>
              <w:left w:val="single" w:color="000000" w:sz="4" w:space="0"/>
              <w:right w:val="single" w:color="000000" w:sz="4" w:space="0"/>
            </w:tcBorders>
            <w:shd w:val="clear" w:color="auto" w:fill="auto"/>
            <w:noWrap/>
            <w:vAlign w:val="center"/>
          </w:tcPr>
          <w:p w14:paraId="29D70467">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288C82D8">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C9CA7E">
            <w:pPr>
              <w:numPr>
                <w:ilvl w:val="0"/>
                <w:numId w:val="2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提供中、英文函数，在医院政策变动时，业务人员即可方便的通过汉化公式，调整工资计算规则。</w:t>
            </w:r>
          </w:p>
        </w:tc>
      </w:tr>
      <w:tr w14:paraId="522E2C73">
        <w:tblPrEx>
          <w:tblCellMar>
            <w:top w:w="0" w:type="dxa"/>
            <w:left w:w="108" w:type="dxa"/>
            <w:bottom w:w="0" w:type="dxa"/>
            <w:right w:w="108" w:type="dxa"/>
          </w:tblCellMar>
        </w:tblPrEx>
        <w:trPr>
          <w:trHeight w:val="68" w:hRule="atLeast"/>
          <w:jc w:val="center"/>
        </w:trPr>
        <w:tc>
          <w:tcPr>
            <w:tcW w:w="722" w:type="pct"/>
            <w:vMerge w:val="continue"/>
            <w:tcBorders>
              <w:left w:val="single" w:color="000000" w:sz="4" w:space="0"/>
              <w:right w:val="single" w:color="000000" w:sz="4" w:space="0"/>
            </w:tcBorders>
            <w:shd w:val="clear" w:color="auto" w:fill="auto"/>
            <w:noWrap/>
            <w:vAlign w:val="center"/>
          </w:tcPr>
          <w:p w14:paraId="3F1370C5">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F54B10B">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1DE13D">
            <w:pPr>
              <w:numPr>
                <w:ilvl w:val="0"/>
                <w:numId w:val="2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联动人事业务中涉及的工资变动业务，自动推送薪资变动待办任务，薪资管理岗根据待办任务，发起工资变动审批流程，实现内部各岗位间的工作协同</w:t>
            </w:r>
          </w:p>
        </w:tc>
      </w:tr>
      <w:tr w14:paraId="45B8E96A">
        <w:tblPrEx>
          <w:tblCellMar>
            <w:top w:w="0" w:type="dxa"/>
            <w:left w:w="108" w:type="dxa"/>
            <w:bottom w:w="0" w:type="dxa"/>
            <w:right w:w="108" w:type="dxa"/>
          </w:tblCellMar>
        </w:tblPrEx>
        <w:trPr>
          <w:trHeight w:val="68" w:hRule="atLeast"/>
          <w:jc w:val="center"/>
        </w:trPr>
        <w:tc>
          <w:tcPr>
            <w:tcW w:w="722" w:type="pct"/>
            <w:vMerge w:val="continue"/>
            <w:tcBorders>
              <w:left w:val="single" w:color="000000" w:sz="4" w:space="0"/>
              <w:right w:val="single" w:color="000000" w:sz="4" w:space="0"/>
            </w:tcBorders>
            <w:shd w:val="clear" w:color="auto" w:fill="auto"/>
            <w:noWrap/>
            <w:vAlign w:val="center"/>
          </w:tcPr>
          <w:p w14:paraId="6B00B19C">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17403D6A">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4C01F4">
            <w:pPr>
              <w:numPr>
                <w:ilvl w:val="0"/>
                <w:numId w:val="2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支持灵活自定义设置工资管理项目，如岗位级别、薪级、岗位工资、薪级工资、岗位津贴等，支持自动与岗位聘任信息关联，可直接引用岗位聘任等级作为工资等级。</w:t>
            </w:r>
          </w:p>
        </w:tc>
      </w:tr>
      <w:tr w14:paraId="4922AD04">
        <w:tblPrEx>
          <w:tblCellMar>
            <w:top w:w="0" w:type="dxa"/>
            <w:left w:w="108" w:type="dxa"/>
            <w:bottom w:w="0" w:type="dxa"/>
            <w:right w:w="108" w:type="dxa"/>
          </w:tblCellMar>
        </w:tblPrEx>
        <w:trPr>
          <w:trHeight w:val="68" w:hRule="atLeast"/>
          <w:jc w:val="center"/>
        </w:trPr>
        <w:tc>
          <w:tcPr>
            <w:tcW w:w="722" w:type="pct"/>
            <w:vMerge w:val="continue"/>
            <w:tcBorders>
              <w:left w:val="single" w:color="000000" w:sz="4" w:space="0"/>
              <w:right w:val="single" w:color="000000" w:sz="4" w:space="0"/>
            </w:tcBorders>
            <w:shd w:val="clear" w:color="auto" w:fill="auto"/>
            <w:noWrap/>
            <w:vAlign w:val="center"/>
          </w:tcPr>
          <w:p w14:paraId="183BA195">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44311EFE">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524A1D">
            <w:pPr>
              <w:numPr>
                <w:ilvl w:val="0"/>
                <w:numId w:val="2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支持自定义各种工资标准体系，如岗位工资标准、薪级工资标准、岗位津贴标准等，工资变动中可直接引用，自动计算岗位工资、薪级工资、学历工资、工龄工资等。工资标准调整后可保留历史的工资标准表。</w:t>
            </w:r>
          </w:p>
        </w:tc>
      </w:tr>
      <w:tr w14:paraId="683F8840">
        <w:tblPrEx>
          <w:tblCellMar>
            <w:top w:w="0" w:type="dxa"/>
            <w:left w:w="108" w:type="dxa"/>
            <w:bottom w:w="0" w:type="dxa"/>
            <w:right w:w="108" w:type="dxa"/>
          </w:tblCellMar>
        </w:tblPrEx>
        <w:trPr>
          <w:trHeight w:val="68" w:hRule="atLeast"/>
          <w:jc w:val="center"/>
        </w:trPr>
        <w:tc>
          <w:tcPr>
            <w:tcW w:w="722" w:type="pct"/>
            <w:vMerge w:val="continue"/>
            <w:tcBorders>
              <w:left w:val="single" w:color="000000" w:sz="4" w:space="0"/>
              <w:right w:val="single" w:color="000000" w:sz="4" w:space="0"/>
            </w:tcBorders>
            <w:shd w:val="clear" w:color="auto" w:fill="auto"/>
            <w:noWrap/>
            <w:vAlign w:val="center"/>
          </w:tcPr>
          <w:p w14:paraId="421F487F">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E572752">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DB3DA1">
            <w:pPr>
              <w:numPr>
                <w:ilvl w:val="0"/>
                <w:numId w:val="2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自定义工资计算公式，可分别对不同工资变动表、工资类别、不同工资项目进行计算公式设置。</w:t>
            </w:r>
          </w:p>
        </w:tc>
      </w:tr>
      <w:tr w14:paraId="7D56ADC7">
        <w:tblPrEx>
          <w:tblCellMar>
            <w:top w:w="0" w:type="dxa"/>
            <w:left w:w="108" w:type="dxa"/>
            <w:bottom w:w="0" w:type="dxa"/>
            <w:right w:w="108" w:type="dxa"/>
          </w:tblCellMar>
        </w:tblPrEx>
        <w:trPr>
          <w:trHeight w:val="68" w:hRule="atLeast"/>
          <w:jc w:val="center"/>
        </w:trPr>
        <w:tc>
          <w:tcPr>
            <w:tcW w:w="722" w:type="pct"/>
            <w:vMerge w:val="continue"/>
            <w:tcBorders>
              <w:left w:val="single" w:color="000000" w:sz="4" w:space="0"/>
              <w:right w:val="single" w:color="000000" w:sz="4" w:space="0"/>
            </w:tcBorders>
            <w:shd w:val="clear" w:color="auto" w:fill="auto"/>
            <w:noWrap/>
            <w:vAlign w:val="center"/>
          </w:tcPr>
          <w:p w14:paraId="5F829922">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7707B34">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6B65F7">
            <w:pPr>
              <w:numPr>
                <w:ilvl w:val="0"/>
                <w:numId w:val="2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支持自定义各种工资变动审批表，在审批表中自定义计算公式，引用工资标准自动计算完成工资变动，并批量打印工资变动审批表，生成本月工资变动名册</w:t>
            </w:r>
          </w:p>
        </w:tc>
      </w:tr>
      <w:tr w14:paraId="0FF6DAD1">
        <w:tblPrEx>
          <w:tblCellMar>
            <w:top w:w="0" w:type="dxa"/>
            <w:left w:w="108" w:type="dxa"/>
            <w:bottom w:w="0" w:type="dxa"/>
            <w:right w:w="108" w:type="dxa"/>
          </w:tblCellMar>
        </w:tblPrEx>
        <w:trPr>
          <w:trHeight w:val="68"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1F4157A3">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4D795A5B">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BFB9AF">
            <w:pPr>
              <w:numPr>
                <w:ilvl w:val="0"/>
                <w:numId w:val="2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支持档案工资日常变动的业务处理与审核，并套打工资变动审批表归档到职工的个人档案中</w:t>
            </w:r>
          </w:p>
        </w:tc>
      </w:tr>
      <w:tr w14:paraId="2D8C5401">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9B7C4">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000000" w:sz="4" w:space="0"/>
            </w:tcBorders>
            <w:shd w:val="clear" w:color="auto" w:fill="auto"/>
            <w:vAlign w:val="center"/>
          </w:tcPr>
          <w:p w14:paraId="0D1D67F0">
            <w:pPr>
              <w:shd w:val="clear"/>
              <w:spacing w:line="360" w:lineRule="auto"/>
              <w:jc w:val="center"/>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事业单位档案薪资管理</w:t>
            </w: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C12AEE">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入职定薪：</w:t>
            </w:r>
          </w:p>
        </w:tc>
      </w:tr>
      <w:tr w14:paraId="5E4229FA">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A1C8D">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459AED74">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275AA4">
            <w:pPr>
              <w:numPr>
                <w:ilvl w:val="0"/>
                <w:numId w:val="2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员工入职手续办理完成后，联动推送工资变动待办任务给工资管理岗</w:t>
            </w:r>
          </w:p>
        </w:tc>
      </w:tr>
      <w:tr w14:paraId="21D83EAF">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D9605">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E8209D4">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90EE5C">
            <w:pPr>
              <w:numPr>
                <w:ilvl w:val="0"/>
                <w:numId w:val="2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工资管理岗根据待办任务发起工资变动流程，同时在流程中自动接入员工入职信息，不用重复填写、核对员工信息</w:t>
            </w:r>
          </w:p>
        </w:tc>
      </w:tr>
      <w:tr w14:paraId="083B54EC">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ADBCA">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039F244">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58ECAD">
            <w:pPr>
              <w:numPr>
                <w:ilvl w:val="0"/>
                <w:numId w:val="2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工资管理岗核定试用期工资后，流转至人力部领导审批</w:t>
            </w:r>
          </w:p>
        </w:tc>
      </w:tr>
      <w:tr w14:paraId="04AFD25C">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E0EF1">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09599794">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62F73E">
            <w:pPr>
              <w:numPr>
                <w:ilvl w:val="0"/>
                <w:numId w:val="2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审批通过的工资标准，存档至员工档案，留存变动历史记录</w:t>
            </w:r>
          </w:p>
        </w:tc>
      </w:tr>
      <w:tr w14:paraId="36ED2D88">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69937">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5D4388BB">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65A013">
            <w:pPr>
              <w:numPr>
                <w:ilvl w:val="0"/>
                <w:numId w:val="2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自动生成并打印输出月度工资变动报表给财务部门</w:t>
            </w:r>
          </w:p>
        </w:tc>
      </w:tr>
      <w:tr w14:paraId="0C17D192">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28FA3">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264AAFD8">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F35AB5">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转正定级：</w:t>
            </w:r>
          </w:p>
        </w:tc>
      </w:tr>
      <w:tr w14:paraId="780977B6">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ADB1F">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EE5F80A">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73207F">
            <w:pPr>
              <w:numPr>
                <w:ilvl w:val="0"/>
                <w:numId w:val="2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员工转正审批流程完成后，联动推送工资变动待办任务给工资管理岗</w:t>
            </w:r>
          </w:p>
        </w:tc>
      </w:tr>
      <w:tr w14:paraId="3BEB254E">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6C423">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10125206">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C66D79">
            <w:pPr>
              <w:numPr>
                <w:ilvl w:val="0"/>
                <w:numId w:val="2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工资管理岗根据待办任务发起工资变动流程，同时在流程中自动接入员工转正信息</w:t>
            </w:r>
          </w:p>
        </w:tc>
      </w:tr>
      <w:tr w14:paraId="2AFCABC3">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0DBF3">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EF94130">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9DD44E">
            <w:pPr>
              <w:numPr>
                <w:ilvl w:val="0"/>
                <w:numId w:val="2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工资管理岗核定转正后工资，流转至相关领导审批</w:t>
            </w:r>
          </w:p>
        </w:tc>
      </w:tr>
      <w:tr w14:paraId="454CE191">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E36BE">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6BE72762">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33BEA8">
            <w:pPr>
              <w:numPr>
                <w:ilvl w:val="0"/>
                <w:numId w:val="2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审批通过的新工资标准，存档至员工档案，留存变动历史记录</w:t>
            </w:r>
          </w:p>
        </w:tc>
      </w:tr>
      <w:tr w14:paraId="0FCA7499">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4A825">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52692713">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5F1299">
            <w:pPr>
              <w:numPr>
                <w:ilvl w:val="0"/>
                <w:numId w:val="2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自动生成5并打印输出月度工资变动报表给财务部门</w:t>
            </w:r>
          </w:p>
        </w:tc>
      </w:tr>
      <w:tr w14:paraId="6AC27F5B">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1D2B9">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72F2E20">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1C0021">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岗位、职务变动：</w:t>
            </w:r>
          </w:p>
        </w:tc>
      </w:tr>
      <w:tr w14:paraId="267A990A">
        <w:tblPrEx>
          <w:tblCellMar>
            <w:top w:w="0" w:type="dxa"/>
            <w:left w:w="108" w:type="dxa"/>
            <w:bottom w:w="0" w:type="dxa"/>
            <w:right w:w="108" w:type="dxa"/>
          </w:tblCellMar>
        </w:tblPrEx>
        <w:trPr>
          <w:trHeight w:val="8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16125">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000000" w:sz="4" w:space="0"/>
            </w:tcBorders>
            <w:shd w:val="clear" w:color="auto" w:fill="auto"/>
            <w:vAlign w:val="center"/>
          </w:tcPr>
          <w:p w14:paraId="3F5A2A8B">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DC3352">
            <w:pPr>
              <w:numPr>
                <w:ilvl w:val="0"/>
                <w:numId w:val="2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涉及工资调整的岗位、职务变动的人事业务流程完成后，联动推送工资变动待办任务给工资管理岗</w:t>
            </w:r>
          </w:p>
        </w:tc>
      </w:tr>
      <w:tr w14:paraId="4690A4C8">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5ED907BB">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222BB499">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7E29C2">
            <w:pPr>
              <w:numPr>
                <w:ilvl w:val="0"/>
                <w:numId w:val="2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工资管理岗根据待办任务发起工资变动流程，同时在流程中自动接入员工岗位、职务变动信息，工资管理岗根据新的岗位、职务核定新的工资标准</w:t>
            </w:r>
          </w:p>
        </w:tc>
      </w:tr>
      <w:tr w14:paraId="6C993850">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15A9B290">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016A80FF">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95303B">
            <w:pPr>
              <w:numPr>
                <w:ilvl w:val="0"/>
                <w:numId w:val="2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工资管理岗核定新的岗位、职务工资后，流转至相关领导审批</w:t>
            </w:r>
          </w:p>
        </w:tc>
      </w:tr>
      <w:tr w14:paraId="5D23023A">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4D91CE9E">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5A979F4D">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C8109B">
            <w:pPr>
              <w:numPr>
                <w:ilvl w:val="0"/>
                <w:numId w:val="2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审批通过的新工资标准，存档至员工档案，留存变动历史记录</w:t>
            </w:r>
          </w:p>
        </w:tc>
      </w:tr>
      <w:tr w14:paraId="1E15F131">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79BF24E6">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36B536D9">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67FCE1">
            <w:pPr>
              <w:numPr>
                <w:ilvl w:val="0"/>
                <w:numId w:val="2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自动生成5并打印输出月度工资变动报表给财务部门</w:t>
            </w:r>
          </w:p>
        </w:tc>
      </w:tr>
      <w:tr w14:paraId="0D3DC022">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34D93A0E">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4C6AE862">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E211436">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批量调薪：</w:t>
            </w:r>
          </w:p>
        </w:tc>
      </w:tr>
      <w:tr w14:paraId="44F70A8B">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141D682C">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2AE62143">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3A2805">
            <w:pPr>
              <w:numPr>
                <w:ilvl w:val="0"/>
                <w:numId w:val="2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系统根据薪酬制度，自动筛选符合年度调薪人员</w:t>
            </w:r>
          </w:p>
        </w:tc>
      </w:tr>
      <w:tr w14:paraId="57CDEC00">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006FE22F">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5BEC54E7">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7C2EDE">
            <w:pPr>
              <w:numPr>
                <w:ilvl w:val="0"/>
                <w:numId w:val="2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拉取基本信息与原工资标准至工资变动审批表，系统自动根据薪酬制度的批量调薪规则，对符合调薪人员一键计算调整后工资标准</w:t>
            </w:r>
          </w:p>
        </w:tc>
      </w:tr>
      <w:tr w14:paraId="5F5CEA8B">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67F72AA0">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0D6BE8B0">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FDE8A9">
            <w:pPr>
              <w:numPr>
                <w:ilvl w:val="0"/>
                <w:numId w:val="2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工资管理岗核定新的调整工资后，流转至相关领导审批</w:t>
            </w:r>
          </w:p>
        </w:tc>
      </w:tr>
      <w:tr w14:paraId="27CD7171">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02866DC7">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1EFF02EA">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8F3F9F">
            <w:pPr>
              <w:numPr>
                <w:ilvl w:val="0"/>
                <w:numId w:val="2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审批通过的新工资标准，存档至员工档案，留存变动历史记录</w:t>
            </w:r>
          </w:p>
        </w:tc>
      </w:tr>
      <w:tr w14:paraId="6DC267FB">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13D22AE9">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7A3B7136">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63B0A3">
            <w:pPr>
              <w:numPr>
                <w:ilvl w:val="0"/>
                <w:numId w:val="2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自动生成5并打印输出月度工资变动报表给财务部门</w:t>
            </w:r>
          </w:p>
        </w:tc>
      </w:tr>
      <w:tr w14:paraId="0532E725">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180DE73A">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2CF78655">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C56B12">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离职、退休停薪：</w:t>
            </w:r>
          </w:p>
        </w:tc>
      </w:tr>
      <w:tr w14:paraId="488F0AC9">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0EA0AC65">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7BDFD7B4">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59E773">
            <w:pPr>
              <w:numPr>
                <w:ilvl w:val="0"/>
                <w:numId w:val="2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离职、退休手续办理完后，联动推送停薪待办任务给工资管理岗</w:t>
            </w:r>
          </w:p>
        </w:tc>
      </w:tr>
      <w:tr w14:paraId="061FCEEC">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369BE42D">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655D3296">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170AFC">
            <w:pPr>
              <w:numPr>
                <w:ilvl w:val="0"/>
                <w:numId w:val="2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工资管理岗根据待办任务发起停薪流程，同时在流程中自动接入员工离职、退休时间等信息，工资管理岗核定停薪时间，流转至相关领导审批</w:t>
            </w:r>
          </w:p>
        </w:tc>
      </w:tr>
      <w:tr w14:paraId="737590FF">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5B8A04E2">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3F478A0E">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687F1D">
            <w:pPr>
              <w:numPr>
                <w:ilvl w:val="0"/>
                <w:numId w:val="2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停薪时间审批通过后，存档至员工档案，留存变动历史记录</w:t>
            </w:r>
          </w:p>
        </w:tc>
      </w:tr>
      <w:tr w14:paraId="46C427F7">
        <w:tblPrEx>
          <w:tblCellMar>
            <w:top w:w="0" w:type="dxa"/>
            <w:left w:w="108" w:type="dxa"/>
            <w:bottom w:w="0" w:type="dxa"/>
            <w:right w:w="108" w:type="dxa"/>
          </w:tblCellMar>
        </w:tblPrEx>
        <w:trPr>
          <w:trHeight w:val="31"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16223825">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000000" w:sz="4" w:space="0"/>
            </w:tcBorders>
            <w:shd w:val="clear" w:color="auto" w:fill="auto"/>
            <w:vAlign w:val="center"/>
          </w:tcPr>
          <w:p w14:paraId="1FD69CFE">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94B77D">
            <w:pPr>
              <w:numPr>
                <w:ilvl w:val="0"/>
                <w:numId w:val="25"/>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自动生成5并打印输出月度工资变动报表给财务部门</w:t>
            </w:r>
          </w:p>
        </w:tc>
      </w:tr>
      <w:tr w14:paraId="0D8F007B">
        <w:tblPrEx>
          <w:tblCellMar>
            <w:top w:w="0" w:type="dxa"/>
            <w:left w:w="108" w:type="dxa"/>
            <w:bottom w:w="0" w:type="dxa"/>
            <w:right w:w="108" w:type="dxa"/>
          </w:tblCellMar>
        </w:tblPrEx>
        <w:trPr>
          <w:trHeight w:val="153"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0CECC562">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薪资管理</w:t>
            </w:r>
          </w:p>
        </w:tc>
        <w:tc>
          <w:tcPr>
            <w:tcW w:w="442" w:type="pct"/>
            <w:vMerge w:val="restart"/>
            <w:tcBorders>
              <w:top w:val="single" w:color="000000" w:sz="4" w:space="0"/>
              <w:left w:val="single" w:color="000000" w:sz="4" w:space="0"/>
              <w:right w:val="single" w:color="auto" w:sz="4" w:space="0"/>
            </w:tcBorders>
            <w:shd w:val="clear" w:color="auto" w:fill="auto"/>
            <w:noWrap/>
            <w:vAlign w:val="center"/>
          </w:tcPr>
          <w:p w14:paraId="1D87C11C">
            <w:pPr>
              <w:shd w:val="clear"/>
              <w:spacing w:line="360" w:lineRule="auto"/>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薪资核算发放</w:t>
            </w: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629B744A">
            <w:pPr>
              <w:widowControl/>
              <w:numPr>
                <w:ilvl w:val="255"/>
                <w:numId w:val="0"/>
              </w:numPr>
              <w:shd w:val="clear" w:color="auto"/>
              <w:spacing w:line="360" w:lineRule="auto"/>
              <w:jc w:val="left"/>
              <w:rPr>
                <w:rFonts w:hint="eastAsia" w:ascii="宋体" w:hAnsi="宋体" w:cs="宋体"/>
                <w:color w:val="auto"/>
                <w:sz w:val="24"/>
                <w:highlight w:val="none"/>
              </w:rPr>
            </w:pPr>
            <w:r>
              <w:rPr>
                <w:rFonts w:hint="eastAsia" w:ascii="宋体" w:hAnsi="宋体" w:cs="宋体"/>
                <w:color w:val="auto"/>
                <w:kern w:val="0"/>
                <w:sz w:val="24"/>
                <w:highlight w:val="none"/>
              </w:rPr>
              <w:t>1、支持自定义不同工资发放的账套</w:t>
            </w:r>
          </w:p>
        </w:tc>
      </w:tr>
      <w:tr w14:paraId="5035CEBE">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61174602">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7F567CC5">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19223474">
            <w:pPr>
              <w:widowControl/>
              <w:numPr>
                <w:ilvl w:val="255"/>
                <w:numId w:val="0"/>
              </w:numPr>
              <w:shd w:val="clear" w:color="auto"/>
              <w:spacing w:line="360" w:lineRule="auto"/>
              <w:jc w:val="left"/>
              <w:rPr>
                <w:rFonts w:hint="eastAsia" w:ascii="宋体" w:hAnsi="宋体" w:cs="宋体"/>
                <w:color w:val="auto"/>
                <w:sz w:val="24"/>
                <w:highlight w:val="none"/>
              </w:rPr>
            </w:pPr>
            <w:r>
              <w:rPr>
                <w:rFonts w:hint="eastAsia" w:ascii="宋体" w:hAnsi="宋体" w:cs="宋体"/>
                <w:color w:val="auto"/>
                <w:kern w:val="0"/>
                <w:sz w:val="24"/>
                <w:highlight w:val="none"/>
              </w:rPr>
              <w:t>2、支持自定义工资发放表，工资发放表中可自定义调整工资发放项目、工资计算公式。可根据不同的发放类别分别制定工资发放表。</w:t>
            </w:r>
          </w:p>
        </w:tc>
      </w:tr>
      <w:tr w14:paraId="62B69E06">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30B08C62">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7B1840C3">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666E8A6D">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3、支持薪资项目数据外部EXCEL表导入、历史数据自动导入，工资项目可批量计算与处理。薪资公式定义易学易用，业务人员经过简短培训就可以掌握；</w:t>
            </w:r>
          </w:p>
        </w:tc>
      </w:tr>
      <w:tr w14:paraId="64A2DDD4">
        <w:tblPrEx>
          <w:tblCellMar>
            <w:top w:w="0" w:type="dxa"/>
            <w:left w:w="108" w:type="dxa"/>
            <w:bottom w:w="0" w:type="dxa"/>
            <w:right w:w="108" w:type="dxa"/>
          </w:tblCellMar>
        </w:tblPrEx>
        <w:trPr>
          <w:trHeight w:val="677" w:hRule="atLeast"/>
          <w:jc w:val="center"/>
        </w:trPr>
        <w:tc>
          <w:tcPr>
            <w:tcW w:w="722" w:type="pct"/>
            <w:vMerge w:val="continue"/>
            <w:tcBorders>
              <w:left w:val="single" w:color="000000" w:sz="4" w:space="0"/>
              <w:right w:val="single" w:color="000000" w:sz="4" w:space="0"/>
            </w:tcBorders>
            <w:shd w:val="clear" w:color="auto" w:fill="auto"/>
            <w:noWrap/>
            <w:vAlign w:val="center"/>
          </w:tcPr>
          <w:p w14:paraId="37542744">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315360AB">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5D2E129D">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4、支持为每个工资项目自定义计算公式，并且所有计算公式均可通过汉化函数定义，不需要sql语言或开发能力</w:t>
            </w:r>
          </w:p>
        </w:tc>
      </w:tr>
      <w:tr w14:paraId="7468E6CB">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32528860">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3630DB84">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04835108">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5、支持员工当月所有薪酬分为多次发放；</w:t>
            </w:r>
          </w:p>
        </w:tc>
      </w:tr>
      <w:tr w14:paraId="44E5A4F4">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10CD96A6">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25E8B656">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310AE518">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6、薪资模块支持与保险数据、考勤数据和绩效数据等外部业务数据导入。在计算薪酬时，根据导入的数据结果作为工资项目进行计算。</w:t>
            </w:r>
          </w:p>
        </w:tc>
      </w:tr>
      <w:tr w14:paraId="5CB2A6AB">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5BB5C964">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48F8A235">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0A6706F9">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7、薪酬标准设计方面，可与人力资源系统中的岗位、职务、职位、职级体系相结合，制订并执行不同的薪酬标准和福利标准；</w:t>
            </w:r>
          </w:p>
        </w:tc>
      </w:tr>
      <w:tr w14:paraId="54D4BF4D">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7EB2D06D">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6D6F79C3">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4C504963">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8、支持数据导入、输入及导出功能。针对薪资方面的一些原始数据，系统能提供多种数据获取的方式：将EXCEL文件导入或通过数据采集的方式获取等；</w:t>
            </w:r>
          </w:p>
        </w:tc>
      </w:tr>
      <w:tr w14:paraId="269CAD82">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082C9A00">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4ACCDB95">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76B36C9B">
            <w:pPr>
              <w:widowControl/>
              <w:numPr>
                <w:ilvl w:val="255"/>
                <w:numId w:val="0"/>
              </w:numPr>
              <w:shd w:val="clear" w:color="auto"/>
              <w:spacing w:line="360" w:lineRule="auto"/>
              <w:jc w:val="left"/>
              <w:rPr>
                <w:rFonts w:hint="eastAsia" w:ascii="宋体" w:hAnsi="宋体" w:cs="宋体"/>
                <w:color w:val="auto"/>
                <w:sz w:val="24"/>
                <w:highlight w:val="none"/>
              </w:rPr>
            </w:pPr>
            <w:r>
              <w:rPr>
                <w:rFonts w:hint="eastAsia" w:ascii="宋体" w:hAnsi="宋体" w:cs="宋体"/>
                <w:color w:val="auto"/>
                <w:kern w:val="0"/>
                <w:sz w:val="24"/>
                <w:highlight w:val="none"/>
              </w:rPr>
              <w:t>9、支持建立多种薪资报表，也可按规定格式的报表，并提供多套工资表。可以按照实际需要，自由设定多个薪资报表的模板；可以自由设定员工工资单的项目，实现打印工资单、email发送、员工网上查询工资单三种方式；</w:t>
            </w:r>
          </w:p>
        </w:tc>
      </w:tr>
      <w:tr w14:paraId="673E484C">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7C9BC079">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071D4907">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0E10D675">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10、支持各种工资条、银行报盘和薪资报表的自动生成与输出</w:t>
            </w:r>
          </w:p>
        </w:tc>
      </w:tr>
      <w:tr w14:paraId="497B54FE">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28581089">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auto" w:sz="4" w:space="0"/>
            </w:tcBorders>
            <w:shd w:val="clear" w:color="auto" w:fill="auto"/>
            <w:noWrap/>
            <w:vAlign w:val="center"/>
          </w:tcPr>
          <w:p w14:paraId="25BF4146">
            <w:pPr>
              <w:shd w:val="clear"/>
              <w:spacing w:line="360" w:lineRule="auto"/>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薪资数据应用</w:t>
            </w: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2872208F">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1、通过人力资源管理系统提供数据格式（工号、姓名、银行卡）。</w:t>
            </w:r>
          </w:p>
        </w:tc>
      </w:tr>
      <w:tr w14:paraId="5291BF58">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4CE9BA7A">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4211E992">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2F0792C3">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2、通过人力资源管理系统员工填写银行卡信息。经过财务部门审核后更新员工银行卡信息。</w:t>
            </w:r>
          </w:p>
        </w:tc>
      </w:tr>
      <w:tr w14:paraId="19028AA8">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67D47CA2">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1F6014FA">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013CF2C0">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3、系统提供人力成本、薪资分析报表模型，可根据实际需求采用模型或根据医院要求制作人力成本和工资分析报表。</w:t>
            </w:r>
          </w:p>
        </w:tc>
      </w:tr>
      <w:tr w14:paraId="2226F712">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2142031F">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56312F06">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55CE3E0B">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4、支持薪资查询和汇总分析统计功能。能对各机构的人工成本情况进行跟踪、统计、分析，提供当年、历年的人工成本的统计分析功能；</w:t>
            </w:r>
          </w:p>
        </w:tc>
      </w:tr>
      <w:tr w14:paraId="64231804">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7030D57F">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7878FF05">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35545A36">
            <w:pPr>
              <w:widowControl/>
              <w:numPr>
                <w:ilvl w:val="255"/>
                <w:numId w:val="0"/>
              </w:numPr>
              <w:shd w:val="clear" w:color="auto"/>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5、支持对数据根据不同条件进行分类查询、组合查询、筛选、表格输出；</w:t>
            </w:r>
          </w:p>
        </w:tc>
      </w:tr>
      <w:tr w14:paraId="6B73B575">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14E4DFAA">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1ACBB10C">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500815C8">
            <w:pPr>
              <w:numPr>
                <w:ilvl w:val="255"/>
                <w:numId w:val="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6、员工通过人力资源管理系统共享服务平台可查询当月薪资和历史薪资情况。</w:t>
            </w:r>
          </w:p>
        </w:tc>
      </w:tr>
      <w:tr w14:paraId="2EB6E2C2">
        <w:tblPrEx>
          <w:tblCellMar>
            <w:top w:w="0" w:type="dxa"/>
            <w:left w:w="108" w:type="dxa"/>
            <w:bottom w:w="0" w:type="dxa"/>
            <w:right w:w="108" w:type="dxa"/>
          </w:tblCellMar>
        </w:tblPrEx>
        <w:trPr>
          <w:trHeight w:val="153"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405011C5">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考核</w:t>
            </w:r>
          </w:p>
        </w:tc>
        <w:tc>
          <w:tcPr>
            <w:tcW w:w="442" w:type="pct"/>
            <w:vMerge w:val="restart"/>
            <w:tcBorders>
              <w:top w:val="single" w:color="000000" w:sz="4" w:space="0"/>
              <w:left w:val="single" w:color="000000" w:sz="4" w:space="0"/>
              <w:right w:val="single" w:color="auto" w:sz="4" w:space="0"/>
            </w:tcBorders>
            <w:shd w:val="clear" w:color="auto" w:fill="auto"/>
            <w:noWrap/>
            <w:vAlign w:val="center"/>
          </w:tcPr>
          <w:p w14:paraId="5644354A">
            <w:pPr>
              <w:shd w:val="clear"/>
              <w:spacing w:line="360" w:lineRule="auto"/>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组织绩效考核</w:t>
            </w: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5AF79768">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个人年度重点项目结果可以直接录入系统。</w:t>
            </w:r>
          </w:p>
        </w:tc>
      </w:tr>
      <w:tr w14:paraId="1005195B">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3EC4FC58">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2B60DFD4">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46996EEF">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五个一的考核结果直接录入，人事科确定录入方式。</w:t>
            </w:r>
          </w:p>
        </w:tc>
      </w:tr>
      <w:tr w14:paraId="73251077">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43CF410F">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1209C76E">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1E40A3B0">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支持自定义定量考核指标，如临床医技科室的KPI考核指标绝大多数都是定量指标，</w:t>
            </w:r>
          </w:p>
        </w:tc>
      </w:tr>
      <w:tr w14:paraId="0C54858F">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38E28DE7">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3AC39FC6">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693A83F3">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支持KPI定量指标有基本（录分、计算规则）、加分、减分、一键否决多种录入方式。</w:t>
            </w:r>
          </w:p>
        </w:tc>
      </w:tr>
      <w:tr w14:paraId="1C7069CA">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3AE8AA37">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45151B44">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74069F79">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支持直接手工录入定量指标的分数</w:t>
            </w:r>
          </w:p>
        </w:tc>
      </w:tr>
      <w:tr w14:paraId="04CCC155">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124ECCE1">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3DC008B1">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2C547F62">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要求加分、减分、一票否决的定量指标可以根据录入的加减分、一票否决的关键事件自动加扣分</w:t>
            </w:r>
          </w:p>
        </w:tc>
      </w:tr>
      <w:tr w14:paraId="1E6180B7">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30D4C182">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52328E0F">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11C7F680">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可根据录入的业绩数据、结果和关键事件等数据自动计算绩效目标结果</w:t>
            </w:r>
          </w:p>
        </w:tc>
      </w:tr>
      <w:tr w14:paraId="37D9613A">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30D2E1D9">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591614E9">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64E1F7BE">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考核结果需要按照实际考核模版的分值进行折算，需要按照维度折算。</w:t>
            </w:r>
          </w:p>
        </w:tc>
      </w:tr>
      <w:tr w14:paraId="357D329A">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678DA74C">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7B359E8A">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76EAF270">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专科部目前在系统组织架构上未体现，需要详细分析架构。</w:t>
            </w:r>
          </w:p>
        </w:tc>
      </w:tr>
      <w:tr w14:paraId="2A325ABD">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6F1520B6">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710F0732">
            <w:pPr>
              <w:shd w:val="clear"/>
              <w:spacing w:line="360" w:lineRule="auto"/>
              <w:textAlignment w:val="center"/>
              <w:rPr>
                <w:rFonts w:hint="eastAsia" w:ascii="宋体" w:hAnsi="宋体" w:cs="宋体"/>
                <w:b/>
                <w:bCs/>
                <w:color w:val="auto"/>
                <w:kern w:val="0"/>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4E08790B">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分数、排名系统自动计算出来，导出汇总表，医院上会确定等级后，再将上会确认结果然后导入系统归档、开放员工查询。</w:t>
            </w:r>
          </w:p>
        </w:tc>
      </w:tr>
      <w:tr w14:paraId="7D85A68C">
        <w:tblPrEx>
          <w:tblCellMar>
            <w:top w:w="0" w:type="dxa"/>
            <w:left w:w="108" w:type="dxa"/>
            <w:bottom w:w="0" w:type="dxa"/>
            <w:right w:w="108" w:type="dxa"/>
          </w:tblCellMar>
        </w:tblPrEx>
        <w:trPr>
          <w:trHeight w:val="153"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4D6F3C52">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员工考核</w:t>
            </w:r>
          </w:p>
        </w:tc>
        <w:tc>
          <w:tcPr>
            <w:tcW w:w="442" w:type="pct"/>
            <w:vMerge w:val="restart"/>
            <w:tcBorders>
              <w:top w:val="single" w:color="000000" w:sz="4" w:space="0"/>
              <w:left w:val="single" w:color="000000" w:sz="4" w:space="0"/>
              <w:right w:val="single" w:color="auto" w:sz="4" w:space="0"/>
            </w:tcBorders>
            <w:shd w:val="clear" w:color="auto" w:fill="auto"/>
            <w:noWrap/>
            <w:vAlign w:val="center"/>
          </w:tcPr>
          <w:p w14:paraId="13D1C063">
            <w:pPr>
              <w:shd w:val="clear"/>
              <w:spacing w:line="360" w:lineRule="auto"/>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考核体系</w:t>
            </w: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55E0464F">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指标：可灵活建立考核指标，并可对指标设定评分标度，满足多维度评价指标设定工作。指标计算支持依赖其他指标进行计算，计算过程中系统自动规划指标计算顺序，无需依赖人工调整指标顺序来保证指标正常计算。</w:t>
            </w:r>
          </w:p>
        </w:tc>
      </w:tr>
      <w:tr w14:paraId="553732F6">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36F0B48B">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5E31FD07">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6B432BB1">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考核量表：支持KPI、360考核等考核方法，可建立多级考核项目并设立项目权重，可在考核项目下选用不同的考核指标，组建完整的考核量表，灵活设置考核的侧重点。</w:t>
            </w:r>
          </w:p>
        </w:tc>
      </w:tr>
      <w:tr w14:paraId="7EB94AC7">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right w:val="single" w:color="000000" w:sz="4" w:space="0"/>
            </w:tcBorders>
            <w:shd w:val="clear" w:color="auto" w:fill="auto"/>
            <w:noWrap/>
            <w:vAlign w:val="center"/>
          </w:tcPr>
          <w:p w14:paraId="46B4028D">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539A3A8B">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2435F2F9">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考核方案：支持记名或不记名考核，确保考核安全，支持对不同考核对象进行考核，支持对不同考核对象类别设定考核量表、评价主体类别及权限，满足员工考核要求。</w:t>
            </w:r>
          </w:p>
        </w:tc>
      </w:tr>
      <w:tr w14:paraId="59A31176">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5D846684">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auto" w:sz="4" w:space="0"/>
            </w:tcBorders>
            <w:shd w:val="clear" w:color="auto" w:fill="auto"/>
            <w:noWrap/>
            <w:vAlign w:val="center"/>
          </w:tcPr>
          <w:p w14:paraId="5651261D">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4273890D">
            <w:pPr>
              <w:numPr>
                <w:ilvl w:val="0"/>
                <w:numId w:val="26"/>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系统具有丰富的考核打分参数控制，避免考核过程中的人为因素干扰，如设置优秀比例限制，避免评分过程中“老好人”现象的发生。</w:t>
            </w:r>
          </w:p>
        </w:tc>
      </w:tr>
      <w:tr w14:paraId="19D7A9E0">
        <w:tblPrEx>
          <w:tblCellMar>
            <w:top w:w="0" w:type="dxa"/>
            <w:left w:w="108" w:type="dxa"/>
            <w:bottom w:w="0" w:type="dxa"/>
            <w:right w:w="108" w:type="dxa"/>
          </w:tblCellMar>
        </w:tblPrEx>
        <w:trPr>
          <w:trHeight w:val="153"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68986">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auto" w:sz="4" w:space="0"/>
            </w:tcBorders>
            <w:shd w:val="clear" w:color="auto" w:fill="auto"/>
            <w:noWrap/>
            <w:vAlign w:val="center"/>
          </w:tcPr>
          <w:p w14:paraId="62C54947">
            <w:pPr>
              <w:shd w:val="clear"/>
              <w:spacing w:line="360" w:lineRule="auto"/>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考核计划</w:t>
            </w: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698CFDA3">
            <w:pPr>
              <w:numPr>
                <w:ilvl w:val="0"/>
                <w:numId w:val="2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支持多套考核计划同时进行，满足对不同类别人员或组织的考核同时进行，节省考核时间。</w:t>
            </w:r>
          </w:p>
        </w:tc>
      </w:tr>
      <w:tr w14:paraId="26F0CE6E">
        <w:tblPrEx>
          <w:tblCellMar>
            <w:top w:w="0" w:type="dxa"/>
            <w:left w:w="108" w:type="dxa"/>
            <w:bottom w:w="0" w:type="dxa"/>
            <w:right w:w="108" w:type="dxa"/>
          </w:tblCellMar>
        </w:tblPrEx>
        <w:trPr>
          <w:trHeight w:val="153"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75461">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02D46B78">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56E193A7">
            <w:pPr>
              <w:numPr>
                <w:ilvl w:val="0"/>
                <w:numId w:val="2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考核周期：支持年度、季度、月度或不定期等考核，满足对平时、年度、聘期考核的要求。</w:t>
            </w:r>
          </w:p>
        </w:tc>
      </w:tr>
      <w:tr w14:paraId="00B2EA47">
        <w:tblPrEx>
          <w:tblCellMar>
            <w:top w:w="0" w:type="dxa"/>
            <w:left w:w="108" w:type="dxa"/>
            <w:bottom w:w="0" w:type="dxa"/>
            <w:right w:w="108" w:type="dxa"/>
          </w:tblCellMar>
        </w:tblPrEx>
        <w:trPr>
          <w:trHeight w:val="153"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D9511">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right w:val="single" w:color="auto" w:sz="4" w:space="0"/>
            </w:tcBorders>
            <w:shd w:val="clear" w:color="auto" w:fill="auto"/>
            <w:noWrap/>
            <w:vAlign w:val="center"/>
          </w:tcPr>
          <w:p w14:paraId="6F052B71">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5A8BCFD3">
            <w:pPr>
              <w:numPr>
                <w:ilvl w:val="0"/>
                <w:numId w:val="2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考核对象：在同一个考核方案内可灵活指定或批量选择考核对象。</w:t>
            </w:r>
          </w:p>
        </w:tc>
      </w:tr>
      <w:tr w14:paraId="66A2937D">
        <w:tblPrEx>
          <w:tblCellMar>
            <w:top w:w="0" w:type="dxa"/>
            <w:left w:w="108" w:type="dxa"/>
            <w:bottom w:w="0" w:type="dxa"/>
            <w:right w:w="108" w:type="dxa"/>
          </w:tblCellMar>
        </w:tblPrEx>
        <w:trPr>
          <w:trHeight w:val="153"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212B1F37">
            <w:pPr>
              <w:widowControl/>
              <w:shd w:val="clear" w:color="auto"/>
              <w:spacing w:line="360" w:lineRule="auto"/>
              <w:jc w:val="left"/>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auto" w:sz="4" w:space="0"/>
            </w:tcBorders>
            <w:shd w:val="clear" w:color="auto" w:fill="auto"/>
            <w:noWrap/>
            <w:vAlign w:val="center"/>
          </w:tcPr>
          <w:p w14:paraId="53DE146C">
            <w:pPr>
              <w:widowControl/>
              <w:shd w:val="clear" w:color="auto"/>
              <w:spacing w:line="360" w:lineRule="auto"/>
              <w:jc w:val="left"/>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17CAFA4E">
            <w:pPr>
              <w:numPr>
                <w:ilvl w:val="0"/>
                <w:numId w:val="27"/>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考核主体：根据汇报关系或考核关系自动生成考核主体，同时支持手工或条件批量筛选考核主体。</w:t>
            </w:r>
          </w:p>
        </w:tc>
      </w:tr>
      <w:tr w14:paraId="27D1F6D1">
        <w:tblPrEx>
          <w:tblCellMar>
            <w:top w:w="0" w:type="dxa"/>
            <w:left w:w="108" w:type="dxa"/>
            <w:bottom w:w="0" w:type="dxa"/>
            <w:right w:w="108" w:type="dxa"/>
          </w:tblCellMar>
        </w:tblPrEx>
        <w:trPr>
          <w:trHeight w:val="204"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7FEB8">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auto" w:sz="4" w:space="0"/>
            </w:tcBorders>
            <w:shd w:val="clear" w:color="auto" w:fill="auto"/>
            <w:vAlign w:val="center"/>
          </w:tcPr>
          <w:p w14:paraId="44439ACD">
            <w:pPr>
              <w:shd w:val="clear"/>
              <w:spacing w:line="360" w:lineRule="auto"/>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考核评价</w:t>
            </w: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5C5506D9">
            <w:pPr>
              <w:numPr>
                <w:ilvl w:val="0"/>
                <w:numId w:val="2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考核计划启动后，各考核人登录系统开展在线考核打分</w:t>
            </w:r>
          </w:p>
        </w:tc>
      </w:tr>
      <w:tr w14:paraId="30A959E0">
        <w:tblPrEx>
          <w:tblCellMar>
            <w:top w:w="0" w:type="dxa"/>
            <w:left w:w="108" w:type="dxa"/>
            <w:bottom w:w="0" w:type="dxa"/>
            <w:right w:w="108" w:type="dxa"/>
          </w:tblCellMar>
        </w:tblPrEx>
        <w:trPr>
          <w:trHeight w:val="204"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A778B">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auto" w:sz="4" w:space="0"/>
            </w:tcBorders>
            <w:shd w:val="clear" w:color="auto" w:fill="auto"/>
            <w:vAlign w:val="center"/>
          </w:tcPr>
          <w:p w14:paraId="4EE98FC9">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3529F823">
            <w:pPr>
              <w:numPr>
                <w:ilvl w:val="0"/>
                <w:numId w:val="2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网上自助评分：评分时直接选择该指标的具体评分标准，考核主体都在一个标准下进行评分，使评分更方便，更客观，同时确保考核的公正性，避免因标准不统一造成的“手松手紧”问题。</w:t>
            </w:r>
          </w:p>
        </w:tc>
      </w:tr>
      <w:tr w14:paraId="39D83FC8">
        <w:tblPrEx>
          <w:tblCellMar>
            <w:top w:w="0" w:type="dxa"/>
            <w:left w:w="108" w:type="dxa"/>
            <w:bottom w:w="0" w:type="dxa"/>
            <w:right w:w="108" w:type="dxa"/>
          </w:tblCellMar>
        </w:tblPrEx>
        <w:trPr>
          <w:trHeight w:val="204"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50B16BF2">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auto" w:sz="4" w:space="0"/>
            </w:tcBorders>
            <w:shd w:val="clear" w:color="auto" w:fill="auto"/>
            <w:vAlign w:val="center"/>
          </w:tcPr>
          <w:p w14:paraId="28CB30CB">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14A122DB">
            <w:pPr>
              <w:numPr>
                <w:ilvl w:val="0"/>
                <w:numId w:val="28"/>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人力资源部可以随时查看员工目标制定及评分进度，并可以发送通知催办，确保考核工作的顺利完成。</w:t>
            </w:r>
          </w:p>
        </w:tc>
      </w:tr>
      <w:tr w14:paraId="501F8D47">
        <w:tblPrEx>
          <w:tblCellMar>
            <w:top w:w="0" w:type="dxa"/>
            <w:left w:w="108" w:type="dxa"/>
            <w:bottom w:w="0" w:type="dxa"/>
            <w:right w:w="108" w:type="dxa"/>
          </w:tblCellMar>
        </w:tblPrEx>
        <w:trPr>
          <w:trHeight w:val="1092" w:hRule="atLeast"/>
          <w:jc w:val="center"/>
        </w:trPr>
        <w:tc>
          <w:tcPr>
            <w:tcW w:w="7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34910">
            <w:pPr>
              <w:shd w:val="clear"/>
              <w:spacing w:line="360" w:lineRule="auto"/>
              <w:jc w:val="left"/>
              <w:textAlignment w:val="center"/>
              <w:rPr>
                <w:rFonts w:hint="eastAsia" w:ascii="宋体" w:hAnsi="宋体" w:cs="宋体"/>
                <w:b/>
                <w:bCs/>
                <w:color w:val="auto"/>
                <w:kern w:val="0"/>
                <w:sz w:val="24"/>
                <w:highlight w:val="none"/>
              </w:rPr>
            </w:pPr>
          </w:p>
        </w:tc>
        <w:tc>
          <w:tcPr>
            <w:tcW w:w="442" w:type="pct"/>
            <w:vMerge w:val="restart"/>
            <w:tcBorders>
              <w:top w:val="single" w:color="000000" w:sz="4" w:space="0"/>
              <w:left w:val="single" w:color="000000" w:sz="4" w:space="0"/>
              <w:right w:val="single" w:color="auto" w:sz="4" w:space="0"/>
            </w:tcBorders>
            <w:shd w:val="clear" w:color="auto" w:fill="auto"/>
            <w:vAlign w:val="center"/>
          </w:tcPr>
          <w:p w14:paraId="2A9FFBEB">
            <w:pPr>
              <w:shd w:val="clear"/>
              <w:spacing w:line="360" w:lineRule="auto"/>
              <w:textAlignment w:val="center"/>
              <w:rPr>
                <w:rFonts w:hint="eastAsia" w:ascii="宋体" w:hAnsi="宋体" w:cs="宋体"/>
                <w:color w:val="auto"/>
                <w:sz w:val="24"/>
                <w:highlight w:val="none"/>
              </w:rPr>
            </w:pPr>
            <w:r>
              <w:rPr>
                <w:rFonts w:hint="eastAsia" w:ascii="宋体" w:hAnsi="宋体" w:cs="宋体"/>
                <w:b/>
                <w:bCs/>
                <w:color w:val="auto"/>
                <w:kern w:val="0"/>
                <w:sz w:val="24"/>
                <w:highlight w:val="none"/>
              </w:rPr>
              <w:t>结果计算</w:t>
            </w: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7A0B0404">
            <w:pPr>
              <w:numPr>
                <w:ilvl w:val="0"/>
                <w:numId w:val="29"/>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所有考核主体评分提交后根据计算规则自动生成结果，也可引入其他计划按规则计算分数；可根据考核结果生成团队、个人反馈报告并导出，为团队建设和人才选拔培养提供参考。</w:t>
            </w:r>
          </w:p>
        </w:tc>
      </w:tr>
      <w:tr w14:paraId="31F8E613">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05B134FC">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right w:val="single" w:color="auto" w:sz="4" w:space="0"/>
            </w:tcBorders>
            <w:shd w:val="clear" w:color="auto" w:fill="auto"/>
            <w:vAlign w:val="center"/>
          </w:tcPr>
          <w:p w14:paraId="78EC8E90">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348E5187">
            <w:pPr>
              <w:numPr>
                <w:ilvl w:val="0"/>
                <w:numId w:val="29"/>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可查看考核主体和考核指标的具体投票情况，并支持导出PDF和Excel格式。</w:t>
            </w:r>
          </w:p>
        </w:tc>
      </w:tr>
      <w:tr w14:paraId="261401C6">
        <w:tblPrEx>
          <w:tblCellMar>
            <w:top w:w="0" w:type="dxa"/>
            <w:left w:w="108" w:type="dxa"/>
            <w:bottom w:w="0" w:type="dxa"/>
            <w:right w:w="108" w:type="dxa"/>
          </w:tblCellMar>
        </w:tblPrEx>
        <w:trPr>
          <w:trHeight w:val="435"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5B3B7633">
            <w:pPr>
              <w:shd w:val="clear"/>
              <w:spacing w:line="360" w:lineRule="auto"/>
              <w:textAlignment w:val="center"/>
              <w:rPr>
                <w:rFonts w:hint="eastAsia" w:ascii="宋体" w:hAnsi="宋体" w:cs="宋体"/>
                <w:color w:val="auto"/>
                <w:sz w:val="24"/>
                <w:highlight w:val="none"/>
              </w:rPr>
            </w:pPr>
          </w:p>
        </w:tc>
        <w:tc>
          <w:tcPr>
            <w:tcW w:w="442" w:type="pct"/>
            <w:vMerge w:val="continue"/>
            <w:tcBorders>
              <w:left w:val="single" w:color="000000" w:sz="4" w:space="0"/>
              <w:bottom w:val="single" w:color="000000" w:sz="4" w:space="0"/>
              <w:right w:val="single" w:color="auto" w:sz="4" w:space="0"/>
            </w:tcBorders>
            <w:shd w:val="clear" w:color="auto" w:fill="auto"/>
            <w:vAlign w:val="center"/>
          </w:tcPr>
          <w:p w14:paraId="628D0636">
            <w:pPr>
              <w:shd w:val="clear"/>
              <w:spacing w:line="360" w:lineRule="auto"/>
              <w:textAlignment w:val="center"/>
              <w:rPr>
                <w:rFonts w:hint="eastAsia" w:ascii="宋体" w:hAnsi="宋体" w:cs="宋体"/>
                <w:color w:val="auto"/>
                <w:sz w:val="24"/>
                <w:highlight w:val="none"/>
              </w:rPr>
            </w:pPr>
          </w:p>
        </w:tc>
        <w:tc>
          <w:tcPr>
            <w:tcW w:w="3835" w:type="pct"/>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20C315EF">
            <w:pPr>
              <w:numPr>
                <w:ilvl w:val="0"/>
                <w:numId w:val="29"/>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可按照设定的等级规则进行结果的等级评定，实现考核结果合理分布。</w:t>
            </w:r>
          </w:p>
        </w:tc>
      </w:tr>
      <w:tr w14:paraId="1152E97D">
        <w:tblPrEx>
          <w:tblCellMar>
            <w:top w:w="0" w:type="dxa"/>
            <w:left w:w="108" w:type="dxa"/>
            <w:bottom w:w="0" w:type="dxa"/>
            <w:right w:w="108" w:type="dxa"/>
          </w:tblCellMar>
        </w:tblPrEx>
        <w:trPr>
          <w:trHeight w:val="600"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1BA12603">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干部考核</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B687A">
            <w:pPr>
              <w:numPr>
                <w:ilvl w:val="0"/>
                <w:numId w:val="3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支持根据干部管理权限或考核类型，自定义多个不同的干部考核表。</w:t>
            </w:r>
          </w:p>
        </w:tc>
      </w:tr>
      <w:tr w14:paraId="1E000830">
        <w:tblPrEx>
          <w:tblCellMar>
            <w:top w:w="0" w:type="dxa"/>
            <w:left w:w="108" w:type="dxa"/>
            <w:bottom w:w="0" w:type="dxa"/>
            <w:right w:w="108" w:type="dxa"/>
          </w:tblCellMar>
        </w:tblPrEx>
        <w:trPr>
          <w:trHeight w:val="600" w:hRule="atLeast"/>
          <w:jc w:val="center"/>
        </w:trPr>
        <w:tc>
          <w:tcPr>
            <w:tcW w:w="722" w:type="pct"/>
            <w:vMerge w:val="continue"/>
            <w:tcBorders>
              <w:left w:val="single" w:color="000000" w:sz="4" w:space="0"/>
              <w:right w:val="single" w:color="000000" w:sz="4" w:space="0"/>
            </w:tcBorders>
            <w:shd w:val="clear" w:color="auto" w:fill="auto"/>
            <w:noWrap/>
            <w:vAlign w:val="center"/>
          </w:tcPr>
          <w:p w14:paraId="61EEBA21">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D9875">
            <w:pPr>
              <w:numPr>
                <w:ilvl w:val="0"/>
                <w:numId w:val="3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考核内容支持自定义多种指标类型，如打分指标、文本指标、总体评价等，打分指标支持一、二级指标设置，不同指标之间可自定义指标权重。</w:t>
            </w:r>
          </w:p>
        </w:tc>
      </w:tr>
      <w:tr w14:paraId="5D4FF566">
        <w:tblPrEx>
          <w:tblCellMar>
            <w:top w:w="0" w:type="dxa"/>
            <w:left w:w="108" w:type="dxa"/>
            <w:bottom w:w="0" w:type="dxa"/>
            <w:right w:w="108" w:type="dxa"/>
          </w:tblCellMar>
        </w:tblPrEx>
        <w:trPr>
          <w:trHeight w:val="600" w:hRule="atLeast"/>
          <w:jc w:val="center"/>
        </w:trPr>
        <w:tc>
          <w:tcPr>
            <w:tcW w:w="722" w:type="pct"/>
            <w:vMerge w:val="continue"/>
            <w:tcBorders>
              <w:left w:val="single" w:color="000000" w:sz="4" w:space="0"/>
              <w:right w:val="single" w:color="000000" w:sz="4" w:space="0"/>
            </w:tcBorders>
            <w:shd w:val="clear" w:color="auto" w:fill="auto"/>
            <w:noWrap/>
            <w:vAlign w:val="center"/>
          </w:tcPr>
          <w:p w14:paraId="56D09047">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05092">
            <w:pPr>
              <w:numPr>
                <w:ilvl w:val="0"/>
                <w:numId w:val="3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支持自定义考核打分指标的标度和评分标准说明。</w:t>
            </w:r>
          </w:p>
        </w:tc>
      </w:tr>
      <w:tr w14:paraId="511ECB6E">
        <w:tblPrEx>
          <w:tblCellMar>
            <w:top w:w="0" w:type="dxa"/>
            <w:left w:w="108" w:type="dxa"/>
            <w:bottom w:w="0" w:type="dxa"/>
            <w:right w:w="108" w:type="dxa"/>
          </w:tblCellMar>
        </w:tblPrEx>
        <w:trPr>
          <w:trHeight w:val="600" w:hRule="atLeast"/>
          <w:jc w:val="center"/>
        </w:trPr>
        <w:tc>
          <w:tcPr>
            <w:tcW w:w="722" w:type="pct"/>
            <w:vMerge w:val="continue"/>
            <w:tcBorders>
              <w:left w:val="single" w:color="000000" w:sz="4" w:space="0"/>
              <w:right w:val="single" w:color="000000" w:sz="4" w:space="0"/>
            </w:tcBorders>
            <w:shd w:val="clear" w:color="auto" w:fill="auto"/>
            <w:noWrap/>
            <w:vAlign w:val="center"/>
          </w:tcPr>
          <w:p w14:paraId="04EBE447">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DE431">
            <w:pPr>
              <w:numPr>
                <w:ilvl w:val="0"/>
                <w:numId w:val="3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考核指标支持支持单选、多选（不设置标度分值）</w:t>
            </w:r>
          </w:p>
        </w:tc>
      </w:tr>
      <w:tr w14:paraId="09AEED7A">
        <w:tblPrEx>
          <w:tblCellMar>
            <w:top w:w="0" w:type="dxa"/>
            <w:left w:w="108" w:type="dxa"/>
            <w:bottom w:w="0" w:type="dxa"/>
            <w:right w:w="108" w:type="dxa"/>
          </w:tblCellMar>
        </w:tblPrEx>
        <w:trPr>
          <w:trHeight w:val="600" w:hRule="atLeast"/>
          <w:jc w:val="center"/>
        </w:trPr>
        <w:tc>
          <w:tcPr>
            <w:tcW w:w="722" w:type="pct"/>
            <w:vMerge w:val="continue"/>
            <w:tcBorders>
              <w:left w:val="single" w:color="000000" w:sz="4" w:space="0"/>
              <w:right w:val="single" w:color="000000" w:sz="4" w:space="0"/>
            </w:tcBorders>
            <w:shd w:val="clear" w:color="auto" w:fill="auto"/>
            <w:noWrap/>
            <w:vAlign w:val="center"/>
          </w:tcPr>
          <w:p w14:paraId="0EA4E84F">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7B1CB">
            <w:pPr>
              <w:numPr>
                <w:ilvl w:val="0"/>
                <w:numId w:val="3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自定义考核的规则制度，可通过向导式引导设定考核基本信息、考核对象、考核主体、考核表、考核打分参数等。</w:t>
            </w:r>
          </w:p>
        </w:tc>
      </w:tr>
      <w:tr w14:paraId="22C2536B">
        <w:tblPrEx>
          <w:tblCellMar>
            <w:top w:w="0" w:type="dxa"/>
            <w:left w:w="108" w:type="dxa"/>
            <w:bottom w:w="0" w:type="dxa"/>
            <w:right w:w="108" w:type="dxa"/>
          </w:tblCellMar>
        </w:tblPrEx>
        <w:trPr>
          <w:trHeight w:val="600" w:hRule="atLeast"/>
          <w:jc w:val="center"/>
        </w:trPr>
        <w:tc>
          <w:tcPr>
            <w:tcW w:w="722" w:type="pct"/>
            <w:vMerge w:val="continue"/>
            <w:tcBorders>
              <w:left w:val="single" w:color="000000" w:sz="4" w:space="0"/>
              <w:right w:val="single" w:color="000000" w:sz="4" w:space="0"/>
            </w:tcBorders>
            <w:shd w:val="clear" w:color="auto" w:fill="auto"/>
            <w:noWrap/>
            <w:vAlign w:val="center"/>
          </w:tcPr>
          <w:p w14:paraId="029FABDA">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1806B">
            <w:pPr>
              <w:numPr>
                <w:ilvl w:val="0"/>
                <w:numId w:val="3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人力资源部启动考核活动以后，系统自动给考核主体推送考核打分待办任务，考核主体通过自助服务平台点击待办任务即可线上考核打分。</w:t>
            </w:r>
          </w:p>
        </w:tc>
      </w:tr>
      <w:tr w14:paraId="4C713500">
        <w:tblPrEx>
          <w:tblCellMar>
            <w:top w:w="0" w:type="dxa"/>
            <w:left w:w="108" w:type="dxa"/>
            <w:bottom w:w="0" w:type="dxa"/>
            <w:right w:w="108" w:type="dxa"/>
          </w:tblCellMar>
        </w:tblPrEx>
        <w:trPr>
          <w:trHeight w:val="90" w:hRule="atLeast"/>
          <w:jc w:val="center"/>
        </w:trPr>
        <w:tc>
          <w:tcPr>
            <w:tcW w:w="722" w:type="pct"/>
            <w:vMerge w:val="continue"/>
            <w:tcBorders>
              <w:left w:val="single" w:color="000000" w:sz="4" w:space="0"/>
              <w:bottom w:val="single" w:color="000000" w:sz="4" w:space="0"/>
              <w:right w:val="single" w:color="000000" w:sz="4" w:space="0"/>
            </w:tcBorders>
            <w:shd w:val="clear" w:color="auto" w:fill="auto"/>
            <w:noWrap/>
            <w:vAlign w:val="center"/>
          </w:tcPr>
          <w:p w14:paraId="35851DC3">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11CC0">
            <w:pPr>
              <w:numPr>
                <w:ilvl w:val="0"/>
                <w:numId w:val="30"/>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考核主体完成线上考核打分后，系统自动根据考核表的指标权重和考核主体权重计算考核得分，并出具考核结果报表。</w:t>
            </w:r>
          </w:p>
        </w:tc>
      </w:tr>
      <w:tr w14:paraId="208EAC97">
        <w:tblPrEx>
          <w:tblCellMar>
            <w:top w:w="0" w:type="dxa"/>
            <w:left w:w="108" w:type="dxa"/>
            <w:bottom w:w="0" w:type="dxa"/>
            <w:right w:w="108" w:type="dxa"/>
          </w:tblCellMar>
        </w:tblPrEx>
        <w:trPr>
          <w:trHeight w:val="643" w:hRule="atLeast"/>
          <w:jc w:val="center"/>
        </w:trPr>
        <w:tc>
          <w:tcPr>
            <w:tcW w:w="722" w:type="pct"/>
            <w:vMerge w:val="restart"/>
            <w:tcBorders>
              <w:top w:val="single" w:color="000000" w:sz="4" w:space="0"/>
              <w:left w:val="single" w:color="000000" w:sz="4" w:space="0"/>
              <w:right w:val="single" w:color="000000" w:sz="4" w:space="0"/>
            </w:tcBorders>
            <w:shd w:val="clear" w:color="auto" w:fill="auto"/>
            <w:noWrap/>
            <w:vAlign w:val="center"/>
          </w:tcPr>
          <w:p w14:paraId="2983B15F">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试用期考核</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B609D">
            <w:pPr>
              <w:numPr>
                <w:ilvl w:val="0"/>
                <w:numId w:val="3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开发建设试用期考核功能，可按医院要求制定见习（试用）期考核表的样式、内容</w:t>
            </w:r>
          </w:p>
        </w:tc>
      </w:tr>
      <w:tr w14:paraId="73BA34BF">
        <w:tblPrEx>
          <w:tblCellMar>
            <w:top w:w="0" w:type="dxa"/>
            <w:left w:w="108" w:type="dxa"/>
            <w:bottom w:w="0" w:type="dxa"/>
            <w:right w:w="108" w:type="dxa"/>
          </w:tblCellMar>
        </w:tblPrEx>
        <w:trPr>
          <w:trHeight w:val="643" w:hRule="atLeast"/>
          <w:jc w:val="center"/>
        </w:trPr>
        <w:tc>
          <w:tcPr>
            <w:tcW w:w="722" w:type="pct"/>
            <w:vMerge w:val="continue"/>
            <w:tcBorders>
              <w:left w:val="single" w:color="000000" w:sz="4" w:space="0"/>
              <w:right w:val="single" w:color="000000" w:sz="4" w:space="0"/>
            </w:tcBorders>
            <w:shd w:val="clear" w:color="auto" w:fill="auto"/>
            <w:noWrap/>
            <w:vAlign w:val="center"/>
          </w:tcPr>
          <w:p w14:paraId="1883D5AE">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F19D6">
            <w:pPr>
              <w:numPr>
                <w:ilvl w:val="0"/>
                <w:numId w:val="3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试用期到期前20天，系统预警提醒人事科和员工本人试用期即将到期</w:t>
            </w:r>
          </w:p>
        </w:tc>
      </w:tr>
      <w:tr w14:paraId="0A02FCA5">
        <w:tblPrEx>
          <w:tblCellMar>
            <w:top w:w="0" w:type="dxa"/>
            <w:left w:w="108" w:type="dxa"/>
            <w:bottom w:w="0" w:type="dxa"/>
            <w:right w:w="108" w:type="dxa"/>
          </w:tblCellMar>
        </w:tblPrEx>
        <w:trPr>
          <w:trHeight w:val="643" w:hRule="atLeast"/>
          <w:jc w:val="center"/>
        </w:trPr>
        <w:tc>
          <w:tcPr>
            <w:tcW w:w="722" w:type="pct"/>
            <w:vMerge w:val="continue"/>
            <w:tcBorders>
              <w:left w:val="single" w:color="000000" w:sz="4" w:space="0"/>
              <w:right w:val="single" w:color="000000" w:sz="4" w:space="0"/>
            </w:tcBorders>
            <w:shd w:val="clear" w:color="auto" w:fill="auto"/>
            <w:noWrap/>
            <w:vAlign w:val="center"/>
          </w:tcPr>
          <w:p w14:paraId="07021E58">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E787A">
            <w:pPr>
              <w:numPr>
                <w:ilvl w:val="0"/>
                <w:numId w:val="3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员工发起试用期考核申请，填写个人工作总结、带教老师（&gt;=3人），流转至科主任或护士长审核，科主任或护士长可修改带教老师，审核通过后流转至人力资源部。</w:t>
            </w:r>
          </w:p>
        </w:tc>
      </w:tr>
      <w:tr w14:paraId="65868067">
        <w:tblPrEx>
          <w:tblCellMar>
            <w:top w:w="0" w:type="dxa"/>
            <w:left w:w="108" w:type="dxa"/>
            <w:bottom w:w="0" w:type="dxa"/>
            <w:right w:w="108" w:type="dxa"/>
          </w:tblCellMar>
        </w:tblPrEx>
        <w:trPr>
          <w:trHeight w:val="643" w:hRule="atLeast"/>
          <w:jc w:val="center"/>
        </w:trPr>
        <w:tc>
          <w:tcPr>
            <w:tcW w:w="722" w:type="pct"/>
            <w:vMerge w:val="continue"/>
            <w:tcBorders>
              <w:left w:val="single" w:color="000000" w:sz="4" w:space="0"/>
              <w:right w:val="single" w:color="000000" w:sz="4" w:space="0"/>
            </w:tcBorders>
            <w:shd w:val="clear" w:color="auto" w:fill="auto"/>
            <w:noWrap/>
            <w:vAlign w:val="center"/>
          </w:tcPr>
          <w:p w14:paraId="3DEAF82F">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38A96">
            <w:pPr>
              <w:numPr>
                <w:ilvl w:val="0"/>
                <w:numId w:val="3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★人力资源部发起员工试用期考核业务，选择带教老师和科主任作为考核评分人，启动考核后，考核打分任务推送至带教老师和科主任（可钉钉推送）</w:t>
            </w:r>
          </w:p>
        </w:tc>
      </w:tr>
      <w:tr w14:paraId="3B552134">
        <w:tblPrEx>
          <w:tblCellMar>
            <w:top w:w="0" w:type="dxa"/>
            <w:left w:w="108" w:type="dxa"/>
            <w:bottom w:w="0" w:type="dxa"/>
            <w:right w:w="108" w:type="dxa"/>
          </w:tblCellMar>
        </w:tblPrEx>
        <w:trPr>
          <w:trHeight w:val="643" w:hRule="atLeast"/>
          <w:jc w:val="center"/>
        </w:trPr>
        <w:tc>
          <w:tcPr>
            <w:tcW w:w="722" w:type="pct"/>
            <w:vMerge w:val="continue"/>
            <w:tcBorders>
              <w:left w:val="single" w:color="000000" w:sz="4" w:space="0"/>
              <w:right w:val="single" w:color="000000" w:sz="4" w:space="0"/>
            </w:tcBorders>
            <w:shd w:val="clear" w:color="auto" w:fill="auto"/>
            <w:noWrap/>
            <w:vAlign w:val="center"/>
          </w:tcPr>
          <w:p w14:paraId="5D7853F8">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7E6CE">
            <w:pPr>
              <w:numPr>
                <w:ilvl w:val="0"/>
                <w:numId w:val="3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★带教老师和科主任线上评分，带教老师和科主任评分完成以后，系统采用加权平均的方式核算出考核得分</w:t>
            </w:r>
          </w:p>
        </w:tc>
      </w:tr>
      <w:tr w14:paraId="3D382B58">
        <w:tblPrEx>
          <w:tblCellMar>
            <w:top w:w="0" w:type="dxa"/>
            <w:left w:w="108" w:type="dxa"/>
            <w:bottom w:w="0" w:type="dxa"/>
            <w:right w:w="108" w:type="dxa"/>
          </w:tblCellMar>
        </w:tblPrEx>
        <w:trPr>
          <w:trHeight w:val="643" w:hRule="atLeast"/>
          <w:jc w:val="center"/>
        </w:trPr>
        <w:tc>
          <w:tcPr>
            <w:tcW w:w="722" w:type="pct"/>
            <w:vMerge w:val="continue"/>
            <w:tcBorders>
              <w:left w:val="single" w:color="000000" w:sz="4" w:space="0"/>
              <w:right w:val="single" w:color="000000" w:sz="4" w:space="0"/>
            </w:tcBorders>
            <w:shd w:val="clear" w:color="auto" w:fill="auto"/>
            <w:noWrap/>
            <w:vAlign w:val="center"/>
          </w:tcPr>
          <w:p w14:paraId="4A3A97FD">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B3FDC">
            <w:pPr>
              <w:numPr>
                <w:ilvl w:val="0"/>
                <w:numId w:val="3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人力部导出考核结果表，医院上会讨论</w:t>
            </w:r>
          </w:p>
        </w:tc>
      </w:tr>
      <w:tr w14:paraId="1C4332FF">
        <w:tblPrEx>
          <w:tblCellMar>
            <w:top w:w="0" w:type="dxa"/>
            <w:left w:w="108" w:type="dxa"/>
            <w:bottom w:w="0" w:type="dxa"/>
            <w:right w:w="108" w:type="dxa"/>
          </w:tblCellMar>
        </w:tblPrEx>
        <w:trPr>
          <w:trHeight w:val="643" w:hRule="atLeast"/>
          <w:jc w:val="center"/>
        </w:trPr>
        <w:tc>
          <w:tcPr>
            <w:tcW w:w="722" w:type="pct"/>
            <w:vMerge w:val="continue"/>
            <w:tcBorders>
              <w:left w:val="single" w:color="000000" w:sz="4" w:space="0"/>
              <w:right w:val="single" w:color="000000" w:sz="4" w:space="0"/>
            </w:tcBorders>
            <w:shd w:val="clear" w:color="auto" w:fill="auto"/>
            <w:noWrap/>
            <w:vAlign w:val="center"/>
          </w:tcPr>
          <w:p w14:paraId="7E1C64A2">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A93DC">
            <w:pPr>
              <w:numPr>
                <w:ilvl w:val="0"/>
                <w:numId w:val="3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人力资源部将上会讨论结果录入/导入系统，自动更新员工档案。</w:t>
            </w:r>
          </w:p>
        </w:tc>
      </w:tr>
      <w:tr w14:paraId="5B9699FF">
        <w:tblPrEx>
          <w:tblCellMar>
            <w:top w:w="0" w:type="dxa"/>
            <w:left w:w="108" w:type="dxa"/>
            <w:bottom w:w="0" w:type="dxa"/>
            <w:right w:w="108" w:type="dxa"/>
          </w:tblCellMar>
        </w:tblPrEx>
        <w:trPr>
          <w:trHeight w:val="643" w:hRule="atLeast"/>
          <w:jc w:val="center"/>
        </w:trPr>
        <w:tc>
          <w:tcPr>
            <w:tcW w:w="722" w:type="pct"/>
            <w:vMerge w:val="continue"/>
            <w:tcBorders>
              <w:left w:val="single" w:color="000000" w:sz="4" w:space="0"/>
              <w:right w:val="single" w:color="000000" w:sz="4" w:space="0"/>
            </w:tcBorders>
            <w:shd w:val="clear" w:color="auto" w:fill="auto"/>
            <w:noWrap/>
            <w:vAlign w:val="center"/>
          </w:tcPr>
          <w:p w14:paraId="18B7A958">
            <w:pPr>
              <w:widowControl/>
              <w:shd w:val="clear" w:color="auto"/>
              <w:tabs>
                <w:tab w:val="left" w:pos="420"/>
              </w:tabs>
              <w:spacing w:line="360" w:lineRule="auto"/>
              <w:jc w:val="left"/>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8913A">
            <w:pPr>
              <w:numPr>
                <w:ilvl w:val="0"/>
                <w:numId w:val="31"/>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如果是党员的需要开展党员民主评议。</w:t>
            </w:r>
          </w:p>
        </w:tc>
      </w:tr>
      <w:tr w14:paraId="0EAB0889">
        <w:tblPrEx>
          <w:tblCellMar>
            <w:top w:w="0" w:type="dxa"/>
            <w:left w:w="108" w:type="dxa"/>
            <w:bottom w:w="0" w:type="dxa"/>
            <w:right w:w="108" w:type="dxa"/>
          </w:tblCellMar>
        </w:tblPrEx>
        <w:trPr>
          <w:trHeight w:val="90" w:hRule="atLeast"/>
          <w:jc w:val="center"/>
        </w:trPr>
        <w:tc>
          <w:tcPr>
            <w:tcW w:w="722" w:type="pct"/>
            <w:vMerge w:val="restart"/>
            <w:tcBorders>
              <w:top w:val="single" w:color="000000" w:sz="4" w:space="0"/>
              <w:left w:val="single" w:color="000000" w:sz="4" w:space="0"/>
              <w:right w:val="single" w:color="000000" w:sz="4" w:space="0"/>
            </w:tcBorders>
            <w:shd w:val="clear" w:color="auto" w:fill="auto"/>
            <w:vAlign w:val="center"/>
          </w:tcPr>
          <w:p w14:paraId="36D5115C">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岗位履职能力评估（适用中心（集团）及院区临床医生一二级岗位）</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26BC2">
            <w:pPr>
              <w:numPr>
                <w:ilvl w:val="0"/>
                <w:numId w:val="3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建设医生履职能力考核模型，适用中心（集团）及院区临床医生一二级岗位的岗位履职能力评估</w:t>
            </w:r>
          </w:p>
        </w:tc>
      </w:tr>
      <w:tr w14:paraId="38123FB1">
        <w:tblPrEx>
          <w:tblCellMar>
            <w:top w:w="0" w:type="dxa"/>
            <w:left w:w="108" w:type="dxa"/>
            <w:bottom w:w="0" w:type="dxa"/>
            <w:right w:w="108" w:type="dxa"/>
          </w:tblCellMar>
        </w:tblPrEx>
        <w:trPr>
          <w:trHeight w:val="334" w:hRule="atLeast"/>
          <w:jc w:val="center"/>
        </w:trPr>
        <w:tc>
          <w:tcPr>
            <w:tcW w:w="722" w:type="pct"/>
            <w:vMerge w:val="continue"/>
            <w:tcBorders>
              <w:left w:val="single" w:color="000000" w:sz="4" w:space="0"/>
              <w:right w:val="single" w:color="000000" w:sz="4" w:space="0"/>
            </w:tcBorders>
            <w:shd w:val="clear" w:color="auto" w:fill="auto"/>
            <w:vAlign w:val="center"/>
          </w:tcPr>
          <w:p w14:paraId="0618FDB4">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D9C21">
            <w:pPr>
              <w:numPr>
                <w:ilvl w:val="0"/>
                <w:numId w:val="3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具备源数据管理管理功能，根据指标权重分值划分两大类指标排名：权重10以上指标排名、权重10以下指标排名。由第三方职能部门提供每位员工各考核指标的排名。</w:t>
            </w:r>
          </w:p>
        </w:tc>
      </w:tr>
      <w:tr w14:paraId="71D40ACD">
        <w:tblPrEx>
          <w:tblCellMar>
            <w:top w:w="0" w:type="dxa"/>
            <w:left w:w="108" w:type="dxa"/>
            <w:bottom w:w="0" w:type="dxa"/>
            <w:right w:w="108" w:type="dxa"/>
          </w:tblCellMar>
        </w:tblPrEx>
        <w:trPr>
          <w:trHeight w:val="334" w:hRule="atLeast"/>
          <w:jc w:val="center"/>
        </w:trPr>
        <w:tc>
          <w:tcPr>
            <w:tcW w:w="722" w:type="pct"/>
            <w:vMerge w:val="continue"/>
            <w:tcBorders>
              <w:left w:val="single" w:color="000000" w:sz="4" w:space="0"/>
              <w:right w:val="single" w:color="000000" w:sz="4" w:space="0"/>
            </w:tcBorders>
            <w:shd w:val="clear" w:color="auto" w:fill="auto"/>
            <w:vAlign w:val="center"/>
          </w:tcPr>
          <w:p w14:paraId="317CB488">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48385">
            <w:pPr>
              <w:numPr>
                <w:ilvl w:val="0"/>
                <w:numId w:val="3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具备排名系数标准表，可根据不用的排名，制定指标得分系数</w:t>
            </w:r>
          </w:p>
        </w:tc>
      </w:tr>
      <w:tr w14:paraId="7032164D">
        <w:tblPrEx>
          <w:tblCellMar>
            <w:top w:w="0" w:type="dxa"/>
            <w:left w:w="108" w:type="dxa"/>
            <w:bottom w:w="0" w:type="dxa"/>
            <w:right w:w="108" w:type="dxa"/>
          </w:tblCellMar>
        </w:tblPrEx>
        <w:trPr>
          <w:trHeight w:val="334" w:hRule="atLeast"/>
          <w:jc w:val="center"/>
        </w:trPr>
        <w:tc>
          <w:tcPr>
            <w:tcW w:w="722" w:type="pct"/>
            <w:vMerge w:val="continue"/>
            <w:tcBorders>
              <w:left w:val="single" w:color="000000" w:sz="4" w:space="0"/>
              <w:right w:val="single" w:color="000000" w:sz="4" w:space="0"/>
            </w:tcBorders>
            <w:shd w:val="clear" w:color="auto" w:fill="auto"/>
            <w:vAlign w:val="center"/>
          </w:tcPr>
          <w:p w14:paraId="5810B034">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42894">
            <w:pPr>
              <w:numPr>
                <w:ilvl w:val="0"/>
                <w:numId w:val="3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具备考核指标库管理功能，按外科片区一级岗位、外科片区二级岗位、内科片区一级岗位、内科片区二级岗位、路桥医院康复片区一级岗位、康复系列二级岗位等6类岗位建立各岗位考核指标库</w:t>
            </w:r>
          </w:p>
        </w:tc>
      </w:tr>
      <w:tr w14:paraId="399B524E">
        <w:tblPrEx>
          <w:tblCellMar>
            <w:top w:w="0" w:type="dxa"/>
            <w:left w:w="108" w:type="dxa"/>
            <w:bottom w:w="0" w:type="dxa"/>
            <w:right w:w="108" w:type="dxa"/>
          </w:tblCellMar>
        </w:tblPrEx>
        <w:trPr>
          <w:trHeight w:val="334" w:hRule="atLeast"/>
          <w:jc w:val="center"/>
        </w:trPr>
        <w:tc>
          <w:tcPr>
            <w:tcW w:w="722" w:type="pct"/>
            <w:vMerge w:val="continue"/>
            <w:tcBorders>
              <w:left w:val="single" w:color="000000" w:sz="4" w:space="0"/>
              <w:right w:val="single" w:color="000000" w:sz="4" w:space="0"/>
            </w:tcBorders>
            <w:shd w:val="clear" w:color="auto" w:fill="auto"/>
            <w:vAlign w:val="center"/>
          </w:tcPr>
          <w:p w14:paraId="2C40D169">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F4418">
            <w:pPr>
              <w:numPr>
                <w:ilvl w:val="0"/>
                <w:numId w:val="3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支持每类岗位考核指标可按维度分类，如外科片区一级岗位考核指标分为患者、安全质量、学习成长、财务4大维度，每类维度下可自定义多个考核指标，同时对每个考核指标赋予考核权重分值。</w:t>
            </w:r>
          </w:p>
        </w:tc>
      </w:tr>
      <w:tr w14:paraId="78340D36">
        <w:tblPrEx>
          <w:tblCellMar>
            <w:top w:w="0" w:type="dxa"/>
            <w:left w:w="108" w:type="dxa"/>
            <w:bottom w:w="0" w:type="dxa"/>
            <w:right w:w="108" w:type="dxa"/>
          </w:tblCellMar>
        </w:tblPrEx>
        <w:trPr>
          <w:trHeight w:val="334" w:hRule="atLeast"/>
          <w:jc w:val="center"/>
        </w:trPr>
        <w:tc>
          <w:tcPr>
            <w:tcW w:w="722" w:type="pct"/>
            <w:vMerge w:val="continue"/>
            <w:tcBorders>
              <w:left w:val="single" w:color="000000" w:sz="4" w:space="0"/>
              <w:right w:val="single" w:color="000000" w:sz="4" w:space="0"/>
            </w:tcBorders>
            <w:shd w:val="clear" w:color="auto" w:fill="auto"/>
            <w:vAlign w:val="center"/>
          </w:tcPr>
          <w:p w14:paraId="0896D37F">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ECD87">
            <w:pPr>
              <w:numPr>
                <w:ilvl w:val="0"/>
                <w:numId w:val="3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根据员工的指标排名对应的权重系数、考核指标权重分值、履职周期等条件自动计算员工各指标考核得分，</w:t>
            </w:r>
          </w:p>
        </w:tc>
      </w:tr>
      <w:tr w14:paraId="6D6A8950">
        <w:tblPrEx>
          <w:tblCellMar>
            <w:top w:w="0" w:type="dxa"/>
            <w:left w:w="108" w:type="dxa"/>
            <w:bottom w:w="0" w:type="dxa"/>
            <w:right w:w="108" w:type="dxa"/>
          </w:tblCellMar>
        </w:tblPrEx>
        <w:trPr>
          <w:trHeight w:val="334" w:hRule="atLeast"/>
          <w:jc w:val="center"/>
        </w:trPr>
        <w:tc>
          <w:tcPr>
            <w:tcW w:w="722" w:type="pct"/>
            <w:vMerge w:val="continue"/>
            <w:tcBorders>
              <w:left w:val="single" w:color="000000" w:sz="4" w:space="0"/>
              <w:right w:val="single" w:color="000000" w:sz="4" w:space="0"/>
            </w:tcBorders>
            <w:shd w:val="clear" w:color="auto" w:fill="auto"/>
            <w:vAlign w:val="center"/>
          </w:tcPr>
          <w:p w14:paraId="31B6C889">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CF9B3">
            <w:pPr>
              <w:numPr>
                <w:ilvl w:val="0"/>
                <w:numId w:val="3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根据员工所在所在岗位关联的考核指标，自动汇总员工考核结果得分。</w:t>
            </w:r>
          </w:p>
        </w:tc>
      </w:tr>
      <w:tr w14:paraId="274A16A3">
        <w:tblPrEx>
          <w:tblCellMar>
            <w:top w:w="0" w:type="dxa"/>
            <w:left w:w="108" w:type="dxa"/>
            <w:bottom w:w="0" w:type="dxa"/>
            <w:right w:w="108" w:type="dxa"/>
          </w:tblCellMar>
        </w:tblPrEx>
        <w:trPr>
          <w:trHeight w:val="334" w:hRule="atLeast"/>
          <w:jc w:val="center"/>
        </w:trPr>
        <w:tc>
          <w:tcPr>
            <w:tcW w:w="722" w:type="pct"/>
            <w:vMerge w:val="continue"/>
            <w:tcBorders>
              <w:left w:val="single" w:color="000000" w:sz="4" w:space="0"/>
              <w:right w:val="single" w:color="000000" w:sz="4" w:space="0"/>
            </w:tcBorders>
            <w:shd w:val="clear" w:color="auto" w:fill="auto"/>
            <w:vAlign w:val="center"/>
          </w:tcPr>
          <w:p w14:paraId="27BE4DAE">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901BF">
            <w:pPr>
              <w:numPr>
                <w:ilvl w:val="0"/>
                <w:numId w:val="32"/>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可结合科研平台自动获取科研分数，同时提供包含但不限于SCI,SSCI,北大中文核心，CSSCI，CSCD索引的期刊库；提供自定义的期刊评级管理功能，可以自定义多种期刊分级方案；可根据选择的多种期刊分级方案，根据方案条件自动为论文进行分级。</w:t>
            </w:r>
          </w:p>
        </w:tc>
      </w:tr>
      <w:tr w14:paraId="5EBB4634">
        <w:tblPrEx>
          <w:tblCellMar>
            <w:top w:w="0" w:type="dxa"/>
            <w:left w:w="108" w:type="dxa"/>
            <w:bottom w:w="0" w:type="dxa"/>
            <w:right w:w="108" w:type="dxa"/>
          </w:tblCellMar>
        </w:tblPrEx>
        <w:trPr>
          <w:trHeight w:val="288" w:hRule="atLeast"/>
          <w:jc w:val="center"/>
        </w:trPr>
        <w:tc>
          <w:tcPr>
            <w:tcW w:w="722" w:type="pct"/>
            <w:vMerge w:val="restart"/>
            <w:tcBorders>
              <w:top w:val="single" w:color="000000" w:sz="4" w:space="0"/>
              <w:left w:val="single" w:color="000000" w:sz="4" w:space="0"/>
              <w:right w:val="single" w:color="000000" w:sz="4" w:space="0"/>
            </w:tcBorders>
            <w:shd w:val="clear" w:color="auto" w:fill="auto"/>
            <w:vAlign w:val="center"/>
          </w:tcPr>
          <w:p w14:paraId="29328962">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岗位聘任</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08012">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建立岗位任职体系，按照不同性质分医生、护理、技术、行政、工勤和干部六大系列、四个职级，其中院领导、科级部门第一负责人、正副护士长等中层以上干部（不含主任助理）按干部系列聘任。临床、医技的副职和非科级独立建制科主任可根据科室需要纳入员工岗位双重聘任。</w:t>
            </w:r>
          </w:p>
        </w:tc>
      </w:tr>
      <w:tr w14:paraId="03E7411D">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2270BC4F">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DB99A">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聘任形式：岗位聘任形式包括试聘和正式聘任两种。</w:t>
            </w:r>
          </w:p>
        </w:tc>
      </w:tr>
      <w:tr w14:paraId="113C055C">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649FEA74">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D96E2">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岗位聘任周期：在岗职工每年聘任一次，聘期为当年度 7 月 1 日至下一年度 6 月 30日。每年6月启动新一轮岗位聘任工作。</w:t>
            </w:r>
          </w:p>
        </w:tc>
      </w:tr>
      <w:tr w14:paraId="164766F7">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7B0801E2">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E6A1A">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员工在线申报所需岗位，并填报业绩材料（基础材料不用填写，填报过的业绩材料也无需重复填报，自动从人事档案中拉取）</w:t>
            </w:r>
          </w:p>
        </w:tc>
      </w:tr>
      <w:tr w14:paraId="076A5A14">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31CD6C03">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CFFD4">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材料审核可按部门同时分权审核，如人力部门审核基础材料，医务部门审核医务材料、科研部门审核科研材料</w:t>
            </w:r>
          </w:p>
        </w:tc>
      </w:tr>
      <w:tr w14:paraId="57F53293">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4C32A34A">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D723B">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支持根据岗位任职要求和审核通过的材料，自动核对岗位任职符合情况</w:t>
            </w:r>
          </w:p>
        </w:tc>
      </w:tr>
      <w:tr w14:paraId="39B9978B">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0F947582">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FAA2B">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支持评委会线上投票，支持匿名/实名投票，投票时可在线查看申报表和材料情况</w:t>
            </w:r>
          </w:p>
        </w:tc>
      </w:tr>
      <w:tr w14:paraId="5AD36E13">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bottom w:val="single" w:color="000000" w:sz="4" w:space="0"/>
              <w:right w:val="single" w:color="000000" w:sz="4" w:space="0"/>
            </w:tcBorders>
            <w:shd w:val="clear" w:color="auto" w:fill="auto"/>
            <w:vAlign w:val="center"/>
          </w:tcPr>
          <w:p w14:paraId="36D766D7">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632DA">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支持生成岗聘结果报表</w:t>
            </w:r>
          </w:p>
        </w:tc>
      </w:tr>
      <w:tr w14:paraId="3D42A8CB">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bottom w:val="single" w:color="000000" w:sz="4" w:space="0"/>
              <w:right w:val="single" w:color="000000" w:sz="4" w:space="0"/>
            </w:tcBorders>
            <w:shd w:val="clear" w:color="auto" w:fill="auto"/>
            <w:vAlign w:val="center"/>
          </w:tcPr>
          <w:p w14:paraId="034DF1F7">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08DB3">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提供针对岗位聘任等结果表的分析和职业规划建议，为员工的职业规划进行指导</w:t>
            </w:r>
          </w:p>
        </w:tc>
      </w:tr>
      <w:tr w14:paraId="3F97D105">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bottom w:val="single" w:color="000000" w:sz="4" w:space="0"/>
              <w:right w:val="single" w:color="000000" w:sz="4" w:space="0"/>
            </w:tcBorders>
            <w:shd w:val="clear" w:color="auto" w:fill="auto"/>
            <w:vAlign w:val="center"/>
          </w:tcPr>
          <w:p w14:paraId="4128ADB5">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7C1E0">
            <w:pPr>
              <w:numPr>
                <w:ilvl w:val="0"/>
                <w:numId w:val="33"/>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数据填报业务AI结合，在数据填报任务中提供AI结合功能，方便员工完成AI能力的使用，减少数据填报的工作量增加员工填报效率和填报质量。</w:t>
            </w:r>
          </w:p>
        </w:tc>
      </w:tr>
      <w:tr w14:paraId="644B47EA">
        <w:tblPrEx>
          <w:tblCellMar>
            <w:top w:w="0" w:type="dxa"/>
            <w:left w:w="108" w:type="dxa"/>
            <w:bottom w:w="0" w:type="dxa"/>
            <w:right w:w="108" w:type="dxa"/>
          </w:tblCellMar>
        </w:tblPrEx>
        <w:trPr>
          <w:trHeight w:val="463" w:hRule="atLeast"/>
          <w:jc w:val="center"/>
        </w:trPr>
        <w:tc>
          <w:tcPr>
            <w:tcW w:w="722" w:type="pct"/>
            <w:vMerge w:val="restart"/>
            <w:tcBorders>
              <w:top w:val="single" w:color="auto" w:sz="4" w:space="0"/>
              <w:left w:val="single" w:color="000000" w:sz="4" w:space="0"/>
              <w:right w:val="single" w:color="000000" w:sz="4" w:space="0"/>
            </w:tcBorders>
            <w:shd w:val="clear" w:color="auto" w:fill="auto"/>
            <w:vAlign w:val="center"/>
          </w:tcPr>
          <w:p w14:paraId="4A81B4E8">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考勤管理</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09806">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与现有系统对接，每月初从考勤系统同步上月人员月度考勤结果至人力资源管理系统的员工档案存储，该考勤结果可自动联动应用在考核、工资核算等其他人力资源业务管理场景中。</w:t>
            </w:r>
          </w:p>
        </w:tc>
      </w:tr>
      <w:tr w14:paraId="1740B673">
        <w:tblPrEx>
          <w:tblCellMar>
            <w:top w:w="0" w:type="dxa"/>
            <w:left w:w="108" w:type="dxa"/>
            <w:bottom w:w="0" w:type="dxa"/>
            <w:right w:w="108" w:type="dxa"/>
          </w:tblCellMar>
        </w:tblPrEx>
        <w:trPr>
          <w:trHeight w:val="463" w:hRule="atLeast"/>
          <w:jc w:val="center"/>
        </w:trPr>
        <w:tc>
          <w:tcPr>
            <w:tcW w:w="722" w:type="pct"/>
            <w:vMerge w:val="continue"/>
            <w:tcBorders>
              <w:left w:val="single" w:color="000000" w:sz="4" w:space="0"/>
              <w:bottom w:val="single" w:color="auto" w:sz="4" w:space="0"/>
              <w:right w:val="single" w:color="000000" w:sz="4" w:space="0"/>
            </w:tcBorders>
            <w:shd w:val="clear" w:color="auto" w:fill="auto"/>
            <w:vAlign w:val="center"/>
          </w:tcPr>
          <w:p w14:paraId="27536256">
            <w:pPr>
              <w:shd w:val="clear"/>
              <w:spacing w:line="360" w:lineRule="auto"/>
              <w:rPr>
                <w:rFonts w:hint="eastAsia" w:ascii="宋体" w:hAnsi="宋体" w:cs="宋体"/>
                <w:color w:val="auto"/>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134A7">
            <w:pPr>
              <w:shd w:val="clear"/>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够按时间段，能够按工作地关系或人事关系分别统计考勤统计数据。</w:t>
            </w:r>
          </w:p>
        </w:tc>
      </w:tr>
      <w:tr w14:paraId="3D416DD6">
        <w:tblPrEx>
          <w:tblCellMar>
            <w:top w:w="0" w:type="dxa"/>
            <w:left w:w="108" w:type="dxa"/>
            <w:bottom w:w="0" w:type="dxa"/>
            <w:right w:w="108" w:type="dxa"/>
          </w:tblCellMar>
        </w:tblPrEx>
        <w:trPr>
          <w:trHeight w:val="288" w:hRule="atLeast"/>
          <w:jc w:val="center"/>
        </w:trPr>
        <w:tc>
          <w:tcPr>
            <w:tcW w:w="722" w:type="pct"/>
            <w:tcBorders>
              <w:top w:val="single" w:color="auto" w:sz="4" w:space="0"/>
              <w:left w:val="single" w:color="000000" w:sz="4" w:space="0"/>
              <w:bottom w:val="single" w:color="auto" w:sz="4" w:space="0"/>
              <w:right w:val="single" w:color="000000" w:sz="4" w:space="0"/>
            </w:tcBorders>
            <w:shd w:val="clear" w:color="auto" w:fill="auto"/>
            <w:vAlign w:val="center"/>
          </w:tcPr>
          <w:p w14:paraId="020F78C1">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人才招聘</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F376A">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在第三方招聘系统中完成招聘录用工作后，提供对接或导入功能，可将录用人员简历基本信息按格式导入到人力资源管理系统的待入职人员库中，通过人力资源管理系统完成入职审批（见2.3小节人事业务流程需求方案，审批表中自动拉取简历信息，不用重复填写，只需核对、完善即可）后，纳入正式员工管理，同时系统自动触发合同签订、薪资定薪等业务环节。</w:t>
            </w:r>
          </w:p>
        </w:tc>
      </w:tr>
      <w:tr w14:paraId="070DD29E">
        <w:tblPrEx>
          <w:tblCellMar>
            <w:top w:w="0" w:type="dxa"/>
            <w:left w:w="108" w:type="dxa"/>
            <w:bottom w:w="0" w:type="dxa"/>
            <w:right w:w="108" w:type="dxa"/>
          </w:tblCellMar>
        </w:tblPrEx>
        <w:trPr>
          <w:trHeight w:val="288" w:hRule="atLeast"/>
          <w:jc w:val="center"/>
        </w:trPr>
        <w:tc>
          <w:tcPr>
            <w:tcW w:w="722" w:type="pct"/>
            <w:vMerge w:val="restart"/>
            <w:tcBorders>
              <w:top w:val="single" w:color="auto" w:sz="4" w:space="0"/>
              <w:left w:val="single" w:color="000000" w:sz="4" w:space="0"/>
              <w:right w:val="single" w:color="000000" w:sz="4" w:space="0"/>
            </w:tcBorders>
            <w:shd w:val="clear" w:color="auto" w:fill="auto"/>
            <w:vAlign w:val="center"/>
          </w:tcPr>
          <w:p w14:paraId="7A9D362A">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全院协同应用管理</w:t>
            </w: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8678B">
            <w:pPr>
              <w:numPr>
                <w:ilvl w:val="0"/>
                <w:numId w:val="3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与工会管理系统对接，为工会管理系统提供员工人事系统相关信息，并将工会会员信息返回人力资源管理系统员工档案</w:t>
            </w:r>
          </w:p>
        </w:tc>
      </w:tr>
      <w:tr w14:paraId="28847456">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1DD57567">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D2697">
            <w:pPr>
              <w:numPr>
                <w:ilvl w:val="0"/>
                <w:numId w:val="3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党办：给党办开通政治面貌等信息的维护权限，党员的数据信息通过接口同步到党办系统中。协同管理、应用党员信息，增加党员民主评议。</w:t>
            </w:r>
          </w:p>
        </w:tc>
      </w:tr>
      <w:tr w14:paraId="1BC45DFE">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6912890B">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9C652">
            <w:pPr>
              <w:numPr>
                <w:ilvl w:val="0"/>
                <w:numId w:val="3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医务部：对接医院his系统，为his系统提供员工</w:t>
            </w:r>
            <w:bookmarkStart w:id="14" w:name="OLE_LINK1"/>
            <w:r>
              <w:rPr>
                <w:rFonts w:hint="eastAsia" w:ascii="宋体" w:hAnsi="宋体" w:cs="宋体"/>
                <w:color w:val="auto"/>
                <w:sz w:val="24"/>
                <w:highlight w:val="none"/>
              </w:rPr>
              <w:t>人事系统相关</w:t>
            </w:r>
            <w:bookmarkEnd w:id="14"/>
            <w:r>
              <w:rPr>
                <w:rFonts w:hint="eastAsia" w:ascii="宋体" w:hAnsi="宋体" w:cs="宋体"/>
                <w:color w:val="auto"/>
                <w:sz w:val="24"/>
                <w:highlight w:val="none"/>
              </w:rPr>
              <w:t>信息，同时将his系统中的医生手术权限信息，返回人力资源管理系统员工档案，实现系统联通，数据共享与应用。</w:t>
            </w:r>
          </w:p>
        </w:tc>
      </w:tr>
      <w:tr w14:paraId="32495487">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1C1B28D0">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BB51B">
            <w:pPr>
              <w:numPr>
                <w:ilvl w:val="0"/>
                <w:numId w:val="3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护理部：对接医院护理系统，为护理系统提供员工人事系统相关信息，同时将护理系统中的护士等级、护士培训情况等信息返回人力资源管理系统员工档案，实现系统联通，数据共享与应用。</w:t>
            </w:r>
          </w:p>
        </w:tc>
      </w:tr>
      <w:tr w14:paraId="338411AA">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4B5B2B50">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F3931">
            <w:pPr>
              <w:numPr>
                <w:ilvl w:val="0"/>
                <w:numId w:val="3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病案统计室：对接医院病案系统，为病案系统提供员工人事系统相关信息，实现系统联通，数据共享与应用。</w:t>
            </w:r>
          </w:p>
        </w:tc>
      </w:tr>
      <w:tr w14:paraId="6F98379F">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6B8AA430">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793FA">
            <w:pPr>
              <w:numPr>
                <w:ilvl w:val="0"/>
                <w:numId w:val="3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办公室：将人力资源管理系统中的荣誉等相关信息开放权限给办公室维护、管理，同时员工申请的在职证明、收入证明等流程通知到办公室，实现统一平台共建共享、协同应用。和钉钉系统的人员信息及权限实时同步对接和管理。</w:t>
            </w:r>
          </w:p>
        </w:tc>
      </w:tr>
      <w:tr w14:paraId="37360193">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right w:val="single" w:color="000000" w:sz="4" w:space="0"/>
            </w:tcBorders>
            <w:shd w:val="clear" w:color="auto" w:fill="auto"/>
            <w:vAlign w:val="center"/>
          </w:tcPr>
          <w:p w14:paraId="4996F148">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13263">
            <w:pPr>
              <w:numPr>
                <w:ilvl w:val="0"/>
                <w:numId w:val="3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教学部：对接医院教学系统，为教学系统提供所需的员工人事系统相关信息，同时将职工的学习学分对接到人力资源管理系统中，实现系统联通，数据共享与应用。</w:t>
            </w:r>
          </w:p>
        </w:tc>
      </w:tr>
      <w:tr w14:paraId="53DAE067">
        <w:tblPrEx>
          <w:tblCellMar>
            <w:top w:w="0" w:type="dxa"/>
            <w:left w:w="108" w:type="dxa"/>
            <w:bottom w:w="0" w:type="dxa"/>
            <w:right w:w="108" w:type="dxa"/>
          </w:tblCellMar>
        </w:tblPrEx>
        <w:trPr>
          <w:trHeight w:val="288" w:hRule="atLeast"/>
          <w:jc w:val="center"/>
        </w:trPr>
        <w:tc>
          <w:tcPr>
            <w:tcW w:w="722" w:type="pct"/>
            <w:vMerge w:val="continue"/>
            <w:tcBorders>
              <w:left w:val="single" w:color="000000" w:sz="4" w:space="0"/>
              <w:bottom w:val="single" w:color="auto" w:sz="4" w:space="0"/>
              <w:right w:val="single" w:color="000000" w:sz="4" w:space="0"/>
            </w:tcBorders>
            <w:shd w:val="clear" w:color="auto" w:fill="auto"/>
            <w:vAlign w:val="center"/>
          </w:tcPr>
          <w:p w14:paraId="0E6801F5">
            <w:pPr>
              <w:shd w:val="clear"/>
              <w:spacing w:line="360" w:lineRule="auto"/>
              <w:jc w:val="left"/>
              <w:textAlignment w:val="center"/>
              <w:rPr>
                <w:rFonts w:hint="eastAsia" w:ascii="宋体" w:hAnsi="宋体" w:cs="宋体"/>
                <w:b/>
                <w:bCs/>
                <w:color w:val="auto"/>
                <w:kern w:val="0"/>
                <w:sz w:val="24"/>
                <w:highlight w:val="none"/>
              </w:rPr>
            </w:pPr>
          </w:p>
        </w:tc>
        <w:tc>
          <w:tcPr>
            <w:tcW w:w="4277"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E927B">
            <w:pPr>
              <w:numPr>
                <w:ilvl w:val="0"/>
                <w:numId w:val="34"/>
              </w:num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科研部：对接医院科研管理系统，为科研管理系统提供员工人事系统相关信息，同时从科研管理系统获取员工所发表的论文、著作、专利、课题等科研信息存入员工档案，并可在岗位聘用、履职能力评估、考核等业务场景中使用，实现系统联通，数据共享与应用。</w:t>
            </w:r>
          </w:p>
        </w:tc>
      </w:tr>
      <w:tr w14:paraId="34170552">
        <w:tblPrEx>
          <w:tblCellMar>
            <w:top w:w="0" w:type="dxa"/>
            <w:left w:w="108" w:type="dxa"/>
            <w:bottom w:w="0" w:type="dxa"/>
            <w:right w:w="108" w:type="dxa"/>
          </w:tblCellMar>
        </w:tblPrEx>
        <w:trPr>
          <w:trHeight w:val="1452" w:hRule="atLeast"/>
          <w:jc w:val="center"/>
        </w:trPr>
        <w:tc>
          <w:tcPr>
            <w:tcW w:w="722" w:type="pct"/>
            <w:vMerge w:val="restart"/>
            <w:tcBorders>
              <w:top w:val="single" w:color="auto" w:sz="4" w:space="0"/>
              <w:left w:val="single" w:color="000000" w:sz="4" w:space="0"/>
              <w:right w:val="single" w:color="000000" w:sz="4" w:space="0"/>
            </w:tcBorders>
            <w:shd w:val="clear" w:color="auto" w:fill="auto"/>
            <w:vAlign w:val="center"/>
          </w:tcPr>
          <w:p w14:paraId="5EAB6594">
            <w:pPr>
              <w:shd w:val="clear"/>
              <w:spacing w:line="360" w:lineRule="auto"/>
              <w:jc w:val="left"/>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互联互通</w:t>
            </w:r>
          </w:p>
        </w:tc>
        <w:tc>
          <w:tcPr>
            <w:tcW w:w="989" w:type="pct"/>
            <w:gridSpan w:val="2"/>
            <w:vMerge w:val="restart"/>
            <w:tcBorders>
              <w:top w:val="single" w:color="000000" w:sz="4" w:space="0"/>
              <w:left w:val="single" w:color="000000" w:sz="4" w:space="0"/>
              <w:right w:val="single" w:color="auto" w:sz="4" w:space="0"/>
            </w:tcBorders>
            <w:shd w:val="clear" w:color="auto" w:fill="auto"/>
            <w:noWrap/>
            <w:vAlign w:val="center"/>
          </w:tcPr>
          <w:p w14:paraId="2AA4ADFA">
            <w:pPr>
              <w:shd w:val="clear"/>
              <w:spacing w:line="360" w:lineRule="auto"/>
              <w:textAlignment w:val="center"/>
              <w:rPr>
                <w:rFonts w:hint="eastAsia" w:ascii="宋体" w:hAnsi="宋体" w:cs="宋体"/>
                <w:color w:val="auto"/>
                <w:kern w:val="0"/>
                <w:sz w:val="24"/>
                <w:highlight w:val="none"/>
                <w:lang w:bidi="ar"/>
              </w:rPr>
            </w:pPr>
            <w:r>
              <w:rPr>
                <w:rFonts w:hint="eastAsia" w:ascii="宋体" w:hAnsi="宋体" w:cs="宋体"/>
                <w:b/>
                <w:bCs/>
                <w:color w:val="auto"/>
                <w:kern w:val="0"/>
                <w:sz w:val="24"/>
                <w:highlight w:val="none"/>
              </w:rPr>
              <w:t>提供标准人事基础信息支撑平台</w:t>
            </w:r>
          </w:p>
        </w:tc>
        <w:tc>
          <w:tcPr>
            <w:tcW w:w="3287" w:type="pct"/>
            <w:tcBorders>
              <w:top w:val="single" w:color="000000" w:sz="4" w:space="0"/>
              <w:left w:val="single" w:color="auto" w:sz="4" w:space="0"/>
              <w:bottom w:val="single" w:color="000000" w:sz="4" w:space="0"/>
              <w:right w:val="single" w:color="000000" w:sz="4" w:space="0"/>
            </w:tcBorders>
            <w:shd w:val="clear" w:color="auto" w:fill="auto"/>
            <w:noWrap/>
            <w:vAlign w:val="center"/>
          </w:tcPr>
          <w:p w14:paraId="70BBD9A8">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系统为其他应用系统提供人员和组织机构等相关信息的各种查询服务以及人事信息更新服务。例如获得用户的姓名、所在部门、工作年限等，也可以查询部门的信息，例如部门列表和指定部门里的用户列表等。</w:t>
            </w:r>
          </w:p>
        </w:tc>
      </w:tr>
      <w:tr w14:paraId="647694BD">
        <w:tblPrEx>
          <w:tblCellMar>
            <w:top w:w="0" w:type="dxa"/>
            <w:left w:w="108" w:type="dxa"/>
            <w:bottom w:w="0" w:type="dxa"/>
            <w:right w:w="108" w:type="dxa"/>
          </w:tblCellMar>
        </w:tblPrEx>
        <w:trPr>
          <w:trHeight w:val="840" w:hRule="atLeast"/>
          <w:jc w:val="center"/>
        </w:trPr>
        <w:tc>
          <w:tcPr>
            <w:tcW w:w="722" w:type="pct"/>
            <w:vMerge w:val="continue"/>
            <w:tcBorders>
              <w:left w:val="single" w:color="000000" w:sz="4" w:space="0"/>
              <w:right w:val="single" w:color="000000" w:sz="4" w:space="0"/>
            </w:tcBorders>
            <w:shd w:val="clear" w:color="auto" w:fill="auto"/>
            <w:vAlign w:val="center"/>
          </w:tcPr>
          <w:p w14:paraId="149E32B3">
            <w:pPr>
              <w:shd w:val="clear"/>
              <w:spacing w:line="360" w:lineRule="auto"/>
              <w:rPr>
                <w:rFonts w:hint="eastAsia" w:ascii="宋体" w:hAnsi="宋体" w:cs="宋体"/>
                <w:color w:val="auto"/>
                <w:sz w:val="24"/>
                <w:highlight w:val="none"/>
              </w:rPr>
            </w:pPr>
          </w:p>
        </w:tc>
        <w:tc>
          <w:tcPr>
            <w:tcW w:w="989" w:type="pct"/>
            <w:gridSpan w:val="2"/>
            <w:vMerge w:val="continue"/>
            <w:tcBorders>
              <w:left w:val="single" w:color="000000" w:sz="4" w:space="0"/>
              <w:right w:val="single" w:color="auto" w:sz="4" w:space="0"/>
            </w:tcBorders>
            <w:shd w:val="clear" w:color="auto" w:fill="auto"/>
            <w:noWrap/>
            <w:vAlign w:val="center"/>
          </w:tcPr>
          <w:p w14:paraId="0A358348">
            <w:pPr>
              <w:shd w:val="clear"/>
              <w:spacing w:line="360" w:lineRule="auto"/>
              <w:rPr>
                <w:rFonts w:hint="eastAsia" w:ascii="宋体" w:hAnsi="宋体" w:cs="宋体"/>
                <w:color w:val="auto"/>
                <w:sz w:val="24"/>
                <w:highlight w:val="none"/>
              </w:rPr>
            </w:pPr>
          </w:p>
        </w:tc>
        <w:tc>
          <w:tcPr>
            <w:tcW w:w="3287" w:type="pct"/>
            <w:tcBorders>
              <w:top w:val="single" w:color="000000" w:sz="4" w:space="0"/>
              <w:left w:val="single" w:color="auto" w:sz="4" w:space="0"/>
              <w:bottom w:val="single" w:color="000000" w:sz="4" w:space="0"/>
              <w:right w:val="single" w:color="000000" w:sz="4" w:space="0"/>
            </w:tcBorders>
            <w:shd w:val="clear" w:color="auto" w:fill="auto"/>
            <w:noWrap/>
            <w:vAlign w:val="center"/>
          </w:tcPr>
          <w:p w14:paraId="05971EA1">
            <w:pPr>
              <w:shd w:val="clear"/>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用户自定义创建动态数据表，自动关联人事系统的人员数据，可以根据字段权限和数据权限分享给对应用户。</w:t>
            </w:r>
          </w:p>
        </w:tc>
      </w:tr>
      <w:tr w14:paraId="186258E9">
        <w:tblPrEx>
          <w:tblCellMar>
            <w:top w:w="0" w:type="dxa"/>
            <w:left w:w="108" w:type="dxa"/>
            <w:bottom w:w="0" w:type="dxa"/>
            <w:right w:w="108" w:type="dxa"/>
          </w:tblCellMar>
        </w:tblPrEx>
        <w:trPr>
          <w:trHeight w:val="1452" w:hRule="atLeast"/>
          <w:jc w:val="center"/>
        </w:trPr>
        <w:tc>
          <w:tcPr>
            <w:tcW w:w="722" w:type="pct"/>
            <w:vMerge w:val="continue"/>
            <w:tcBorders>
              <w:left w:val="single" w:color="000000" w:sz="4" w:space="0"/>
              <w:bottom w:val="single" w:color="auto" w:sz="4" w:space="0"/>
              <w:right w:val="single" w:color="000000" w:sz="4" w:space="0"/>
            </w:tcBorders>
            <w:shd w:val="clear" w:color="auto" w:fill="auto"/>
            <w:vAlign w:val="center"/>
          </w:tcPr>
          <w:p w14:paraId="331593EB">
            <w:pPr>
              <w:shd w:val="clear"/>
              <w:spacing w:line="360" w:lineRule="auto"/>
              <w:rPr>
                <w:rFonts w:hint="eastAsia" w:ascii="宋体" w:hAnsi="宋体" w:cs="宋体"/>
                <w:color w:val="auto"/>
                <w:sz w:val="24"/>
                <w:highlight w:val="none"/>
              </w:rPr>
            </w:pPr>
          </w:p>
        </w:tc>
        <w:tc>
          <w:tcPr>
            <w:tcW w:w="989" w:type="pct"/>
            <w:gridSpan w:val="2"/>
            <w:vMerge w:val="continue"/>
            <w:tcBorders>
              <w:left w:val="single" w:color="000000" w:sz="4" w:space="0"/>
              <w:bottom w:val="single" w:color="000000" w:sz="4" w:space="0"/>
              <w:right w:val="single" w:color="auto" w:sz="4" w:space="0"/>
            </w:tcBorders>
            <w:shd w:val="clear" w:color="auto" w:fill="auto"/>
            <w:noWrap/>
            <w:vAlign w:val="center"/>
          </w:tcPr>
          <w:p w14:paraId="3A4CD105">
            <w:pPr>
              <w:shd w:val="clear"/>
              <w:spacing w:line="360" w:lineRule="auto"/>
              <w:rPr>
                <w:rFonts w:hint="eastAsia" w:ascii="宋体" w:hAnsi="宋体" w:cs="宋体"/>
                <w:color w:val="auto"/>
                <w:sz w:val="24"/>
                <w:highlight w:val="none"/>
              </w:rPr>
            </w:pPr>
          </w:p>
        </w:tc>
        <w:tc>
          <w:tcPr>
            <w:tcW w:w="3287" w:type="pct"/>
            <w:tcBorders>
              <w:top w:val="single" w:color="000000" w:sz="4" w:space="0"/>
              <w:left w:val="single" w:color="auto" w:sz="4" w:space="0"/>
              <w:bottom w:val="single" w:color="000000" w:sz="4" w:space="0"/>
              <w:right w:val="single" w:color="000000" w:sz="4" w:space="0"/>
            </w:tcBorders>
            <w:shd w:val="clear" w:color="auto" w:fill="auto"/>
            <w:noWrap/>
            <w:vAlign w:val="center"/>
          </w:tcPr>
          <w:p w14:paraId="4BDB4988">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人员信息、组织机构信息信息指标项由于业务管理的需要，信息项目比较多，而其它应用系统需要信息项目不多，人事基础信息平台提供数据视图定制功能，数据有变化时，通过WebService接口及时通知其它应用系统，取得变化后的数据，实现了基础数据实时同步；可以实现与数据总线系统、OA办公系统、HIS系统以及LDAP目录服务的无缝集成。</w:t>
            </w:r>
          </w:p>
        </w:tc>
      </w:tr>
      <w:tr w14:paraId="397BBBD9">
        <w:tblPrEx>
          <w:tblCellMar>
            <w:top w:w="0" w:type="dxa"/>
            <w:left w:w="108" w:type="dxa"/>
            <w:bottom w:w="0" w:type="dxa"/>
            <w:right w:w="108" w:type="dxa"/>
          </w:tblCellMar>
        </w:tblPrEx>
        <w:trPr>
          <w:trHeight w:val="288" w:hRule="atLeast"/>
          <w:jc w:val="center"/>
        </w:trPr>
        <w:tc>
          <w:tcPr>
            <w:tcW w:w="722"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ED2AA0">
            <w:pPr>
              <w:shd w:val="clear"/>
              <w:spacing w:line="360" w:lineRule="auto"/>
              <w:jc w:val="center"/>
              <w:rPr>
                <w:rFonts w:hint="eastAsia" w:ascii="宋体" w:hAnsi="宋体" w:cs="宋体"/>
                <w:color w:val="auto"/>
                <w:sz w:val="24"/>
                <w:highlight w:val="none"/>
              </w:rPr>
            </w:pPr>
          </w:p>
        </w:tc>
        <w:tc>
          <w:tcPr>
            <w:tcW w:w="989" w:type="pct"/>
            <w:gridSpan w:val="2"/>
            <w:tcBorders>
              <w:top w:val="single" w:color="000000" w:sz="4" w:space="0"/>
              <w:left w:val="single" w:color="000000" w:sz="4" w:space="0"/>
              <w:bottom w:val="single" w:color="000000" w:sz="4" w:space="0"/>
              <w:right w:val="single" w:color="auto" w:sz="4" w:space="0"/>
            </w:tcBorders>
            <w:shd w:val="clear" w:color="auto" w:fill="auto"/>
            <w:noWrap/>
            <w:vAlign w:val="center"/>
          </w:tcPr>
          <w:p w14:paraId="655B6586">
            <w:pPr>
              <w:shd w:val="clear"/>
              <w:spacing w:line="360" w:lineRule="auto"/>
              <w:textAlignment w:val="center"/>
              <w:rPr>
                <w:rFonts w:hint="eastAsia" w:ascii="宋体" w:hAnsi="宋体" w:cs="宋体"/>
                <w:color w:val="auto"/>
                <w:kern w:val="0"/>
                <w:sz w:val="24"/>
                <w:highlight w:val="none"/>
                <w:lang w:bidi="ar"/>
              </w:rPr>
            </w:pPr>
            <w:r>
              <w:rPr>
                <w:rFonts w:hint="eastAsia" w:ascii="宋体" w:hAnsi="宋体" w:cs="宋体"/>
                <w:b/>
                <w:bCs/>
                <w:color w:val="auto"/>
                <w:kern w:val="0"/>
                <w:sz w:val="24"/>
                <w:highlight w:val="none"/>
              </w:rPr>
              <w:t>支持单点登录</w:t>
            </w:r>
          </w:p>
        </w:tc>
        <w:tc>
          <w:tcPr>
            <w:tcW w:w="3287" w:type="pct"/>
            <w:tcBorders>
              <w:top w:val="single" w:color="000000" w:sz="4" w:space="0"/>
              <w:left w:val="single" w:color="auto" w:sz="4" w:space="0"/>
              <w:bottom w:val="single" w:color="000000" w:sz="4" w:space="0"/>
              <w:right w:val="single" w:color="000000" w:sz="4" w:space="0"/>
            </w:tcBorders>
            <w:shd w:val="clear" w:color="auto" w:fill="auto"/>
            <w:noWrap/>
            <w:vAlign w:val="center"/>
          </w:tcPr>
          <w:p w14:paraId="6A013A48">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在恩泽医疗中心（集团）统一门户上建立医院人事系统自助服务平台或业务平台链接，可通过统一门户上单点登录进入人力资源管理系统，不用重复输入用户名和密码。并为其他系统提供统一登录的账号、密码、权限等数据及接口。</w:t>
            </w:r>
          </w:p>
        </w:tc>
      </w:tr>
      <w:tr w14:paraId="53E3C164">
        <w:tblPrEx>
          <w:tblCellMar>
            <w:top w:w="0" w:type="dxa"/>
            <w:left w:w="108" w:type="dxa"/>
            <w:bottom w:w="0" w:type="dxa"/>
            <w:right w:w="108" w:type="dxa"/>
          </w:tblCellMar>
        </w:tblPrEx>
        <w:trPr>
          <w:trHeight w:val="288" w:hRule="atLeast"/>
          <w:jc w:val="center"/>
        </w:trPr>
        <w:tc>
          <w:tcPr>
            <w:tcW w:w="722"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514405">
            <w:pPr>
              <w:shd w:val="clear"/>
              <w:spacing w:line="360" w:lineRule="auto"/>
              <w:jc w:val="center"/>
              <w:rPr>
                <w:rFonts w:hint="eastAsia" w:ascii="宋体" w:hAnsi="宋体" w:cs="宋体"/>
                <w:color w:val="auto"/>
                <w:sz w:val="24"/>
                <w:highlight w:val="none"/>
              </w:rPr>
            </w:pPr>
          </w:p>
        </w:tc>
        <w:tc>
          <w:tcPr>
            <w:tcW w:w="989" w:type="pct"/>
            <w:gridSpan w:val="2"/>
            <w:tcBorders>
              <w:top w:val="single" w:color="000000" w:sz="4" w:space="0"/>
              <w:left w:val="single" w:color="000000" w:sz="4" w:space="0"/>
              <w:bottom w:val="single" w:color="000000" w:sz="4" w:space="0"/>
              <w:right w:val="single" w:color="auto" w:sz="4" w:space="0"/>
            </w:tcBorders>
            <w:shd w:val="clear" w:color="auto" w:fill="auto"/>
            <w:noWrap/>
            <w:vAlign w:val="center"/>
          </w:tcPr>
          <w:p w14:paraId="60A8B0F6">
            <w:pPr>
              <w:shd w:val="clear"/>
              <w:spacing w:line="360" w:lineRule="auto"/>
              <w:textAlignment w:val="center"/>
              <w:rPr>
                <w:rFonts w:hint="eastAsia" w:ascii="宋体" w:hAnsi="宋体" w:cs="宋体"/>
                <w:color w:val="auto"/>
                <w:kern w:val="0"/>
                <w:sz w:val="24"/>
                <w:highlight w:val="none"/>
                <w:lang w:bidi="ar"/>
              </w:rPr>
            </w:pPr>
            <w:r>
              <w:rPr>
                <w:rFonts w:hint="eastAsia" w:ascii="宋体" w:hAnsi="宋体" w:cs="宋体"/>
                <w:b/>
                <w:bCs/>
                <w:color w:val="auto"/>
                <w:kern w:val="0"/>
                <w:sz w:val="24"/>
                <w:highlight w:val="none"/>
              </w:rPr>
              <w:t>支持人力资源系统的待办与OA平台或门户中的待办集成</w:t>
            </w:r>
          </w:p>
        </w:tc>
        <w:tc>
          <w:tcPr>
            <w:tcW w:w="3287" w:type="pct"/>
            <w:tcBorders>
              <w:top w:val="single" w:color="000000" w:sz="4" w:space="0"/>
              <w:left w:val="single" w:color="auto" w:sz="4" w:space="0"/>
              <w:bottom w:val="single" w:color="000000" w:sz="4" w:space="0"/>
              <w:right w:val="single" w:color="000000" w:sz="4" w:space="0"/>
            </w:tcBorders>
            <w:shd w:val="clear" w:color="auto" w:fill="auto"/>
            <w:noWrap/>
            <w:vAlign w:val="center"/>
          </w:tcPr>
          <w:p w14:paraId="5D50E667">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当发生人事异动、考核等业务产生待办时，提供将待办信息推送到其他系统中，以完成待办信息的集成。当用户处理完待办信息后，调用其他系统提供的接口更改待办信息的状态，这样其他系统就可以不显示已办的信息。</w:t>
            </w:r>
          </w:p>
        </w:tc>
      </w:tr>
      <w:tr w14:paraId="4C60E05F">
        <w:tblPrEx>
          <w:tblCellMar>
            <w:top w:w="0" w:type="dxa"/>
            <w:left w:w="108" w:type="dxa"/>
            <w:bottom w:w="0" w:type="dxa"/>
            <w:right w:w="108" w:type="dxa"/>
          </w:tblCellMar>
        </w:tblPrEx>
        <w:trPr>
          <w:trHeight w:val="288" w:hRule="atLeast"/>
          <w:jc w:val="center"/>
        </w:trPr>
        <w:tc>
          <w:tcPr>
            <w:tcW w:w="722"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2E793D">
            <w:pPr>
              <w:shd w:val="clear"/>
              <w:spacing w:line="360" w:lineRule="auto"/>
              <w:jc w:val="center"/>
              <w:rPr>
                <w:rFonts w:hint="eastAsia" w:ascii="宋体" w:hAnsi="宋体" w:cs="宋体"/>
                <w:color w:val="auto"/>
                <w:sz w:val="24"/>
                <w:highlight w:val="none"/>
              </w:rPr>
            </w:pPr>
          </w:p>
        </w:tc>
        <w:tc>
          <w:tcPr>
            <w:tcW w:w="989" w:type="pct"/>
            <w:gridSpan w:val="2"/>
            <w:tcBorders>
              <w:top w:val="single" w:color="000000" w:sz="4" w:space="0"/>
              <w:left w:val="single" w:color="000000" w:sz="4" w:space="0"/>
              <w:bottom w:val="single" w:color="000000" w:sz="4" w:space="0"/>
              <w:right w:val="single" w:color="auto" w:sz="4" w:space="0"/>
            </w:tcBorders>
            <w:shd w:val="clear" w:color="auto" w:fill="auto"/>
            <w:noWrap/>
            <w:vAlign w:val="center"/>
          </w:tcPr>
          <w:p w14:paraId="726E1C26">
            <w:pPr>
              <w:shd w:val="clear"/>
              <w:spacing w:line="360" w:lineRule="auto"/>
              <w:textAlignment w:val="center"/>
              <w:rPr>
                <w:rFonts w:hint="eastAsia" w:ascii="宋体" w:hAnsi="宋体" w:cs="宋体"/>
                <w:color w:val="auto"/>
                <w:kern w:val="0"/>
                <w:sz w:val="24"/>
                <w:highlight w:val="none"/>
                <w:lang w:bidi="ar"/>
              </w:rPr>
            </w:pPr>
            <w:r>
              <w:rPr>
                <w:rFonts w:hint="eastAsia" w:ascii="宋体" w:hAnsi="宋体" w:cs="宋体"/>
                <w:b/>
                <w:bCs/>
                <w:color w:val="auto"/>
                <w:kern w:val="0"/>
                <w:sz w:val="24"/>
                <w:highlight w:val="none"/>
              </w:rPr>
              <w:t>支持与医院数据中心系统集成</w:t>
            </w:r>
          </w:p>
        </w:tc>
        <w:tc>
          <w:tcPr>
            <w:tcW w:w="3287" w:type="pct"/>
            <w:tcBorders>
              <w:top w:val="single" w:color="000000" w:sz="4" w:space="0"/>
              <w:left w:val="single" w:color="auto" w:sz="4" w:space="0"/>
              <w:bottom w:val="single" w:color="000000" w:sz="4" w:space="0"/>
              <w:right w:val="single" w:color="000000" w:sz="4" w:space="0"/>
            </w:tcBorders>
            <w:shd w:val="clear" w:color="auto" w:fill="auto"/>
            <w:noWrap/>
            <w:vAlign w:val="center"/>
          </w:tcPr>
          <w:p w14:paraId="238D5983">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通过与医院数据中心集成，从数据中心获取员工的业务数据进入人力资源系统，存入员工档案中，可查询浏览、统计。并支持在后续的人力资源业务中对员工业务数据进行应用，如岗位聘任、职称评审、岗位等级评定等。</w:t>
            </w:r>
          </w:p>
        </w:tc>
      </w:tr>
      <w:tr w14:paraId="014B5BC0">
        <w:tblPrEx>
          <w:tblCellMar>
            <w:top w:w="0" w:type="dxa"/>
            <w:left w:w="108" w:type="dxa"/>
            <w:bottom w:w="0" w:type="dxa"/>
            <w:right w:w="108" w:type="dxa"/>
          </w:tblCellMar>
        </w:tblPrEx>
        <w:trPr>
          <w:trHeight w:val="288" w:hRule="atLeast"/>
          <w:jc w:val="center"/>
        </w:trPr>
        <w:tc>
          <w:tcPr>
            <w:tcW w:w="722" w:type="pct"/>
            <w:tcBorders>
              <w:top w:val="single" w:color="auto" w:sz="4" w:space="0"/>
              <w:left w:val="single" w:color="000000" w:sz="4" w:space="0"/>
              <w:bottom w:val="single" w:color="auto" w:sz="4" w:space="0"/>
              <w:right w:val="single" w:color="000000" w:sz="4" w:space="0"/>
            </w:tcBorders>
            <w:shd w:val="clear" w:color="auto" w:fill="auto"/>
            <w:vAlign w:val="center"/>
          </w:tcPr>
          <w:p w14:paraId="39715DF8">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服务</w:t>
            </w:r>
          </w:p>
        </w:tc>
        <w:tc>
          <w:tcPr>
            <w:tcW w:w="989" w:type="pct"/>
            <w:gridSpan w:val="2"/>
            <w:tcBorders>
              <w:top w:val="single" w:color="000000" w:sz="4" w:space="0"/>
              <w:left w:val="single" w:color="000000" w:sz="4" w:space="0"/>
              <w:bottom w:val="single" w:color="000000" w:sz="4" w:space="0"/>
              <w:right w:val="single" w:color="auto" w:sz="4" w:space="0"/>
            </w:tcBorders>
            <w:shd w:val="clear" w:color="auto" w:fill="auto"/>
            <w:noWrap/>
            <w:vAlign w:val="center"/>
          </w:tcPr>
          <w:p w14:paraId="064D6BBA">
            <w:pPr>
              <w:shd w:val="clear"/>
              <w:spacing w:line="360" w:lineRule="auto"/>
              <w:textAlignment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质保期相关</w:t>
            </w:r>
          </w:p>
        </w:tc>
        <w:tc>
          <w:tcPr>
            <w:tcW w:w="3287" w:type="pct"/>
            <w:tcBorders>
              <w:top w:val="single" w:color="000000" w:sz="4" w:space="0"/>
              <w:left w:val="single" w:color="auto" w:sz="4" w:space="0"/>
              <w:bottom w:val="single" w:color="000000" w:sz="4" w:space="0"/>
              <w:right w:val="single" w:color="000000" w:sz="4" w:space="0"/>
            </w:tcBorders>
            <w:shd w:val="clear" w:color="auto" w:fill="auto"/>
            <w:noWrap/>
            <w:vAlign w:val="center"/>
          </w:tcPr>
          <w:p w14:paraId="6B36E38E">
            <w:pPr>
              <w:shd w:val="clear"/>
              <w:spacing w:line="360" w:lineRule="auto"/>
              <w:rPr>
                <w:rFonts w:hint="eastAsia" w:ascii="宋体" w:hAnsi="宋体" w:cs="宋体"/>
                <w:color w:val="auto"/>
                <w:sz w:val="24"/>
                <w:highlight w:val="none"/>
              </w:rPr>
            </w:pPr>
            <w:r>
              <w:rPr>
                <w:rStyle w:val="37"/>
                <w:rFonts w:hint="eastAsia" w:ascii="宋体" w:hAnsi="宋体" w:cs="宋体"/>
                <w:color w:val="auto"/>
                <w:sz w:val="24"/>
                <w:highlight w:val="none"/>
              </w:rPr>
              <w:t>3年内产品免</w:t>
            </w:r>
            <w:r>
              <w:rPr>
                <w:rFonts w:hint="eastAsia" w:ascii="宋体" w:hAnsi="宋体" w:cs="宋体"/>
                <w:color w:val="auto"/>
                <w:sz w:val="24"/>
                <w:highlight w:val="none"/>
              </w:rPr>
              <w:t>费维保及升级</w:t>
            </w:r>
            <w:r>
              <w:rPr>
                <w:rStyle w:val="37"/>
                <w:rFonts w:hint="eastAsia" w:ascii="宋体" w:hAnsi="宋体" w:cs="宋体"/>
                <w:color w:val="auto"/>
                <w:sz w:val="24"/>
                <w:highlight w:val="none"/>
              </w:rPr>
              <w:t>。维保期时间从</w:t>
            </w:r>
            <w:r>
              <w:rPr>
                <w:rFonts w:hint="eastAsia" w:ascii="宋体" w:hAnsi="宋体" w:cs="宋体"/>
                <w:color w:val="auto"/>
                <w:sz w:val="24"/>
                <w:highlight w:val="none"/>
              </w:rPr>
              <w:t>正式通过验收开始。</w:t>
            </w:r>
          </w:p>
        </w:tc>
      </w:tr>
    </w:tbl>
    <w:p w14:paraId="7FDD224C">
      <w:pPr>
        <w:pStyle w:val="27"/>
        <w:shd w:val="clear"/>
        <w:tabs>
          <w:tab w:val="left" w:pos="7513"/>
        </w:tabs>
        <w:spacing w:line="360" w:lineRule="auto"/>
        <w:ind w:firstLine="0"/>
        <w:rPr>
          <w:rFonts w:hint="eastAsia" w:ascii="宋体" w:hAnsi="宋体" w:cs="宋体"/>
          <w:b/>
          <w:bCs/>
          <w:color w:val="auto"/>
          <w:sz w:val="24"/>
          <w:highlight w:val="none"/>
        </w:rPr>
      </w:pPr>
      <w:r>
        <w:rPr>
          <w:rFonts w:hint="eastAsia" w:ascii="宋体" w:hAnsi="宋体" w:cs="宋体"/>
          <w:b/>
          <w:bCs/>
          <w:color w:val="auto"/>
          <w:sz w:val="24"/>
          <w:highlight w:val="none"/>
        </w:rPr>
        <w:t>四、商务部分</w:t>
      </w:r>
    </w:p>
    <w:p w14:paraId="6179ABFA">
      <w:pPr>
        <w:pStyle w:val="27"/>
        <w:shd w:val="clear"/>
        <w:tabs>
          <w:tab w:val="left" w:pos="7513"/>
        </w:tabs>
        <w:spacing w:line="360" w:lineRule="auto"/>
        <w:ind w:firstLine="0"/>
        <w:rPr>
          <w:rFonts w:hint="eastAsia" w:ascii="宋体" w:hAnsi="宋体" w:cs="宋体"/>
          <w:color w:val="auto"/>
          <w:sz w:val="24"/>
          <w:highlight w:val="none"/>
        </w:rPr>
      </w:pPr>
      <w:r>
        <w:rPr>
          <w:rFonts w:hint="eastAsia" w:ascii="宋体" w:hAnsi="宋体" w:cs="宋体"/>
          <w:b/>
          <w:bCs/>
          <w:color w:val="auto"/>
          <w:sz w:val="24"/>
          <w:highlight w:val="none"/>
        </w:rPr>
        <w:t>项目建设周期：</w:t>
      </w:r>
      <w:r>
        <w:rPr>
          <w:rFonts w:hint="eastAsia" w:ascii="宋体" w:hAnsi="宋体" w:cs="宋体"/>
          <w:color w:val="auto"/>
          <w:sz w:val="24"/>
          <w:highlight w:val="none"/>
        </w:rPr>
        <w:t>合同签订后3个月。</w:t>
      </w:r>
    </w:p>
    <w:p w14:paraId="531B2FB4">
      <w:pPr>
        <w:pStyle w:val="27"/>
        <w:shd w:val="clear"/>
        <w:tabs>
          <w:tab w:val="left" w:pos="7513"/>
        </w:tabs>
        <w:spacing w:line="360" w:lineRule="auto"/>
        <w:ind w:firstLine="0"/>
        <w:rPr>
          <w:rFonts w:hint="eastAsia" w:ascii="宋体" w:hAnsi="宋体" w:eastAsia="宋体" w:cs="宋体"/>
          <w:b/>
          <w:bCs/>
          <w:color w:val="auto"/>
          <w:sz w:val="36"/>
          <w:szCs w:val="44"/>
          <w:highlight w:val="none"/>
          <w:lang w:eastAsia="zh-CN"/>
        </w:rPr>
      </w:pPr>
      <w:r>
        <w:rPr>
          <w:rFonts w:hint="eastAsia" w:ascii="宋体" w:hAnsi="宋体" w:cs="宋体"/>
          <w:b/>
          <w:bCs/>
          <w:color w:val="auto"/>
          <w:sz w:val="24"/>
          <w:highlight w:val="none"/>
        </w:rPr>
        <w:t>付款方式：</w:t>
      </w:r>
      <w:r>
        <w:rPr>
          <w:rFonts w:hint="eastAsia" w:ascii="宋体" w:hAnsi="宋体" w:cs="宋体"/>
          <w:color w:val="auto"/>
          <w:sz w:val="24"/>
          <w:highlight w:val="none"/>
        </w:rPr>
        <w:t>合同签订后7个工作日预付40%（需提供相应的保函，中标单位主动提出放弃预付款的，采购单位可不支付预付款），初验合格支付40%，整体验收合格支付20%</w:t>
      </w:r>
      <w:r>
        <w:rPr>
          <w:rFonts w:hint="eastAsia" w:ascii="宋体" w:hAnsi="宋体" w:cs="宋体"/>
          <w:color w:val="auto"/>
          <w:sz w:val="24"/>
          <w:highlight w:val="none"/>
          <w:lang w:eastAsia="zh-CN"/>
        </w:rPr>
        <w:t>。</w:t>
      </w:r>
    </w:p>
    <w:p w14:paraId="7E2BDD57">
      <w:pPr>
        <w:widowControl/>
        <w:shd w:val="clear"/>
        <w:jc w:val="center"/>
        <w:rPr>
          <w:rFonts w:hint="eastAsia" w:ascii="宋体" w:hAnsi="宋体" w:cs="宋体"/>
          <w:b/>
          <w:bCs/>
          <w:color w:val="auto"/>
          <w:sz w:val="36"/>
          <w:szCs w:val="44"/>
          <w:highlight w:val="none"/>
        </w:rPr>
      </w:pPr>
    </w:p>
    <w:p w14:paraId="5501EBEC">
      <w:pPr>
        <w:widowControl/>
        <w:shd w:val="clear"/>
        <w:jc w:val="center"/>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第五章 合同主要条款</w:t>
      </w:r>
    </w:p>
    <w:p w14:paraId="45C4AD47">
      <w:pPr>
        <w:shd w:val="clear"/>
        <w:spacing w:line="480" w:lineRule="exact"/>
        <w:ind w:left="4920" w:hanging="4920" w:hangingChars="2050"/>
        <w:jc w:val="left"/>
        <w:rPr>
          <w:rFonts w:hint="eastAsia" w:ascii="宋体" w:hAnsi="宋体" w:cs="宋体"/>
          <w:color w:val="auto"/>
          <w:sz w:val="24"/>
          <w:highlight w:val="none"/>
        </w:rPr>
      </w:pPr>
      <w:r>
        <w:rPr>
          <w:rFonts w:hint="eastAsia" w:ascii="宋体" w:hAnsi="宋体" w:cs="宋体"/>
          <w:bCs/>
          <w:color w:val="auto"/>
          <w:sz w:val="24"/>
          <w:highlight w:val="none"/>
        </w:rPr>
        <w:t>甲 方：</w:t>
      </w:r>
      <w:r>
        <w:rPr>
          <w:rFonts w:hint="eastAsia" w:ascii="宋体" w:hAnsi="宋体" w:cs="宋体"/>
          <w:color w:val="auto"/>
          <w:sz w:val="24"/>
          <w:highlight w:val="none"/>
        </w:rPr>
        <w:t xml:space="preserve">台州恩泽医疗中心（集团）   乙 方： </w:t>
      </w:r>
    </w:p>
    <w:p w14:paraId="25384FE4">
      <w:pPr>
        <w:shd w:val="clear"/>
        <w:spacing w:line="480" w:lineRule="exact"/>
        <w:ind w:left="4920" w:hanging="4920" w:hangingChars="2050"/>
        <w:jc w:val="left"/>
        <w:rPr>
          <w:rFonts w:hint="eastAsia" w:ascii="宋体" w:hAnsi="宋体" w:cs="宋体"/>
          <w:bCs/>
          <w:color w:val="auto"/>
          <w:sz w:val="24"/>
          <w:highlight w:val="none"/>
        </w:rPr>
      </w:pPr>
      <w:r>
        <w:rPr>
          <w:rFonts w:hint="eastAsia" w:ascii="宋体" w:hAnsi="宋体" w:cs="宋体"/>
          <w:color w:val="auto"/>
          <w:sz w:val="24"/>
          <w:highlight w:val="none"/>
        </w:rPr>
        <w:t>地 址：浙江省临海市西门街150号   地 址：</w:t>
      </w:r>
      <w:r>
        <w:rPr>
          <w:rFonts w:hint="eastAsia" w:ascii="宋体" w:hAnsi="宋体" w:cs="宋体"/>
          <w:bCs/>
          <w:color w:val="auto"/>
          <w:sz w:val="24"/>
          <w:highlight w:val="none"/>
        </w:rPr>
        <w:t xml:space="preserve"> </w:t>
      </w:r>
    </w:p>
    <w:p w14:paraId="7C5DA229">
      <w:pPr>
        <w:shd w:val="clear"/>
        <w:spacing w:line="480" w:lineRule="exact"/>
        <w:ind w:left="4920" w:hanging="4920" w:hangingChars="2050"/>
        <w:jc w:val="left"/>
        <w:rPr>
          <w:rFonts w:hint="eastAsia" w:ascii="宋体" w:hAnsi="宋体" w:cs="宋体"/>
          <w:color w:val="auto"/>
          <w:sz w:val="24"/>
          <w:highlight w:val="none"/>
        </w:rPr>
      </w:pPr>
      <w:r>
        <w:rPr>
          <w:rFonts w:hint="eastAsia" w:ascii="宋体" w:hAnsi="宋体" w:cs="宋体"/>
          <w:color w:val="auto"/>
          <w:sz w:val="24"/>
          <w:highlight w:val="none"/>
        </w:rPr>
        <w:t xml:space="preserve">法定代表人：梁军波                法定代表人： </w:t>
      </w:r>
    </w:p>
    <w:p w14:paraId="2F22F1E9">
      <w:pPr>
        <w:shd w:val="clear"/>
        <w:spacing w:line="480" w:lineRule="exact"/>
        <w:ind w:left="5082" w:leftChars="20" w:hanging="5040" w:hangingChars="2100"/>
        <w:rPr>
          <w:rFonts w:hint="eastAsia" w:ascii="宋体" w:hAnsi="宋体" w:cs="宋体"/>
          <w:bCs/>
          <w:color w:val="auto"/>
          <w:sz w:val="24"/>
          <w:highlight w:val="none"/>
        </w:rPr>
      </w:pPr>
      <w:r>
        <w:rPr>
          <w:rFonts w:hint="eastAsia" w:ascii="宋体" w:hAnsi="宋体" w:cs="宋体"/>
          <w:color w:val="auto"/>
          <w:sz w:val="24"/>
          <w:highlight w:val="none"/>
        </w:rPr>
        <w:t>联系人：泮凡                      联系人：</w:t>
      </w:r>
    </w:p>
    <w:p w14:paraId="6AA74A96">
      <w:pPr>
        <w:shd w:val="clear"/>
        <w:spacing w:line="480" w:lineRule="exact"/>
        <w:ind w:left="5082" w:leftChars="20" w:hanging="5040" w:hangingChars="2100"/>
        <w:rPr>
          <w:rFonts w:hint="eastAsia" w:ascii="宋体" w:hAnsi="宋体" w:cs="宋体"/>
          <w:bCs/>
          <w:color w:val="auto"/>
          <w:sz w:val="24"/>
          <w:highlight w:val="none"/>
        </w:rPr>
      </w:pPr>
      <w:r>
        <w:rPr>
          <w:rFonts w:hint="eastAsia" w:ascii="宋体" w:hAnsi="宋体" w:cs="宋体"/>
          <w:color w:val="auto"/>
          <w:sz w:val="24"/>
          <w:highlight w:val="none"/>
        </w:rPr>
        <w:t>电 话：0576-85190165              电 话：</w:t>
      </w:r>
    </w:p>
    <w:p w14:paraId="2EE55F9E">
      <w:pPr>
        <w:shd w:val="clear"/>
        <w:spacing w:line="480" w:lineRule="exact"/>
        <w:rPr>
          <w:rFonts w:hint="eastAsia" w:ascii="宋体" w:hAnsi="宋体" w:cs="宋体"/>
          <w:bCs/>
          <w:color w:val="auto"/>
          <w:sz w:val="24"/>
          <w:highlight w:val="none"/>
        </w:rPr>
      </w:pPr>
      <w:r>
        <w:rPr>
          <w:rFonts w:hint="eastAsia" w:ascii="宋体" w:hAnsi="宋体" w:cs="宋体"/>
          <w:color w:val="auto"/>
          <w:sz w:val="24"/>
          <w:highlight w:val="none"/>
        </w:rPr>
        <w:t>邮政编码： 317000                 邮政编码：</w:t>
      </w:r>
    </w:p>
    <w:p w14:paraId="3092054B">
      <w:pPr>
        <w:shd w:val="clear"/>
        <w:spacing w:line="480" w:lineRule="exact"/>
        <w:rPr>
          <w:rFonts w:hint="eastAsia" w:ascii="宋体" w:hAnsi="宋体" w:cs="宋体"/>
          <w:bCs/>
          <w:color w:val="auto"/>
          <w:sz w:val="24"/>
          <w:highlight w:val="none"/>
        </w:rPr>
      </w:pPr>
      <w:r>
        <w:rPr>
          <w:rFonts w:hint="eastAsia" w:ascii="宋体" w:hAnsi="宋体" w:cs="宋体"/>
          <w:bCs/>
          <w:color w:val="auto"/>
          <w:sz w:val="24"/>
          <w:highlight w:val="none"/>
        </w:rPr>
        <w:t xml:space="preserve">合同签约地：浙江省临海市      </w:t>
      </w:r>
    </w:p>
    <w:p w14:paraId="6CE1E05D">
      <w:pPr>
        <w:shd w:val="clear"/>
        <w:spacing w:line="480" w:lineRule="exact"/>
        <w:ind w:left="5082" w:leftChars="20" w:hanging="5040" w:hangingChars="2100"/>
        <w:rPr>
          <w:rFonts w:hint="eastAsia" w:ascii="宋体" w:hAnsi="宋体" w:cs="宋体"/>
          <w:color w:val="auto"/>
          <w:sz w:val="24"/>
          <w:highlight w:val="none"/>
        </w:rPr>
      </w:pPr>
      <w:r>
        <w:rPr>
          <w:rFonts w:hint="eastAsia" w:ascii="宋体" w:hAnsi="宋体" w:cs="宋体"/>
          <w:color w:val="auto"/>
          <w:sz w:val="24"/>
          <w:highlight w:val="none"/>
        </w:rPr>
        <w:t>合同编号：</w:t>
      </w:r>
    </w:p>
    <w:p w14:paraId="306952FC">
      <w:pPr>
        <w:shd w:val="clear"/>
        <w:spacing w:line="480" w:lineRule="exact"/>
        <w:jc w:val="center"/>
        <w:rPr>
          <w:rFonts w:hint="eastAsia" w:ascii="宋体" w:hAnsi="宋体" w:cs="宋体"/>
          <w:color w:val="auto"/>
          <w:sz w:val="24"/>
          <w:highlight w:val="none"/>
        </w:rPr>
      </w:pPr>
      <w:r>
        <w:rPr>
          <w:rFonts w:hint="eastAsia" w:ascii="宋体" w:hAnsi="宋体" w:cs="宋体"/>
          <w:b/>
          <w:bCs/>
          <w:color w:val="auto"/>
          <w:sz w:val="24"/>
          <w:highlight w:val="none"/>
        </w:rPr>
        <w:t>第一章    总 则</w:t>
      </w:r>
    </w:p>
    <w:p w14:paraId="53A1697C">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根据招标情况和评标标准，确定乙方为中标人。根据招标处理办法，甲乙双方本着平等互惠、友好合作的原则，特签订本合同。</w:t>
      </w:r>
    </w:p>
    <w:p w14:paraId="72588F03">
      <w:pPr>
        <w:shd w:val="clear"/>
        <w:spacing w:before="156" w:beforeLines="50" w:line="480" w:lineRule="exact"/>
        <w:jc w:val="center"/>
        <w:rPr>
          <w:rFonts w:hint="eastAsia" w:ascii="宋体" w:hAnsi="宋体" w:cs="宋体"/>
          <w:color w:val="auto"/>
          <w:sz w:val="24"/>
          <w:highlight w:val="none"/>
        </w:rPr>
      </w:pPr>
      <w:r>
        <w:rPr>
          <w:rFonts w:hint="eastAsia" w:ascii="宋体" w:hAnsi="宋体" w:cs="宋体"/>
          <w:b/>
          <w:bCs/>
          <w:color w:val="auto"/>
          <w:sz w:val="24"/>
          <w:highlight w:val="none"/>
        </w:rPr>
        <w:t>第二章    标 的 物</w:t>
      </w:r>
    </w:p>
    <w:p w14:paraId="4A73658B">
      <w:pPr>
        <w:shd w:val="clear"/>
        <w:spacing w:before="156" w:beforeLines="50"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1、商品的名称、规格、产地、价格等</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2476"/>
        <w:gridCol w:w="1550"/>
        <w:gridCol w:w="1710"/>
        <w:gridCol w:w="1060"/>
        <w:gridCol w:w="740"/>
        <w:gridCol w:w="1170"/>
        <w:gridCol w:w="1239"/>
      </w:tblGrid>
      <w:tr w14:paraId="60888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jc w:val="center"/>
        </w:trPr>
        <w:tc>
          <w:tcPr>
            <w:tcW w:w="600" w:type="dxa"/>
            <w:vAlign w:val="center"/>
          </w:tcPr>
          <w:p w14:paraId="480B5E49">
            <w:pPr>
              <w:shd w:val="clear"/>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2476" w:type="dxa"/>
            <w:vAlign w:val="center"/>
          </w:tcPr>
          <w:p w14:paraId="772CF9B9">
            <w:pPr>
              <w:shd w:val="clear"/>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商品名称</w:t>
            </w:r>
          </w:p>
        </w:tc>
        <w:tc>
          <w:tcPr>
            <w:tcW w:w="1550" w:type="dxa"/>
            <w:vAlign w:val="center"/>
          </w:tcPr>
          <w:p w14:paraId="13751AEE">
            <w:pPr>
              <w:shd w:val="clear"/>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品牌</w:t>
            </w:r>
          </w:p>
        </w:tc>
        <w:tc>
          <w:tcPr>
            <w:tcW w:w="1710" w:type="dxa"/>
            <w:vAlign w:val="center"/>
          </w:tcPr>
          <w:p w14:paraId="0E96E585">
            <w:pPr>
              <w:shd w:val="clear"/>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规格型号</w:t>
            </w:r>
          </w:p>
        </w:tc>
        <w:tc>
          <w:tcPr>
            <w:tcW w:w="1060" w:type="dxa"/>
            <w:vAlign w:val="center"/>
          </w:tcPr>
          <w:p w14:paraId="4DEFD69D">
            <w:pPr>
              <w:shd w:val="clear"/>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产地</w:t>
            </w:r>
          </w:p>
        </w:tc>
        <w:tc>
          <w:tcPr>
            <w:tcW w:w="740" w:type="dxa"/>
            <w:vAlign w:val="center"/>
          </w:tcPr>
          <w:p w14:paraId="050920D4">
            <w:pPr>
              <w:shd w:val="clear"/>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数量</w:t>
            </w:r>
          </w:p>
        </w:tc>
        <w:tc>
          <w:tcPr>
            <w:tcW w:w="1170" w:type="dxa"/>
            <w:vAlign w:val="center"/>
          </w:tcPr>
          <w:p w14:paraId="4A3D05AF">
            <w:pPr>
              <w:shd w:val="clear"/>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单价（万）</w:t>
            </w:r>
          </w:p>
        </w:tc>
        <w:tc>
          <w:tcPr>
            <w:tcW w:w="1239" w:type="dxa"/>
            <w:vAlign w:val="center"/>
          </w:tcPr>
          <w:p w14:paraId="220FEBE9">
            <w:pPr>
              <w:shd w:val="clear"/>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总价</w:t>
            </w:r>
          </w:p>
          <w:p w14:paraId="57D9FB3F">
            <w:pPr>
              <w:shd w:val="clear"/>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（万）</w:t>
            </w:r>
          </w:p>
        </w:tc>
      </w:tr>
      <w:tr w14:paraId="6AC99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600" w:type="dxa"/>
            <w:vAlign w:val="center"/>
          </w:tcPr>
          <w:p w14:paraId="701CD5F2">
            <w:pPr>
              <w:shd w:val="clear"/>
              <w:adjustRightInd w:val="0"/>
              <w:snapToGrid w:val="0"/>
              <w:spacing w:line="480" w:lineRule="exact"/>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476" w:type="dxa"/>
            <w:vAlign w:val="center"/>
          </w:tcPr>
          <w:p w14:paraId="1D489024">
            <w:pPr>
              <w:shd w:val="clear"/>
              <w:spacing w:line="480" w:lineRule="exact"/>
              <w:jc w:val="center"/>
              <w:rPr>
                <w:rFonts w:hint="eastAsia" w:ascii="宋体" w:hAnsi="宋体" w:cs="宋体"/>
                <w:color w:val="auto"/>
                <w:sz w:val="24"/>
                <w:highlight w:val="none"/>
              </w:rPr>
            </w:pPr>
          </w:p>
        </w:tc>
        <w:tc>
          <w:tcPr>
            <w:tcW w:w="1550" w:type="dxa"/>
            <w:vAlign w:val="center"/>
          </w:tcPr>
          <w:p w14:paraId="03CE65DC">
            <w:pPr>
              <w:shd w:val="clear"/>
              <w:adjustRightInd w:val="0"/>
              <w:snapToGrid w:val="0"/>
              <w:spacing w:line="480" w:lineRule="exact"/>
              <w:jc w:val="center"/>
              <w:rPr>
                <w:rFonts w:hint="eastAsia" w:ascii="宋体" w:hAnsi="宋体" w:cs="宋体"/>
                <w:color w:val="auto"/>
                <w:sz w:val="24"/>
                <w:highlight w:val="none"/>
              </w:rPr>
            </w:pPr>
          </w:p>
        </w:tc>
        <w:tc>
          <w:tcPr>
            <w:tcW w:w="1710" w:type="dxa"/>
            <w:vAlign w:val="center"/>
          </w:tcPr>
          <w:p w14:paraId="202665EA">
            <w:pPr>
              <w:shd w:val="clear"/>
              <w:adjustRightInd w:val="0"/>
              <w:snapToGrid w:val="0"/>
              <w:spacing w:line="480" w:lineRule="exact"/>
              <w:jc w:val="center"/>
              <w:rPr>
                <w:rFonts w:hint="eastAsia" w:ascii="宋体" w:hAnsi="宋体" w:cs="宋体"/>
                <w:color w:val="auto"/>
                <w:sz w:val="24"/>
                <w:highlight w:val="none"/>
              </w:rPr>
            </w:pPr>
          </w:p>
        </w:tc>
        <w:tc>
          <w:tcPr>
            <w:tcW w:w="1060" w:type="dxa"/>
            <w:vAlign w:val="center"/>
          </w:tcPr>
          <w:p w14:paraId="7C20964C">
            <w:pPr>
              <w:shd w:val="clear"/>
              <w:adjustRightInd w:val="0"/>
              <w:snapToGrid w:val="0"/>
              <w:spacing w:line="480" w:lineRule="exact"/>
              <w:jc w:val="center"/>
              <w:rPr>
                <w:rFonts w:hint="eastAsia" w:ascii="宋体" w:hAnsi="宋体" w:cs="宋体"/>
                <w:color w:val="auto"/>
                <w:sz w:val="24"/>
                <w:highlight w:val="none"/>
              </w:rPr>
            </w:pPr>
          </w:p>
        </w:tc>
        <w:tc>
          <w:tcPr>
            <w:tcW w:w="740" w:type="dxa"/>
            <w:vAlign w:val="center"/>
          </w:tcPr>
          <w:p w14:paraId="0932EF14">
            <w:pPr>
              <w:shd w:val="clear"/>
              <w:adjustRightInd w:val="0"/>
              <w:snapToGrid w:val="0"/>
              <w:spacing w:line="480" w:lineRule="exact"/>
              <w:jc w:val="center"/>
              <w:rPr>
                <w:rFonts w:hint="eastAsia" w:ascii="宋体" w:hAnsi="宋体" w:cs="宋体"/>
                <w:color w:val="auto"/>
                <w:sz w:val="24"/>
                <w:highlight w:val="none"/>
              </w:rPr>
            </w:pPr>
          </w:p>
        </w:tc>
        <w:tc>
          <w:tcPr>
            <w:tcW w:w="1170" w:type="dxa"/>
            <w:vAlign w:val="center"/>
          </w:tcPr>
          <w:p w14:paraId="020A8359">
            <w:pPr>
              <w:shd w:val="clear"/>
              <w:adjustRightInd w:val="0"/>
              <w:snapToGrid w:val="0"/>
              <w:spacing w:line="480" w:lineRule="exact"/>
              <w:jc w:val="center"/>
              <w:rPr>
                <w:rFonts w:hint="eastAsia" w:ascii="宋体" w:hAnsi="宋体" w:cs="宋体"/>
                <w:color w:val="auto"/>
                <w:sz w:val="24"/>
                <w:highlight w:val="none"/>
              </w:rPr>
            </w:pPr>
          </w:p>
        </w:tc>
        <w:tc>
          <w:tcPr>
            <w:tcW w:w="1239" w:type="dxa"/>
            <w:vAlign w:val="center"/>
          </w:tcPr>
          <w:p w14:paraId="685D9FD5">
            <w:pPr>
              <w:shd w:val="clear"/>
              <w:adjustRightInd w:val="0"/>
              <w:snapToGrid w:val="0"/>
              <w:spacing w:line="480" w:lineRule="exact"/>
              <w:jc w:val="center"/>
              <w:rPr>
                <w:rFonts w:hint="eastAsia" w:ascii="宋体" w:hAnsi="宋体" w:cs="宋体"/>
                <w:color w:val="auto"/>
                <w:sz w:val="24"/>
                <w:highlight w:val="none"/>
              </w:rPr>
            </w:pPr>
          </w:p>
        </w:tc>
      </w:tr>
      <w:tr w14:paraId="1CD27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45" w:type="dxa"/>
            <w:gridSpan w:val="8"/>
          </w:tcPr>
          <w:p w14:paraId="52EE58D3">
            <w:pPr>
              <w:shd w:val="clear"/>
              <w:spacing w:line="480" w:lineRule="exact"/>
              <w:jc w:val="left"/>
              <w:rPr>
                <w:rFonts w:hint="eastAsia" w:ascii="宋体" w:hAnsi="宋体" w:cs="宋体"/>
                <w:color w:val="auto"/>
                <w:sz w:val="24"/>
                <w:highlight w:val="none"/>
              </w:rPr>
            </w:pPr>
            <w:r>
              <w:rPr>
                <w:rFonts w:hint="eastAsia" w:ascii="宋体" w:hAnsi="宋体" w:cs="宋体"/>
                <w:color w:val="auto"/>
                <w:sz w:val="24"/>
                <w:highlight w:val="none"/>
              </w:rPr>
              <w:t>合计人民币（大写）：                           （是否含税）</w:t>
            </w:r>
          </w:p>
        </w:tc>
      </w:tr>
    </w:tbl>
    <w:p w14:paraId="5220CD33">
      <w:pPr>
        <w:shd w:val="clear"/>
        <w:spacing w:before="156" w:beforeLines="50"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2、配置要求详见附录清单（附件1）</w:t>
      </w:r>
    </w:p>
    <w:p w14:paraId="4F6D0AFF">
      <w:pPr>
        <w:shd w:val="clear"/>
        <w:spacing w:line="480" w:lineRule="exact"/>
        <w:jc w:val="center"/>
        <w:rPr>
          <w:rFonts w:hint="eastAsia" w:ascii="宋体" w:hAnsi="宋体" w:cs="宋体"/>
          <w:b/>
          <w:bCs/>
          <w:color w:val="auto"/>
          <w:sz w:val="24"/>
          <w:highlight w:val="none"/>
        </w:rPr>
      </w:pPr>
      <w:r>
        <w:rPr>
          <w:rFonts w:hint="eastAsia" w:ascii="宋体" w:hAnsi="宋体" w:cs="宋体"/>
          <w:b/>
          <w:bCs/>
          <w:color w:val="auto"/>
          <w:sz w:val="24"/>
          <w:highlight w:val="none"/>
        </w:rPr>
        <w:t>第三章    付款方式</w:t>
      </w:r>
    </w:p>
    <w:p w14:paraId="254BC0F0">
      <w:pPr>
        <w:shd w:val="clear"/>
        <w:spacing w:line="360" w:lineRule="auto"/>
        <w:ind w:firstLine="480" w:firstLineChars="200"/>
        <w:rPr>
          <w:rFonts w:hint="eastAsia" w:ascii="宋体" w:hAnsi="宋体" w:cs="宋体"/>
          <w:color w:val="auto"/>
          <w:highlight w:val="none"/>
        </w:rPr>
      </w:pPr>
      <w:r>
        <w:rPr>
          <w:rFonts w:hint="eastAsia" w:ascii="宋体" w:hAnsi="宋体" w:cs="宋体"/>
          <w:color w:val="auto"/>
          <w:sz w:val="24"/>
          <w:highlight w:val="none"/>
        </w:rPr>
        <w:t>1、合同签订后7个工作日预付40%（需提供相应的保函，中标单位主动提出放弃预付款的，采购单位可不支付预付款），初验合格支付40%，整体验收合格支付20%。</w:t>
      </w:r>
    </w:p>
    <w:p w14:paraId="66358B08">
      <w:pPr>
        <w:shd w:val="clear"/>
        <w:spacing w:before="156" w:beforeLines="50" w:line="480" w:lineRule="exact"/>
        <w:ind w:firstLine="703"/>
        <w:jc w:val="center"/>
        <w:rPr>
          <w:rFonts w:hint="eastAsia" w:ascii="宋体" w:hAnsi="宋体" w:cs="宋体"/>
          <w:b/>
          <w:bCs/>
          <w:color w:val="auto"/>
          <w:sz w:val="24"/>
          <w:highlight w:val="none"/>
        </w:rPr>
      </w:pPr>
    </w:p>
    <w:p w14:paraId="2F239590">
      <w:pPr>
        <w:shd w:val="clear"/>
        <w:spacing w:before="156" w:beforeLines="50" w:line="480" w:lineRule="exact"/>
        <w:ind w:firstLine="703"/>
        <w:jc w:val="center"/>
        <w:rPr>
          <w:rFonts w:hint="eastAsia" w:ascii="宋体" w:hAnsi="宋体" w:cs="宋体"/>
          <w:color w:val="auto"/>
          <w:sz w:val="24"/>
          <w:highlight w:val="none"/>
        </w:rPr>
      </w:pPr>
      <w:r>
        <w:rPr>
          <w:rFonts w:hint="eastAsia" w:ascii="宋体" w:hAnsi="宋体" w:cs="宋体"/>
          <w:b/>
          <w:bCs/>
          <w:color w:val="auto"/>
          <w:sz w:val="24"/>
          <w:highlight w:val="none"/>
        </w:rPr>
        <w:t>第四章   交货时间、地点</w:t>
      </w:r>
    </w:p>
    <w:p w14:paraId="032D7F1F">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1、乙方在合同签订后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天内把货物运到医院。如逾期到货，乙方应按照逾期到货部分价款的每天0.3%向甲方付违约金。</w:t>
      </w:r>
    </w:p>
    <w:p w14:paraId="03727885">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2、交货地点：台州恩泽医疗中心（集团）下辖。</w:t>
      </w:r>
    </w:p>
    <w:p w14:paraId="598638E5">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3、联系人：               ，联系电话：</w:t>
      </w:r>
    </w:p>
    <w:p w14:paraId="0D418AF8">
      <w:pPr>
        <w:shd w:val="clear"/>
        <w:spacing w:before="156" w:beforeLines="50" w:line="480" w:lineRule="exact"/>
        <w:jc w:val="center"/>
        <w:rPr>
          <w:rFonts w:hint="eastAsia" w:ascii="宋体" w:hAnsi="宋体" w:cs="宋体"/>
          <w:b/>
          <w:bCs/>
          <w:color w:val="auto"/>
          <w:sz w:val="24"/>
          <w:highlight w:val="none"/>
        </w:rPr>
      </w:pPr>
      <w:r>
        <w:rPr>
          <w:rFonts w:hint="eastAsia" w:ascii="宋体" w:hAnsi="宋体" w:cs="宋体"/>
          <w:b/>
          <w:bCs/>
          <w:color w:val="auto"/>
          <w:sz w:val="24"/>
          <w:highlight w:val="none"/>
        </w:rPr>
        <w:t>第五章   货物安装验收</w:t>
      </w:r>
    </w:p>
    <w:p w14:paraId="267CF1DC">
      <w:pPr>
        <w:shd w:val="clear"/>
        <w:spacing w:before="156" w:beforeLines="50"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1、货物到达之前，甲方负责清理出安装所需要的场地及设施，使之适于安装；货物到后，乙方在接到安装通知后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个工作日内派工程师完成货物安装，如超过安装时间，每天按仪器总价的0.3%作为违约金付给甲方。乙方对超出合理控制范围因素所引起的（包括由于甲方场地准备不及时或不符合条件等原因引起的迟到货）不承担责任。验收合格后，要求乙方出具相关检测证书。</w:t>
      </w:r>
    </w:p>
    <w:p w14:paraId="22574D61">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2、设备验收规定</w:t>
      </w:r>
    </w:p>
    <w:p w14:paraId="0A404E85">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（1）首先双方工作人员清点到货物资数量、型号、规格、中文标识及注册证。</w:t>
      </w:r>
    </w:p>
    <w:p w14:paraId="6010F458">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 甲乙双方对配置、功能以及相关数据测试方面的验收工作。</w:t>
      </w:r>
    </w:p>
    <w:p w14:paraId="057ABE5F">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（3）进口设备，要求乙方提供报关和商检证书。</w:t>
      </w:r>
    </w:p>
    <w:p w14:paraId="50E5F34A">
      <w:pPr>
        <w:shd w:val="clear"/>
        <w:tabs>
          <w:tab w:val="left" w:pos="720"/>
        </w:tabs>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（4）货物安装验收合格后，甲乙双方在验收报告上签字确认，货物安装调试工作完成。</w:t>
      </w:r>
    </w:p>
    <w:p w14:paraId="20B3413D">
      <w:pPr>
        <w:shd w:val="clear"/>
        <w:tabs>
          <w:tab w:val="left" w:pos="720"/>
        </w:tabs>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3、乙方需对设备的合法性负全责（包括合法证件、购货发票等）。</w:t>
      </w:r>
    </w:p>
    <w:p w14:paraId="17DA9575">
      <w:pPr>
        <w:shd w:val="clear"/>
        <w:tabs>
          <w:tab w:val="left" w:pos="720"/>
        </w:tabs>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4、乙方负责设备验收前的相关检测费用。</w:t>
      </w:r>
    </w:p>
    <w:p w14:paraId="37A46A3E">
      <w:pPr>
        <w:shd w:val="clear"/>
        <w:tabs>
          <w:tab w:val="left" w:pos="720"/>
        </w:tabs>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5、安装过程产生的垃圾由乙方负责清理。</w:t>
      </w:r>
    </w:p>
    <w:p w14:paraId="398CA3F7">
      <w:pPr>
        <w:shd w:val="clear"/>
        <w:tabs>
          <w:tab w:val="left" w:pos="720"/>
        </w:tabs>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6、入库及安装调试验收仅为甲方收货依据，不成为乙方关于货物已经经甲方验收质量合格的抗辩依据</w:t>
      </w:r>
    </w:p>
    <w:p w14:paraId="637B1398">
      <w:pPr>
        <w:shd w:val="clear"/>
        <w:spacing w:before="156" w:beforeLines="50" w:line="480" w:lineRule="exact"/>
        <w:jc w:val="center"/>
        <w:rPr>
          <w:rFonts w:hint="eastAsia" w:ascii="宋体" w:hAnsi="宋体" w:cs="宋体"/>
          <w:b/>
          <w:bCs/>
          <w:color w:val="auto"/>
          <w:sz w:val="24"/>
          <w:highlight w:val="none"/>
        </w:rPr>
      </w:pPr>
      <w:r>
        <w:rPr>
          <w:rFonts w:hint="eastAsia" w:ascii="宋体" w:hAnsi="宋体" w:cs="宋体"/>
          <w:b/>
          <w:bCs/>
          <w:color w:val="auto"/>
          <w:sz w:val="24"/>
          <w:highlight w:val="none"/>
        </w:rPr>
        <w:t>第六章   质量及售后服务</w:t>
      </w:r>
    </w:p>
    <w:p w14:paraId="03AB9865">
      <w:pPr>
        <w:shd w:val="clear"/>
        <w:spacing w:line="480" w:lineRule="exact"/>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1.乙方应按招标文件规定的货物性能、技术要求、质量标准向甲方提供未经使用的全新产品。</w:t>
      </w:r>
    </w:p>
    <w:p w14:paraId="69021CED">
      <w:pPr>
        <w:shd w:val="clear"/>
        <w:spacing w:line="480" w:lineRule="exact"/>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2. 乙方提供的货物在质保期内因货物本身的质量问题发生故障，乙方应负责免费更换。对达不到技术要求者，根据实际情况，经双方协商，可按以下办法处理：</w:t>
      </w:r>
    </w:p>
    <w:p w14:paraId="111C9FD2">
      <w:pPr>
        <w:shd w:val="clear"/>
        <w:spacing w:line="480" w:lineRule="exact"/>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⑴更换：由乙方承担所发生的全部费用。</w:t>
      </w:r>
    </w:p>
    <w:p w14:paraId="122BE819">
      <w:pPr>
        <w:shd w:val="clear"/>
        <w:spacing w:line="480" w:lineRule="exact"/>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⑵贬值处理：由甲乙双方合议定价。</w:t>
      </w:r>
    </w:p>
    <w:p w14:paraId="3973D263">
      <w:pPr>
        <w:shd w:val="clear"/>
        <w:spacing w:line="480" w:lineRule="exact"/>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⑶退货处理：如维修</w:t>
      </w:r>
      <w:r>
        <w:rPr>
          <w:rFonts w:hint="eastAsia" w:ascii="宋体" w:hAnsi="宋体" w:cs="宋体"/>
          <w:color w:val="auto"/>
          <w:sz w:val="24"/>
          <w:highlight w:val="none"/>
        </w:rPr>
        <w:t>三</w:t>
      </w:r>
      <w:r>
        <w:rPr>
          <w:rFonts w:hint="eastAsia" w:ascii="宋体" w:hAnsi="宋体" w:cs="宋体"/>
          <w:color w:val="auto"/>
          <w:sz w:val="24"/>
          <w:highlight w:val="none"/>
          <w:lang w:val="zh-CN"/>
        </w:rPr>
        <w:t>次以上依然未能修复或关键部件损坏导致设备存在无法解决的故障，乙方应退还甲方所支付的合同款，同时应承担该货物的直接费用（运输、保险、检验、货款利息及银行手续费等）。</w:t>
      </w:r>
    </w:p>
    <w:p w14:paraId="2B5AE87F">
      <w:pPr>
        <w:shd w:val="clear"/>
        <w:spacing w:line="480" w:lineRule="exact"/>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3. 如在使用过程中发生质量问题，乙方在接到甲方通知后在小时内到达甲方现场。</w:t>
      </w:r>
    </w:p>
    <w:p w14:paraId="59962361">
      <w:pPr>
        <w:shd w:val="clear"/>
        <w:spacing w:line="480" w:lineRule="exact"/>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4. </w:t>
      </w:r>
      <w:r>
        <w:rPr>
          <w:rFonts w:hint="eastAsia" w:ascii="宋体" w:hAnsi="宋体" w:cs="宋体"/>
          <w:color w:val="auto"/>
          <w:sz w:val="24"/>
          <w:highlight w:val="none"/>
        </w:rPr>
        <w:t>保修期：货物验收合格后，整机保修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年，质保期内每年进行2次免费维护（不包括维修），并免费更换维保易损配件。在保修期内保证开机率大于95%，响应并到达时间小于24小时。</w:t>
      </w:r>
      <w:r>
        <w:rPr>
          <w:rFonts w:hint="eastAsia" w:ascii="宋体" w:hAnsi="宋体" w:cs="宋体"/>
          <w:color w:val="auto"/>
          <w:sz w:val="24"/>
          <w:highlight w:val="none"/>
          <w:lang w:val="zh-CN"/>
        </w:rPr>
        <w:t>在质保期内，乙方应对货物出现的质量及安全问题（</w:t>
      </w:r>
      <w:r>
        <w:rPr>
          <w:rFonts w:hint="eastAsia" w:ascii="宋体" w:hAnsi="宋体" w:cs="宋体"/>
          <w:color w:val="auto"/>
          <w:sz w:val="24"/>
          <w:highlight w:val="none"/>
        </w:rPr>
        <w:t>人为因素除外</w:t>
      </w:r>
      <w:r>
        <w:rPr>
          <w:rFonts w:hint="eastAsia" w:ascii="宋体" w:hAnsi="宋体" w:cs="宋体"/>
          <w:color w:val="auto"/>
          <w:sz w:val="24"/>
          <w:highlight w:val="none"/>
          <w:lang w:val="zh-CN"/>
        </w:rPr>
        <w:t>）负责处理解决并承担一切费用。</w:t>
      </w:r>
    </w:p>
    <w:p w14:paraId="6FD838DF">
      <w:pPr>
        <w:shd w:val="clear"/>
        <w:spacing w:line="48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zh-CN"/>
        </w:rPr>
        <w:t>5.上述的货物超过保修期的机器设备，</w:t>
      </w:r>
      <w:r>
        <w:rPr>
          <w:rFonts w:hint="eastAsia" w:ascii="宋体" w:hAnsi="宋体" w:cs="宋体"/>
          <w:color w:val="auto"/>
          <w:sz w:val="24"/>
          <w:highlight w:val="none"/>
        </w:rPr>
        <w:t>终身维修，</w:t>
      </w:r>
      <w:r>
        <w:rPr>
          <w:rFonts w:hint="eastAsia" w:ascii="宋体" w:hAnsi="宋体" w:cs="宋体"/>
          <w:color w:val="auto"/>
          <w:sz w:val="24"/>
          <w:highlight w:val="none"/>
          <w:lang w:val="zh-CN"/>
        </w:rPr>
        <w:t>维修时只收部件成本费。</w:t>
      </w:r>
    </w:p>
    <w:p w14:paraId="550AADC9">
      <w:pPr>
        <w:shd w:val="clear"/>
        <w:spacing w:before="156" w:beforeLines="50" w:line="480" w:lineRule="exact"/>
        <w:ind w:left="284"/>
        <w:jc w:val="center"/>
        <w:rPr>
          <w:rFonts w:hint="eastAsia" w:ascii="宋体" w:hAnsi="宋体" w:cs="宋体"/>
          <w:color w:val="auto"/>
          <w:sz w:val="24"/>
          <w:highlight w:val="none"/>
        </w:rPr>
      </w:pPr>
      <w:r>
        <w:rPr>
          <w:rFonts w:hint="eastAsia" w:ascii="宋体" w:hAnsi="宋体" w:cs="宋体"/>
          <w:b/>
          <w:bCs/>
          <w:color w:val="auto"/>
          <w:sz w:val="24"/>
          <w:highlight w:val="none"/>
        </w:rPr>
        <w:t>第七章   技术支持、培训</w:t>
      </w:r>
    </w:p>
    <w:p w14:paraId="15B9CBB8">
      <w:pPr>
        <w:shd w:val="clear"/>
        <w:spacing w:before="156" w:beforeLines="50"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1、技术支持</w:t>
      </w:r>
    </w:p>
    <w:p w14:paraId="13C90134">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甲乙双方签订协议后，货到之前，乙方派遣工程技术人员进行场地设计及现场指导，并且乙方承诺为甲方免费提供软件升级，及时提供设备新功能和临床应用的资料。</w:t>
      </w:r>
    </w:p>
    <w:p w14:paraId="213FD393">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2、设备安装验收合格以后，乙方必须向甲方承诺，负责对甲方操作人员、维修人员进行技术培训。</w:t>
      </w:r>
    </w:p>
    <w:p w14:paraId="28A48446">
      <w:pPr>
        <w:shd w:val="clear"/>
        <w:spacing w:line="480" w:lineRule="exact"/>
        <w:ind w:left="210" w:leftChars="100" w:firstLine="240" w:firstLineChars="100"/>
        <w:rPr>
          <w:rFonts w:hint="eastAsia" w:ascii="宋体" w:hAnsi="宋体" w:cs="宋体"/>
          <w:color w:val="auto"/>
          <w:sz w:val="24"/>
          <w:highlight w:val="none"/>
        </w:rPr>
      </w:pPr>
      <w:r>
        <w:rPr>
          <w:rFonts w:hint="eastAsia" w:ascii="宋体" w:hAnsi="宋体" w:cs="宋体"/>
          <w:color w:val="auto"/>
          <w:sz w:val="24"/>
          <w:highlight w:val="none"/>
        </w:rPr>
        <w:t>（1）乙方对甲方的操作人员进行现场操作培训直到甲方操作人员熟练掌握使用该设备各种性能为止，并提供详细的操作手册。</w:t>
      </w:r>
    </w:p>
    <w:p w14:paraId="4A732B0D">
      <w:pPr>
        <w:shd w:val="clear"/>
        <w:adjustRightInd w:val="0"/>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（2）乙方对甲方的设备维修人员进行现场培训，使甲方人员能对设备进行日常的维修保养以及能对一般故障进行维修，同时为甲方培训人员提供详细的维修手册（图纸原件级）。</w:t>
      </w:r>
    </w:p>
    <w:p w14:paraId="3F475F59">
      <w:pPr>
        <w:shd w:val="clear"/>
        <w:adjustRightInd w:val="0"/>
        <w:snapToGrid w:val="0"/>
        <w:spacing w:line="480" w:lineRule="exact"/>
        <w:jc w:val="center"/>
        <w:rPr>
          <w:rFonts w:hint="eastAsia" w:ascii="宋体" w:hAnsi="宋体" w:cs="宋体"/>
          <w:color w:val="auto"/>
          <w:sz w:val="24"/>
          <w:highlight w:val="none"/>
        </w:rPr>
      </w:pPr>
      <w:r>
        <w:rPr>
          <w:rFonts w:hint="eastAsia" w:ascii="宋体" w:hAnsi="宋体" w:cs="宋体"/>
          <w:b/>
          <w:bCs/>
          <w:color w:val="auto"/>
          <w:sz w:val="24"/>
          <w:highlight w:val="none"/>
        </w:rPr>
        <w:t>第八章   合同的变更与解除</w:t>
      </w:r>
    </w:p>
    <w:p w14:paraId="3021BA11">
      <w:pPr>
        <w:pStyle w:val="93"/>
        <w:shd w:val="clear"/>
        <w:spacing w:before="0" w:beforeAutospacing="0" w:after="0" w:afterAutospacing="0" w:line="480" w:lineRule="exact"/>
        <w:ind w:firstLine="480"/>
        <w:rPr>
          <w:rFonts w:hint="eastAsia"/>
          <w:color w:val="auto"/>
          <w:highlight w:val="none"/>
        </w:rPr>
      </w:pPr>
      <w:r>
        <w:rPr>
          <w:rFonts w:hint="eastAsia"/>
          <w:color w:val="auto"/>
          <w:highlight w:val="none"/>
        </w:rPr>
        <w:t>1、合同履行期内，如乙方无法提供有效期内的厂家授权，或租赁设备损坏无法正常使用一周以上，甲方有权行使单方解除权，本合同自行终止。</w:t>
      </w:r>
    </w:p>
    <w:p w14:paraId="18EBE4C3">
      <w:pPr>
        <w:pStyle w:val="93"/>
        <w:shd w:val="clear"/>
        <w:spacing w:before="0" w:beforeAutospacing="0" w:after="0" w:afterAutospacing="0" w:line="480" w:lineRule="exact"/>
        <w:ind w:firstLine="480"/>
        <w:rPr>
          <w:rFonts w:hint="eastAsia"/>
          <w:color w:val="auto"/>
          <w:highlight w:val="none"/>
        </w:rPr>
      </w:pPr>
      <w:r>
        <w:rPr>
          <w:rFonts w:hint="eastAsia"/>
          <w:color w:val="auto"/>
          <w:highlight w:val="none"/>
        </w:rPr>
        <w:t>2、在本合同执行周期内，如遇有省标或集团内新的招标，本合同从新标执行时间起自行终止。</w:t>
      </w:r>
    </w:p>
    <w:p w14:paraId="2CB3C45D">
      <w:pPr>
        <w:pStyle w:val="93"/>
        <w:shd w:val="clear"/>
        <w:spacing w:before="0" w:beforeAutospacing="0" w:after="0" w:afterAutospacing="0" w:line="480" w:lineRule="exact"/>
        <w:ind w:firstLine="480"/>
        <w:rPr>
          <w:rFonts w:hint="eastAsia"/>
          <w:color w:val="auto"/>
          <w:highlight w:val="none"/>
        </w:rPr>
      </w:pPr>
      <w:r>
        <w:rPr>
          <w:rFonts w:hint="eastAsia"/>
          <w:color w:val="auto"/>
          <w:highlight w:val="none"/>
        </w:rPr>
        <w:t>3、廉洁条款</w:t>
      </w:r>
    </w:p>
    <w:p w14:paraId="0780EE1E">
      <w:pPr>
        <w:shd w:val="clear"/>
        <w:snapToGrid w:val="0"/>
        <w:spacing w:line="480" w:lineRule="exact"/>
        <w:ind w:firstLine="482" w:firstLineChars="200"/>
        <w:rPr>
          <w:rFonts w:hint="eastAsia" w:ascii="宋体" w:hAnsi="宋体" w:cs="宋体"/>
          <w:bCs/>
          <w:color w:val="auto"/>
          <w:sz w:val="24"/>
          <w:highlight w:val="none"/>
        </w:rPr>
      </w:pPr>
      <w:r>
        <w:rPr>
          <w:rFonts w:hint="eastAsia" w:ascii="宋体" w:hAnsi="宋体" w:cs="宋体"/>
          <w:b/>
          <w:color w:val="auto"/>
          <w:sz w:val="24"/>
          <w:highlight w:val="none"/>
        </w:rPr>
        <w:t>（1）</w:t>
      </w:r>
      <w:r>
        <w:rPr>
          <w:rFonts w:hint="eastAsia" w:ascii="宋体" w:hAnsi="宋体" w:cs="宋体"/>
          <w:bCs/>
          <w:color w:val="auto"/>
          <w:sz w:val="24"/>
          <w:highlight w:val="none"/>
        </w:rPr>
        <w:t>乙方必须配合甲方根据中国的相关法规、政策等，执行反腐败要求。乙方及其员工，都需要按照诚实、公平及个人操守的最高标准行事。</w:t>
      </w:r>
    </w:p>
    <w:p w14:paraId="783BAF90">
      <w:pPr>
        <w:shd w:val="clear"/>
        <w:snapToGrid w:val="0"/>
        <w:spacing w:line="48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2）在本协议履行期间，乙方有任何不正当甚至非法行为（不限于是针对甲方任何员工或相关企业、人士的该等行为），包括但不限于行贿回扣、虚假报价、串通价格等或类似、变相的此类行为的，或乙方有任何其他有违甲方廉洁行医的政策和精神的，或有任何违反本条款的行为（包括但不限于对于合规审查的推诿），视为乙方严重违约，甲方有权单方面即时解除合同，并进行索赔。</w:t>
      </w:r>
    </w:p>
    <w:p w14:paraId="24CB3022">
      <w:pPr>
        <w:shd w:val="clear"/>
        <w:snapToGrid w:val="0"/>
        <w:spacing w:line="48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3）乙方因违反或涉嫌违反任何反腐败、反贿赂法律法规、政策精神（不限于针对甲方任何员工或相关企业、人士的该等行为），受到有权机关的调查、讯问或质询的，有义务在72小时内向甲方作出书面披露；受到任何处罚决定或经相关公文、裁判等认定有相关违法违规事实的，有义务立即告知甲方并按要求提供相关资料。前述情形下，甲方有权展开任何甲方认为必需的合规调查，所有费用由乙方承担，而且在此情况下，无论调查结果如何，甲方均有权解除本协议，视为乙方严重违约。</w:t>
      </w:r>
    </w:p>
    <w:p w14:paraId="220255E8">
      <w:pPr>
        <w:pStyle w:val="93"/>
        <w:shd w:val="clear"/>
        <w:spacing w:before="0" w:beforeAutospacing="0" w:after="0" w:afterAutospacing="0" w:line="480" w:lineRule="exact"/>
        <w:ind w:firstLine="480"/>
        <w:rPr>
          <w:rFonts w:hint="eastAsia"/>
          <w:color w:val="auto"/>
          <w:highlight w:val="none"/>
        </w:rPr>
      </w:pPr>
      <w:r>
        <w:rPr>
          <w:rFonts w:hint="eastAsia"/>
          <w:color w:val="auto"/>
          <w:highlight w:val="none"/>
        </w:rPr>
        <w:t>4、保密条款</w:t>
      </w:r>
    </w:p>
    <w:p w14:paraId="4EA658AE">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（1）双方承诺，在合作期间所知悉的对方商业秘密，以及所接触到的与对方公司有关的其他机密资讯或文件资料均负有保密义务，遵守对方的保密制度，执行有关的保密工作程序。</w:t>
      </w:r>
    </w:p>
    <w:p w14:paraId="5EA4FC47">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双方均不得通过任何途径将对方商业秘密泄漏、私自使用或者允许其他人员使用，并有义务采取措施确保相关责任方内部相互监督，实行保密义务。否则，给对方造成损失的，由违约方与相关责任方相互承担连带责任。</w:t>
      </w:r>
    </w:p>
    <w:p w14:paraId="7A6F0D4D">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（3）协议终止时，双方应将所接收的对方公司的商业秘密资讯、文件资料或职务信息完全移交给对方或对方指定人员，不得以任何形式私自占有及带出。</w:t>
      </w:r>
    </w:p>
    <w:p w14:paraId="115E3731">
      <w:pPr>
        <w:pStyle w:val="93"/>
        <w:shd w:val="clear"/>
        <w:spacing w:before="0" w:beforeAutospacing="0" w:after="0" w:afterAutospacing="0" w:line="480" w:lineRule="exact"/>
        <w:ind w:firstLine="480"/>
        <w:rPr>
          <w:rFonts w:hint="eastAsia"/>
          <w:color w:val="auto"/>
          <w:highlight w:val="none"/>
        </w:rPr>
      </w:pPr>
      <w:r>
        <w:rPr>
          <w:rFonts w:hint="eastAsia"/>
          <w:color w:val="auto"/>
          <w:highlight w:val="none"/>
        </w:rPr>
        <w:t>（4）双方应尽力配合对方的人员管理和正常的业务流程，不得寻求不正当的商业利益。对此，如果造成对方实际损失的，守约方有权以违约或侵权行为向对方要求赔偿，直至追究相关责任人的其刑事责任。</w:t>
      </w:r>
    </w:p>
    <w:p w14:paraId="6677FBC9">
      <w:pPr>
        <w:pStyle w:val="93"/>
        <w:shd w:val="clear"/>
        <w:spacing w:before="0" w:beforeAutospacing="0" w:after="0" w:afterAutospacing="0" w:line="480" w:lineRule="exact"/>
        <w:ind w:firstLine="480"/>
        <w:rPr>
          <w:rFonts w:hint="eastAsia"/>
          <w:b/>
          <w:color w:val="auto"/>
          <w:highlight w:val="none"/>
        </w:rPr>
      </w:pPr>
      <w:r>
        <w:rPr>
          <w:rFonts w:hint="eastAsia"/>
          <w:b/>
          <w:color w:val="auto"/>
          <w:highlight w:val="none"/>
        </w:rPr>
        <w:t>第九条：违约责任</w:t>
      </w:r>
    </w:p>
    <w:p w14:paraId="24033593">
      <w:pPr>
        <w:shd w:val="clear"/>
        <w:adjustRightInd w:val="0"/>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如出现以下情况，视为乙方严重违约，甲方可单方解除合同，并要求乙方赔偿违约导致的全部损失</w:t>
      </w:r>
      <w:bookmarkStart w:id="15" w:name="_Hlk159493349"/>
      <w:r>
        <w:rPr>
          <w:rFonts w:hint="eastAsia" w:ascii="宋体" w:hAnsi="宋体" w:cs="宋体"/>
          <w:color w:val="auto"/>
          <w:sz w:val="24"/>
          <w:highlight w:val="none"/>
        </w:rPr>
        <w:t>（包括但不限于甲方因此所致的损失、对外赔偿责任、行政罚款、诉讼费用、保全费用、律师费用等）</w:t>
      </w:r>
      <w:bookmarkEnd w:id="15"/>
      <w:r>
        <w:rPr>
          <w:rFonts w:hint="eastAsia" w:ascii="宋体" w:hAnsi="宋体" w:cs="宋体"/>
          <w:color w:val="auto"/>
          <w:sz w:val="24"/>
          <w:highlight w:val="none"/>
        </w:rPr>
        <w:t>：</w:t>
      </w:r>
    </w:p>
    <w:p w14:paraId="2A2AFCEE">
      <w:pPr>
        <w:pStyle w:val="93"/>
        <w:shd w:val="clear"/>
        <w:spacing w:before="0" w:beforeAutospacing="0" w:after="0" w:afterAutospacing="0" w:line="480" w:lineRule="exact"/>
        <w:ind w:firstLine="480" w:firstLineChars="200"/>
        <w:rPr>
          <w:rFonts w:hint="eastAsia"/>
          <w:color w:val="auto"/>
          <w:highlight w:val="none"/>
        </w:rPr>
      </w:pPr>
      <w:r>
        <w:rPr>
          <w:rFonts w:hint="eastAsia"/>
          <w:color w:val="auto"/>
          <w:highlight w:val="none"/>
        </w:rPr>
        <w:t>1、合同签定、履行过程中，乙方有违反本协议廉洁条款，视为乙方严重违约.</w:t>
      </w:r>
    </w:p>
    <w:p w14:paraId="4E35F699">
      <w:pPr>
        <w:pStyle w:val="93"/>
        <w:shd w:val="clear"/>
        <w:spacing w:before="0" w:beforeAutospacing="0" w:after="0" w:afterAutospacing="0" w:line="480" w:lineRule="exact"/>
        <w:ind w:firstLine="480" w:firstLineChars="200"/>
        <w:rPr>
          <w:rFonts w:hint="eastAsia"/>
          <w:color w:val="auto"/>
          <w:highlight w:val="none"/>
        </w:rPr>
      </w:pPr>
      <w:r>
        <w:rPr>
          <w:rFonts w:hint="eastAsia"/>
          <w:color w:val="auto"/>
          <w:highlight w:val="none"/>
        </w:rPr>
        <w:t>2、因乙方产品质量、供货等原因，造成甲方不可预见的后果或损失（例如医疗纠纷、医疗隐患、监管部门罚款等），乙方应配合解决并承担违约责任。</w:t>
      </w:r>
    </w:p>
    <w:p w14:paraId="07423802">
      <w:pPr>
        <w:pStyle w:val="93"/>
        <w:shd w:val="clear"/>
        <w:spacing w:before="0" w:beforeAutospacing="0" w:after="0" w:afterAutospacing="0" w:line="480" w:lineRule="exact"/>
        <w:ind w:firstLine="480" w:firstLineChars="200"/>
        <w:rPr>
          <w:rFonts w:hint="eastAsia"/>
          <w:color w:val="auto"/>
          <w:highlight w:val="none"/>
        </w:rPr>
      </w:pPr>
      <w:r>
        <w:rPr>
          <w:rFonts w:hint="eastAsia"/>
          <w:color w:val="auto"/>
          <w:highlight w:val="none"/>
        </w:rPr>
        <w:t>3、违反本协议约定的保密条款导致甲方损失的，甲方有权追究乙方的违约责任。</w:t>
      </w:r>
    </w:p>
    <w:p w14:paraId="126B51D6">
      <w:pPr>
        <w:shd w:val="clear"/>
        <w:adjustRightInd w:val="0"/>
        <w:snapToGrid w:val="0"/>
        <w:spacing w:line="480" w:lineRule="exact"/>
        <w:jc w:val="center"/>
        <w:rPr>
          <w:rFonts w:hint="eastAsia" w:ascii="宋体" w:hAnsi="宋体" w:cs="宋体"/>
          <w:color w:val="auto"/>
          <w:sz w:val="24"/>
          <w:highlight w:val="none"/>
        </w:rPr>
      </w:pPr>
      <w:r>
        <w:rPr>
          <w:rFonts w:hint="eastAsia" w:ascii="宋体" w:hAnsi="宋体" w:cs="宋体"/>
          <w:b/>
          <w:bCs/>
          <w:color w:val="auto"/>
          <w:sz w:val="24"/>
          <w:highlight w:val="none"/>
        </w:rPr>
        <w:t>第十章    争议的解决</w:t>
      </w:r>
    </w:p>
    <w:p w14:paraId="3A2F3F8E">
      <w:pPr>
        <w:shd w:val="clear"/>
        <w:adjustRightInd w:val="0"/>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1、此合同一式四份。双方签字盖章生效后。</w:t>
      </w:r>
    </w:p>
    <w:p w14:paraId="41A608FF">
      <w:pPr>
        <w:shd w:val="clear"/>
        <w:adjustRightInd w:val="0"/>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2、凡有关本合同或执行本合同而发生的一切争议，应通过友好协商解决，如不能解决，向甲方所在地法院提起诉讼。</w:t>
      </w:r>
    </w:p>
    <w:p w14:paraId="19B3F362">
      <w:pPr>
        <w:shd w:val="clear"/>
        <w:adjustRightInd w:val="0"/>
        <w:snapToGrid w:val="0"/>
        <w:spacing w:line="480" w:lineRule="exact"/>
        <w:jc w:val="center"/>
        <w:rPr>
          <w:rFonts w:hint="eastAsia" w:ascii="宋体" w:hAnsi="宋体" w:cs="宋体"/>
          <w:b/>
          <w:bCs/>
          <w:color w:val="auto"/>
          <w:sz w:val="24"/>
          <w:highlight w:val="none"/>
        </w:rPr>
      </w:pPr>
      <w:r>
        <w:rPr>
          <w:rFonts w:hint="eastAsia" w:ascii="宋体" w:hAnsi="宋体" w:cs="宋体"/>
          <w:b/>
          <w:bCs/>
          <w:color w:val="auto"/>
          <w:sz w:val="24"/>
          <w:highlight w:val="none"/>
        </w:rPr>
        <w:t>第十一章     其 它</w:t>
      </w:r>
    </w:p>
    <w:p w14:paraId="278CBACA">
      <w:pPr>
        <w:shd w:val="clear"/>
        <w:adjustRightInd w:val="0"/>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1、本合同未尽事宜，可由双方另行签订《补充协议》，《补充协议》与本合同具有同等法律效应。</w:t>
      </w:r>
    </w:p>
    <w:p w14:paraId="5CE69619">
      <w:pPr>
        <w:shd w:val="clear"/>
        <w:adjustRightInd w:val="0"/>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2、本合同中未涉及到的内容以中心（集团）</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号项目中的投标书和承诺书为准。</w:t>
      </w:r>
    </w:p>
    <w:p w14:paraId="15191833">
      <w:pPr>
        <w:shd w:val="clear"/>
        <w:adjustRightInd w:val="0"/>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乙方保证对其出售的货物具有合法性，所出售的货物上不存在任何未曾向甲方透露的担保物权，如抵押权、质押权、留置权等。乙方保证其所出售的货物没有侵犯任何第三者的知识产权和商业秘密等权利。如甲方使用该货物构成上述侵权时，则由乙方承担全部责任。</w:t>
      </w:r>
    </w:p>
    <w:p w14:paraId="7EC20B34">
      <w:pPr>
        <w:shd w:val="clear"/>
        <w:spacing w:line="480" w:lineRule="exact"/>
        <w:ind w:left="5100" w:leftChars="200" w:hanging="4680" w:hangingChars="1950"/>
        <w:rPr>
          <w:rFonts w:hint="eastAsia" w:ascii="宋体" w:hAnsi="宋体" w:cs="宋体"/>
          <w:color w:val="auto"/>
          <w:sz w:val="24"/>
          <w:highlight w:val="none"/>
        </w:rPr>
      </w:pPr>
      <w:r>
        <w:rPr>
          <w:rFonts w:hint="eastAsia" w:ascii="宋体" w:hAnsi="宋体" w:cs="宋体"/>
          <w:color w:val="auto"/>
          <w:sz w:val="24"/>
          <w:highlight w:val="none"/>
        </w:rPr>
        <w:t xml:space="preserve">甲  方：台州恩泽医疗中心（集团）  乙  方： </w:t>
      </w:r>
    </w:p>
    <w:p w14:paraId="7534D04F">
      <w:pPr>
        <w:shd w:val="clear"/>
        <w:spacing w:line="480" w:lineRule="exact"/>
        <w:ind w:left="5100" w:leftChars="200" w:hanging="4680" w:hangingChars="1950"/>
        <w:rPr>
          <w:rFonts w:hint="eastAsia" w:ascii="宋体" w:hAnsi="宋体" w:cs="宋体"/>
          <w:color w:val="auto"/>
          <w:sz w:val="24"/>
          <w:highlight w:val="none"/>
        </w:rPr>
      </w:pPr>
      <w:r>
        <w:rPr>
          <w:rFonts w:hint="eastAsia" w:ascii="宋体" w:hAnsi="宋体" w:cs="宋体"/>
          <w:color w:val="auto"/>
          <w:sz w:val="24"/>
          <w:highlight w:val="none"/>
        </w:rPr>
        <w:t xml:space="preserve">签字盖章：                        签字盖章： </w:t>
      </w:r>
    </w:p>
    <w:p w14:paraId="062861CF">
      <w:pPr>
        <w:shd w:val="clear"/>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日  期：                          日  期： </w:t>
      </w:r>
    </w:p>
    <w:p w14:paraId="563D0675">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p w14:paraId="7E2DA28C">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p w14:paraId="37C1D237">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p w14:paraId="21AA5D7A">
      <w:pPr>
        <w:shd w:val="clear"/>
        <w:tabs>
          <w:tab w:val="left" w:pos="1898"/>
        </w:tabs>
        <w:autoSpaceDE w:val="0"/>
        <w:autoSpaceDN w:val="0"/>
        <w:adjustRightInd w:val="0"/>
        <w:spacing w:line="480" w:lineRule="exact"/>
        <w:rPr>
          <w:rFonts w:hint="eastAsia" w:ascii="宋体" w:hAnsi="宋体" w:cs="宋体"/>
          <w:b/>
          <w:color w:val="auto"/>
          <w:sz w:val="24"/>
          <w:highlight w:val="none"/>
        </w:rPr>
      </w:pPr>
      <w:r>
        <w:rPr>
          <w:rFonts w:hint="eastAsia" w:ascii="宋体" w:hAnsi="宋体" w:cs="宋体"/>
          <w:b/>
          <w:color w:val="auto"/>
          <w:sz w:val="24"/>
          <w:highlight w:val="none"/>
        </w:rPr>
        <w:t>附件1</w:t>
      </w:r>
    </w:p>
    <w:p w14:paraId="1FD0CE77">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r>
        <w:rPr>
          <w:rFonts w:hint="eastAsia" w:ascii="宋体" w:hAnsi="宋体" w:cs="宋体"/>
          <w:b/>
          <w:color w:val="auto"/>
          <w:sz w:val="24"/>
          <w:highlight w:val="none"/>
        </w:rPr>
        <w:t>配置清单</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1"/>
        <w:gridCol w:w="1468"/>
        <w:gridCol w:w="1345"/>
        <w:gridCol w:w="1238"/>
        <w:gridCol w:w="1468"/>
        <w:gridCol w:w="1786"/>
      </w:tblGrid>
      <w:tr w14:paraId="53B90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6"/>
          </w:tcPr>
          <w:p w14:paraId="288D671A">
            <w:pPr>
              <w:shd w:val="clear"/>
              <w:tabs>
                <w:tab w:val="left" w:pos="1898"/>
              </w:tabs>
              <w:autoSpaceDE w:val="0"/>
              <w:autoSpaceDN w:val="0"/>
              <w:adjustRightInd w:val="0"/>
              <w:spacing w:line="480" w:lineRule="exact"/>
              <w:rPr>
                <w:rFonts w:hint="eastAsia" w:ascii="宋体" w:hAnsi="宋体" w:cs="宋体"/>
                <w:b/>
                <w:color w:val="auto"/>
                <w:spacing w:val="20"/>
                <w:sz w:val="24"/>
                <w:highlight w:val="none"/>
              </w:rPr>
            </w:pPr>
            <w:r>
              <w:rPr>
                <w:rFonts w:hint="eastAsia" w:ascii="宋体" w:hAnsi="宋体" w:cs="宋体"/>
                <w:b/>
                <w:color w:val="auto"/>
                <w:spacing w:val="20"/>
                <w:sz w:val="24"/>
                <w:highlight w:val="none"/>
              </w:rPr>
              <w:t>生产厂家名称：</w:t>
            </w:r>
          </w:p>
        </w:tc>
      </w:tr>
      <w:tr w14:paraId="376D9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vAlign w:val="center"/>
          </w:tcPr>
          <w:p w14:paraId="7C98DDBD">
            <w:pPr>
              <w:shd w:val="clear"/>
              <w:tabs>
                <w:tab w:val="left" w:pos="1418"/>
              </w:tabs>
              <w:snapToGrid w:val="0"/>
              <w:spacing w:before="50" w:after="50" w:line="480" w:lineRule="exact"/>
              <w:jc w:val="center"/>
              <w:rPr>
                <w:rFonts w:hint="eastAsia" w:ascii="宋体" w:hAnsi="宋体" w:cs="宋体"/>
                <w:b/>
                <w:color w:val="auto"/>
                <w:spacing w:val="20"/>
                <w:sz w:val="24"/>
                <w:highlight w:val="none"/>
              </w:rPr>
            </w:pPr>
            <w:r>
              <w:rPr>
                <w:rFonts w:hint="eastAsia" w:ascii="宋体" w:hAnsi="宋体" w:cs="宋体"/>
                <w:b/>
                <w:color w:val="auto"/>
                <w:sz w:val="24"/>
                <w:highlight w:val="none"/>
              </w:rPr>
              <w:t>序号</w:t>
            </w:r>
          </w:p>
        </w:tc>
        <w:tc>
          <w:tcPr>
            <w:tcW w:w="1701" w:type="dxa"/>
            <w:vAlign w:val="center"/>
          </w:tcPr>
          <w:p w14:paraId="0F7F93D9">
            <w:pPr>
              <w:shd w:val="clear"/>
              <w:tabs>
                <w:tab w:val="left" w:pos="1418"/>
              </w:tabs>
              <w:snapToGrid w:val="0"/>
              <w:spacing w:before="50" w:after="50" w:line="480" w:lineRule="exact"/>
              <w:jc w:val="center"/>
              <w:rPr>
                <w:rFonts w:hint="eastAsia" w:ascii="宋体" w:hAnsi="宋体" w:cs="宋体"/>
                <w:b/>
                <w:color w:val="auto"/>
                <w:spacing w:val="20"/>
                <w:sz w:val="24"/>
                <w:highlight w:val="none"/>
              </w:rPr>
            </w:pPr>
            <w:r>
              <w:rPr>
                <w:rFonts w:hint="eastAsia" w:ascii="宋体" w:hAnsi="宋体" w:cs="宋体"/>
                <w:b/>
                <w:color w:val="auto"/>
                <w:sz w:val="24"/>
                <w:highlight w:val="none"/>
              </w:rPr>
              <w:t>名称</w:t>
            </w:r>
          </w:p>
        </w:tc>
        <w:tc>
          <w:tcPr>
            <w:tcW w:w="1559" w:type="dxa"/>
            <w:vAlign w:val="center"/>
          </w:tcPr>
          <w:p w14:paraId="2C57ACCC">
            <w:pPr>
              <w:pStyle w:val="94"/>
              <w:shd w:val="clear"/>
              <w:snapToGrid w:val="0"/>
              <w:spacing w:before="50" w:after="50" w:line="480" w:lineRule="exact"/>
              <w:rPr>
                <w:rFonts w:hint="eastAsia" w:ascii="宋体" w:hAnsi="宋体" w:eastAsia="宋体" w:cs="宋体"/>
                <w:b/>
                <w:color w:val="auto"/>
                <w:highlight w:val="none"/>
              </w:rPr>
            </w:pPr>
            <w:r>
              <w:rPr>
                <w:rFonts w:hint="eastAsia" w:ascii="宋体" w:hAnsi="宋体" w:eastAsia="宋体" w:cs="宋体"/>
                <w:b/>
                <w:color w:val="auto"/>
                <w:highlight w:val="none"/>
              </w:rPr>
              <w:t>品牌</w:t>
            </w:r>
          </w:p>
        </w:tc>
        <w:tc>
          <w:tcPr>
            <w:tcW w:w="1418" w:type="dxa"/>
            <w:vAlign w:val="center"/>
          </w:tcPr>
          <w:p w14:paraId="3A8CD418">
            <w:pPr>
              <w:shd w:val="clear"/>
              <w:tabs>
                <w:tab w:val="left" w:pos="1418"/>
              </w:tabs>
              <w:snapToGrid w:val="0"/>
              <w:spacing w:before="50" w:after="50" w:line="480" w:lineRule="exact"/>
              <w:jc w:val="center"/>
              <w:rPr>
                <w:rFonts w:hint="eastAsia" w:ascii="宋体" w:hAnsi="宋体" w:cs="宋体"/>
                <w:b/>
                <w:color w:val="auto"/>
                <w:spacing w:val="20"/>
                <w:sz w:val="24"/>
                <w:highlight w:val="none"/>
              </w:rPr>
            </w:pPr>
            <w:r>
              <w:rPr>
                <w:rFonts w:hint="eastAsia" w:ascii="宋体" w:hAnsi="宋体" w:cs="宋体"/>
                <w:b/>
                <w:color w:val="auto"/>
                <w:sz w:val="24"/>
                <w:highlight w:val="none"/>
              </w:rPr>
              <w:t>规格型号</w:t>
            </w:r>
          </w:p>
        </w:tc>
        <w:tc>
          <w:tcPr>
            <w:tcW w:w="1701" w:type="dxa"/>
          </w:tcPr>
          <w:p w14:paraId="47B16938">
            <w:pPr>
              <w:shd w:val="clear"/>
              <w:tabs>
                <w:tab w:val="left" w:pos="1418"/>
              </w:tabs>
              <w:snapToGrid w:val="0"/>
              <w:spacing w:before="50" w:after="50" w:line="480" w:lineRule="exact"/>
              <w:jc w:val="center"/>
              <w:rPr>
                <w:rFonts w:hint="eastAsia" w:ascii="宋体" w:hAnsi="宋体" w:cs="宋体"/>
                <w:b/>
                <w:color w:val="auto"/>
                <w:sz w:val="24"/>
                <w:highlight w:val="none"/>
              </w:rPr>
            </w:pPr>
            <w:r>
              <w:rPr>
                <w:rFonts w:hint="eastAsia" w:ascii="宋体" w:hAnsi="宋体" w:cs="宋体"/>
                <w:b/>
                <w:color w:val="auto"/>
                <w:sz w:val="24"/>
                <w:highlight w:val="none"/>
              </w:rPr>
              <w:t>单位及数量</w:t>
            </w:r>
          </w:p>
        </w:tc>
        <w:tc>
          <w:tcPr>
            <w:tcW w:w="2091" w:type="dxa"/>
          </w:tcPr>
          <w:p w14:paraId="7C1E74A3">
            <w:pPr>
              <w:shd w:val="clear"/>
              <w:tabs>
                <w:tab w:val="left" w:pos="1418"/>
              </w:tabs>
              <w:snapToGrid w:val="0"/>
              <w:spacing w:before="50" w:after="50" w:line="480" w:lineRule="exact"/>
              <w:jc w:val="center"/>
              <w:rPr>
                <w:rFonts w:hint="eastAsia" w:ascii="宋体" w:hAnsi="宋体" w:cs="宋体"/>
                <w:b/>
                <w:color w:val="auto"/>
                <w:sz w:val="24"/>
                <w:highlight w:val="none"/>
              </w:rPr>
            </w:pPr>
            <w:r>
              <w:rPr>
                <w:rFonts w:hint="eastAsia" w:ascii="宋体" w:hAnsi="宋体" w:cs="宋体"/>
                <w:b/>
                <w:color w:val="auto"/>
                <w:sz w:val="24"/>
                <w:highlight w:val="none"/>
              </w:rPr>
              <w:t>注册证号</w:t>
            </w:r>
          </w:p>
        </w:tc>
      </w:tr>
      <w:tr w14:paraId="6953E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tcPr>
          <w:p w14:paraId="02118061">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701" w:type="dxa"/>
          </w:tcPr>
          <w:p w14:paraId="7476C2A1">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559" w:type="dxa"/>
          </w:tcPr>
          <w:p w14:paraId="0B159FF1">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418" w:type="dxa"/>
          </w:tcPr>
          <w:p w14:paraId="57A597EC">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701" w:type="dxa"/>
          </w:tcPr>
          <w:p w14:paraId="06C21B7E">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2091" w:type="dxa"/>
          </w:tcPr>
          <w:p w14:paraId="5FA573AF">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r>
      <w:tr w14:paraId="56A5B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tcPr>
          <w:p w14:paraId="521CB89A">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701" w:type="dxa"/>
          </w:tcPr>
          <w:p w14:paraId="32E2BA9F">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559" w:type="dxa"/>
          </w:tcPr>
          <w:p w14:paraId="3F1E34F6">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418" w:type="dxa"/>
          </w:tcPr>
          <w:p w14:paraId="04E29AFC">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701" w:type="dxa"/>
          </w:tcPr>
          <w:p w14:paraId="04607251">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2091" w:type="dxa"/>
          </w:tcPr>
          <w:p w14:paraId="030E4CD2">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r>
      <w:tr w14:paraId="5E687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tcPr>
          <w:p w14:paraId="2F04D1DD">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701" w:type="dxa"/>
          </w:tcPr>
          <w:p w14:paraId="66F3DF5A">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559" w:type="dxa"/>
          </w:tcPr>
          <w:p w14:paraId="34CC7842">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418" w:type="dxa"/>
          </w:tcPr>
          <w:p w14:paraId="232E396B">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1701" w:type="dxa"/>
          </w:tcPr>
          <w:p w14:paraId="3F5D959D">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c>
          <w:tcPr>
            <w:tcW w:w="2091" w:type="dxa"/>
          </w:tcPr>
          <w:p w14:paraId="0441766A">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p>
        </w:tc>
      </w:tr>
    </w:tbl>
    <w:p w14:paraId="68309C7A">
      <w:pPr>
        <w:shd w:val="clear"/>
        <w:tabs>
          <w:tab w:val="left" w:pos="1898"/>
        </w:tabs>
        <w:autoSpaceDE w:val="0"/>
        <w:autoSpaceDN w:val="0"/>
        <w:adjustRightInd w:val="0"/>
        <w:spacing w:line="480" w:lineRule="exact"/>
        <w:jc w:val="center"/>
        <w:rPr>
          <w:rFonts w:hint="eastAsia" w:ascii="宋体" w:hAnsi="宋体" w:cs="宋体"/>
          <w:b/>
          <w:color w:val="auto"/>
          <w:sz w:val="24"/>
          <w:highlight w:val="none"/>
        </w:rPr>
      </w:pPr>
      <w:r>
        <w:rPr>
          <w:rFonts w:hint="eastAsia" w:ascii="宋体" w:hAnsi="宋体" w:cs="宋体"/>
          <w:b/>
          <w:color w:val="auto"/>
          <w:sz w:val="24"/>
          <w:highlight w:val="none"/>
        </w:rPr>
        <w:t>备品备件价格</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9"/>
        <w:gridCol w:w="1413"/>
        <w:gridCol w:w="1294"/>
        <w:gridCol w:w="1195"/>
        <w:gridCol w:w="1658"/>
        <w:gridCol w:w="1712"/>
      </w:tblGrid>
      <w:tr w14:paraId="157A8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9" w:type="dxa"/>
            <w:vAlign w:val="center"/>
          </w:tcPr>
          <w:p w14:paraId="2BEFD5F4">
            <w:pPr>
              <w:shd w:val="clear"/>
              <w:tabs>
                <w:tab w:val="left" w:pos="1418"/>
              </w:tabs>
              <w:snapToGrid w:val="0"/>
              <w:spacing w:before="50" w:after="50" w:line="480" w:lineRule="exact"/>
              <w:jc w:val="center"/>
              <w:rPr>
                <w:rFonts w:hint="eastAsia" w:ascii="宋体" w:hAnsi="宋体" w:cs="宋体"/>
                <w:b/>
                <w:color w:val="auto"/>
                <w:spacing w:val="20"/>
                <w:sz w:val="24"/>
                <w:highlight w:val="none"/>
              </w:rPr>
            </w:pPr>
            <w:r>
              <w:rPr>
                <w:rFonts w:hint="eastAsia" w:ascii="宋体" w:hAnsi="宋体" w:cs="宋体"/>
                <w:b/>
                <w:color w:val="auto"/>
                <w:sz w:val="24"/>
                <w:highlight w:val="none"/>
              </w:rPr>
              <w:t>序号</w:t>
            </w:r>
          </w:p>
        </w:tc>
        <w:tc>
          <w:tcPr>
            <w:tcW w:w="1413" w:type="dxa"/>
            <w:vAlign w:val="center"/>
          </w:tcPr>
          <w:p w14:paraId="2AEFBF1E">
            <w:pPr>
              <w:shd w:val="clear"/>
              <w:tabs>
                <w:tab w:val="left" w:pos="1418"/>
              </w:tabs>
              <w:snapToGrid w:val="0"/>
              <w:spacing w:before="50" w:after="50" w:line="480" w:lineRule="exact"/>
              <w:jc w:val="center"/>
              <w:rPr>
                <w:rFonts w:hint="eastAsia" w:ascii="宋体" w:hAnsi="宋体" w:cs="宋体"/>
                <w:b/>
                <w:color w:val="auto"/>
                <w:spacing w:val="20"/>
                <w:sz w:val="24"/>
                <w:highlight w:val="none"/>
              </w:rPr>
            </w:pPr>
            <w:r>
              <w:rPr>
                <w:rFonts w:hint="eastAsia" w:ascii="宋体" w:hAnsi="宋体" w:cs="宋体"/>
                <w:b/>
                <w:color w:val="auto"/>
                <w:sz w:val="24"/>
                <w:highlight w:val="none"/>
              </w:rPr>
              <w:t>名称</w:t>
            </w:r>
          </w:p>
        </w:tc>
        <w:tc>
          <w:tcPr>
            <w:tcW w:w="1294" w:type="dxa"/>
            <w:vAlign w:val="center"/>
          </w:tcPr>
          <w:p w14:paraId="4A83B4B2">
            <w:pPr>
              <w:pStyle w:val="94"/>
              <w:shd w:val="clear"/>
              <w:snapToGrid w:val="0"/>
              <w:spacing w:before="50" w:after="50" w:line="480" w:lineRule="exact"/>
              <w:rPr>
                <w:rFonts w:hint="eastAsia" w:ascii="宋体" w:hAnsi="宋体" w:eastAsia="宋体" w:cs="宋体"/>
                <w:b/>
                <w:color w:val="auto"/>
                <w:highlight w:val="none"/>
              </w:rPr>
            </w:pPr>
            <w:r>
              <w:rPr>
                <w:rFonts w:hint="eastAsia" w:ascii="宋体" w:hAnsi="宋体" w:eastAsia="宋体" w:cs="宋体"/>
                <w:b/>
                <w:color w:val="auto"/>
                <w:highlight w:val="none"/>
              </w:rPr>
              <w:t>品牌</w:t>
            </w:r>
          </w:p>
        </w:tc>
        <w:tc>
          <w:tcPr>
            <w:tcW w:w="1195" w:type="dxa"/>
            <w:vAlign w:val="center"/>
          </w:tcPr>
          <w:p w14:paraId="39B7DF7D">
            <w:pPr>
              <w:shd w:val="clear"/>
              <w:tabs>
                <w:tab w:val="left" w:pos="1418"/>
              </w:tabs>
              <w:snapToGrid w:val="0"/>
              <w:spacing w:before="50" w:after="50" w:line="480" w:lineRule="exact"/>
              <w:jc w:val="center"/>
              <w:rPr>
                <w:rFonts w:hint="eastAsia" w:ascii="宋体" w:hAnsi="宋体" w:cs="宋体"/>
                <w:b/>
                <w:color w:val="auto"/>
                <w:spacing w:val="20"/>
                <w:sz w:val="24"/>
                <w:highlight w:val="none"/>
              </w:rPr>
            </w:pPr>
            <w:r>
              <w:rPr>
                <w:rFonts w:hint="eastAsia" w:ascii="宋体" w:hAnsi="宋体" w:cs="宋体"/>
                <w:b/>
                <w:color w:val="auto"/>
                <w:sz w:val="24"/>
                <w:highlight w:val="none"/>
              </w:rPr>
              <w:t>规格型号</w:t>
            </w:r>
          </w:p>
        </w:tc>
        <w:tc>
          <w:tcPr>
            <w:tcW w:w="1658" w:type="dxa"/>
          </w:tcPr>
          <w:p w14:paraId="5E059B8B">
            <w:pPr>
              <w:shd w:val="clear"/>
              <w:tabs>
                <w:tab w:val="left" w:pos="1418"/>
              </w:tabs>
              <w:snapToGrid w:val="0"/>
              <w:spacing w:before="50" w:after="50" w:line="480" w:lineRule="exact"/>
              <w:jc w:val="center"/>
              <w:rPr>
                <w:rFonts w:hint="eastAsia" w:ascii="宋体" w:hAnsi="宋体" w:cs="宋体"/>
                <w:b/>
                <w:color w:val="auto"/>
                <w:sz w:val="24"/>
                <w:highlight w:val="none"/>
              </w:rPr>
            </w:pPr>
            <w:r>
              <w:rPr>
                <w:rFonts w:hint="eastAsia" w:ascii="宋体" w:hAnsi="宋体" w:cs="宋体"/>
                <w:b/>
                <w:color w:val="auto"/>
                <w:sz w:val="24"/>
                <w:highlight w:val="none"/>
              </w:rPr>
              <w:t>单价(元)</w:t>
            </w:r>
          </w:p>
        </w:tc>
        <w:tc>
          <w:tcPr>
            <w:tcW w:w="1712" w:type="dxa"/>
          </w:tcPr>
          <w:p w14:paraId="182D1B3C">
            <w:pPr>
              <w:shd w:val="clear"/>
              <w:tabs>
                <w:tab w:val="left" w:pos="1418"/>
              </w:tabs>
              <w:snapToGrid w:val="0"/>
              <w:spacing w:before="50" w:after="50" w:line="480" w:lineRule="exact"/>
              <w:jc w:val="center"/>
              <w:rPr>
                <w:rFonts w:hint="eastAsia" w:ascii="宋体" w:hAnsi="宋体" w:cs="宋体"/>
                <w:b/>
                <w:color w:val="auto"/>
                <w:sz w:val="24"/>
                <w:highlight w:val="none"/>
              </w:rPr>
            </w:pPr>
            <w:r>
              <w:rPr>
                <w:rFonts w:hint="eastAsia" w:ascii="宋体" w:hAnsi="宋体" w:cs="宋体"/>
                <w:b/>
                <w:color w:val="auto"/>
                <w:sz w:val="24"/>
                <w:highlight w:val="none"/>
              </w:rPr>
              <w:t>注册证号</w:t>
            </w:r>
          </w:p>
        </w:tc>
      </w:tr>
      <w:tr w14:paraId="145F7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9" w:type="dxa"/>
          </w:tcPr>
          <w:p w14:paraId="1918FDC6">
            <w:pPr>
              <w:shd w:val="clear"/>
              <w:tabs>
                <w:tab w:val="left" w:pos="1418"/>
              </w:tabs>
              <w:snapToGrid w:val="0"/>
              <w:spacing w:before="50" w:after="50" w:line="480" w:lineRule="exact"/>
              <w:jc w:val="center"/>
              <w:rPr>
                <w:rFonts w:hint="eastAsia" w:ascii="宋体" w:hAnsi="宋体" w:cs="宋体"/>
                <w:b/>
                <w:color w:val="auto"/>
                <w:sz w:val="24"/>
                <w:highlight w:val="none"/>
              </w:rPr>
            </w:pPr>
          </w:p>
        </w:tc>
        <w:tc>
          <w:tcPr>
            <w:tcW w:w="1413" w:type="dxa"/>
          </w:tcPr>
          <w:p w14:paraId="6ECC5F2E">
            <w:pPr>
              <w:shd w:val="clear"/>
              <w:tabs>
                <w:tab w:val="left" w:pos="1418"/>
              </w:tabs>
              <w:snapToGrid w:val="0"/>
              <w:spacing w:before="50" w:after="50" w:line="480" w:lineRule="exact"/>
              <w:jc w:val="center"/>
              <w:rPr>
                <w:rFonts w:hint="eastAsia" w:ascii="宋体" w:hAnsi="宋体" w:cs="宋体"/>
                <w:b/>
                <w:color w:val="auto"/>
                <w:sz w:val="24"/>
                <w:highlight w:val="none"/>
              </w:rPr>
            </w:pPr>
          </w:p>
        </w:tc>
        <w:tc>
          <w:tcPr>
            <w:tcW w:w="1294" w:type="dxa"/>
          </w:tcPr>
          <w:p w14:paraId="316C6824">
            <w:pPr>
              <w:shd w:val="clear"/>
              <w:tabs>
                <w:tab w:val="left" w:pos="1418"/>
              </w:tabs>
              <w:snapToGrid w:val="0"/>
              <w:spacing w:before="50" w:after="50" w:line="480" w:lineRule="exact"/>
              <w:jc w:val="center"/>
              <w:rPr>
                <w:rFonts w:hint="eastAsia" w:ascii="宋体" w:hAnsi="宋体" w:cs="宋体"/>
                <w:b/>
                <w:color w:val="auto"/>
                <w:sz w:val="24"/>
                <w:highlight w:val="none"/>
              </w:rPr>
            </w:pPr>
          </w:p>
        </w:tc>
        <w:tc>
          <w:tcPr>
            <w:tcW w:w="1195" w:type="dxa"/>
          </w:tcPr>
          <w:p w14:paraId="26E3ED72">
            <w:pPr>
              <w:shd w:val="clear"/>
              <w:tabs>
                <w:tab w:val="left" w:pos="1418"/>
              </w:tabs>
              <w:snapToGrid w:val="0"/>
              <w:spacing w:before="50" w:after="50" w:line="480" w:lineRule="exact"/>
              <w:jc w:val="center"/>
              <w:rPr>
                <w:rFonts w:hint="eastAsia" w:ascii="宋体" w:hAnsi="宋体" w:cs="宋体"/>
                <w:b/>
                <w:color w:val="auto"/>
                <w:sz w:val="24"/>
                <w:highlight w:val="none"/>
              </w:rPr>
            </w:pPr>
          </w:p>
        </w:tc>
        <w:tc>
          <w:tcPr>
            <w:tcW w:w="1658" w:type="dxa"/>
          </w:tcPr>
          <w:p w14:paraId="1118E304">
            <w:pPr>
              <w:shd w:val="clear"/>
              <w:tabs>
                <w:tab w:val="left" w:pos="1418"/>
              </w:tabs>
              <w:snapToGrid w:val="0"/>
              <w:spacing w:before="50" w:after="50" w:line="480" w:lineRule="exact"/>
              <w:jc w:val="center"/>
              <w:rPr>
                <w:rFonts w:hint="eastAsia" w:ascii="宋体" w:hAnsi="宋体" w:cs="宋体"/>
                <w:b/>
                <w:color w:val="auto"/>
                <w:sz w:val="24"/>
                <w:highlight w:val="none"/>
              </w:rPr>
            </w:pPr>
          </w:p>
        </w:tc>
        <w:tc>
          <w:tcPr>
            <w:tcW w:w="1712" w:type="dxa"/>
          </w:tcPr>
          <w:p w14:paraId="02C9D790">
            <w:pPr>
              <w:shd w:val="clear"/>
              <w:tabs>
                <w:tab w:val="left" w:pos="1418"/>
              </w:tabs>
              <w:snapToGrid w:val="0"/>
              <w:spacing w:before="50" w:after="50" w:line="480" w:lineRule="exact"/>
              <w:jc w:val="center"/>
              <w:rPr>
                <w:rFonts w:hint="eastAsia" w:ascii="宋体" w:hAnsi="宋体" w:cs="宋体"/>
                <w:b/>
                <w:color w:val="auto"/>
                <w:sz w:val="24"/>
                <w:highlight w:val="none"/>
              </w:rPr>
            </w:pPr>
          </w:p>
        </w:tc>
      </w:tr>
    </w:tbl>
    <w:p w14:paraId="2C887819">
      <w:pPr>
        <w:shd w:val="clear"/>
        <w:spacing w:line="480" w:lineRule="exact"/>
        <w:rPr>
          <w:rFonts w:hint="eastAsia" w:ascii="宋体" w:hAnsi="宋体" w:cs="宋体"/>
          <w:color w:val="auto"/>
          <w:sz w:val="24"/>
          <w:highlight w:val="none"/>
        </w:rPr>
      </w:pPr>
    </w:p>
    <w:p w14:paraId="0A742B61">
      <w:pPr>
        <w:shd w:val="clear"/>
        <w:rPr>
          <w:rFonts w:hint="eastAsia" w:ascii="宋体" w:hAnsi="宋体" w:cs="宋体"/>
          <w:b/>
          <w:bCs/>
          <w:color w:val="auto"/>
          <w:sz w:val="28"/>
          <w:szCs w:val="36"/>
          <w:highlight w:val="none"/>
        </w:rPr>
      </w:pPr>
    </w:p>
    <w:p w14:paraId="25B0E8FA">
      <w:pPr>
        <w:shd w:val="clear"/>
        <w:rPr>
          <w:rFonts w:hint="eastAsia" w:ascii="宋体" w:hAnsi="宋体" w:cs="宋体"/>
          <w:b/>
          <w:bCs/>
          <w:color w:val="auto"/>
          <w:sz w:val="28"/>
          <w:szCs w:val="36"/>
          <w:highlight w:val="none"/>
        </w:rPr>
      </w:pPr>
    </w:p>
    <w:p w14:paraId="0EE69644">
      <w:pPr>
        <w:shd w:val="clear"/>
        <w:rPr>
          <w:rFonts w:hint="eastAsia" w:ascii="宋体" w:hAnsi="宋体" w:cs="宋体"/>
          <w:b/>
          <w:bCs/>
          <w:color w:val="auto"/>
          <w:sz w:val="28"/>
          <w:szCs w:val="36"/>
          <w:highlight w:val="none"/>
        </w:rPr>
      </w:pPr>
    </w:p>
    <w:p w14:paraId="3F1F6135">
      <w:pPr>
        <w:shd w:val="clear"/>
        <w:spacing w:line="360" w:lineRule="auto"/>
        <w:jc w:val="center"/>
        <w:rPr>
          <w:rFonts w:hint="eastAsia" w:ascii="宋体" w:hAnsi="宋体" w:cs="宋体"/>
          <w:b/>
          <w:bCs/>
          <w:color w:val="auto"/>
          <w:sz w:val="36"/>
          <w:szCs w:val="44"/>
          <w:highlight w:val="none"/>
        </w:rPr>
      </w:pPr>
    </w:p>
    <w:p w14:paraId="31E0F211">
      <w:pPr>
        <w:shd w:val="clear"/>
        <w:spacing w:line="360" w:lineRule="auto"/>
        <w:jc w:val="center"/>
        <w:rPr>
          <w:rFonts w:hint="eastAsia" w:ascii="宋体" w:hAnsi="宋体" w:cs="宋体"/>
          <w:b/>
          <w:bCs/>
          <w:color w:val="auto"/>
          <w:sz w:val="36"/>
          <w:szCs w:val="44"/>
          <w:highlight w:val="none"/>
        </w:rPr>
      </w:pPr>
    </w:p>
    <w:p w14:paraId="1DB3386A">
      <w:pPr>
        <w:shd w:val="clear"/>
        <w:spacing w:line="360" w:lineRule="auto"/>
        <w:jc w:val="center"/>
        <w:rPr>
          <w:rFonts w:hint="eastAsia" w:ascii="宋体" w:hAnsi="宋体" w:cs="宋体"/>
          <w:b/>
          <w:bCs/>
          <w:color w:val="auto"/>
          <w:sz w:val="36"/>
          <w:szCs w:val="44"/>
          <w:highlight w:val="none"/>
        </w:rPr>
      </w:pPr>
    </w:p>
    <w:p w14:paraId="7F8803DC">
      <w:pPr>
        <w:shd w:val="clear"/>
        <w:spacing w:line="360" w:lineRule="auto"/>
        <w:jc w:val="center"/>
        <w:rPr>
          <w:rFonts w:hint="eastAsia" w:ascii="宋体" w:hAnsi="宋体" w:cs="宋体"/>
          <w:b/>
          <w:bCs/>
          <w:color w:val="auto"/>
          <w:sz w:val="36"/>
          <w:szCs w:val="44"/>
          <w:highlight w:val="none"/>
        </w:rPr>
      </w:pPr>
    </w:p>
    <w:p w14:paraId="20090875">
      <w:pPr>
        <w:shd w:val="clear"/>
        <w:spacing w:line="360" w:lineRule="auto"/>
        <w:jc w:val="center"/>
        <w:rPr>
          <w:rFonts w:hint="eastAsia" w:ascii="宋体" w:hAnsi="宋体" w:cs="宋体"/>
          <w:b/>
          <w:bCs/>
          <w:color w:val="auto"/>
          <w:sz w:val="36"/>
          <w:szCs w:val="44"/>
          <w:highlight w:val="none"/>
        </w:rPr>
      </w:pPr>
    </w:p>
    <w:p w14:paraId="15963BF6">
      <w:pPr>
        <w:shd w:val="clear"/>
        <w:spacing w:line="360" w:lineRule="auto"/>
        <w:jc w:val="center"/>
        <w:rPr>
          <w:rFonts w:hint="eastAsia" w:ascii="宋体" w:hAnsi="宋体" w:cs="宋体"/>
          <w:b/>
          <w:bCs/>
          <w:color w:val="auto"/>
          <w:sz w:val="36"/>
          <w:szCs w:val="44"/>
          <w:highlight w:val="none"/>
        </w:rPr>
      </w:pPr>
    </w:p>
    <w:p w14:paraId="3F86FC79">
      <w:pPr>
        <w:shd w:val="clear"/>
        <w:spacing w:line="360" w:lineRule="auto"/>
        <w:jc w:val="center"/>
        <w:rPr>
          <w:rFonts w:hint="eastAsia" w:ascii="宋体" w:hAnsi="宋体" w:cs="宋体"/>
          <w:b/>
          <w:bCs/>
          <w:color w:val="auto"/>
          <w:sz w:val="36"/>
          <w:szCs w:val="44"/>
          <w:highlight w:val="none"/>
        </w:rPr>
      </w:pPr>
    </w:p>
    <w:p w14:paraId="389078F6">
      <w:pPr>
        <w:shd w:val="clear"/>
        <w:spacing w:line="360" w:lineRule="auto"/>
        <w:jc w:val="center"/>
        <w:rPr>
          <w:rFonts w:hint="eastAsia" w:ascii="宋体" w:hAnsi="宋体" w:cs="宋体"/>
          <w:b/>
          <w:bCs/>
          <w:color w:val="auto"/>
          <w:sz w:val="36"/>
          <w:szCs w:val="44"/>
          <w:highlight w:val="none"/>
        </w:rPr>
      </w:pPr>
    </w:p>
    <w:p w14:paraId="197D4864">
      <w:pPr>
        <w:shd w:val="clear"/>
        <w:spacing w:line="360" w:lineRule="auto"/>
        <w:jc w:val="center"/>
        <w:rPr>
          <w:rFonts w:hint="eastAsia" w:ascii="宋体" w:hAnsi="宋体" w:cs="宋体"/>
          <w:b/>
          <w:bCs/>
          <w:color w:val="auto"/>
          <w:sz w:val="36"/>
          <w:szCs w:val="44"/>
          <w:highlight w:val="none"/>
        </w:rPr>
      </w:pPr>
    </w:p>
    <w:p w14:paraId="764EE1B1">
      <w:pPr>
        <w:shd w:val="clear"/>
        <w:spacing w:line="360" w:lineRule="auto"/>
        <w:jc w:val="center"/>
        <w:rPr>
          <w:rFonts w:hint="eastAsia" w:ascii="宋体" w:hAnsi="宋体" w:cs="宋体"/>
          <w:b/>
          <w:bCs/>
          <w:color w:val="auto"/>
          <w:sz w:val="36"/>
          <w:szCs w:val="44"/>
          <w:highlight w:val="none"/>
        </w:rPr>
      </w:pPr>
    </w:p>
    <w:p w14:paraId="4B353A70">
      <w:pPr>
        <w:shd w:val="clear"/>
        <w:spacing w:line="360" w:lineRule="auto"/>
        <w:jc w:val="center"/>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第六章 投标文件格式附件</w:t>
      </w:r>
    </w:p>
    <w:p w14:paraId="540FAD55">
      <w:pPr>
        <w:shd w:val="clear"/>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 xml:space="preserve">附件1　　                                          </w:t>
      </w:r>
      <w:r>
        <w:rPr>
          <w:rFonts w:hint="eastAsia" w:ascii="宋体" w:hAnsi="宋体" w:cs="宋体"/>
          <w:b/>
          <w:bCs/>
          <w:color w:val="auto"/>
          <w:sz w:val="28"/>
          <w:szCs w:val="36"/>
          <w:highlight w:val="none"/>
          <w:u w:val="single"/>
        </w:rPr>
        <w:t xml:space="preserve">   　</w:t>
      </w:r>
      <w:r>
        <w:rPr>
          <w:rFonts w:hint="eastAsia" w:ascii="宋体" w:hAnsi="宋体" w:cs="宋体"/>
          <w:b/>
          <w:bCs/>
          <w:color w:val="auto"/>
          <w:sz w:val="28"/>
          <w:szCs w:val="36"/>
          <w:highlight w:val="none"/>
        </w:rPr>
        <w:t>本</w:t>
      </w:r>
    </w:p>
    <w:p w14:paraId="78797D21">
      <w:pPr>
        <w:shd w:val="clear"/>
        <w:spacing w:line="360" w:lineRule="auto"/>
        <w:rPr>
          <w:rFonts w:hint="eastAsia" w:ascii="宋体" w:hAnsi="宋体" w:cs="宋体"/>
          <w:b/>
          <w:color w:val="auto"/>
          <w:sz w:val="30"/>
          <w:szCs w:val="30"/>
          <w:highlight w:val="none"/>
        </w:rPr>
      </w:pPr>
    </w:p>
    <w:p w14:paraId="67C2405D">
      <w:pPr>
        <w:shd w:val="clear"/>
        <w:spacing w:line="360" w:lineRule="auto"/>
        <w:jc w:val="center"/>
        <w:rPr>
          <w:rFonts w:hint="eastAsia" w:ascii="宋体" w:hAnsi="宋体" w:cs="宋体"/>
          <w:color w:val="auto"/>
          <w:spacing w:val="40"/>
          <w:sz w:val="52"/>
          <w:szCs w:val="52"/>
          <w:highlight w:val="none"/>
        </w:rPr>
      </w:pPr>
      <w:r>
        <w:rPr>
          <w:rFonts w:hint="eastAsia" w:ascii="宋体" w:hAnsi="宋体" w:cs="宋体"/>
          <w:color w:val="auto"/>
          <w:spacing w:val="40"/>
          <w:sz w:val="52"/>
          <w:szCs w:val="52"/>
          <w:highlight w:val="none"/>
        </w:rPr>
        <w:t>项目名称</w:t>
      </w:r>
    </w:p>
    <w:p w14:paraId="222C26D9">
      <w:pPr>
        <w:shd w:val="clear"/>
        <w:spacing w:line="360" w:lineRule="auto"/>
        <w:jc w:val="center"/>
        <w:rPr>
          <w:rFonts w:hint="eastAsia" w:ascii="宋体" w:hAnsi="宋体" w:cs="宋体"/>
          <w:color w:val="auto"/>
          <w:sz w:val="36"/>
          <w:szCs w:val="36"/>
          <w:highlight w:val="none"/>
        </w:rPr>
      </w:pPr>
      <w:r>
        <w:rPr>
          <w:rFonts w:hint="eastAsia" w:ascii="宋体" w:hAnsi="宋体" w:cs="宋体"/>
          <w:color w:val="auto"/>
          <w:sz w:val="36"/>
          <w:szCs w:val="36"/>
          <w:highlight w:val="none"/>
        </w:rPr>
        <w:t>项目编号：（标段）</w:t>
      </w:r>
    </w:p>
    <w:p w14:paraId="12DB1E5D">
      <w:pPr>
        <w:shd w:val="clear"/>
        <w:autoSpaceDE w:val="0"/>
        <w:autoSpaceDN w:val="0"/>
        <w:adjustRightInd w:val="0"/>
        <w:spacing w:line="360" w:lineRule="auto"/>
        <w:jc w:val="center"/>
        <w:rPr>
          <w:rFonts w:hint="eastAsia" w:ascii="宋体" w:hAnsi="宋体" w:cs="宋体"/>
          <w:color w:val="auto"/>
          <w:sz w:val="84"/>
          <w:szCs w:val="84"/>
          <w:highlight w:val="none"/>
          <w:lang w:val="zh-CN"/>
        </w:rPr>
      </w:pPr>
    </w:p>
    <w:p w14:paraId="7B288CDB">
      <w:pPr>
        <w:shd w:val="clear"/>
        <w:autoSpaceDE w:val="0"/>
        <w:autoSpaceDN w:val="0"/>
        <w:adjustRightInd w:val="0"/>
        <w:spacing w:line="360" w:lineRule="auto"/>
        <w:jc w:val="center"/>
        <w:rPr>
          <w:rFonts w:hint="eastAsia" w:ascii="宋体" w:hAnsi="宋体" w:cs="宋体"/>
          <w:color w:val="auto"/>
          <w:sz w:val="84"/>
          <w:szCs w:val="84"/>
          <w:highlight w:val="none"/>
          <w:lang w:val="zh-CN"/>
        </w:rPr>
      </w:pPr>
      <w:r>
        <w:rPr>
          <w:rFonts w:hint="eastAsia" w:ascii="宋体" w:hAnsi="宋体" w:cs="宋体"/>
          <w:color w:val="auto"/>
          <w:sz w:val="84"/>
          <w:szCs w:val="84"/>
          <w:highlight w:val="none"/>
          <w:lang w:val="zh-CN"/>
        </w:rPr>
        <w:t>投</w:t>
      </w:r>
    </w:p>
    <w:p w14:paraId="5DB09ACD">
      <w:pPr>
        <w:shd w:val="clear"/>
        <w:autoSpaceDE w:val="0"/>
        <w:autoSpaceDN w:val="0"/>
        <w:adjustRightInd w:val="0"/>
        <w:spacing w:line="360" w:lineRule="auto"/>
        <w:jc w:val="center"/>
        <w:rPr>
          <w:rFonts w:hint="eastAsia" w:ascii="宋体" w:hAnsi="宋体" w:cs="宋体"/>
          <w:color w:val="auto"/>
          <w:sz w:val="84"/>
          <w:szCs w:val="84"/>
          <w:highlight w:val="none"/>
          <w:lang w:val="zh-CN"/>
        </w:rPr>
      </w:pPr>
      <w:r>
        <w:rPr>
          <w:rFonts w:hint="eastAsia" w:ascii="宋体" w:hAnsi="宋体" w:cs="宋体"/>
          <w:color w:val="auto"/>
          <w:sz w:val="84"/>
          <w:szCs w:val="84"/>
          <w:highlight w:val="none"/>
          <w:lang w:val="zh-CN"/>
        </w:rPr>
        <w:t>标</w:t>
      </w:r>
    </w:p>
    <w:p w14:paraId="5B2FA461">
      <w:pPr>
        <w:shd w:val="clear"/>
        <w:autoSpaceDE w:val="0"/>
        <w:autoSpaceDN w:val="0"/>
        <w:adjustRightInd w:val="0"/>
        <w:spacing w:line="360" w:lineRule="auto"/>
        <w:jc w:val="center"/>
        <w:rPr>
          <w:rFonts w:hint="eastAsia" w:ascii="宋体" w:hAnsi="宋体" w:cs="宋体"/>
          <w:color w:val="auto"/>
          <w:sz w:val="84"/>
          <w:szCs w:val="84"/>
          <w:highlight w:val="none"/>
        </w:rPr>
      </w:pPr>
      <w:r>
        <w:rPr>
          <w:rFonts w:hint="eastAsia" w:ascii="宋体" w:hAnsi="宋体" w:cs="宋体"/>
          <w:color w:val="auto"/>
          <w:sz w:val="84"/>
          <w:szCs w:val="84"/>
          <w:highlight w:val="none"/>
          <w:lang w:val="zh-CN"/>
        </w:rPr>
        <w:t>文</w:t>
      </w:r>
    </w:p>
    <w:p w14:paraId="4DC20B62">
      <w:pPr>
        <w:shd w:val="clear"/>
        <w:autoSpaceDE w:val="0"/>
        <w:autoSpaceDN w:val="0"/>
        <w:adjustRightInd w:val="0"/>
        <w:spacing w:line="360" w:lineRule="auto"/>
        <w:jc w:val="center"/>
        <w:rPr>
          <w:rFonts w:hint="eastAsia" w:ascii="宋体" w:hAnsi="宋体" w:cs="宋体"/>
          <w:color w:val="auto"/>
          <w:sz w:val="84"/>
          <w:szCs w:val="84"/>
          <w:highlight w:val="none"/>
          <w:lang w:val="zh-CN"/>
        </w:rPr>
      </w:pPr>
      <w:r>
        <w:rPr>
          <w:rFonts w:hint="eastAsia" w:ascii="宋体" w:hAnsi="宋体" w:cs="宋体"/>
          <w:color w:val="auto"/>
          <w:sz w:val="84"/>
          <w:szCs w:val="84"/>
          <w:highlight w:val="none"/>
          <w:lang w:val="zh-CN"/>
        </w:rPr>
        <w:t>件</w:t>
      </w:r>
    </w:p>
    <w:p w14:paraId="283B88E4">
      <w:pPr>
        <w:shd w:val="clear"/>
        <w:autoSpaceDE w:val="0"/>
        <w:autoSpaceDN w:val="0"/>
        <w:adjustRightInd w:val="0"/>
        <w:spacing w:line="360" w:lineRule="auto"/>
        <w:jc w:val="center"/>
        <w:rPr>
          <w:rFonts w:hint="eastAsia" w:ascii="宋体" w:hAnsi="宋体" w:cs="宋体"/>
          <w:b/>
          <w:color w:val="auto"/>
          <w:spacing w:val="40"/>
          <w:sz w:val="28"/>
          <w:szCs w:val="28"/>
          <w:highlight w:val="none"/>
        </w:rPr>
      </w:pPr>
      <w:r>
        <w:rPr>
          <w:rFonts w:hint="eastAsia" w:ascii="宋体" w:hAnsi="宋体" w:cs="宋体"/>
          <w:color w:val="auto"/>
          <w:sz w:val="28"/>
          <w:szCs w:val="28"/>
          <w:highlight w:val="none"/>
          <w:lang w:val="zh-CN"/>
        </w:rPr>
        <w:t>（</w:t>
      </w:r>
      <w:r>
        <w:rPr>
          <w:rFonts w:hint="eastAsia" w:ascii="宋体" w:hAnsi="宋体" w:cs="宋体"/>
          <w:b/>
          <w:color w:val="auto"/>
          <w:spacing w:val="40"/>
          <w:sz w:val="28"/>
          <w:szCs w:val="28"/>
          <w:highlight w:val="none"/>
        </w:rPr>
        <w:t>资格证明文件）</w:t>
      </w:r>
    </w:p>
    <w:p w14:paraId="0EFF67F3">
      <w:pPr>
        <w:shd w:val="clear"/>
        <w:autoSpaceDE w:val="0"/>
        <w:autoSpaceDN w:val="0"/>
        <w:adjustRightInd w:val="0"/>
        <w:spacing w:line="360" w:lineRule="auto"/>
        <w:rPr>
          <w:rFonts w:hint="eastAsia" w:ascii="宋体" w:hAnsi="宋体" w:cs="宋体"/>
          <w:color w:val="auto"/>
          <w:sz w:val="36"/>
          <w:szCs w:val="36"/>
          <w:highlight w:val="none"/>
        </w:rPr>
      </w:pPr>
    </w:p>
    <w:p w14:paraId="774395F0">
      <w:pPr>
        <w:shd w:val="clear"/>
        <w:autoSpaceDE w:val="0"/>
        <w:autoSpaceDN w:val="0"/>
        <w:adjustRightInd w:val="0"/>
        <w:spacing w:line="360" w:lineRule="auto"/>
        <w:rPr>
          <w:rFonts w:hint="eastAsia" w:ascii="宋体" w:hAnsi="宋体" w:cs="宋体"/>
          <w:color w:val="auto"/>
          <w:sz w:val="36"/>
          <w:szCs w:val="36"/>
          <w:highlight w:val="none"/>
        </w:rPr>
      </w:pPr>
      <w:r>
        <w:rPr>
          <w:rFonts w:hint="eastAsia" w:ascii="宋体" w:hAnsi="宋体" w:cs="宋体"/>
          <w:color w:val="auto"/>
          <w:sz w:val="36"/>
          <w:szCs w:val="36"/>
          <w:highlight w:val="none"/>
        </w:rPr>
        <w:t>投标人全称</w:t>
      </w:r>
      <w:r>
        <w:rPr>
          <w:rFonts w:hint="eastAsia" w:ascii="宋体" w:hAnsi="宋体" w:cs="宋体"/>
          <w:color w:val="auto"/>
          <w:sz w:val="32"/>
          <w:szCs w:val="32"/>
          <w:highlight w:val="none"/>
        </w:rPr>
        <w:t>（加盖公章）</w:t>
      </w:r>
      <w:r>
        <w:rPr>
          <w:rFonts w:hint="eastAsia" w:ascii="宋体" w:hAnsi="宋体" w:cs="宋体"/>
          <w:color w:val="auto"/>
          <w:sz w:val="36"/>
          <w:szCs w:val="36"/>
          <w:highlight w:val="none"/>
        </w:rPr>
        <w:t>：</w:t>
      </w:r>
    </w:p>
    <w:p w14:paraId="76DC0F05">
      <w:pPr>
        <w:shd w:val="clear"/>
        <w:autoSpaceDE w:val="0"/>
        <w:autoSpaceDN w:val="0"/>
        <w:adjustRightInd w:val="0"/>
        <w:spacing w:line="360" w:lineRule="auto"/>
        <w:rPr>
          <w:rFonts w:hint="eastAsia" w:ascii="宋体" w:hAnsi="宋体" w:cs="宋体"/>
          <w:color w:val="auto"/>
          <w:sz w:val="36"/>
          <w:szCs w:val="36"/>
          <w:highlight w:val="none"/>
        </w:rPr>
      </w:pPr>
      <w:r>
        <w:rPr>
          <w:rFonts w:hint="eastAsia" w:ascii="宋体" w:hAnsi="宋体" w:cs="宋体"/>
          <w:color w:val="auto"/>
          <w:sz w:val="36"/>
          <w:szCs w:val="36"/>
          <w:highlight w:val="none"/>
        </w:rPr>
        <w:t>地址：</w:t>
      </w:r>
    </w:p>
    <w:p w14:paraId="73393650">
      <w:pPr>
        <w:shd w:val="clear"/>
        <w:autoSpaceDE w:val="0"/>
        <w:autoSpaceDN w:val="0"/>
        <w:adjustRightInd w:val="0"/>
        <w:spacing w:line="360" w:lineRule="auto"/>
        <w:rPr>
          <w:rFonts w:hint="eastAsia" w:ascii="宋体" w:hAnsi="宋体" w:cs="宋体"/>
          <w:color w:val="auto"/>
          <w:sz w:val="36"/>
          <w:szCs w:val="36"/>
          <w:highlight w:val="none"/>
        </w:rPr>
      </w:pPr>
      <w:r>
        <w:rPr>
          <w:rFonts w:hint="eastAsia" w:ascii="宋体" w:hAnsi="宋体" w:cs="宋体"/>
          <w:color w:val="auto"/>
          <w:sz w:val="36"/>
          <w:szCs w:val="36"/>
          <w:highlight w:val="none"/>
        </w:rPr>
        <w:t>时间：</w:t>
      </w:r>
    </w:p>
    <w:p w14:paraId="74E592DF">
      <w:pPr>
        <w:shd w:val="clear"/>
        <w:spacing w:line="360" w:lineRule="auto"/>
        <w:rPr>
          <w:rFonts w:hint="eastAsia" w:ascii="宋体" w:hAnsi="宋体" w:cs="宋体"/>
          <w:color w:val="auto"/>
          <w:sz w:val="24"/>
          <w:szCs w:val="32"/>
          <w:highlight w:val="none"/>
        </w:rPr>
      </w:pPr>
    </w:p>
    <w:p w14:paraId="26405FF0">
      <w:pPr>
        <w:shd w:val="clear"/>
        <w:spacing w:line="360" w:lineRule="auto"/>
        <w:rPr>
          <w:rFonts w:hint="eastAsia" w:ascii="宋体" w:hAnsi="宋体" w:cs="宋体"/>
          <w:color w:val="auto"/>
          <w:sz w:val="24"/>
          <w:szCs w:val="32"/>
          <w:highlight w:val="none"/>
        </w:rPr>
      </w:pPr>
    </w:p>
    <w:p w14:paraId="0EAD3576">
      <w:pPr>
        <w:shd w:val="clear"/>
        <w:spacing w:line="360" w:lineRule="auto"/>
        <w:jc w:val="center"/>
        <w:rPr>
          <w:rFonts w:hint="eastAsia" w:ascii="宋体" w:hAnsi="宋体" w:cs="宋体"/>
          <w:color w:val="auto"/>
          <w:sz w:val="24"/>
          <w:szCs w:val="32"/>
          <w:highlight w:val="none"/>
        </w:rPr>
      </w:pPr>
      <w:r>
        <w:rPr>
          <w:rFonts w:hint="eastAsia" w:ascii="宋体" w:hAnsi="宋体" w:cs="宋体"/>
          <w:b/>
          <w:bCs/>
          <w:color w:val="auto"/>
          <w:sz w:val="36"/>
          <w:szCs w:val="44"/>
          <w:highlight w:val="none"/>
        </w:rPr>
        <w:t>资格证明文件目录</w:t>
      </w:r>
    </w:p>
    <w:p w14:paraId="25E896F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（1）投标声明书（附件3）；</w:t>
      </w:r>
    </w:p>
    <w:p w14:paraId="66F4EDF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（2）授权委托书（法定代表人亲自办理投标事宜的，则无需提交）（附件4）；</w:t>
      </w:r>
    </w:p>
    <w:p w14:paraId="5D5A850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（3）法人或者其他组织的营业执照等证明文件，自然人的身份证明（附件5）；</w:t>
      </w:r>
    </w:p>
    <w:p w14:paraId="74AD7AD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（4）具有良好的商业信誉和健全的财务会计制度的承诺（附件6）；</w:t>
      </w:r>
    </w:p>
    <w:p w14:paraId="3E4F41A8">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（5）依法缴纳税收和社会保障资金的承诺（附件7）；</w:t>
      </w:r>
    </w:p>
    <w:p w14:paraId="0196AE11">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（6）参加政府采购活动前三年内，在经营活动中没有重大违法记录（附件8）；</w:t>
      </w:r>
    </w:p>
    <w:p w14:paraId="0CA0621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（7）具有履行合同所必需的设备和专业技术能力承诺函。</w:t>
      </w:r>
    </w:p>
    <w:p w14:paraId="7FE01B17">
      <w:pPr>
        <w:shd w:val="clear"/>
        <w:spacing w:line="360" w:lineRule="auto"/>
        <w:rPr>
          <w:rFonts w:hint="eastAsia" w:ascii="宋体" w:hAnsi="宋体" w:cs="宋体"/>
          <w:b/>
          <w:bCs/>
          <w:color w:val="auto"/>
          <w:sz w:val="28"/>
          <w:szCs w:val="36"/>
          <w:highlight w:val="none"/>
        </w:rPr>
      </w:pPr>
    </w:p>
    <w:p w14:paraId="537C4E08">
      <w:pPr>
        <w:shd w:val="clear"/>
        <w:spacing w:line="360" w:lineRule="auto"/>
        <w:rPr>
          <w:rFonts w:hint="eastAsia" w:ascii="宋体" w:hAnsi="宋体" w:cs="宋体"/>
          <w:b/>
          <w:bCs/>
          <w:color w:val="auto"/>
          <w:sz w:val="28"/>
          <w:szCs w:val="36"/>
          <w:highlight w:val="none"/>
        </w:rPr>
      </w:pPr>
    </w:p>
    <w:p w14:paraId="62CA7720">
      <w:pPr>
        <w:shd w:val="clear"/>
        <w:spacing w:line="360" w:lineRule="auto"/>
        <w:rPr>
          <w:rFonts w:hint="eastAsia" w:ascii="宋体" w:hAnsi="宋体" w:cs="宋体"/>
          <w:b/>
          <w:bCs/>
          <w:color w:val="auto"/>
          <w:sz w:val="28"/>
          <w:szCs w:val="36"/>
          <w:highlight w:val="none"/>
        </w:rPr>
      </w:pPr>
    </w:p>
    <w:p w14:paraId="0C48E7E3">
      <w:pPr>
        <w:shd w:val="clear"/>
        <w:spacing w:line="360" w:lineRule="auto"/>
        <w:rPr>
          <w:rFonts w:hint="eastAsia" w:ascii="宋体" w:hAnsi="宋体" w:cs="宋体"/>
          <w:b/>
          <w:bCs/>
          <w:color w:val="auto"/>
          <w:sz w:val="28"/>
          <w:szCs w:val="36"/>
          <w:highlight w:val="none"/>
        </w:rPr>
      </w:pPr>
    </w:p>
    <w:p w14:paraId="63F49A19">
      <w:pPr>
        <w:shd w:val="clear"/>
        <w:spacing w:line="360" w:lineRule="auto"/>
        <w:rPr>
          <w:rFonts w:hint="eastAsia" w:ascii="宋体" w:hAnsi="宋体" w:cs="宋体"/>
          <w:b/>
          <w:bCs/>
          <w:color w:val="auto"/>
          <w:sz w:val="28"/>
          <w:szCs w:val="36"/>
          <w:highlight w:val="none"/>
        </w:rPr>
      </w:pPr>
    </w:p>
    <w:p w14:paraId="39C8987C">
      <w:pPr>
        <w:shd w:val="clear"/>
        <w:spacing w:line="360" w:lineRule="auto"/>
        <w:rPr>
          <w:rFonts w:hint="eastAsia" w:ascii="宋体" w:hAnsi="宋体" w:cs="宋体"/>
          <w:b/>
          <w:bCs/>
          <w:color w:val="auto"/>
          <w:sz w:val="28"/>
          <w:szCs w:val="36"/>
          <w:highlight w:val="none"/>
        </w:rPr>
      </w:pPr>
    </w:p>
    <w:p w14:paraId="5F8E99FF">
      <w:pPr>
        <w:shd w:val="clear"/>
        <w:spacing w:line="360" w:lineRule="auto"/>
        <w:rPr>
          <w:rFonts w:hint="eastAsia" w:ascii="宋体" w:hAnsi="宋体" w:cs="宋体"/>
          <w:b/>
          <w:bCs/>
          <w:color w:val="auto"/>
          <w:sz w:val="28"/>
          <w:szCs w:val="36"/>
          <w:highlight w:val="none"/>
        </w:rPr>
      </w:pPr>
    </w:p>
    <w:p w14:paraId="7CB6BA61">
      <w:pPr>
        <w:shd w:val="clear"/>
        <w:spacing w:line="360" w:lineRule="auto"/>
        <w:rPr>
          <w:rFonts w:hint="eastAsia" w:ascii="宋体" w:hAnsi="宋体" w:cs="宋体"/>
          <w:b/>
          <w:bCs/>
          <w:color w:val="auto"/>
          <w:sz w:val="28"/>
          <w:szCs w:val="36"/>
          <w:highlight w:val="none"/>
        </w:rPr>
      </w:pPr>
    </w:p>
    <w:p w14:paraId="091906EA">
      <w:pPr>
        <w:shd w:val="clear"/>
        <w:spacing w:line="360" w:lineRule="auto"/>
        <w:rPr>
          <w:rFonts w:hint="eastAsia" w:ascii="宋体" w:hAnsi="宋体" w:cs="宋体"/>
          <w:b/>
          <w:bCs/>
          <w:color w:val="auto"/>
          <w:sz w:val="28"/>
          <w:szCs w:val="36"/>
          <w:highlight w:val="none"/>
        </w:rPr>
      </w:pPr>
    </w:p>
    <w:p w14:paraId="202AF33C">
      <w:pPr>
        <w:shd w:val="clear"/>
        <w:spacing w:line="360" w:lineRule="auto"/>
        <w:rPr>
          <w:rFonts w:hint="eastAsia" w:ascii="宋体" w:hAnsi="宋体" w:cs="宋体"/>
          <w:b/>
          <w:bCs/>
          <w:color w:val="auto"/>
          <w:sz w:val="28"/>
          <w:szCs w:val="36"/>
          <w:highlight w:val="none"/>
        </w:rPr>
      </w:pPr>
    </w:p>
    <w:p w14:paraId="2AC20F6D">
      <w:pPr>
        <w:shd w:val="clear"/>
        <w:spacing w:line="360" w:lineRule="auto"/>
        <w:rPr>
          <w:rFonts w:hint="eastAsia" w:ascii="宋体" w:hAnsi="宋体" w:cs="宋体"/>
          <w:b/>
          <w:bCs/>
          <w:color w:val="auto"/>
          <w:sz w:val="28"/>
          <w:szCs w:val="36"/>
          <w:highlight w:val="none"/>
        </w:rPr>
      </w:pPr>
    </w:p>
    <w:p w14:paraId="71D69F23">
      <w:pPr>
        <w:shd w:val="clear"/>
        <w:spacing w:line="360" w:lineRule="auto"/>
        <w:rPr>
          <w:rFonts w:hint="eastAsia" w:ascii="宋体" w:hAnsi="宋体" w:cs="宋体"/>
          <w:b/>
          <w:bCs/>
          <w:color w:val="auto"/>
          <w:sz w:val="28"/>
          <w:szCs w:val="36"/>
          <w:highlight w:val="none"/>
        </w:rPr>
      </w:pPr>
    </w:p>
    <w:p w14:paraId="51A3FA0D">
      <w:pPr>
        <w:shd w:val="clear"/>
        <w:spacing w:line="360" w:lineRule="auto"/>
        <w:rPr>
          <w:rFonts w:hint="eastAsia" w:ascii="宋体" w:hAnsi="宋体" w:cs="宋体"/>
          <w:b/>
          <w:bCs/>
          <w:color w:val="auto"/>
          <w:sz w:val="28"/>
          <w:szCs w:val="36"/>
          <w:highlight w:val="none"/>
        </w:rPr>
      </w:pPr>
    </w:p>
    <w:p w14:paraId="1ABC93C6">
      <w:pPr>
        <w:shd w:val="clear"/>
        <w:spacing w:line="360" w:lineRule="auto"/>
        <w:rPr>
          <w:rFonts w:hint="eastAsia" w:ascii="宋体" w:hAnsi="宋体" w:cs="宋体"/>
          <w:b/>
          <w:bCs/>
          <w:color w:val="auto"/>
          <w:sz w:val="28"/>
          <w:szCs w:val="36"/>
          <w:highlight w:val="none"/>
        </w:rPr>
      </w:pPr>
    </w:p>
    <w:p w14:paraId="4F7DDE9B">
      <w:pPr>
        <w:shd w:val="clear"/>
        <w:spacing w:line="360" w:lineRule="auto"/>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附件3</w:t>
      </w:r>
    </w:p>
    <w:p w14:paraId="2AD1CBAF">
      <w:pPr>
        <w:shd w:val="clear"/>
        <w:spacing w:line="360" w:lineRule="auto"/>
        <w:jc w:val="center"/>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投标声明书</w:t>
      </w:r>
    </w:p>
    <w:p w14:paraId="4D7FB737">
      <w:pPr>
        <w:shd w:val="clear"/>
        <w:spacing w:line="460" w:lineRule="exact"/>
        <w:rPr>
          <w:rFonts w:hint="eastAsia" w:ascii="宋体" w:hAnsi="宋体" w:cs="宋体"/>
          <w:color w:val="auto"/>
          <w:sz w:val="24"/>
          <w:szCs w:val="32"/>
          <w:highlight w:val="none"/>
        </w:rPr>
      </w:pPr>
      <w:r>
        <w:rPr>
          <w:rFonts w:hint="eastAsia" w:ascii="宋体" w:hAnsi="宋体" w:cs="宋体"/>
          <w:color w:val="auto"/>
          <w:sz w:val="24"/>
          <w:szCs w:val="32"/>
          <w:highlight w:val="none"/>
          <w:u w:val="single"/>
        </w:rPr>
        <w:t>浙江五石中正工程咨询有限公司</w:t>
      </w:r>
      <w:r>
        <w:rPr>
          <w:rFonts w:hint="eastAsia" w:ascii="宋体" w:hAnsi="宋体" w:cs="宋体"/>
          <w:color w:val="auto"/>
          <w:sz w:val="24"/>
          <w:szCs w:val="32"/>
          <w:highlight w:val="none"/>
        </w:rPr>
        <w:t>（采购代理机构名称）：</w:t>
      </w:r>
    </w:p>
    <w:p w14:paraId="37A48D20">
      <w:pPr>
        <w:shd w:val="clear"/>
        <w:spacing w:line="460" w:lineRule="exact"/>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u w:val="single"/>
        </w:rPr>
        <w:t>（供应商名称）</w:t>
      </w:r>
      <w:r>
        <w:rPr>
          <w:rFonts w:hint="eastAsia" w:ascii="宋体" w:hAnsi="宋体" w:cs="宋体"/>
          <w:color w:val="auto"/>
          <w:sz w:val="24"/>
          <w:szCs w:val="32"/>
          <w:highlight w:val="none"/>
        </w:rPr>
        <w:t>系中华人民共和国合法企业，经营地址</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rPr>
        <w:t>。</w:t>
      </w:r>
    </w:p>
    <w:p w14:paraId="3EC6DDCA">
      <w:pPr>
        <w:shd w:val="clear"/>
        <w:spacing w:line="460" w:lineRule="exact"/>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我（</w:t>
      </w:r>
      <w:r>
        <w:rPr>
          <w:rFonts w:hint="eastAsia" w:ascii="宋体" w:hAnsi="宋体" w:cs="宋体"/>
          <w:color w:val="auto"/>
          <w:sz w:val="24"/>
          <w:szCs w:val="32"/>
          <w:highlight w:val="none"/>
          <w:u w:val="single"/>
        </w:rPr>
        <w:t xml:space="preserve"> 姓名 </w:t>
      </w:r>
      <w:r>
        <w:rPr>
          <w:rFonts w:hint="eastAsia" w:ascii="宋体" w:hAnsi="宋体" w:cs="宋体"/>
          <w:color w:val="auto"/>
          <w:sz w:val="24"/>
          <w:szCs w:val="32"/>
          <w:highlight w:val="none"/>
        </w:rPr>
        <w:t>）系（</w:t>
      </w:r>
      <w:r>
        <w:rPr>
          <w:rFonts w:hint="eastAsia" w:ascii="宋体" w:hAnsi="宋体" w:cs="宋体"/>
          <w:color w:val="auto"/>
          <w:sz w:val="24"/>
          <w:szCs w:val="32"/>
          <w:highlight w:val="none"/>
          <w:u w:val="single"/>
        </w:rPr>
        <w:t xml:space="preserve"> 供应商名称 </w:t>
      </w:r>
      <w:r>
        <w:rPr>
          <w:rFonts w:hint="eastAsia" w:ascii="宋体" w:hAnsi="宋体" w:cs="宋体"/>
          <w:color w:val="auto"/>
          <w:sz w:val="24"/>
          <w:szCs w:val="32"/>
          <w:highlight w:val="none"/>
        </w:rPr>
        <w:t>）的法定代表人，我公司自愿参加贵方组织的（</w:t>
      </w:r>
      <w:r>
        <w:rPr>
          <w:rFonts w:hint="eastAsia" w:ascii="宋体" w:hAnsi="宋体" w:cs="宋体"/>
          <w:color w:val="auto"/>
          <w:sz w:val="24"/>
          <w:szCs w:val="32"/>
          <w:highlight w:val="none"/>
          <w:u w:val="single"/>
          <w:lang w:eastAsia="zh-CN"/>
        </w:rPr>
        <w:t>人力资源管理系统升级项目（二次）</w:t>
      </w:r>
      <w:r>
        <w:rPr>
          <w:rFonts w:hint="eastAsia" w:ascii="宋体" w:hAnsi="宋体" w:cs="宋体"/>
          <w:color w:val="auto"/>
          <w:sz w:val="24"/>
          <w:szCs w:val="32"/>
          <w:highlight w:val="none"/>
        </w:rPr>
        <w:t>）（编号为</w:t>
      </w:r>
      <w:r>
        <w:rPr>
          <w:rFonts w:hint="eastAsia" w:ascii="宋体" w:hAnsi="宋体" w:cs="宋体"/>
          <w:color w:val="auto"/>
          <w:sz w:val="24"/>
          <w:szCs w:val="32"/>
          <w:highlight w:val="none"/>
          <w:u w:val="single"/>
          <w:lang w:eastAsia="zh-CN"/>
        </w:rPr>
        <w:t>ZJWS2024-JJ436-1</w:t>
      </w:r>
      <w:r>
        <w:rPr>
          <w:rFonts w:hint="eastAsia" w:ascii="宋体" w:hAnsi="宋体" w:cs="宋体"/>
          <w:color w:val="auto"/>
          <w:sz w:val="24"/>
          <w:szCs w:val="32"/>
          <w:highlight w:val="none"/>
        </w:rPr>
        <w:t>）的公开招标，为此，我公司就本次投标有关事项郑重声明如下：</w:t>
      </w:r>
    </w:p>
    <w:p w14:paraId="6E376E10">
      <w:pPr>
        <w:shd w:val="clear"/>
        <w:spacing w:line="460" w:lineRule="exact"/>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1、我公司声明截止投标时间近三年以来：在参加政府采购活动过程中无重大违法记录（重大违法记录是指供应商因违法经营受到刑事处罚或者责令停产停业、吊销许可证或者执照、较大数额罚款等行政处罚）。</w:t>
      </w:r>
    </w:p>
    <w:p w14:paraId="5F865A4A">
      <w:pPr>
        <w:shd w:val="clear"/>
        <w:spacing w:line="460" w:lineRule="exact"/>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我公司在参与投标前已详细审查了招标文件和所有相关资料，我方完全明白并认为此招标文件没有倾向性，也没有存在排斥潜在供应商的内容，我方同意招标文件的相关条款，放弃对招标文件提出误解和质疑的一切权利。</w:t>
      </w:r>
    </w:p>
    <w:p w14:paraId="4042BA1A">
      <w:pPr>
        <w:shd w:val="clear"/>
        <w:spacing w:line="460" w:lineRule="exact"/>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不是采购人的附属机构；在获知本项目采购信息后，与采购人聘请的为此项目提供咨询服务的公司及其附属机构没有任何联系。</w:t>
      </w:r>
    </w:p>
    <w:p w14:paraId="5AEA3C87">
      <w:pPr>
        <w:shd w:val="clear"/>
        <w:spacing w:line="460" w:lineRule="exact"/>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保证，采购人在中华人民共和国境内使用我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lang w:val="af-ZA"/>
        </w:rPr>
        <w:t>投标</w:t>
      </w:r>
      <w:r>
        <w:rPr>
          <w:rFonts w:hint="eastAsia" w:ascii="宋体" w:hAnsi="宋体" w:cs="宋体"/>
          <w:color w:val="auto"/>
          <w:sz w:val="24"/>
          <w:szCs w:val="32"/>
          <w:highlight w:val="none"/>
        </w:rPr>
        <w:t>货物、资料、技术、服务或其任何一部分时，享有不受限制的无偿使用权，如有第三方向采购人提出侵犯其专利权、商标权或其它知识产权的主张，该责任由我方承担。我方的总报价已包含所有应向所有权人支付的专利权、商标权或其它知识产权的一切相关费用。</w:t>
      </w:r>
    </w:p>
    <w:p w14:paraId="6720F303">
      <w:pPr>
        <w:shd w:val="clear"/>
        <w:spacing w:line="460" w:lineRule="exact"/>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严格履行政府采购合同，不降低合同约定的产品质量和服务，不擅自变更、中止、终止合同，或拒绝履行合同义务；</w:t>
      </w:r>
    </w:p>
    <w:p w14:paraId="7617B079">
      <w:pPr>
        <w:shd w:val="clear"/>
        <w:spacing w:line="460" w:lineRule="exact"/>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6、以上事项如有虚假或隐瞒，我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愿意承担一切后果，并不再寻求任何旨在减轻或免除法律责任的辩解。</w:t>
      </w:r>
    </w:p>
    <w:p w14:paraId="05DA11DD">
      <w:pPr>
        <w:shd w:val="clear"/>
        <w:spacing w:line="460" w:lineRule="exact"/>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本单位若违反以上承诺，将无条件接受项目主管部门和有关监督管理部门的调查，并愿意承担取消中标资格及限制在本地区参与投标等一切法律责任。</w:t>
      </w:r>
    </w:p>
    <w:p w14:paraId="19EC0129">
      <w:pPr>
        <w:shd w:val="clear"/>
        <w:spacing w:line="460" w:lineRule="exact"/>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投标人名称（公章）：</w:t>
      </w:r>
    </w:p>
    <w:p w14:paraId="0DF54C60">
      <w:pPr>
        <w:shd w:val="clear"/>
        <w:spacing w:line="460" w:lineRule="exact"/>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法定代表人（</w:t>
      </w:r>
      <w:r>
        <w:rPr>
          <w:rFonts w:hint="eastAsia" w:ascii="宋体" w:hAnsi="宋体" w:cs="宋体"/>
          <w:color w:val="auto"/>
          <w:sz w:val="24"/>
          <w:szCs w:val="32"/>
          <w:highlight w:val="none"/>
        </w:rPr>
        <w:t>签字或盖章</w:t>
      </w:r>
      <w:r>
        <w:rPr>
          <w:rFonts w:hint="eastAsia" w:ascii="宋体" w:hAnsi="宋体" w:cs="宋体"/>
          <w:color w:val="auto"/>
          <w:sz w:val="24"/>
          <w:szCs w:val="32"/>
          <w:highlight w:val="none"/>
          <w:lang w:val="zh-CN"/>
        </w:rPr>
        <w:t>）或授权委托代理人（签字</w:t>
      </w:r>
      <w:r>
        <w:rPr>
          <w:rFonts w:hint="eastAsia" w:ascii="宋体" w:hAnsi="宋体" w:cs="宋体"/>
          <w:color w:val="auto"/>
          <w:sz w:val="24"/>
          <w:szCs w:val="32"/>
          <w:highlight w:val="none"/>
        </w:rPr>
        <w:t>或盖章</w:t>
      </w:r>
      <w:r>
        <w:rPr>
          <w:rFonts w:hint="eastAsia" w:ascii="宋体" w:hAnsi="宋体" w:cs="宋体"/>
          <w:color w:val="auto"/>
          <w:sz w:val="24"/>
          <w:szCs w:val="32"/>
          <w:highlight w:val="none"/>
          <w:lang w:val="zh-CN"/>
        </w:rPr>
        <w:t>）：</w:t>
      </w:r>
    </w:p>
    <w:p w14:paraId="167FC77C">
      <w:pPr>
        <w:shd w:val="clear"/>
        <w:spacing w:line="460" w:lineRule="exact"/>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日期：年月日</w:t>
      </w:r>
    </w:p>
    <w:p w14:paraId="3F1493E6">
      <w:pPr>
        <w:shd w:val="clear"/>
        <w:spacing w:line="360" w:lineRule="auto"/>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附件4</w:t>
      </w:r>
    </w:p>
    <w:p w14:paraId="137AACB5">
      <w:pPr>
        <w:shd w:val="clear"/>
        <w:spacing w:line="360" w:lineRule="auto"/>
        <w:jc w:val="center"/>
        <w:rPr>
          <w:rFonts w:hint="eastAsia" w:ascii="宋体" w:hAnsi="宋体" w:cs="宋体"/>
          <w:b/>
          <w:color w:val="auto"/>
          <w:sz w:val="28"/>
          <w:highlight w:val="none"/>
        </w:rPr>
      </w:pPr>
      <w:r>
        <w:rPr>
          <w:rFonts w:hint="eastAsia" w:ascii="宋体" w:hAnsi="宋体" w:cs="宋体"/>
          <w:b/>
          <w:color w:val="auto"/>
          <w:sz w:val="28"/>
          <w:highlight w:val="none"/>
        </w:rPr>
        <w:t>授权委托书</w:t>
      </w:r>
    </w:p>
    <w:p w14:paraId="64406089">
      <w:pPr>
        <w:shd w:val="clea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u w:val="single"/>
        </w:rPr>
        <w:t>浙江五石中正工程咨询有限公司</w:t>
      </w:r>
      <w:r>
        <w:rPr>
          <w:rFonts w:hint="eastAsia" w:ascii="宋体" w:hAnsi="宋体" w:cs="宋体"/>
          <w:color w:val="auto"/>
          <w:sz w:val="24"/>
          <w:highlight w:val="none"/>
        </w:rPr>
        <w:t>（采购代理机构名称）：</w:t>
      </w:r>
    </w:p>
    <w:p w14:paraId="14C45E3C">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u w:val="single"/>
        </w:rPr>
        <w:t>（投标人全称）</w:t>
      </w:r>
      <w:r>
        <w:rPr>
          <w:rFonts w:hint="eastAsia" w:ascii="宋体" w:hAnsi="宋体" w:cs="宋体"/>
          <w:color w:val="auto"/>
          <w:sz w:val="24"/>
          <w:highlight w:val="none"/>
        </w:rPr>
        <w:t>法定代表人（或营业执照中单位负责人）</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（法定代表人或营业执照中单位负责人姓名） </w:t>
      </w:r>
      <w:r>
        <w:rPr>
          <w:rFonts w:hint="eastAsia" w:ascii="宋体" w:hAnsi="宋体" w:cs="宋体"/>
          <w:color w:val="auto"/>
          <w:sz w:val="24"/>
          <w:highlight w:val="none"/>
        </w:rPr>
        <w:t>授权</w:t>
      </w:r>
      <w:r>
        <w:rPr>
          <w:rFonts w:hint="eastAsia" w:ascii="宋体" w:hAnsi="宋体" w:cs="宋体"/>
          <w:color w:val="auto"/>
          <w:sz w:val="24"/>
          <w:highlight w:val="none"/>
          <w:u w:val="single"/>
        </w:rPr>
        <w:t xml:space="preserve"> （授权委托代理人姓名） </w:t>
      </w:r>
      <w:r>
        <w:rPr>
          <w:rFonts w:hint="eastAsia" w:ascii="宋体" w:hAnsi="宋体" w:cs="宋体"/>
          <w:color w:val="auto"/>
          <w:sz w:val="24"/>
          <w:highlight w:val="none"/>
        </w:rPr>
        <w:t>为授权委托代理人，参加贵单位组织的</w:t>
      </w:r>
      <w:r>
        <w:rPr>
          <w:rFonts w:hint="eastAsia" w:ascii="宋体" w:hAnsi="宋体" w:cs="宋体"/>
          <w:color w:val="auto"/>
          <w:sz w:val="24"/>
          <w:highlight w:val="none"/>
          <w:u w:val="single"/>
          <w:lang w:eastAsia="zh-CN"/>
        </w:rPr>
        <w:t>人力资源管理系统升级项目（二次）</w:t>
      </w:r>
      <w:r>
        <w:rPr>
          <w:rFonts w:hint="eastAsia" w:ascii="宋体" w:hAnsi="宋体" w:cs="宋体"/>
          <w:color w:val="auto"/>
          <w:sz w:val="24"/>
          <w:highlight w:val="none"/>
        </w:rPr>
        <w:t>的采购活动，并代表我方全权办理针对上述项目的投标、开标、评标、签约等具体事务和签署相关文件。我方对授权委托代理人的签字事项负全部责任。</w:t>
      </w:r>
    </w:p>
    <w:p w14:paraId="4C5FDDF1">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在撤销授权的书面通知以前，本授权书一直有效。授权委托代理人在授权委托书有效期内签署的所有文件不因授权的撤销而失效。</w:t>
      </w:r>
    </w:p>
    <w:p w14:paraId="14D23E98">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授权委托代理人无转委托权，特此委托。</w:t>
      </w:r>
    </w:p>
    <w:p w14:paraId="60B8111A">
      <w:pPr>
        <w:shd w:val="clear"/>
        <w:spacing w:line="360" w:lineRule="auto"/>
        <w:ind w:firstLine="480" w:firstLineChars="200"/>
        <w:rPr>
          <w:rFonts w:hint="eastAsia" w:ascii="宋体" w:hAnsi="宋体" w:cs="宋体"/>
          <w:color w:val="auto"/>
          <w:sz w:val="24"/>
          <w:highlight w:val="none"/>
        </w:rPr>
      </w:pPr>
    </w:p>
    <w:p w14:paraId="10750204">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法定代表人签字或盖章：</w:t>
      </w:r>
    </w:p>
    <w:p w14:paraId="73DB18AF">
      <w:pPr>
        <w:shd w:val="clear"/>
        <w:spacing w:line="360" w:lineRule="auto"/>
        <w:ind w:firstLine="480" w:firstLineChars="200"/>
        <w:rPr>
          <w:rFonts w:hint="eastAsia" w:ascii="宋体" w:hAnsi="宋体" w:cs="宋体"/>
          <w:color w:val="auto"/>
          <w:sz w:val="24"/>
          <w:highlight w:val="none"/>
        </w:rPr>
      </w:pPr>
    </w:p>
    <w:p w14:paraId="374EEB7C">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投标人全称（公章）：                      </w:t>
      </w:r>
      <w:r>
        <w:rPr>
          <w:rFonts w:hint="eastAsia" w:ascii="宋体" w:hAnsi="宋体" w:cs="宋体"/>
          <w:color w:val="auto"/>
          <w:sz w:val="24"/>
          <w:highlight w:val="none"/>
          <w:lang w:val="zh-CN"/>
        </w:rPr>
        <w:t>日期：年月日</w:t>
      </w:r>
    </w:p>
    <w:p w14:paraId="69ACBBE7">
      <w:pPr>
        <w:shd w:val="clear"/>
        <w:spacing w:line="360" w:lineRule="auto"/>
        <w:ind w:firstLine="480" w:firstLineChars="200"/>
        <w:rPr>
          <w:rFonts w:hint="eastAsia" w:ascii="宋体" w:hAnsi="宋体" w:cs="宋体"/>
          <w:color w:val="auto"/>
          <w:sz w:val="24"/>
          <w:highlight w:val="none"/>
        </w:rPr>
      </w:pPr>
    </w:p>
    <w:p w14:paraId="22B16E2D">
      <w:pPr>
        <w:shd w:val="clea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附：</w:t>
      </w:r>
    </w:p>
    <w:tbl>
      <w:tblPr>
        <w:tblStyle w:val="2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5F46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0BDC8559">
            <w:pPr>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法定代表身份证复印件粘帖处</w:t>
            </w:r>
          </w:p>
        </w:tc>
      </w:tr>
    </w:tbl>
    <w:p w14:paraId="2C54D177">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法定代表人姓名：</w:t>
      </w:r>
    </w:p>
    <w:p w14:paraId="4CF48A9C">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传真：</w:t>
      </w:r>
    </w:p>
    <w:p w14:paraId="5C766E58">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手机：</w:t>
      </w:r>
    </w:p>
    <w:p w14:paraId="4674007B">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详细通讯地址：</w:t>
      </w:r>
    </w:p>
    <w:p w14:paraId="6B4358B4">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邮政编码：</w:t>
      </w:r>
    </w:p>
    <w:p w14:paraId="11AEF26C">
      <w:pPr>
        <w:shd w:val="clear"/>
        <w:spacing w:line="360" w:lineRule="auto"/>
        <w:rPr>
          <w:rFonts w:hint="eastAsia" w:ascii="宋体" w:hAnsi="宋体" w:cs="宋体"/>
          <w:b/>
          <w:color w:val="auto"/>
          <w:sz w:val="24"/>
          <w:highlight w:val="none"/>
        </w:rPr>
      </w:pPr>
    </w:p>
    <w:tbl>
      <w:tblPr>
        <w:tblStyle w:val="2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5601C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7F96C49D">
            <w:pPr>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授权委托代理人身份证复印件粘帖处</w:t>
            </w:r>
          </w:p>
        </w:tc>
      </w:tr>
    </w:tbl>
    <w:p w14:paraId="1C72F9BC">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授权委托代理人姓名：</w:t>
      </w:r>
    </w:p>
    <w:p w14:paraId="01E35500">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职务：</w:t>
      </w:r>
    </w:p>
    <w:p w14:paraId="0940A138">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传真：</w:t>
      </w:r>
    </w:p>
    <w:p w14:paraId="0F758803">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手机：</w:t>
      </w:r>
    </w:p>
    <w:p w14:paraId="2AEF9B12">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详细通讯地址：</w:t>
      </w:r>
    </w:p>
    <w:p w14:paraId="451CD0C7">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邮政编码：</w:t>
      </w:r>
    </w:p>
    <w:p w14:paraId="7D822C35">
      <w:pPr>
        <w:shd w:val="clear"/>
        <w:spacing w:line="360" w:lineRule="auto"/>
        <w:rPr>
          <w:rFonts w:hint="eastAsia" w:ascii="宋体" w:hAnsi="宋体" w:cs="宋体"/>
          <w:b/>
          <w:color w:val="auto"/>
          <w:sz w:val="28"/>
          <w:highlight w:val="none"/>
        </w:rPr>
      </w:pPr>
      <w:r>
        <w:rPr>
          <w:rFonts w:hint="eastAsia" w:ascii="宋体" w:hAnsi="宋体" w:cs="宋体"/>
          <w:b/>
          <w:color w:val="auto"/>
          <w:sz w:val="28"/>
          <w:highlight w:val="none"/>
        </w:rPr>
        <w:t>附件5</w:t>
      </w:r>
    </w:p>
    <w:p w14:paraId="05E6E18C">
      <w:pPr>
        <w:shd w:val="clear"/>
        <w:spacing w:line="360" w:lineRule="auto"/>
        <w:jc w:val="center"/>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有效的法人或者其他组织的营业执照等证明文件（复印件），自然人的身份证明</w:t>
      </w:r>
    </w:p>
    <w:p w14:paraId="056767BE">
      <w:pPr>
        <w:shd w:val="clear"/>
        <w:spacing w:line="360" w:lineRule="auto"/>
        <w:rPr>
          <w:rFonts w:hint="eastAsia" w:ascii="宋体" w:hAnsi="宋体" w:cs="宋体"/>
          <w:color w:val="auto"/>
          <w:sz w:val="24"/>
          <w:szCs w:val="32"/>
          <w:highlight w:val="none"/>
        </w:rPr>
      </w:pPr>
    </w:p>
    <w:p w14:paraId="6B039A1F">
      <w:pPr>
        <w:shd w:val="clear"/>
        <w:spacing w:line="360" w:lineRule="auto"/>
        <w:rPr>
          <w:rFonts w:hint="eastAsia" w:ascii="宋体" w:hAnsi="宋体" w:cs="宋体"/>
          <w:color w:val="auto"/>
          <w:sz w:val="24"/>
          <w:szCs w:val="32"/>
          <w:highlight w:val="none"/>
        </w:rPr>
      </w:pPr>
    </w:p>
    <w:p w14:paraId="043C76A6">
      <w:pPr>
        <w:shd w:val="clear"/>
        <w:spacing w:line="360" w:lineRule="auto"/>
        <w:rPr>
          <w:rFonts w:hint="eastAsia" w:ascii="宋体" w:hAnsi="宋体" w:cs="宋体"/>
          <w:color w:val="auto"/>
          <w:sz w:val="24"/>
          <w:szCs w:val="32"/>
          <w:highlight w:val="none"/>
        </w:rPr>
      </w:pPr>
    </w:p>
    <w:p w14:paraId="1EA07AA0">
      <w:pPr>
        <w:shd w:val="clear"/>
        <w:spacing w:line="360" w:lineRule="auto"/>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说明：</w:t>
      </w:r>
    </w:p>
    <w:p w14:paraId="0D8D0812">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1.如供应商是企业（包括合伙企业），提供在工商部门注册的有效“企业法人营业执照”或“营业执照”；</w:t>
      </w:r>
    </w:p>
    <w:p w14:paraId="767B5A00">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2.如供应商是事业单位，提供有效的“事业单位法人证书”；</w:t>
      </w:r>
    </w:p>
    <w:p w14:paraId="7538AC6E">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3.如供应商是非企业专业服务机构的，提供执业许可证等证明文件；</w:t>
      </w:r>
    </w:p>
    <w:p w14:paraId="1A3BF0AC">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4.如供应商是个体工商户，提供有效的“个体工商户营业执照”；</w:t>
      </w:r>
    </w:p>
    <w:p w14:paraId="088CC1F1">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5.如供应商是自然人，提供有效的自然人身份证明。</w:t>
      </w:r>
    </w:p>
    <w:p w14:paraId="1AF8EAA8">
      <w:pPr>
        <w:shd w:val="clear"/>
        <w:spacing w:line="360" w:lineRule="auto"/>
        <w:rPr>
          <w:rFonts w:hint="eastAsia" w:ascii="宋体" w:hAnsi="宋体" w:cs="宋体"/>
          <w:color w:val="auto"/>
          <w:sz w:val="24"/>
          <w:szCs w:val="32"/>
          <w:highlight w:val="none"/>
        </w:rPr>
      </w:pPr>
    </w:p>
    <w:p w14:paraId="5A4EFA08">
      <w:pPr>
        <w:shd w:val="clear"/>
        <w:spacing w:line="360" w:lineRule="auto"/>
        <w:rPr>
          <w:rFonts w:hint="eastAsia" w:ascii="宋体" w:hAnsi="宋体" w:cs="宋体"/>
          <w:color w:val="auto"/>
          <w:sz w:val="24"/>
          <w:szCs w:val="32"/>
          <w:highlight w:val="none"/>
        </w:rPr>
      </w:pPr>
    </w:p>
    <w:p w14:paraId="22DAFE4B">
      <w:pPr>
        <w:shd w:val="clear"/>
        <w:spacing w:line="360" w:lineRule="auto"/>
        <w:rPr>
          <w:rFonts w:hint="eastAsia" w:ascii="宋体" w:hAnsi="宋体" w:cs="宋体"/>
          <w:color w:val="auto"/>
          <w:sz w:val="24"/>
          <w:szCs w:val="32"/>
          <w:highlight w:val="none"/>
        </w:rPr>
      </w:pPr>
    </w:p>
    <w:p w14:paraId="465A409D">
      <w:pPr>
        <w:shd w:val="clear"/>
        <w:spacing w:line="360" w:lineRule="auto"/>
        <w:rPr>
          <w:rFonts w:hint="eastAsia" w:ascii="宋体" w:hAnsi="宋体" w:cs="宋体"/>
          <w:color w:val="auto"/>
          <w:sz w:val="24"/>
          <w:szCs w:val="32"/>
          <w:highlight w:val="none"/>
        </w:rPr>
      </w:pPr>
    </w:p>
    <w:p w14:paraId="0F6D97D0">
      <w:pPr>
        <w:shd w:val="clear"/>
        <w:spacing w:line="360" w:lineRule="auto"/>
        <w:rPr>
          <w:rFonts w:hint="eastAsia" w:ascii="宋体" w:hAnsi="宋体" w:cs="宋体"/>
          <w:color w:val="auto"/>
          <w:sz w:val="24"/>
          <w:szCs w:val="32"/>
          <w:highlight w:val="none"/>
        </w:rPr>
      </w:pPr>
    </w:p>
    <w:p w14:paraId="7A65B2B1">
      <w:pPr>
        <w:shd w:val="clear"/>
        <w:spacing w:line="360" w:lineRule="auto"/>
        <w:rPr>
          <w:rFonts w:hint="eastAsia" w:ascii="宋体" w:hAnsi="宋体" w:cs="宋体"/>
          <w:color w:val="auto"/>
          <w:sz w:val="24"/>
          <w:szCs w:val="32"/>
          <w:highlight w:val="none"/>
        </w:rPr>
      </w:pPr>
    </w:p>
    <w:p w14:paraId="2A852FFB">
      <w:pPr>
        <w:shd w:val="clear"/>
        <w:spacing w:line="360" w:lineRule="auto"/>
        <w:rPr>
          <w:rFonts w:hint="eastAsia" w:ascii="宋体" w:hAnsi="宋体" w:cs="宋体"/>
          <w:color w:val="auto"/>
          <w:sz w:val="24"/>
          <w:szCs w:val="32"/>
          <w:highlight w:val="none"/>
        </w:rPr>
      </w:pPr>
    </w:p>
    <w:p w14:paraId="528E7771">
      <w:pPr>
        <w:shd w:val="clear"/>
        <w:spacing w:line="360" w:lineRule="auto"/>
        <w:rPr>
          <w:rFonts w:hint="eastAsia" w:ascii="宋体" w:hAnsi="宋体" w:cs="宋体"/>
          <w:color w:val="auto"/>
          <w:sz w:val="24"/>
          <w:szCs w:val="32"/>
          <w:highlight w:val="none"/>
        </w:rPr>
      </w:pPr>
    </w:p>
    <w:p w14:paraId="3E88F9ED">
      <w:pPr>
        <w:shd w:val="clear"/>
        <w:spacing w:line="360" w:lineRule="auto"/>
        <w:rPr>
          <w:rFonts w:hint="eastAsia" w:ascii="宋体" w:hAnsi="宋体" w:cs="宋体"/>
          <w:color w:val="auto"/>
          <w:sz w:val="24"/>
          <w:szCs w:val="32"/>
          <w:highlight w:val="none"/>
        </w:rPr>
      </w:pPr>
    </w:p>
    <w:p w14:paraId="27E8C4B4">
      <w:pPr>
        <w:shd w:val="clear"/>
        <w:spacing w:line="360" w:lineRule="auto"/>
        <w:rPr>
          <w:rFonts w:hint="eastAsia" w:ascii="宋体" w:hAnsi="宋体" w:cs="宋体"/>
          <w:color w:val="auto"/>
          <w:sz w:val="24"/>
          <w:szCs w:val="32"/>
          <w:highlight w:val="none"/>
        </w:rPr>
      </w:pPr>
    </w:p>
    <w:p w14:paraId="27CEEB6F">
      <w:pPr>
        <w:shd w:val="clear"/>
        <w:spacing w:line="360" w:lineRule="auto"/>
        <w:rPr>
          <w:rFonts w:hint="eastAsia" w:ascii="宋体" w:hAnsi="宋体" w:cs="宋体"/>
          <w:color w:val="auto"/>
          <w:sz w:val="24"/>
          <w:szCs w:val="32"/>
          <w:highlight w:val="none"/>
        </w:rPr>
      </w:pPr>
    </w:p>
    <w:p w14:paraId="482AC416">
      <w:pPr>
        <w:shd w:val="clear"/>
        <w:spacing w:line="360" w:lineRule="auto"/>
        <w:rPr>
          <w:rFonts w:hint="eastAsia" w:ascii="宋体" w:hAnsi="宋体" w:cs="宋体"/>
          <w:color w:val="auto"/>
          <w:sz w:val="24"/>
          <w:szCs w:val="32"/>
          <w:highlight w:val="none"/>
        </w:rPr>
      </w:pPr>
    </w:p>
    <w:p w14:paraId="2BB153C3">
      <w:pPr>
        <w:shd w:val="clear"/>
        <w:spacing w:line="360" w:lineRule="auto"/>
        <w:rPr>
          <w:rFonts w:hint="eastAsia" w:ascii="宋体" w:hAnsi="宋体" w:cs="宋体"/>
          <w:color w:val="auto"/>
          <w:sz w:val="24"/>
          <w:szCs w:val="32"/>
          <w:highlight w:val="none"/>
        </w:rPr>
      </w:pPr>
    </w:p>
    <w:p w14:paraId="4CE73C87">
      <w:pPr>
        <w:shd w:val="clear"/>
        <w:spacing w:line="360" w:lineRule="auto"/>
        <w:rPr>
          <w:rFonts w:hint="eastAsia" w:ascii="宋体" w:hAnsi="宋体" w:cs="宋体"/>
          <w:color w:val="auto"/>
          <w:sz w:val="24"/>
          <w:szCs w:val="32"/>
          <w:highlight w:val="none"/>
        </w:rPr>
      </w:pPr>
    </w:p>
    <w:p w14:paraId="5E09D4F8">
      <w:pPr>
        <w:shd w:val="clear"/>
        <w:spacing w:line="360" w:lineRule="auto"/>
        <w:rPr>
          <w:rFonts w:hint="eastAsia" w:ascii="宋体" w:hAnsi="宋体" w:cs="宋体"/>
          <w:color w:val="auto"/>
          <w:sz w:val="24"/>
          <w:szCs w:val="32"/>
          <w:highlight w:val="none"/>
        </w:rPr>
      </w:pPr>
    </w:p>
    <w:p w14:paraId="3A3C0456">
      <w:pPr>
        <w:shd w:val="clear"/>
        <w:spacing w:line="360" w:lineRule="auto"/>
        <w:rPr>
          <w:rFonts w:hint="eastAsia" w:ascii="宋体" w:hAnsi="宋体" w:cs="宋体"/>
          <w:b/>
          <w:color w:val="auto"/>
          <w:sz w:val="28"/>
          <w:highlight w:val="none"/>
        </w:rPr>
      </w:pPr>
      <w:r>
        <w:rPr>
          <w:rFonts w:hint="eastAsia" w:ascii="宋体" w:hAnsi="宋体" w:cs="宋体"/>
          <w:b/>
          <w:color w:val="auto"/>
          <w:sz w:val="28"/>
          <w:highlight w:val="none"/>
        </w:rPr>
        <w:t>附件6</w:t>
      </w:r>
    </w:p>
    <w:p w14:paraId="2B7F33B5">
      <w:pPr>
        <w:shd w:val="clear"/>
        <w:spacing w:line="360" w:lineRule="auto"/>
        <w:jc w:val="center"/>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具备健全的财务会计制度的承诺函</w:t>
      </w:r>
    </w:p>
    <w:p w14:paraId="49EF5FC6">
      <w:pPr>
        <w:shd w:val="clear"/>
        <w:spacing w:line="360" w:lineRule="auto"/>
        <w:rPr>
          <w:rFonts w:hint="eastAsia" w:ascii="宋体" w:hAnsi="宋体" w:cs="宋体"/>
          <w:color w:val="auto"/>
          <w:sz w:val="24"/>
          <w:szCs w:val="32"/>
          <w:highlight w:val="none"/>
        </w:rPr>
      </w:pPr>
    </w:p>
    <w:p w14:paraId="7F3A1188">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致：</w:t>
      </w:r>
      <w:r>
        <w:rPr>
          <w:rFonts w:hint="eastAsia" w:ascii="宋体" w:hAnsi="宋体" w:cs="宋体"/>
          <w:color w:val="auto"/>
          <w:sz w:val="24"/>
          <w:szCs w:val="32"/>
          <w:highlight w:val="none"/>
          <w:u w:val="single"/>
        </w:rPr>
        <w:t>台州恩泽医疗中心（集团）、浙江五石中正工程咨询有限公司</w:t>
      </w:r>
    </w:p>
    <w:p w14:paraId="71BF901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我公司参加</w:t>
      </w:r>
      <w:r>
        <w:rPr>
          <w:rFonts w:hint="eastAsia" w:ascii="宋体" w:hAnsi="宋体" w:cs="宋体"/>
          <w:color w:val="auto"/>
          <w:sz w:val="24"/>
          <w:szCs w:val="32"/>
          <w:highlight w:val="none"/>
          <w:u w:val="single"/>
          <w:lang w:eastAsia="zh-CN"/>
        </w:rPr>
        <w:t>人力资源管理系统升级项目（二次）</w:t>
      </w:r>
      <w:r>
        <w:rPr>
          <w:rFonts w:hint="eastAsia" w:ascii="宋体" w:hAnsi="宋体" w:cs="宋体"/>
          <w:color w:val="auto"/>
          <w:sz w:val="24"/>
          <w:szCs w:val="32"/>
          <w:highlight w:val="none"/>
        </w:rPr>
        <w:t>（编号为</w:t>
      </w:r>
      <w:r>
        <w:rPr>
          <w:rFonts w:hint="eastAsia" w:ascii="宋体" w:hAnsi="宋体" w:cs="宋体"/>
          <w:color w:val="auto"/>
          <w:sz w:val="24"/>
          <w:szCs w:val="32"/>
          <w:highlight w:val="none"/>
          <w:u w:val="single"/>
          <w:lang w:eastAsia="zh-CN"/>
        </w:rPr>
        <w:t>ZJWS2024-JJ436-1</w:t>
      </w:r>
      <w:r>
        <w:rPr>
          <w:rFonts w:hint="eastAsia" w:ascii="宋体" w:hAnsi="宋体" w:cs="宋体"/>
          <w:color w:val="auto"/>
          <w:sz w:val="24"/>
          <w:szCs w:val="32"/>
          <w:highlight w:val="none"/>
        </w:rPr>
        <w:t>）的投标活动，作如下承诺：</w:t>
      </w:r>
    </w:p>
    <w:p w14:paraId="5D0845D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我公司在参加本项目政府采购活动前，没有处于被责令停产、财产被接管、冻结或破产状态，具有足够的流动资金，有能力履行合同；我公司具有良好的商业信誉和健全的财务会计制度。</w:t>
      </w:r>
    </w:p>
    <w:p w14:paraId="216BD71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如违反以上承诺，本公司愿承担一切法律责任。</w:t>
      </w:r>
    </w:p>
    <w:p w14:paraId="41287277">
      <w:pPr>
        <w:shd w:val="clear"/>
        <w:spacing w:line="360" w:lineRule="auto"/>
        <w:rPr>
          <w:rFonts w:hint="eastAsia" w:ascii="宋体" w:hAnsi="宋体" w:cs="宋体"/>
          <w:color w:val="auto"/>
          <w:sz w:val="24"/>
          <w:szCs w:val="32"/>
          <w:highlight w:val="none"/>
          <w:u w:val="single"/>
          <w:lang w:val="zh-CN"/>
        </w:rPr>
      </w:pPr>
    </w:p>
    <w:p w14:paraId="47BC0D88">
      <w:pPr>
        <w:shd w:val="clear"/>
        <w:spacing w:line="360" w:lineRule="auto"/>
        <w:rPr>
          <w:rFonts w:hint="eastAsia" w:ascii="宋体" w:hAnsi="宋体" w:cs="宋体"/>
          <w:color w:val="auto"/>
          <w:sz w:val="24"/>
          <w:szCs w:val="32"/>
          <w:highlight w:val="none"/>
          <w:lang w:val="zh-CN"/>
        </w:rPr>
      </w:pPr>
    </w:p>
    <w:p w14:paraId="145FED21">
      <w:pPr>
        <w:shd w:val="clear"/>
        <w:spacing w:line="360" w:lineRule="auto"/>
        <w:rPr>
          <w:rFonts w:hint="eastAsia" w:ascii="宋体" w:hAnsi="宋体" w:cs="宋体"/>
          <w:color w:val="auto"/>
          <w:sz w:val="24"/>
          <w:szCs w:val="32"/>
          <w:highlight w:val="none"/>
          <w:lang w:val="zh-CN"/>
        </w:rPr>
      </w:pPr>
    </w:p>
    <w:p w14:paraId="3F18D2D8">
      <w:pPr>
        <w:shd w:val="clear"/>
        <w:spacing w:line="360" w:lineRule="auto"/>
        <w:rPr>
          <w:rFonts w:hint="eastAsia" w:ascii="宋体" w:hAnsi="宋体" w:cs="宋体"/>
          <w:color w:val="auto"/>
          <w:sz w:val="24"/>
          <w:szCs w:val="32"/>
          <w:highlight w:val="none"/>
          <w:lang w:val="zh-CN"/>
        </w:rPr>
      </w:pPr>
    </w:p>
    <w:p w14:paraId="365D89BA">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投标人名称（公章）：             </w:t>
      </w:r>
    </w:p>
    <w:p w14:paraId="3D797591">
      <w:pPr>
        <w:shd w:val="clear"/>
        <w:spacing w:line="360" w:lineRule="auto"/>
        <w:rPr>
          <w:rFonts w:hint="eastAsia" w:ascii="宋体" w:hAnsi="宋体" w:cs="宋体"/>
          <w:color w:val="auto"/>
          <w:sz w:val="24"/>
          <w:szCs w:val="32"/>
          <w:highlight w:val="none"/>
        </w:rPr>
      </w:pPr>
    </w:p>
    <w:p w14:paraId="77A02313">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法定代表人（签字或盖章）或授权委托代理人（签字或盖章）：</w:t>
      </w:r>
    </w:p>
    <w:p w14:paraId="556E8337">
      <w:pPr>
        <w:shd w:val="clear"/>
        <w:spacing w:line="360" w:lineRule="auto"/>
        <w:rPr>
          <w:rFonts w:hint="eastAsia" w:ascii="宋体" w:hAnsi="宋体" w:cs="宋体"/>
          <w:color w:val="auto"/>
          <w:sz w:val="24"/>
          <w:szCs w:val="32"/>
          <w:highlight w:val="none"/>
        </w:rPr>
      </w:pPr>
    </w:p>
    <w:p w14:paraId="0BACC3CE">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日期：     </w:t>
      </w:r>
      <w:r>
        <w:rPr>
          <w:rFonts w:hint="eastAsia" w:ascii="宋体" w:hAnsi="宋体" w:cs="宋体"/>
          <w:color w:val="auto"/>
          <w:sz w:val="24"/>
          <w:szCs w:val="32"/>
          <w:highlight w:val="none"/>
          <w:lang w:val="zh-CN"/>
        </w:rPr>
        <w:t>年月日</w:t>
      </w:r>
    </w:p>
    <w:p w14:paraId="7DE05BBF">
      <w:pPr>
        <w:shd w:val="clear"/>
        <w:spacing w:line="360" w:lineRule="auto"/>
        <w:rPr>
          <w:rFonts w:hint="eastAsia" w:ascii="宋体" w:hAnsi="宋体" w:cs="宋体"/>
          <w:color w:val="auto"/>
          <w:sz w:val="24"/>
          <w:szCs w:val="32"/>
          <w:highlight w:val="none"/>
        </w:rPr>
      </w:pPr>
    </w:p>
    <w:p w14:paraId="232CAB25">
      <w:pPr>
        <w:shd w:val="clear"/>
        <w:spacing w:line="360" w:lineRule="auto"/>
        <w:rPr>
          <w:rFonts w:hint="eastAsia" w:ascii="宋体" w:hAnsi="宋体" w:cs="宋体"/>
          <w:color w:val="auto"/>
          <w:sz w:val="24"/>
          <w:szCs w:val="32"/>
          <w:highlight w:val="none"/>
        </w:rPr>
      </w:pPr>
    </w:p>
    <w:p w14:paraId="03AE6E8E">
      <w:pPr>
        <w:shd w:val="clear"/>
        <w:spacing w:line="360" w:lineRule="auto"/>
        <w:rPr>
          <w:rFonts w:hint="eastAsia" w:ascii="宋体" w:hAnsi="宋体" w:cs="宋体"/>
          <w:color w:val="auto"/>
          <w:sz w:val="24"/>
          <w:szCs w:val="32"/>
          <w:highlight w:val="none"/>
        </w:rPr>
      </w:pPr>
    </w:p>
    <w:p w14:paraId="55D3F555">
      <w:pPr>
        <w:shd w:val="clear"/>
        <w:spacing w:line="360" w:lineRule="auto"/>
        <w:rPr>
          <w:rFonts w:hint="eastAsia" w:ascii="宋体" w:hAnsi="宋体" w:cs="宋体"/>
          <w:color w:val="auto"/>
          <w:sz w:val="24"/>
          <w:szCs w:val="32"/>
          <w:highlight w:val="none"/>
        </w:rPr>
      </w:pPr>
    </w:p>
    <w:p w14:paraId="3F779D1D">
      <w:pPr>
        <w:shd w:val="clear"/>
        <w:spacing w:line="360" w:lineRule="auto"/>
        <w:rPr>
          <w:rFonts w:hint="eastAsia" w:ascii="宋体" w:hAnsi="宋体" w:cs="宋体"/>
          <w:color w:val="auto"/>
          <w:sz w:val="24"/>
          <w:szCs w:val="32"/>
          <w:highlight w:val="none"/>
        </w:rPr>
      </w:pPr>
    </w:p>
    <w:p w14:paraId="6AD33634">
      <w:pPr>
        <w:shd w:val="clear"/>
        <w:spacing w:line="360" w:lineRule="auto"/>
        <w:rPr>
          <w:rFonts w:hint="eastAsia" w:ascii="宋体" w:hAnsi="宋体" w:cs="宋体"/>
          <w:color w:val="auto"/>
          <w:sz w:val="24"/>
          <w:szCs w:val="32"/>
          <w:highlight w:val="none"/>
        </w:rPr>
      </w:pPr>
    </w:p>
    <w:p w14:paraId="43D34C78">
      <w:pPr>
        <w:shd w:val="clear"/>
        <w:spacing w:line="360" w:lineRule="auto"/>
        <w:rPr>
          <w:rFonts w:hint="eastAsia" w:ascii="宋体" w:hAnsi="宋体" w:cs="宋体"/>
          <w:color w:val="auto"/>
          <w:sz w:val="24"/>
          <w:szCs w:val="32"/>
          <w:highlight w:val="none"/>
        </w:rPr>
      </w:pPr>
    </w:p>
    <w:p w14:paraId="1C2980DF">
      <w:pPr>
        <w:shd w:val="clear"/>
        <w:spacing w:line="360" w:lineRule="auto"/>
        <w:rPr>
          <w:rFonts w:hint="eastAsia" w:ascii="宋体" w:hAnsi="宋体" w:cs="宋体"/>
          <w:color w:val="auto"/>
          <w:sz w:val="24"/>
          <w:szCs w:val="32"/>
          <w:highlight w:val="none"/>
        </w:rPr>
      </w:pPr>
    </w:p>
    <w:p w14:paraId="7F41A65A">
      <w:pPr>
        <w:shd w:val="clear"/>
        <w:spacing w:line="360" w:lineRule="auto"/>
        <w:rPr>
          <w:rFonts w:hint="eastAsia" w:ascii="宋体" w:hAnsi="宋体" w:cs="宋体"/>
          <w:color w:val="auto"/>
          <w:sz w:val="24"/>
          <w:szCs w:val="32"/>
          <w:highlight w:val="none"/>
        </w:rPr>
      </w:pPr>
    </w:p>
    <w:p w14:paraId="1497C581">
      <w:pPr>
        <w:shd w:val="clear"/>
        <w:spacing w:line="360" w:lineRule="auto"/>
        <w:rPr>
          <w:rFonts w:hint="eastAsia" w:ascii="宋体" w:hAnsi="宋体" w:cs="宋体"/>
          <w:color w:val="auto"/>
          <w:sz w:val="24"/>
          <w:szCs w:val="32"/>
          <w:highlight w:val="none"/>
        </w:rPr>
      </w:pPr>
    </w:p>
    <w:p w14:paraId="1D80B49E">
      <w:pPr>
        <w:shd w:val="clear"/>
        <w:spacing w:line="360" w:lineRule="auto"/>
        <w:rPr>
          <w:rFonts w:hint="eastAsia" w:ascii="宋体" w:hAnsi="宋体" w:cs="宋体"/>
          <w:b/>
          <w:color w:val="auto"/>
          <w:sz w:val="28"/>
          <w:highlight w:val="none"/>
        </w:rPr>
      </w:pPr>
      <w:r>
        <w:rPr>
          <w:rFonts w:hint="eastAsia" w:ascii="宋体" w:hAnsi="宋体" w:cs="宋体"/>
          <w:b/>
          <w:color w:val="auto"/>
          <w:sz w:val="28"/>
          <w:highlight w:val="none"/>
        </w:rPr>
        <w:t>附件7</w:t>
      </w:r>
    </w:p>
    <w:p w14:paraId="6D9DC133">
      <w:pPr>
        <w:shd w:val="clear"/>
        <w:spacing w:line="360" w:lineRule="auto"/>
        <w:rPr>
          <w:rFonts w:hint="eastAsia" w:ascii="宋体" w:hAnsi="宋体" w:cs="宋体"/>
          <w:color w:val="auto"/>
          <w:sz w:val="24"/>
          <w:szCs w:val="32"/>
          <w:highlight w:val="none"/>
        </w:rPr>
      </w:pPr>
    </w:p>
    <w:p w14:paraId="5809BD62">
      <w:pPr>
        <w:shd w:val="clear"/>
        <w:spacing w:line="360" w:lineRule="auto"/>
        <w:jc w:val="center"/>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无税收缴纳、社会保障等方面的失信记录的承诺函</w:t>
      </w:r>
    </w:p>
    <w:p w14:paraId="08B33C2F">
      <w:pPr>
        <w:shd w:val="clear"/>
        <w:spacing w:line="360" w:lineRule="auto"/>
        <w:rPr>
          <w:rFonts w:hint="eastAsia" w:ascii="宋体" w:hAnsi="宋体" w:cs="宋体"/>
          <w:color w:val="auto"/>
          <w:sz w:val="24"/>
          <w:szCs w:val="32"/>
          <w:highlight w:val="none"/>
        </w:rPr>
      </w:pPr>
    </w:p>
    <w:p w14:paraId="5F1899E9">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致：</w:t>
      </w:r>
      <w:r>
        <w:rPr>
          <w:rFonts w:hint="eastAsia" w:ascii="宋体" w:hAnsi="宋体" w:cs="宋体"/>
          <w:color w:val="auto"/>
          <w:sz w:val="24"/>
          <w:szCs w:val="32"/>
          <w:highlight w:val="none"/>
          <w:u w:val="single"/>
        </w:rPr>
        <w:t>台州恩泽医疗中心（集团）、浙江五石中正工程咨询有限公司</w:t>
      </w:r>
    </w:p>
    <w:p w14:paraId="4DD55A6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我公司参加</w:t>
      </w:r>
      <w:r>
        <w:rPr>
          <w:rFonts w:hint="eastAsia" w:ascii="宋体" w:hAnsi="宋体" w:cs="宋体"/>
          <w:color w:val="auto"/>
          <w:sz w:val="24"/>
          <w:szCs w:val="32"/>
          <w:highlight w:val="none"/>
          <w:u w:val="single"/>
          <w:lang w:eastAsia="zh-CN"/>
        </w:rPr>
        <w:t>人力资源管理系统升级项目（二次）</w:t>
      </w:r>
      <w:r>
        <w:rPr>
          <w:rFonts w:hint="eastAsia" w:ascii="宋体" w:hAnsi="宋体" w:cs="宋体"/>
          <w:color w:val="auto"/>
          <w:sz w:val="24"/>
          <w:szCs w:val="32"/>
          <w:highlight w:val="none"/>
        </w:rPr>
        <w:t>（编号为</w:t>
      </w:r>
      <w:r>
        <w:rPr>
          <w:rFonts w:hint="eastAsia" w:ascii="宋体" w:hAnsi="宋体" w:cs="宋体"/>
          <w:color w:val="auto"/>
          <w:sz w:val="24"/>
          <w:szCs w:val="32"/>
          <w:highlight w:val="none"/>
          <w:u w:val="single"/>
          <w:lang w:eastAsia="zh-CN"/>
        </w:rPr>
        <w:t>ZJWS2024-JJ436-1</w:t>
      </w:r>
      <w:r>
        <w:rPr>
          <w:rFonts w:hint="eastAsia" w:ascii="宋体" w:hAnsi="宋体" w:cs="宋体"/>
          <w:color w:val="auto"/>
          <w:sz w:val="24"/>
          <w:szCs w:val="32"/>
          <w:highlight w:val="none"/>
        </w:rPr>
        <w:t>）的投标活动，作如下承诺：</w:t>
      </w:r>
    </w:p>
    <w:p w14:paraId="0CF93A2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我公司在参加本项目政府采购活动前，符合参与政府采购活动的资格条件，有依法缴纳税收（享受免税政策的则无欠税）和社会保障资金的良好记录，不存在税收缴纳、社会保障等方面的失信记录。</w:t>
      </w:r>
    </w:p>
    <w:p w14:paraId="503951E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如违反以上承诺，本公司愿承担一切法律责任。</w:t>
      </w:r>
    </w:p>
    <w:p w14:paraId="42089D75">
      <w:pPr>
        <w:shd w:val="clear"/>
        <w:spacing w:line="360" w:lineRule="auto"/>
        <w:rPr>
          <w:rFonts w:hint="eastAsia" w:ascii="宋体" w:hAnsi="宋体" w:cs="宋体"/>
          <w:color w:val="auto"/>
          <w:sz w:val="24"/>
          <w:szCs w:val="32"/>
          <w:highlight w:val="none"/>
          <w:lang w:val="zh-CN"/>
        </w:rPr>
      </w:pPr>
    </w:p>
    <w:p w14:paraId="5F8D595C">
      <w:pPr>
        <w:shd w:val="clear"/>
        <w:spacing w:line="360" w:lineRule="auto"/>
        <w:rPr>
          <w:rFonts w:hint="eastAsia" w:ascii="宋体" w:hAnsi="宋体" w:cs="宋体"/>
          <w:color w:val="auto"/>
          <w:sz w:val="24"/>
          <w:szCs w:val="32"/>
          <w:highlight w:val="none"/>
          <w:lang w:val="zh-CN"/>
        </w:rPr>
      </w:pPr>
    </w:p>
    <w:p w14:paraId="4CA9FFAE">
      <w:pPr>
        <w:shd w:val="clear"/>
        <w:spacing w:line="360" w:lineRule="auto"/>
        <w:rPr>
          <w:rFonts w:hint="eastAsia" w:ascii="宋体" w:hAnsi="宋体" w:cs="宋体"/>
          <w:color w:val="auto"/>
          <w:sz w:val="24"/>
          <w:szCs w:val="32"/>
          <w:highlight w:val="none"/>
          <w:lang w:val="zh-CN"/>
        </w:rPr>
      </w:pPr>
    </w:p>
    <w:p w14:paraId="30C28736">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投标人名称（公章）：             </w:t>
      </w:r>
    </w:p>
    <w:p w14:paraId="31C9E3A8">
      <w:pPr>
        <w:shd w:val="clear"/>
        <w:spacing w:line="360" w:lineRule="auto"/>
        <w:rPr>
          <w:rFonts w:hint="eastAsia" w:ascii="宋体" w:hAnsi="宋体" w:cs="宋体"/>
          <w:color w:val="auto"/>
          <w:sz w:val="24"/>
          <w:szCs w:val="32"/>
          <w:highlight w:val="none"/>
        </w:rPr>
      </w:pPr>
    </w:p>
    <w:p w14:paraId="292F70FC">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法定代表人（签字或盖章）或授权委托代理人（签字或盖章）：</w:t>
      </w:r>
    </w:p>
    <w:p w14:paraId="1C0E3BEE">
      <w:pPr>
        <w:shd w:val="clear"/>
        <w:spacing w:line="360" w:lineRule="auto"/>
        <w:rPr>
          <w:rFonts w:hint="eastAsia" w:ascii="宋体" w:hAnsi="宋体" w:cs="宋体"/>
          <w:color w:val="auto"/>
          <w:sz w:val="24"/>
          <w:szCs w:val="32"/>
          <w:highlight w:val="none"/>
        </w:rPr>
      </w:pPr>
    </w:p>
    <w:p w14:paraId="691DDEC4">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日期：     </w:t>
      </w:r>
      <w:r>
        <w:rPr>
          <w:rFonts w:hint="eastAsia" w:ascii="宋体" w:hAnsi="宋体" w:cs="宋体"/>
          <w:color w:val="auto"/>
          <w:sz w:val="24"/>
          <w:szCs w:val="32"/>
          <w:highlight w:val="none"/>
          <w:lang w:val="zh-CN"/>
        </w:rPr>
        <w:t>年月日</w:t>
      </w:r>
    </w:p>
    <w:p w14:paraId="39F80615">
      <w:pPr>
        <w:shd w:val="clear"/>
        <w:spacing w:line="360" w:lineRule="auto"/>
        <w:rPr>
          <w:rFonts w:hint="eastAsia" w:ascii="宋体" w:hAnsi="宋体" w:cs="宋体"/>
          <w:color w:val="auto"/>
          <w:sz w:val="24"/>
          <w:szCs w:val="32"/>
          <w:highlight w:val="none"/>
        </w:rPr>
      </w:pPr>
    </w:p>
    <w:p w14:paraId="7B0E1749">
      <w:pPr>
        <w:shd w:val="clear"/>
        <w:spacing w:line="360" w:lineRule="auto"/>
        <w:rPr>
          <w:rFonts w:hint="eastAsia" w:ascii="宋体" w:hAnsi="宋体" w:cs="宋体"/>
          <w:color w:val="auto"/>
          <w:sz w:val="24"/>
          <w:szCs w:val="32"/>
          <w:highlight w:val="none"/>
        </w:rPr>
      </w:pPr>
    </w:p>
    <w:p w14:paraId="66A04C8B">
      <w:pPr>
        <w:shd w:val="clear"/>
        <w:spacing w:line="360" w:lineRule="auto"/>
        <w:rPr>
          <w:rFonts w:hint="eastAsia" w:ascii="宋体" w:hAnsi="宋体" w:cs="宋体"/>
          <w:color w:val="auto"/>
          <w:sz w:val="24"/>
          <w:szCs w:val="32"/>
          <w:highlight w:val="none"/>
        </w:rPr>
      </w:pPr>
    </w:p>
    <w:p w14:paraId="2EA5689C">
      <w:pPr>
        <w:shd w:val="clear"/>
        <w:spacing w:line="360" w:lineRule="auto"/>
        <w:rPr>
          <w:rFonts w:hint="eastAsia" w:ascii="宋体" w:hAnsi="宋体" w:cs="宋体"/>
          <w:color w:val="auto"/>
          <w:sz w:val="24"/>
          <w:szCs w:val="32"/>
          <w:highlight w:val="none"/>
        </w:rPr>
      </w:pPr>
    </w:p>
    <w:p w14:paraId="1AAAE2AB">
      <w:pPr>
        <w:shd w:val="clear"/>
        <w:spacing w:line="360" w:lineRule="auto"/>
        <w:rPr>
          <w:rFonts w:hint="eastAsia" w:ascii="宋体" w:hAnsi="宋体" w:cs="宋体"/>
          <w:color w:val="auto"/>
          <w:sz w:val="24"/>
          <w:szCs w:val="32"/>
          <w:highlight w:val="none"/>
        </w:rPr>
      </w:pPr>
    </w:p>
    <w:p w14:paraId="28C6843A">
      <w:pPr>
        <w:shd w:val="clear"/>
        <w:spacing w:line="360" w:lineRule="auto"/>
        <w:rPr>
          <w:rFonts w:hint="eastAsia" w:ascii="宋体" w:hAnsi="宋体" w:cs="宋体"/>
          <w:color w:val="auto"/>
          <w:sz w:val="24"/>
          <w:szCs w:val="32"/>
          <w:highlight w:val="none"/>
        </w:rPr>
      </w:pPr>
    </w:p>
    <w:p w14:paraId="62CB7132">
      <w:pPr>
        <w:shd w:val="clear"/>
        <w:spacing w:line="360" w:lineRule="auto"/>
        <w:rPr>
          <w:rFonts w:hint="eastAsia" w:ascii="宋体" w:hAnsi="宋体" w:cs="宋体"/>
          <w:color w:val="auto"/>
          <w:sz w:val="24"/>
          <w:szCs w:val="32"/>
          <w:highlight w:val="none"/>
        </w:rPr>
      </w:pPr>
    </w:p>
    <w:p w14:paraId="31C279FC">
      <w:pPr>
        <w:shd w:val="clear"/>
        <w:spacing w:line="360" w:lineRule="auto"/>
        <w:rPr>
          <w:rFonts w:hint="eastAsia" w:ascii="宋体" w:hAnsi="宋体" w:cs="宋体"/>
          <w:color w:val="auto"/>
          <w:sz w:val="24"/>
          <w:szCs w:val="32"/>
          <w:highlight w:val="none"/>
        </w:rPr>
      </w:pPr>
    </w:p>
    <w:p w14:paraId="0CCE84D4">
      <w:pPr>
        <w:pStyle w:val="11"/>
        <w:shd w:val="clear"/>
        <w:rPr>
          <w:rFonts w:hint="eastAsia" w:ascii="宋体" w:hAnsi="宋体" w:cs="宋体"/>
          <w:color w:val="auto"/>
          <w:highlight w:val="none"/>
        </w:rPr>
      </w:pPr>
    </w:p>
    <w:p w14:paraId="69CA690B">
      <w:pPr>
        <w:shd w:val="clear"/>
        <w:spacing w:line="360" w:lineRule="auto"/>
        <w:rPr>
          <w:rFonts w:hint="eastAsia" w:ascii="宋体" w:hAnsi="宋体" w:cs="宋体"/>
          <w:color w:val="auto"/>
          <w:sz w:val="24"/>
          <w:szCs w:val="32"/>
          <w:highlight w:val="none"/>
        </w:rPr>
      </w:pPr>
    </w:p>
    <w:p w14:paraId="152CB566">
      <w:pPr>
        <w:shd w:val="clear"/>
        <w:spacing w:line="360" w:lineRule="auto"/>
        <w:rPr>
          <w:rFonts w:hint="eastAsia" w:ascii="宋体" w:hAnsi="宋体" w:cs="宋体"/>
          <w:b/>
          <w:color w:val="auto"/>
          <w:sz w:val="28"/>
          <w:highlight w:val="none"/>
        </w:rPr>
      </w:pPr>
      <w:r>
        <w:rPr>
          <w:rFonts w:hint="eastAsia" w:ascii="宋体" w:hAnsi="宋体" w:cs="宋体"/>
          <w:b/>
          <w:color w:val="auto"/>
          <w:sz w:val="28"/>
          <w:highlight w:val="none"/>
        </w:rPr>
        <w:t>附件8</w:t>
      </w:r>
    </w:p>
    <w:p w14:paraId="6F37BAD5">
      <w:pPr>
        <w:shd w:val="clear"/>
        <w:spacing w:line="360" w:lineRule="auto"/>
        <w:jc w:val="center"/>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参加政府采购活动前3年内在经营活动中没有重大违法记录的书面声明</w:t>
      </w:r>
    </w:p>
    <w:p w14:paraId="480760BC">
      <w:pPr>
        <w:shd w:val="clear"/>
        <w:spacing w:line="360" w:lineRule="auto"/>
        <w:rPr>
          <w:rFonts w:hint="eastAsia" w:ascii="宋体" w:hAnsi="宋体" w:cs="宋体"/>
          <w:color w:val="auto"/>
          <w:sz w:val="24"/>
          <w:szCs w:val="32"/>
          <w:highlight w:val="none"/>
        </w:rPr>
      </w:pPr>
    </w:p>
    <w:p w14:paraId="5E16E0BD">
      <w:pPr>
        <w:shd w:val="clear"/>
        <w:spacing w:line="360" w:lineRule="auto"/>
        <w:jc w:val="center"/>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声明函</w:t>
      </w:r>
    </w:p>
    <w:p w14:paraId="2EB8A7B3">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致：</w:t>
      </w:r>
      <w:r>
        <w:rPr>
          <w:rFonts w:hint="eastAsia" w:ascii="宋体" w:hAnsi="宋体" w:cs="宋体"/>
          <w:color w:val="auto"/>
          <w:sz w:val="24"/>
          <w:szCs w:val="32"/>
          <w:highlight w:val="none"/>
          <w:u w:val="single"/>
        </w:rPr>
        <w:t>台州恩泽医疗中心（集团）、浙江五石中正工程咨询有限公司</w:t>
      </w:r>
    </w:p>
    <w:p w14:paraId="7D064D39">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我公司郑重承诺在参加本项目政府采购活动前三年内，在经营活动中</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rPr>
        <w:t>（</w:t>
      </w:r>
      <w:r>
        <w:rPr>
          <w:rFonts w:hint="eastAsia" w:ascii="宋体" w:hAnsi="宋体" w:cs="宋体"/>
          <w:b/>
          <w:bCs/>
          <w:color w:val="auto"/>
          <w:sz w:val="24"/>
          <w:szCs w:val="32"/>
          <w:highlight w:val="none"/>
        </w:rPr>
        <w:t>填写“有”或“没有”，如实填写，如不填写视同未提供本声明函</w:t>
      </w:r>
      <w:r>
        <w:rPr>
          <w:rFonts w:hint="eastAsia" w:ascii="宋体" w:hAnsi="宋体" w:cs="宋体"/>
          <w:color w:val="auto"/>
          <w:sz w:val="24"/>
          <w:szCs w:val="32"/>
          <w:highlight w:val="none"/>
        </w:rPr>
        <w:t>）重大违法记录，重大违法记录是指供应商因违法经营受到刑事处罚或者责令停产停业、吊销许可证或者执照、较大数额罚款等行政处罚。</w:t>
      </w:r>
    </w:p>
    <w:p w14:paraId="75CD83AE">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以上事项如有虚假或隐瞒，我方愿意承担一切后果和责任。</w:t>
      </w:r>
    </w:p>
    <w:p w14:paraId="6841B3B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特此声明。</w:t>
      </w:r>
    </w:p>
    <w:p w14:paraId="3B97E638">
      <w:pPr>
        <w:shd w:val="clear"/>
        <w:spacing w:line="360" w:lineRule="auto"/>
        <w:rPr>
          <w:rFonts w:hint="eastAsia" w:ascii="宋体" w:hAnsi="宋体" w:cs="宋体"/>
          <w:color w:val="auto"/>
          <w:sz w:val="24"/>
          <w:szCs w:val="32"/>
          <w:highlight w:val="none"/>
        </w:rPr>
      </w:pPr>
    </w:p>
    <w:p w14:paraId="4D67C66A">
      <w:pPr>
        <w:shd w:val="clear"/>
        <w:spacing w:line="360" w:lineRule="auto"/>
        <w:rPr>
          <w:rFonts w:hint="eastAsia" w:ascii="宋体" w:hAnsi="宋体" w:cs="宋体"/>
          <w:color w:val="auto"/>
          <w:sz w:val="24"/>
          <w:szCs w:val="32"/>
          <w:highlight w:val="none"/>
        </w:rPr>
      </w:pPr>
    </w:p>
    <w:p w14:paraId="2133A2B5">
      <w:pPr>
        <w:shd w:val="clear"/>
        <w:spacing w:line="360" w:lineRule="auto"/>
        <w:rPr>
          <w:rFonts w:hint="eastAsia" w:ascii="宋体" w:hAnsi="宋体" w:cs="宋体"/>
          <w:color w:val="auto"/>
          <w:sz w:val="24"/>
          <w:szCs w:val="32"/>
          <w:highlight w:val="none"/>
        </w:rPr>
      </w:pPr>
    </w:p>
    <w:p w14:paraId="54F5B732">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投标人名称（公章）：             </w:t>
      </w:r>
    </w:p>
    <w:p w14:paraId="7181D0E7">
      <w:pPr>
        <w:shd w:val="clear"/>
        <w:spacing w:line="360" w:lineRule="auto"/>
        <w:rPr>
          <w:rFonts w:hint="eastAsia" w:ascii="宋体" w:hAnsi="宋体" w:cs="宋体"/>
          <w:color w:val="auto"/>
          <w:sz w:val="24"/>
          <w:szCs w:val="32"/>
          <w:highlight w:val="none"/>
        </w:rPr>
      </w:pPr>
    </w:p>
    <w:p w14:paraId="1C3822A9">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法定代表人（签字或盖章）或授权委托代理人（签字或盖章）：</w:t>
      </w:r>
    </w:p>
    <w:p w14:paraId="309660DF">
      <w:pPr>
        <w:shd w:val="clear"/>
        <w:spacing w:line="360" w:lineRule="auto"/>
        <w:rPr>
          <w:rFonts w:hint="eastAsia" w:ascii="宋体" w:hAnsi="宋体" w:cs="宋体"/>
          <w:color w:val="auto"/>
          <w:sz w:val="24"/>
          <w:szCs w:val="32"/>
          <w:highlight w:val="none"/>
        </w:rPr>
      </w:pPr>
    </w:p>
    <w:p w14:paraId="140F1CB0">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日期：     </w:t>
      </w:r>
      <w:r>
        <w:rPr>
          <w:rFonts w:hint="eastAsia" w:ascii="宋体" w:hAnsi="宋体" w:cs="宋体"/>
          <w:color w:val="auto"/>
          <w:sz w:val="24"/>
          <w:szCs w:val="32"/>
          <w:highlight w:val="none"/>
          <w:lang w:val="zh-CN"/>
        </w:rPr>
        <w:t>年月日</w:t>
      </w:r>
    </w:p>
    <w:p w14:paraId="22CC3EF7">
      <w:pPr>
        <w:shd w:val="clear"/>
        <w:spacing w:line="360" w:lineRule="auto"/>
        <w:rPr>
          <w:rFonts w:hint="eastAsia" w:ascii="宋体" w:hAnsi="宋体" w:cs="宋体"/>
          <w:color w:val="auto"/>
          <w:sz w:val="24"/>
          <w:szCs w:val="32"/>
          <w:highlight w:val="none"/>
        </w:rPr>
      </w:pPr>
    </w:p>
    <w:p w14:paraId="109857F5">
      <w:pPr>
        <w:shd w:val="clear"/>
        <w:spacing w:line="360" w:lineRule="auto"/>
        <w:rPr>
          <w:rFonts w:hint="eastAsia" w:ascii="宋体" w:hAnsi="宋体" w:cs="宋体"/>
          <w:color w:val="auto"/>
          <w:sz w:val="24"/>
          <w:szCs w:val="32"/>
          <w:highlight w:val="none"/>
        </w:rPr>
      </w:pPr>
    </w:p>
    <w:p w14:paraId="3F731DC2">
      <w:pPr>
        <w:pStyle w:val="11"/>
        <w:shd w:val="clear"/>
        <w:rPr>
          <w:rFonts w:hint="eastAsia" w:ascii="宋体" w:hAnsi="宋体" w:cs="宋体"/>
          <w:color w:val="auto"/>
          <w:szCs w:val="32"/>
          <w:highlight w:val="none"/>
        </w:rPr>
      </w:pPr>
    </w:p>
    <w:p w14:paraId="3E496774">
      <w:pPr>
        <w:pStyle w:val="27"/>
        <w:shd w:val="clear"/>
        <w:rPr>
          <w:rFonts w:hint="eastAsia" w:ascii="宋体" w:hAnsi="宋体" w:cs="宋体"/>
          <w:color w:val="auto"/>
          <w:sz w:val="24"/>
          <w:szCs w:val="32"/>
          <w:highlight w:val="none"/>
        </w:rPr>
      </w:pPr>
    </w:p>
    <w:p w14:paraId="2112AE06">
      <w:pPr>
        <w:pStyle w:val="23"/>
        <w:shd w:val="clear"/>
        <w:rPr>
          <w:rFonts w:hint="eastAsia" w:ascii="宋体" w:hAnsi="宋体" w:cs="宋体"/>
          <w:color w:val="auto"/>
          <w:sz w:val="24"/>
          <w:szCs w:val="32"/>
          <w:highlight w:val="none"/>
        </w:rPr>
      </w:pPr>
    </w:p>
    <w:p w14:paraId="64AAF0B2">
      <w:pPr>
        <w:shd w:val="clear"/>
        <w:rPr>
          <w:rFonts w:hint="eastAsia" w:ascii="宋体" w:hAnsi="宋体" w:cs="宋体"/>
          <w:color w:val="auto"/>
          <w:sz w:val="24"/>
          <w:szCs w:val="32"/>
          <w:highlight w:val="none"/>
        </w:rPr>
      </w:pPr>
    </w:p>
    <w:p w14:paraId="0CE0D8AC">
      <w:pPr>
        <w:pStyle w:val="11"/>
        <w:shd w:val="clear"/>
        <w:rPr>
          <w:rFonts w:hint="eastAsia" w:ascii="宋体" w:hAnsi="宋体" w:cs="宋体"/>
          <w:color w:val="auto"/>
          <w:szCs w:val="32"/>
          <w:highlight w:val="none"/>
        </w:rPr>
      </w:pPr>
    </w:p>
    <w:p w14:paraId="28E50990">
      <w:pPr>
        <w:pStyle w:val="27"/>
        <w:shd w:val="clear"/>
        <w:rPr>
          <w:rFonts w:hint="eastAsia" w:ascii="宋体" w:hAnsi="宋体" w:cs="宋体"/>
          <w:color w:val="auto"/>
          <w:sz w:val="24"/>
          <w:szCs w:val="32"/>
          <w:highlight w:val="none"/>
        </w:rPr>
      </w:pPr>
    </w:p>
    <w:p w14:paraId="75ACB34C">
      <w:pPr>
        <w:pStyle w:val="23"/>
        <w:shd w:val="clear"/>
        <w:rPr>
          <w:rFonts w:hint="eastAsia" w:ascii="宋体" w:hAnsi="宋体" w:cs="宋体"/>
          <w:color w:val="auto"/>
          <w:sz w:val="24"/>
          <w:szCs w:val="32"/>
          <w:highlight w:val="none"/>
        </w:rPr>
      </w:pPr>
    </w:p>
    <w:p w14:paraId="7D677094">
      <w:pPr>
        <w:shd w:val="clear"/>
        <w:rPr>
          <w:rFonts w:hint="eastAsia" w:ascii="宋体" w:hAnsi="宋体" w:cs="宋体"/>
          <w:color w:val="auto"/>
          <w:sz w:val="24"/>
          <w:szCs w:val="32"/>
          <w:highlight w:val="none"/>
        </w:rPr>
      </w:pPr>
    </w:p>
    <w:p w14:paraId="0456D548">
      <w:pPr>
        <w:shd w:val="clear"/>
        <w:rPr>
          <w:rFonts w:hint="eastAsia" w:ascii="宋体" w:hAnsi="宋体" w:cs="宋体"/>
          <w:color w:val="auto"/>
          <w:sz w:val="24"/>
          <w:szCs w:val="32"/>
          <w:highlight w:val="none"/>
        </w:rPr>
      </w:pPr>
    </w:p>
    <w:p w14:paraId="1240D3D8">
      <w:pPr>
        <w:shd w:val="clear"/>
        <w:spacing w:after="312" w:afterLines="100"/>
        <w:jc w:val="center"/>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具有履行合同所必须的设备和专业技术能力的承诺函</w:t>
      </w:r>
    </w:p>
    <w:p w14:paraId="5C0BD125">
      <w:pPr>
        <w:shd w:val="clear"/>
        <w:spacing w:line="360" w:lineRule="auto"/>
        <w:rPr>
          <w:rFonts w:hint="eastAsia" w:ascii="宋体" w:hAnsi="宋体" w:cs="宋体"/>
          <w:bCs/>
          <w:color w:val="auto"/>
          <w:kern w:val="0"/>
          <w:sz w:val="24"/>
          <w:highlight w:val="none"/>
          <w:lang w:val="zh-CN"/>
        </w:rPr>
      </w:pPr>
      <w:r>
        <w:rPr>
          <w:rFonts w:hint="eastAsia" w:ascii="宋体" w:hAnsi="宋体" w:cs="宋体"/>
          <w:bCs/>
          <w:color w:val="auto"/>
          <w:kern w:val="0"/>
          <w:sz w:val="24"/>
          <w:highlight w:val="none"/>
          <w:lang w:val="zh-CN"/>
        </w:rPr>
        <w:t>致：</w:t>
      </w:r>
      <w:r>
        <w:rPr>
          <w:rFonts w:hint="eastAsia" w:ascii="宋体" w:hAnsi="宋体" w:cs="宋体"/>
          <w:color w:val="auto"/>
          <w:sz w:val="24"/>
          <w:szCs w:val="32"/>
          <w:highlight w:val="none"/>
          <w:u w:val="single"/>
        </w:rPr>
        <w:t>台州恩泽医疗中心（集团）、浙江五石中正工程咨询有限公司</w:t>
      </w:r>
    </w:p>
    <w:p w14:paraId="4C6363D0">
      <w:pPr>
        <w:shd w:val="clear"/>
        <w:spacing w:line="360" w:lineRule="auto"/>
        <w:ind w:firstLine="424" w:firstLineChars="177"/>
        <w:rPr>
          <w:rFonts w:hint="eastAsia" w:ascii="宋体" w:hAnsi="宋体" w:cs="宋体"/>
          <w:color w:val="auto"/>
          <w:sz w:val="24"/>
          <w:highlight w:val="none"/>
        </w:rPr>
      </w:pPr>
      <w:r>
        <w:rPr>
          <w:rFonts w:hint="eastAsia" w:ascii="宋体" w:hAnsi="宋体" w:cs="宋体"/>
          <w:bCs/>
          <w:color w:val="auto"/>
          <w:kern w:val="0"/>
          <w:sz w:val="24"/>
          <w:highlight w:val="none"/>
          <w:lang w:val="zh-CN"/>
        </w:rPr>
        <w:t>在贵方组织的</w:t>
      </w:r>
      <w:r>
        <w:rPr>
          <w:rFonts w:hint="eastAsia" w:ascii="宋体" w:hAnsi="宋体" w:cs="宋体"/>
          <w:color w:val="auto"/>
          <w:sz w:val="24"/>
          <w:szCs w:val="32"/>
          <w:highlight w:val="none"/>
          <w:u w:val="single"/>
          <w:lang w:eastAsia="zh-CN"/>
        </w:rPr>
        <w:t>人力资源管理系统升级项目（二次）</w:t>
      </w:r>
      <w:r>
        <w:rPr>
          <w:rFonts w:hint="eastAsia" w:ascii="宋体" w:hAnsi="宋体" w:cs="宋体"/>
          <w:color w:val="auto"/>
          <w:sz w:val="24"/>
          <w:szCs w:val="32"/>
          <w:highlight w:val="none"/>
        </w:rPr>
        <w:t>（编号为</w:t>
      </w:r>
      <w:r>
        <w:rPr>
          <w:rFonts w:hint="eastAsia" w:ascii="宋体" w:hAnsi="宋体" w:cs="宋体"/>
          <w:color w:val="auto"/>
          <w:sz w:val="24"/>
          <w:szCs w:val="32"/>
          <w:highlight w:val="none"/>
          <w:lang w:eastAsia="zh-CN"/>
        </w:rPr>
        <w:t>ZJWS2024-JJ436-1</w:t>
      </w:r>
      <w:r>
        <w:rPr>
          <w:rFonts w:hint="eastAsia" w:ascii="宋体" w:hAnsi="宋体" w:cs="宋体"/>
          <w:color w:val="auto"/>
          <w:sz w:val="24"/>
          <w:szCs w:val="32"/>
          <w:highlight w:val="none"/>
        </w:rPr>
        <w:t>）</w:t>
      </w:r>
      <w:r>
        <w:rPr>
          <w:rFonts w:hint="eastAsia" w:ascii="宋体" w:hAnsi="宋体" w:cs="宋体"/>
          <w:bCs/>
          <w:color w:val="auto"/>
          <w:kern w:val="0"/>
          <w:sz w:val="24"/>
          <w:highlight w:val="none"/>
          <w:lang w:val="zh-CN"/>
        </w:rPr>
        <w:t>公开招标，我方在完全理解本项目采购的技术要求、商务条款及其他内容后，决定参与该项目</w:t>
      </w:r>
      <w:r>
        <w:rPr>
          <w:rFonts w:hint="eastAsia" w:ascii="宋体" w:hAnsi="宋体" w:cs="宋体"/>
          <w:color w:val="auto"/>
          <w:sz w:val="24"/>
          <w:highlight w:val="none"/>
        </w:rPr>
        <w:t>的投标活动。并承诺，如中标，我方将提供足够的设备和专业技术能力保证本合同履行。</w:t>
      </w:r>
    </w:p>
    <w:p w14:paraId="1BF90792">
      <w:pPr>
        <w:shd w:val="clear"/>
        <w:spacing w:line="360" w:lineRule="auto"/>
        <w:ind w:firstLine="424" w:firstLineChars="177"/>
        <w:rPr>
          <w:rFonts w:hint="eastAsia" w:ascii="宋体" w:hAnsi="宋体" w:cs="宋体"/>
          <w:color w:val="auto"/>
          <w:sz w:val="24"/>
          <w:highlight w:val="none"/>
        </w:rPr>
      </w:pPr>
      <w:r>
        <w:rPr>
          <w:rFonts w:hint="eastAsia" w:ascii="宋体" w:hAnsi="宋体" w:cs="宋体"/>
          <w:color w:val="auto"/>
          <w:sz w:val="24"/>
          <w:highlight w:val="none"/>
        </w:rPr>
        <w:t>我方对上述承诺的真实性负责。如有虚假，我方同意按我方合同违约处理，并依法承担相应法律责任。</w:t>
      </w:r>
    </w:p>
    <w:p w14:paraId="3BA419D2">
      <w:pPr>
        <w:shd w:val="clear"/>
        <w:spacing w:line="360" w:lineRule="auto"/>
        <w:ind w:firstLine="424" w:firstLineChars="177"/>
        <w:rPr>
          <w:rFonts w:hint="eastAsia" w:ascii="宋体" w:hAnsi="宋体" w:cs="宋体"/>
          <w:color w:val="auto"/>
          <w:sz w:val="24"/>
          <w:highlight w:val="none"/>
        </w:rPr>
      </w:pPr>
    </w:p>
    <w:p w14:paraId="217F6675">
      <w:pPr>
        <w:shd w:val="clear"/>
        <w:spacing w:line="360" w:lineRule="auto"/>
        <w:ind w:firstLine="424" w:firstLineChars="177"/>
        <w:rPr>
          <w:rFonts w:hint="eastAsia" w:ascii="宋体" w:hAnsi="宋体" w:cs="宋体"/>
          <w:color w:val="auto"/>
          <w:sz w:val="24"/>
          <w:highlight w:val="none"/>
        </w:rPr>
      </w:pPr>
    </w:p>
    <w:p w14:paraId="2F8A4FD3">
      <w:pPr>
        <w:shd w:val="clear"/>
        <w:spacing w:line="360" w:lineRule="auto"/>
        <w:ind w:firstLine="424" w:firstLineChars="177"/>
        <w:rPr>
          <w:rFonts w:hint="eastAsia" w:ascii="宋体" w:hAnsi="宋体" w:cs="宋体"/>
          <w:color w:val="auto"/>
          <w:sz w:val="24"/>
          <w:highlight w:val="none"/>
        </w:rPr>
      </w:pPr>
    </w:p>
    <w:p w14:paraId="682529C4">
      <w:pPr>
        <w:shd w:val="clear"/>
        <w:spacing w:line="360" w:lineRule="auto"/>
        <w:ind w:firstLine="424" w:firstLineChars="177"/>
        <w:rPr>
          <w:rFonts w:hint="eastAsia" w:ascii="宋体" w:hAnsi="宋体" w:cs="宋体"/>
          <w:color w:val="auto"/>
          <w:sz w:val="24"/>
          <w:highlight w:val="none"/>
        </w:rPr>
      </w:pPr>
    </w:p>
    <w:p w14:paraId="74C0356B">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投标人名称（公章）：             </w:t>
      </w:r>
    </w:p>
    <w:p w14:paraId="0CCE3552">
      <w:pPr>
        <w:shd w:val="clear"/>
        <w:spacing w:line="360" w:lineRule="auto"/>
        <w:rPr>
          <w:rFonts w:hint="eastAsia" w:ascii="宋体" w:hAnsi="宋体" w:cs="宋体"/>
          <w:color w:val="auto"/>
          <w:sz w:val="24"/>
          <w:szCs w:val="32"/>
          <w:highlight w:val="none"/>
        </w:rPr>
      </w:pPr>
    </w:p>
    <w:p w14:paraId="5DE0508C">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法定代表人（签字或盖章）或授权委托代理人（签字或盖章）：</w:t>
      </w:r>
    </w:p>
    <w:p w14:paraId="017EE8D3">
      <w:pPr>
        <w:shd w:val="clear"/>
        <w:spacing w:line="360" w:lineRule="auto"/>
        <w:rPr>
          <w:rFonts w:hint="eastAsia" w:ascii="宋体" w:hAnsi="宋体" w:cs="宋体"/>
          <w:color w:val="auto"/>
          <w:sz w:val="24"/>
          <w:szCs w:val="32"/>
          <w:highlight w:val="none"/>
        </w:rPr>
      </w:pPr>
    </w:p>
    <w:p w14:paraId="7CB69195">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日期：     </w:t>
      </w:r>
      <w:r>
        <w:rPr>
          <w:rFonts w:hint="eastAsia" w:ascii="宋体" w:hAnsi="宋体" w:cs="宋体"/>
          <w:color w:val="auto"/>
          <w:sz w:val="24"/>
          <w:szCs w:val="32"/>
          <w:highlight w:val="none"/>
          <w:lang w:val="zh-CN"/>
        </w:rPr>
        <w:t>年月日</w:t>
      </w:r>
    </w:p>
    <w:p w14:paraId="02FC0469">
      <w:pPr>
        <w:shd w:val="clear"/>
        <w:spacing w:line="360" w:lineRule="auto"/>
        <w:rPr>
          <w:rFonts w:hint="eastAsia" w:ascii="宋体" w:hAnsi="宋体" w:cs="宋体"/>
          <w:color w:val="auto"/>
          <w:sz w:val="24"/>
          <w:highlight w:val="none"/>
        </w:rPr>
      </w:pPr>
    </w:p>
    <w:p w14:paraId="1941D1CA">
      <w:pPr>
        <w:shd w:val="clear"/>
        <w:rPr>
          <w:rFonts w:hint="eastAsia" w:ascii="宋体" w:hAnsi="宋体" w:cs="宋体"/>
          <w:color w:val="auto"/>
          <w:sz w:val="24"/>
          <w:szCs w:val="32"/>
          <w:highlight w:val="none"/>
        </w:rPr>
      </w:pPr>
    </w:p>
    <w:p w14:paraId="0D19FB38">
      <w:pPr>
        <w:shd w:val="clear"/>
        <w:spacing w:line="360" w:lineRule="auto"/>
        <w:rPr>
          <w:rFonts w:hint="eastAsia" w:ascii="宋体" w:hAnsi="宋体" w:cs="宋体"/>
          <w:b/>
          <w:bCs/>
          <w:color w:val="auto"/>
          <w:sz w:val="28"/>
          <w:szCs w:val="36"/>
          <w:highlight w:val="none"/>
        </w:rPr>
      </w:pPr>
    </w:p>
    <w:p w14:paraId="38C74CBD">
      <w:pPr>
        <w:shd w:val="clear"/>
        <w:spacing w:line="360" w:lineRule="auto"/>
        <w:rPr>
          <w:rFonts w:hint="eastAsia" w:ascii="宋体" w:hAnsi="宋体" w:cs="宋体"/>
          <w:b/>
          <w:bCs/>
          <w:color w:val="auto"/>
          <w:sz w:val="28"/>
          <w:szCs w:val="36"/>
          <w:highlight w:val="none"/>
        </w:rPr>
      </w:pPr>
    </w:p>
    <w:p w14:paraId="50D7CDBE">
      <w:pPr>
        <w:shd w:val="clear"/>
        <w:spacing w:line="360" w:lineRule="auto"/>
        <w:rPr>
          <w:rFonts w:hint="eastAsia" w:ascii="宋体" w:hAnsi="宋体" w:cs="宋体"/>
          <w:b/>
          <w:bCs/>
          <w:color w:val="auto"/>
          <w:sz w:val="28"/>
          <w:szCs w:val="36"/>
          <w:highlight w:val="none"/>
        </w:rPr>
      </w:pPr>
    </w:p>
    <w:p w14:paraId="01FCDF20">
      <w:pPr>
        <w:shd w:val="clear"/>
        <w:spacing w:line="360" w:lineRule="auto"/>
        <w:rPr>
          <w:rFonts w:hint="eastAsia" w:ascii="宋体" w:hAnsi="宋体" w:cs="宋体"/>
          <w:b/>
          <w:bCs/>
          <w:color w:val="auto"/>
          <w:sz w:val="28"/>
          <w:szCs w:val="36"/>
          <w:highlight w:val="none"/>
        </w:rPr>
      </w:pPr>
    </w:p>
    <w:p w14:paraId="5D086DB8">
      <w:pPr>
        <w:shd w:val="clear"/>
        <w:spacing w:line="360" w:lineRule="auto"/>
        <w:rPr>
          <w:rFonts w:hint="eastAsia" w:ascii="宋体" w:hAnsi="宋体" w:cs="宋体"/>
          <w:b/>
          <w:bCs/>
          <w:color w:val="auto"/>
          <w:sz w:val="28"/>
          <w:szCs w:val="36"/>
          <w:highlight w:val="none"/>
        </w:rPr>
      </w:pPr>
    </w:p>
    <w:p w14:paraId="2766144C">
      <w:pPr>
        <w:shd w:val="clear"/>
        <w:spacing w:line="360" w:lineRule="auto"/>
        <w:rPr>
          <w:rFonts w:hint="eastAsia" w:ascii="宋体" w:hAnsi="宋体" w:cs="宋体"/>
          <w:b/>
          <w:bCs/>
          <w:color w:val="auto"/>
          <w:sz w:val="28"/>
          <w:szCs w:val="36"/>
          <w:highlight w:val="none"/>
        </w:rPr>
      </w:pPr>
    </w:p>
    <w:p w14:paraId="12257A09">
      <w:pPr>
        <w:shd w:val="clear"/>
        <w:spacing w:line="360" w:lineRule="auto"/>
        <w:rPr>
          <w:rFonts w:hint="eastAsia" w:ascii="宋体" w:hAnsi="宋体" w:cs="宋体"/>
          <w:b/>
          <w:bCs/>
          <w:color w:val="auto"/>
          <w:sz w:val="28"/>
          <w:szCs w:val="36"/>
          <w:highlight w:val="none"/>
        </w:rPr>
      </w:pPr>
    </w:p>
    <w:p w14:paraId="42C75741">
      <w:pPr>
        <w:shd w:val="clear"/>
        <w:spacing w:line="360" w:lineRule="auto"/>
        <w:rPr>
          <w:rFonts w:hint="eastAsia" w:ascii="宋体" w:hAnsi="宋体" w:cs="宋体"/>
          <w:b/>
          <w:bCs/>
          <w:color w:val="auto"/>
          <w:sz w:val="28"/>
          <w:szCs w:val="36"/>
          <w:highlight w:val="none"/>
        </w:rPr>
      </w:pPr>
    </w:p>
    <w:p w14:paraId="746B23FD">
      <w:pPr>
        <w:shd w:val="clear"/>
        <w:spacing w:line="360" w:lineRule="auto"/>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 xml:space="preserve">附件9                                               </w:t>
      </w:r>
      <w:r>
        <w:rPr>
          <w:rFonts w:hint="eastAsia" w:ascii="宋体" w:hAnsi="宋体" w:cs="宋体"/>
          <w:b/>
          <w:bCs/>
          <w:color w:val="auto"/>
          <w:sz w:val="28"/>
          <w:szCs w:val="36"/>
          <w:highlight w:val="none"/>
          <w:u w:val="single"/>
        </w:rPr>
        <w:t xml:space="preserve">    </w:t>
      </w:r>
      <w:r>
        <w:rPr>
          <w:rFonts w:hint="eastAsia" w:ascii="宋体" w:hAnsi="宋体" w:cs="宋体"/>
          <w:b/>
          <w:bCs/>
          <w:color w:val="auto"/>
          <w:sz w:val="28"/>
          <w:szCs w:val="36"/>
          <w:highlight w:val="none"/>
        </w:rPr>
        <w:t>本</w:t>
      </w:r>
    </w:p>
    <w:p w14:paraId="4D5096C6">
      <w:pPr>
        <w:shd w:val="clear"/>
        <w:spacing w:line="360" w:lineRule="auto"/>
        <w:rPr>
          <w:rFonts w:hint="eastAsia" w:ascii="宋体" w:hAnsi="宋体" w:cs="宋体"/>
          <w:color w:val="auto"/>
          <w:sz w:val="24"/>
          <w:szCs w:val="32"/>
          <w:highlight w:val="none"/>
        </w:rPr>
      </w:pPr>
    </w:p>
    <w:p w14:paraId="27B4F921">
      <w:pPr>
        <w:shd w:val="clear"/>
        <w:spacing w:line="360" w:lineRule="auto"/>
        <w:jc w:val="center"/>
        <w:rPr>
          <w:rFonts w:hint="eastAsia" w:ascii="宋体" w:hAnsi="宋体" w:cs="宋体"/>
          <w:color w:val="auto"/>
          <w:spacing w:val="40"/>
          <w:sz w:val="52"/>
          <w:szCs w:val="52"/>
          <w:highlight w:val="none"/>
        </w:rPr>
      </w:pPr>
      <w:r>
        <w:rPr>
          <w:rFonts w:hint="eastAsia" w:ascii="宋体" w:hAnsi="宋体" w:cs="宋体"/>
          <w:color w:val="auto"/>
          <w:spacing w:val="40"/>
          <w:sz w:val="52"/>
          <w:szCs w:val="52"/>
          <w:highlight w:val="none"/>
        </w:rPr>
        <w:t>项目名称</w:t>
      </w:r>
    </w:p>
    <w:p w14:paraId="64C6409A">
      <w:pPr>
        <w:shd w:val="clear"/>
        <w:spacing w:line="360" w:lineRule="auto"/>
        <w:jc w:val="center"/>
        <w:rPr>
          <w:rFonts w:hint="eastAsia" w:ascii="宋体" w:hAnsi="宋体" w:cs="宋体"/>
          <w:color w:val="auto"/>
          <w:sz w:val="36"/>
          <w:szCs w:val="36"/>
          <w:highlight w:val="none"/>
        </w:rPr>
      </w:pPr>
      <w:r>
        <w:rPr>
          <w:rFonts w:hint="eastAsia" w:ascii="宋体" w:hAnsi="宋体" w:cs="宋体"/>
          <w:color w:val="auto"/>
          <w:sz w:val="36"/>
          <w:szCs w:val="36"/>
          <w:highlight w:val="none"/>
        </w:rPr>
        <w:t>项目编号：（标段）</w:t>
      </w:r>
    </w:p>
    <w:p w14:paraId="24A93714">
      <w:pPr>
        <w:shd w:val="clear"/>
        <w:autoSpaceDE w:val="0"/>
        <w:autoSpaceDN w:val="0"/>
        <w:adjustRightInd w:val="0"/>
        <w:spacing w:line="360" w:lineRule="auto"/>
        <w:jc w:val="center"/>
        <w:rPr>
          <w:rFonts w:hint="eastAsia" w:ascii="宋体" w:hAnsi="宋体" w:cs="宋体"/>
          <w:color w:val="auto"/>
          <w:sz w:val="84"/>
          <w:szCs w:val="84"/>
          <w:highlight w:val="none"/>
          <w:lang w:val="zh-CN"/>
        </w:rPr>
      </w:pPr>
    </w:p>
    <w:p w14:paraId="0AB2B9A9">
      <w:pPr>
        <w:shd w:val="clear"/>
        <w:autoSpaceDE w:val="0"/>
        <w:autoSpaceDN w:val="0"/>
        <w:adjustRightInd w:val="0"/>
        <w:spacing w:line="360" w:lineRule="auto"/>
        <w:jc w:val="center"/>
        <w:rPr>
          <w:rFonts w:hint="eastAsia" w:ascii="宋体" w:hAnsi="宋体" w:cs="宋体"/>
          <w:color w:val="auto"/>
          <w:sz w:val="84"/>
          <w:szCs w:val="84"/>
          <w:highlight w:val="none"/>
          <w:lang w:val="zh-CN"/>
        </w:rPr>
      </w:pPr>
      <w:r>
        <w:rPr>
          <w:rFonts w:hint="eastAsia" w:ascii="宋体" w:hAnsi="宋体" w:cs="宋体"/>
          <w:color w:val="auto"/>
          <w:sz w:val="84"/>
          <w:szCs w:val="84"/>
          <w:highlight w:val="none"/>
          <w:lang w:val="zh-CN"/>
        </w:rPr>
        <w:t>投</w:t>
      </w:r>
    </w:p>
    <w:p w14:paraId="05892F23">
      <w:pPr>
        <w:shd w:val="clear"/>
        <w:autoSpaceDE w:val="0"/>
        <w:autoSpaceDN w:val="0"/>
        <w:adjustRightInd w:val="0"/>
        <w:spacing w:line="360" w:lineRule="auto"/>
        <w:jc w:val="center"/>
        <w:rPr>
          <w:rFonts w:hint="eastAsia" w:ascii="宋体" w:hAnsi="宋体" w:cs="宋体"/>
          <w:color w:val="auto"/>
          <w:sz w:val="84"/>
          <w:szCs w:val="84"/>
          <w:highlight w:val="none"/>
          <w:lang w:val="zh-CN"/>
        </w:rPr>
      </w:pPr>
      <w:r>
        <w:rPr>
          <w:rFonts w:hint="eastAsia" w:ascii="宋体" w:hAnsi="宋体" w:cs="宋体"/>
          <w:color w:val="auto"/>
          <w:sz w:val="84"/>
          <w:szCs w:val="84"/>
          <w:highlight w:val="none"/>
          <w:lang w:val="zh-CN"/>
        </w:rPr>
        <w:t>标</w:t>
      </w:r>
    </w:p>
    <w:p w14:paraId="7AE201AA">
      <w:pPr>
        <w:shd w:val="clear"/>
        <w:autoSpaceDE w:val="0"/>
        <w:autoSpaceDN w:val="0"/>
        <w:adjustRightInd w:val="0"/>
        <w:spacing w:line="360" w:lineRule="auto"/>
        <w:jc w:val="center"/>
        <w:rPr>
          <w:rFonts w:hint="eastAsia" w:ascii="宋体" w:hAnsi="宋体" w:cs="宋体"/>
          <w:color w:val="auto"/>
          <w:sz w:val="84"/>
          <w:szCs w:val="84"/>
          <w:highlight w:val="none"/>
        </w:rPr>
      </w:pPr>
      <w:r>
        <w:rPr>
          <w:rFonts w:hint="eastAsia" w:ascii="宋体" w:hAnsi="宋体" w:cs="宋体"/>
          <w:color w:val="auto"/>
          <w:sz w:val="84"/>
          <w:szCs w:val="84"/>
          <w:highlight w:val="none"/>
          <w:lang w:val="zh-CN"/>
        </w:rPr>
        <w:t>文</w:t>
      </w:r>
    </w:p>
    <w:p w14:paraId="4B66E08D">
      <w:pPr>
        <w:shd w:val="clear"/>
        <w:autoSpaceDE w:val="0"/>
        <w:autoSpaceDN w:val="0"/>
        <w:adjustRightInd w:val="0"/>
        <w:spacing w:line="360" w:lineRule="auto"/>
        <w:jc w:val="center"/>
        <w:rPr>
          <w:rFonts w:hint="eastAsia" w:ascii="宋体" w:hAnsi="宋体" w:cs="宋体"/>
          <w:color w:val="auto"/>
          <w:sz w:val="84"/>
          <w:szCs w:val="84"/>
          <w:highlight w:val="none"/>
          <w:lang w:val="zh-CN"/>
        </w:rPr>
      </w:pPr>
      <w:r>
        <w:rPr>
          <w:rFonts w:hint="eastAsia" w:ascii="宋体" w:hAnsi="宋体" w:cs="宋体"/>
          <w:color w:val="auto"/>
          <w:sz w:val="84"/>
          <w:szCs w:val="84"/>
          <w:highlight w:val="none"/>
          <w:lang w:val="zh-CN"/>
        </w:rPr>
        <w:t>件</w:t>
      </w:r>
    </w:p>
    <w:p w14:paraId="44C15C8F">
      <w:pPr>
        <w:shd w:val="clear"/>
        <w:autoSpaceDE w:val="0"/>
        <w:autoSpaceDN w:val="0"/>
        <w:adjustRightInd w:val="0"/>
        <w:spacing w:line="360" w:lineRule="auto"/>
        <w:jc w:val="center"/>
        <w:rPr>
          <w:rFonts w:hint="eastAsia" w:ascii="宋体" w:hAnsi="宋体" w:cs="宋体"/>
          <w:b/>
          <w:bCs/>
          <w:color w:val="auto"/>
          <w:spacing w:val="40"/>
          <w:sz w:val="28"/>
          <w:szCs w:val="28"/>
          <w:highlight w:val="none"/>
        </w:rPr>
      </w:pPr>
      <w:r>
        <w:rPr>
          <w:rFonts w:hint="eastAsia" w:ascii="宋体" w:hAnsi="宋体" w:cs="宋体"/>
          <w:b/>
          <w:bCs/>
          <w:color w:val="auto"/>
          <w:sz w:val="28"/>
          <w:szCs w:val="28"/>
          <w:highlight w:val="none"/>
          <w:lang w:val="zh-CN"/>
        </w:rPr>
        <w:t>（商务与技术文件</w:t>
      </w:r>
      <w:r>
        <w:rPr>
          <w:rFonts w:hint="eastAsia" w:ascii="宋体" w:hAnsi="宋体" w:cs="宋体"/>
          <w:b/>
          <w:bCs/>
          <w:color w:val="auto"/>
          <w:spacing w:val="40"/>
          <w:sz w:val="28"/>
          <w:szCs w:val="28"/>
          <w:highlight w:val="none"/>
        </w:rPr>
        <w:t>）</w:t>
      </w:r>
    </w:p>
    <w:p w14:paraId="4908C3E6">
      <w:pPr>
        <w:shd w:val="clear"/>
        <w:autoSpaceDE w:val="0"/>
        <w:autoSpaceDN w:val="0"/>
        <w:adjustRightInd w:val="0"/>
        <w:spacing w:line="360" w:lineRule="auto"/>
        <w:rPr>
          <w:rFonts w:hint="eastAsia" w:ascii="宋体" w:hAnsi="宋体" w:cs="宋体"/>
          <w:color w:val="auto"/>
          <w:sz w:val="36"/>
          <w:szCs w:val="36"/>
          <w:highlight w:val="none"/>
        </w:rPr>
      </w:pPr>
    </w:p>
    <w:p w14:paraId="7050223F">
      <w:pPr>
        <w:shd w:val="clear"/>
        <w:autoSpaceDE w:val="0"/>
        <w:autoSpaceDN w:val="0"/>
        <w:adjustRightInd w:val="0"/>
        <w:spacing w:line="360" w:lineRule="auto"/>
        <w:rPr>
          <w:rFonts w:hint="eastAsia" w:ascii="宋体" w:hAnsi="宋体" w:cs="宋体"/>
          <w:color w:val="auto"/>
          <w:sz w:val="36"/>
          <w:szCs w:val="36"/>
          <w:highlight w:val="none"/>
        </w:rPr>
      </w:pPr>
      <w:r>
        <w:rPr>
          <w:rFonts w:hint="eastAsia" w:ascii="宋体" w:hAnsi="宋体" w:cs="宋体"/>
          <w:color w:val="auto"/>
          <w:sz w:val="36"/>
          <w:szCs w:val="36"/>
          <w:highlight w:val="none"/>
        </w:rPr>
        <w:t>投标人全称</w:t>
      </w:r>
      <w:r>
        <w:rPr>
          <w:rFonts w:hint="eastAsia" w:ascii="宋体" w:hAnsi="宋体" w:cs="宋体"/>
          <w:color w:val="auto"/>
          <w:sz w:val="32"/>
          <w:szCs w:val="32"/>
          <w:highlight w:val="none"/>
        </w:rPr>
        <w:t>（加盖公章）</w:t>
      </w:r>
      <w:r>
        <w:rPr>
          <w:rFonts w:hint="eastAsia" w:ascii="宋体" w:hAnsi="宋体" w:cs="宋体"/>
          <w:color w:val="auto"/>
          <w:sz w:val="36"/>
          <w:szCs w:val="36"/>
          <w:highlight w:val="none"/>
        </w:rPr>
        <w:t>：</w:t>
      </w:r>
    </w:p>
    <w:p w14:paraId="4D3EC6F8">
      <w:pPr>
        <w:shd w:val="clear"/>
        <w:autoSpaceDE w:val="0"/>
        <w:autoSpaceDN w:val="0"/>
        <w:adjustRightInd w:val="0"/>
        <w:spacing w:line="360" w:lineRule="auto"/>
        <w:rPr>
          <w:rFonts w:hint="eastAsia" w:ascii="宋体" w:hAnsi="宋体" w:cs="宋体"/>
          <w:color w:val="auto"/>
          <w:sz w:val="36"/>
          <w:szCs w:val="36"/>
          <w:highlight w:val="none"/>
        </w:rPr>
      </w:pPr>
      <w:r>
        <w:rPr>
          <w:rFonts w:hint="eastAsia" w:ascii="宋体" w:hAnsi="宋体" w:cs="宋体"/>
          <w:color w:val="auto"/>
          <w:sz w:val="36"/>
          <w:szCs w:val="36"/>
          <w:highlight w:val="none"/>
        </w:rPr>
        <w:t>地址：</w:t>
      </w:r>
    </w:p>
    <w:p w14:paraId="7C63EA23">
      <w:pPr>
        <w:shd w:val="clear"/>
        <w:autoSpaceDE w:val="0"/>
        <w:autoSpaceDN w:val="0"/>
        <w:adjustRightInd w:val="0"/>
        <w:spacing w:line="360" w:lineRule="auto"/>
        <w:rPr>
          <w:rFonts w:hint="eastAsia" w:ascii="宋体" w:hAnsi="宋体" w:cs="宋体"/>
          <w:color w:val="auto"/>
          <w:sz w:val="36"/>
          <w:szCs w:val="36"/>
          <w:highlight w:val="none"/>
        </w:rPr>
      </w:pPr>
      <w:r>
        <w:rPr>
          <w:rFonts w:hint="eastAsia" w:ascii="宋体" w:hAnsi="宋体" w:cs="宋体"/>
          <w:color w:val="auto"/>
          <w:sz w:val="36"/>
          <w:szCs w:val="36"/>
          <w:highlight w:val="none"/>
        </w:rPr>
        <w:t>时间：</w:t>
      </w:r>
    </w:p>
    <w:p w14:paraId="201A3CF3">
      <w:pPr>
        <w:shd w:val="clear"/>
        <w:spacing w:line="360" w:lineRule="auto"/>
        <w:rPr>
          <w:rFonts w:hint="eastAsia" w:ascii="宋体" w:hAnsi="宋体" w:cs="宋体"/>
          <w:color w:val="auto"/>
          <w:sz w:val="24"/>
          <w:szCs w:val="32"/>
          <w:highlight w:val="none"/>
        </w:rPr>
      </w:pPr>
    </w:p>
    <w:p w14:paraId="29A0F00C">
      <w:pPr>
        <w:shd w:val="clear"/>
        <w:spacing w:line="360" w:lineRule="auto"/>
        <w:rPr>
          <w:rFonts w:hint="eastAsia" w:ascii="宋体" w:hAnsi="宋体" w:cs="宋体"/>
          <w:color w:val="auto"/>
          <w:sz w:val="24"/>
          <w:szCs w:val="32"/>
          <w:highlight w:val="none"/>
        </w:rPr>
      </w:pPr>
    </w:p>
    <w:p w14:paraId="1E25D7ED">
      <w:pPr>
        <w:shd w:val="clear"/>
        <w:spacing w:line="360" w:lineRule="auto"/>
        <w:rPr>
          <w:rFonts w:hint="eastAsia" w:ascii="宋体" w:hAnsi="宋体" w:cs="宋体"/>
          <w:color w:val="auto"/>
          <w:sz w:val="24"/>
          <w:szCs w:val="32"/>
          <w:highlight w:val="none"/>
        </w:rPr>
      </w:pPr>
    </w:p>
    <w:p w14:paraId="2CD9513A">
      <w:pPr>
        <w:shd w:val="clear"/>
        <w:spacing w:line="360" w:lineRule="auto"/>
        <w:rPr>
          <w:rFonts w:hint="eastAsia" w:ascii="宋体" w:hAnsi="宋体" w:cs="宋体"/>
          <w:color w:val="auto"/>
          <w:sz w:val="24"/>
          <w:szCs w:val="32"/>
          <w:highlight w:val="none"/>
        </w:rPr>
      </w:pPr>
    </w:p>
    <w:p w14:paraId="280DE567">
      <w:pPr>
        <w:shd w:val="clear"/>
        <w:spacing w:line="360" w:lineRule="auto"/>
        <w:jc w:val="center"/>
        <w:rPr>
          <w:rFonts w:hint="eastAsia" w:ascii="宋体" w:hAnsi="宋体" w:cs="宋体"/>
          <w:b/>
          <w:bCs/>
          <w:color w:val="auto"/>
          <w:sz w:val="32"/>
          <w:szCs w:val="40"/>
          <w:highlight w:val="none"/>
        </w:rPr>
      </w:pPr>
      <w:r>
        <w:rPr>
          <w:rFonts w:hint="eastAsia" w:ascii="宋体" w:hAnsi="宋体" w:cs="宋体"/>
          <w:b/>
          <w:bCs/>
          <w:color w:val="auto"/>
          <w:sz w:val="32"/>
          <w:szCs w:val="40"/>
          <w:highlight w:val="none"/>
          <w:lang w:val="zh-CN"/>
        </w:rPr>
        <w:t>商务与技术文件</w:t>
      </w:r>
      <w:r>
        <w:rPr>
          <w:rFonts w:hint="eastAsia" w:ascii="宋体" w:hAnsi="宋体" w:cs="宋体"/>
          <w:b/>
          <w:bCs/>
          <w:color w:val="auto"/>
          <w:sz w:val="32"/>
          <w:szCs w:val="40"/>
          <w:highlight w:val="none"/>
        </w:rPr>
        <w:t>目录</w:t>
      </w:r>
    </w:p>
    <w:p w14:paraId="38267743">
      <w:pPr>
        <w:shd w:val="clear"/>
        <w:spacing w:line="360" w:lineRule="auto"/>
        <w:jc w:val="left"/>
        <w:rPr>
          <w:rFonts w:hint="eastAsia"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t>第一部分  技术方案描述部分</w:t>
      </w:r>
    </w:p>
    <w:p w14:paraId="36BA0CD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1、投标人情况介绍（附件10）；</w:t>
      </w:r>
    </w:p>
    <w:p w14:paraId="1A8AB91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2、项目需求的理解与分析；</w:t>
      </w:r>
    </w:p>
    <w:p w14:paraId="56EAA6C7">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3、项目组织实施方案（附件11、附件12）； </w:t>
      </w:r>
    </w:p>
    <w:p w14:paraId="030D05D3">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4、安装、调试及验收方案；</w:t>
      </w:r>
    </w:p>
    <w:p w14:paraId="25A527DA">
      <w:pPr>
        <w:shd w:val="clear"/>
        <w:spacing w:line="360" w:lineRule="auto"/>
        <w:jc w:val="left"/>
        <w:rPr>
          <w:rFonts w:hint="eastAsia"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t>第二部分  投标产品描述部分</w:t>
      </w:r>
    </w:p>
    <w:p w14:paraId="4BF69284">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1、投标产品描述及相关资料（附件13、附件14）；</w:t>
      </w:r>
    </w:p>
    <w:p w14:paraId="4D5FA4E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2、投标人需要说明的其他内容；（包括可能影响投标人技术性能评分项的各类证明材料）</w:t>
      </w:r>
    </w:p>
    <w:p w14:paraId="6945E850">
      <w:pPr>
        <w:shd w:val="clear"/>
        <w:spacing w:line="360" w:lineRule="auto"/>
        <w:jc w:val="left"/>
        <w:rPr>
          <w:rFonts w:hint="eastAsia"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t>第三部分  商务响应部分</w:t>
      </w:r>
    </w:p>
    <w:p w14:paraId="39EE405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1、证书一览表（附件15）；</w:t>
      </w:r>
    </w:p>
    <w:p w14:paraId="04265BEA">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2、近三年来类似项目的成功案例（附件16）</w:t>
      </w:r>
    </w:p>
    <w:p w14:paraId="4EA0D67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3、售后服务描述及承诺（附件17，附件18）；</w:t>
      </w:r>
    </w:p>
    <w:p w14:paraId="0B51088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4、代理证明（或制造商出具的授权书）；</w:t>
      </w:r>
    </w:p>
    <w:p w14:paraId="3EC1B0D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5、供应商为医疗器械生产企业的：第二类、第三类医疗器械生产企业提供《医疗器械生产许可证》、第一类医疗器械生产企业提供第一类医疗器械生产备案凭证；</w:t>
      </w:r>
    </w:p>
    <w:p w14:paraId="27AAC522">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供应商为医疗器械经营企业的：第三类医疗器械经营企业提供《医疗器械经营许可证》、第二类医疗器械经营企业提供第二类医疗器械经营备案凭证；（适用于按医疗器械管理的货物）；</w:t>
      </w:r>
    </w:p>
    <w:p w14:paraId="5D5981B1">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食品药品监督管理部门核发的完整有效的医疗器械注册或备案证明；（适用于按医疗器械管理的设备）；</w:t>
      </w:r>
    </w:p>
    <w:p w14:paraId="4DD1430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6、投标人需要说明的其他内容。（包括可能影响投标人企业实力及信誉评分项以及售后服务评分项的各类证明材料）</w:t>
      </w:r>
    </w:p>
    <w:p w14:paraId="70067588">
      <w:pPr>
        <w:shd w:val="clear"/>
        <w:spacing w:line="360" w:lineRule="auto"/>
        <w:rPr>
          <w:rFonts w:hint="eastAsia" w:ascii="宋体" w:hAnsi="宋体" w:cs="宋体"/>
          <w:color w:val="auto"/>
          <w:sz w:val="24"/>
          <w:szCs w:val="32"/>
          <w:highlight w:val="none"/>
          <w:lang w:val="zh-CN"/>
        </w:rPr>
      </w:pPr>
    </w:p>
    <w:p w14:paraId="42D7CF81">
      <w:pPr>
        <w:shd w:val="clear"/>
        <w:spacing w:line="360" w:lineRule="auto"/>
        <w:rPr>
          <w:rFonts w:hint="eastAsia" w:ascii="宋体" w:hAnsi="宋体" w:cs="宋体"/>
          <w:color w:val="auto"/>
          <w:sz w:val="24"/>
          <w:szCs w:val="32"/>
          <w:highlight w:val="none"/>
          <w:lang w:val="zh-CN"/>
        </w:rPr>
      </w:pPr>
    </w:p>
    <w:p w14:paraId="6C404D52">
      <w:pPr>
        <w:shd w:val="clear"/>
        <w:spacing w:line="360" w:lineRule="auto"/>
        <w:rPr>
          <w:rFonts w:hint="eastAsia" w:ascii="宋体" w:hAnsi="宋体" w:cs="宋体"/>
          <w:color w:val="auto"/>
          <w:sz w:val="24"/>
          <w:szCs w:val="32"/>
          <w:highlight w:val="none"/>
          <w:lang w:val="zh-CN"/>
        </w:rPr>
      </w:pPr>
    </w:p>
    <w:p w14:paraId="79E32B3C">
      <w:pPr>
        <w:shd w:val="clear"/>
        <w:spacing w:line="480" w:lineRule="exact"/>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10</w:t>
      </w:r>
    </w:p>
    <w:p w14:paraId="1AFEA518">
      <w:pPr>
        <w:shd w:val="clear"/>
        <w:spacing w:line="480" w:lineRule="exact"/>
        <w:jc w:val="center"/>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投标人基本情况表</w:t>
      </w:r>
    </w:p>
    <w:tbl>
      <w:tblPr>
        <w:tblStyle w:val="29"/>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14:paraId="1E245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vAlign w:val="center"/>
          </w:tcPr>
          <w:p w14:paraId="36104CC8">
            <w:pPr>
              <w:pStyle w:val="71"/>
              <w:shd w:val="clear"/>
              <w:spacing w:line="360" w:lineRule="auto"/>
              <w:jc w:val="both"/>
              <w:rPr>
                <w:rFonts w:hint="eastAsia"/>
                <w:bCs/>
                <w:color w:val="auto"/>
                <w:highlight w:val="none"/>
              </w:rPr>
            </w:pPr>
            <w:r>
              <w:rPr>
                <w:rFonts w:hint="eastAsia"/>
                <w:bCs/>
                <w:color w:val="auto"/>
                <w:spacing w:val="27"/>
                <w:highlight w:val="none"/>
              </w:rPr>
              <w:t>企业名称</w:t>
            </w:r>
          </w:p>
        </w:tc>
        <w:tc>
          <w:tcPr>
            <w:tcW w:w="3765" w:type="dxa"/>
            <w:gridSpan w:val="6"/>
            <w:vAlign w:val="center"/>
          </w:tcPr>
          <w:p w14:paraId="2A5E5DF0">
            <w:pPr>
              <w:pStyle w:val="71"/>
              <w:shd w:val="clear"/>
              <w:spacing w:line="360" w:lineRule="auto"/>
              <w:jc w:val="both"/>
              <w:rPr>
                <w:rFonts w:hint="eastAsia"/>
                <w:bCs/>
                <w:color w:val="auto"/>
                <w:highlight w:val="none"/>
              </w:rPr>
            </w:pPr>
          </w:p>
        </w:tc>
        <w:tc>
          <w:tcPr>
            <w:tcW w:w="1560" w:type="dxa"/>
            <w:vAlign w:val="center"/>
          </w:tcPr>
          <w:p w14:paraId="01468C65">
            <w:pPr>
              <w:pStyle w:val="71"/>
              <w:shd w:val="clear"/>
              <w:spacing w:line="360" w:lineRule="auto"/>
              <w:jc w:val="center"/>
              <w:rPr>
                <w:rFonts w:hint="eastAsia"/>
                <w:bCs/>
                <w:color w:val="auto"/>
                <w:highlight w:val="none"/>
              </w:rPr>
            </w:pPr>
            <w:r>
              <w:rPr>
                <w:rFonts w:hint="eastAsia"/>
                <w:bCs/>
                <w:color w:val="auto"/>
                <w:spacing w:val="16"/>
                <w:highlight w:val="none"/>
              </w:rPr>
              <w:t>法人代表</w:t>
            </w:r>
          </w:p>
        </w:tc>
        <w:tc>
          <w:tcPr>
            <w:tcW w:w="2608" w:type="dxa"/>
            <w:gridSpan w:val="3"/>
            <w:vAlign w:val="center"/>
          </w:tcPr>
          <w:p w14:paraId="0A84A7C1">
            <w:pPr>
              <w:pStyle w:val="71"/>
              <w:shd w:val="clear"/>
              <w:spacing w:line="360" w:lineRule="auto"/>
              <w:jc w:val="both"/>
              <w:rPr>
                <w:rFonts w:hint="eastAsia"/>
                <w:bCs/>
                <w:color w:val="auto"/>
                <w:highlight w:val="none"/>
              </w:rPr>
            </w:pPr>
          </w:p>
        </w:tc>
      </w:tr>
      <w:tr w14:paraId="2278C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vAlign w:val="center"/>
          </w:tcPr>
          <w:p w14:paraId="7467BC55">
            <w:pPr>
              <w:pStyle w:val="71"/>
              <w:shd w:val="clear"/>
              <w:spacing w:line="360" w:lineRule="auto"/>
              <w:jc w:val="both"/>
              <w:rPr>
                <w:rFonts w:hint="eastAsia"/>
                <w:bCs/>
                <w:color w:val="auto"/>
                <w:spacing w:val="16"/>
                <w:highlight w:val="none"/>
              </w:rPr>
            </w:pPr>
            <w:r>
              <w:rPr>
                <w:rFonts w:hint="eastAsia"/>
                <w:bCs/>
                <w:color w:val="auto"/>
                <w:spacing w:val="27"/>
                <w:highlight w:val="none"/>
              </w:rPr>
              <w:t>地址</w:t>
            </w:r>
          </w:p>
        </w:tc>
        <w:tc>
          <w:tcPr>
            <w:tcW w:w="3765" w:type="dxa"/>
            <w:gridSpan w:val="6"/>
            <w:tcBorders>
              <w:bottom w:val="single" w:color="auto" w:sz="4" w:space="0"/>
            </w:tcBorders>
            <w:vAlign w:val="center"/>
          </w:tcPr>
          <w:p w14:paraId="4AB0FE67">
            <w:pPr>
              <w:pStyle w:val="71"/>
              <w:shd w:val="clear"/>
              <w:spacing w:line="360" w:lineRule="auto"/>
              <w:jc w:val="both"/>
              <w:rPr>
                <w:rFonts w:hint="eastAsia"/>
                <w:bCs/>
                <w:color w:val="auto"/>
                <w:spacing w:val="16"/>
                <w:highlight w:val="none"/>
              </w:rPr>
            </w:pPr>
          </w:p>
        </w:tc>
        <w:tc>
          <w:tcPr>
            <w:tcW w:w="1560" w:type="dxa"/>
            <w:vAlign w:val="center"/>
          </w:tcPr>
          <w:p w14:paraId="031C9ED9">
            <w:pPr>
              <w:pStyle w:val="71"/>
              <w:shd w:val="clear"/>
              <w:spacing w:line="360" w:lineRule="auto"/>
              <w:jc w:val="center"/>
              <w:rPr>
                <w:rFonts w:hint="eastAsia"/>
                <w:bCs/>
                <w:color w:val="auto"/>
                <w:spacing w:val="16"/>
                <w:highlight w:val="none"/>
              </w:rPr>
            </w:pPr>
            <w:r>
              <w:rPr>
                <w:rFonts w:hint="eastAsia"/>
                <w:bCs/>
                <w:color w:val="auto"/>
                <w:spacing w:val="16"/>
                <w:highlight w:val="none"/>
              </w:rPr>
              <w:t>企业性质</w:t>
            </w:r>
          </w:p>
        </w:tc>
        <w:tc>
          <w:tcPr>
            <w:tcW w:w="2608" w:type="dxa"/>
            <w:gridSpan w:val="3"/>
            <w:vAlign w:val="center"/>
          </w:tcPr>
          <w:p w14:paraId="7C068DBF">
            <w:pPr>
              <w:pStyle w:val="71"/>
              <w:shd w:val="clear"/>
              <w:spacing w:line="360" w:lineRule="auto"/>
              <w:jc w:val="both"/>
              <w:rPr>
                <w:rFonts w:hint="eastAsia"/>
                <w:bCs/>
                <w:color w:val="auto"/>
                <w:spacing w:val="16"/>
                <w:highlight w:val="none"/>
              </w:rPr>
            </w:pPr>
          </w:p>
        </w:tc>
      </w:tr>
      <w:tr w14:paraId="5A0A6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tcBorders>
              <w:bottom w:val="single" w:color="auto" w:sz="4" w:space="0"/>
            </w:tcBorders>
            <w:vAlign w:val="center"/>
          </w:tcPr>
          <w:p w14:paraId="0F0ED912">
            <w:pPr>
              <w:pStyle w:val="71"/>
              <w:shd w:val="clear"/>
              <w:spacing w:line="360" w:lineRule="auto"/>
              <w:jc w:val="both"/>
              <w:rPr>
                <w:rFonts w:hint="eastAsia"/>
                <w:bCs/>
                <w:color w:val="auto"/>
                <w:spacing w:val="16"/>
                <w:highlight w:val="none"/>
              </w:rPr>
            </w:pPr>
            <w:r>
              <w:rPr>
                <w:rFonts w:hint="eastAsia"/>
                <w:bCs/>
                <w:color w:val="auto"/>
                <w:spacing w:val="27"/>
                <w:highlight w:val="none"/>
              </w:rPr>
              <w:t>股东姓名</w:t>
            </w:r>
          </w:p>
        </w:tc>
        <w:tc>
          <w:tcPr>
            <w:tcW w:w="690" w:type="dxa"/>
            <w:tcBorders>
              <w:bottom w:val="single" w:color="auto" w:sz="4" w:space="0"/>
            </w:tcBorders>
            <w:vAlign w:val="center"/>
          </w:tcPr>
          <w:p w14:paraId="47AA46A1">
            <w:pPr>
              <w:pStyle w:val="71"/>
              <w:shd w:val="clear"/>
              <w:spacing w:before="0" w:beforeAutospacing="0" w:after="0" w:afterAutospacing="0" w:line="360" w:lineRule="auto"/>
              <w:jc w:val="both"/>
              <w:rPr>
                <w:rFonts w:hint="eastAsia"/>
                <w:bCs/>
                <w:color w:val="auto"/>
                <w:spacing w:val="16"/>
                <w:highlight w:val="none"/>
              </w:rPr>
            </w:pPr>
          </w:p>
        </w:tc>
        <w:tc>
          <w:tcPr>
            <w:tcW w:w="960" w:type="dxa"/>
            <w:gridSpan w:val="2"/>
            <w:tcBorders>
              <w:bottom w:val="single" w:color="auto" w:sz="4" w:space="0"/>
            </w:tcBorders>
            <w:vAlign w:val="center"/>
          </w:tcPr>
          <w:p w14:paraId="6A646614">
            <w:pPr>
              <w:pStyle w:val="71"/>
              <w:shd w:val="clear"/>
              <w:spacing w:line="360" w:lineRule="auto"/>
              <w:jc w:val="both"/>
              <w:rPr>
                <w:rFonts w:hint="eastAsia"/>
                <w:bCs/>
                <w:color w:val="auto"/>
                <w:spacing w:val="16"/>
                <w:highlight w:val="none"/>
              </w:rPr>
            </w:pPr>
            <w:r>
              <w:rPr>
                <w:rFonts w:hint="eastAsia"/>
                <w:bCs/>
                <w:color w:val="auto"/>
                <w:spacing w:val="16"/>
                <w:highlight w:val="none"/>
              </w:rPr>
              <w:t>股权结构（%）</w:t>
            </w:r>
          </w:p>
        </w:tc>
        <w:tc>
          <w:tcPr>
            <w:tcW w:w="2115" w:type="dxa"/>
            <w:gridSpan w:val="3"/>
            <w:tcBorders>
              <w:bottom w:val="single" w:color="auto" w:sz="4" w:space="0"/>
            </w:tcBorders>
            <w:vAlign w:val="center"/>
          </w:tcPr>
          <w:p w14:paraId="28ACF412">
            <w:pPr>
              <w:widowControl/>
              <w:shd w:val="clear"/>
              <w:spacing w:line="360" w:lineRule="auto"/>
              <w:rPr>
                <w:rFonts w:hint="eastAsia" w:ascii="宋体" w:hAnsi="宋体" w:cs="宋体"/>
                <w:bCs/>
                <w:color w:val="auto"/>
                <w:spacing w:val="16"/>
                <w:kern w:val="0"/>
                <w:sz w:val="24"/>
                <w:highlight w:val="none"/>
              </w:rPr>
            </w:pPr>
          </w:p>
          <w:p w14:paraId="0E1C121C">
            <w:pPr>
              <w:pStyle w:val="71"/>
              <w:shd w:val="clear"/>
              <w:spacing w:line="360" w:lineRule="auto"/>
              <w:jc w:val="both"/>
              <w:rPr>
                <w:rFonts w:hint="eastAsia"/>
                <w:bCs/>
                <w:color w:val="auto"/>
                <w:spacing w:val="16"/>
                <w:highlight w:val="none"/>
              </w:rPr>
            </w:pPr>
          </w:p>
        </w:tc>
        <w:tc>
          <w:tcPr>
            <w:tcW w:w="1560" w:type="dxa"/>
            <w:vAlign w:val="center"/>
          </w:tcPr>
          <w:p w14:paraId="65EF7F28">
            <w:pPr>
              <w:pStyle w:val="71"/>
              <w:shd w:val="clear"/>
              <w:spacing w:line="360" w:lineRule="auto"/>
              <w:ind w:left="107"/>
              <w:jc w:val="center"/>
              <w:rPr>
                <w:rFonts w:hint="eastAsia"/>
                <w:bCs/>
                <w:color w:val="auto"/>
                <w:spacing w:val="16"/>
                <w:highlight w:val="none"/>
              </w:rPr>
            </w:pPr>
            <w:r>
              <w:rPr>
                <w:rFonts w:hint="eastAsia"/>
                <w:bCs/>
                <w:color w:val="auto"/>
                <w:spacing w:val="16"/>
                <w:highlight w:val="none"/>
              </w:rPr>
              <w:t>股东关系</w:t>
            </w:r>
          </w:p>
        </w:tc>
        <w:tc>
          <w:tcPr>
            <w:tcW w:w="2608" w:type="dxa"/>
            <w:gridSpan w:val="3"/>
            <w:vAlign w:val="center"/>
          </w:tcPr>
          <w:p w14:paraId="2FEE0A35">
            <w:pPr>
              <w:pStyle w:val="71"/>
              <w:shd w:val="clear"/>
              <w:spacing w:line="360" w:lineRule="auto"/>
              <w:ind w:left="107"/>
              <w:jc w:val="both"/>
              <w:rPr>
                <w:rFonts w:hint="eastAsia"/>
                <w:bCs/>
                <w:color w:val="auto"/>
                <w:spacing w:val="16"/>
                <w:highlight w:val="none"/>
              </w:rPr>
            </w:pPr>
          </w:p>
        </w:tc>
      </w:tr>
      <w:tr w14:paraId="082E0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vAlign w:val="center"/>
          </w:tcPr>
          <w:p w14:paraId="5B9AF3D0">
            <w:pPr>
              <w:pStyle w:val="71"/>
              <w:shd w:val="clear"/>
              <w:spacing w:line="360" w:lineRule="auto"/>
              <w:jc w:val="both"/>
              <w:rPr>
                <w:rFonts w:hint="eastAsia"/>
                <w:bCs/>
                <w:color w:val="auto"/>
                <w:spacing w:val="16"/>
                <w:highlight w:val="none"/>
              </w:rPr>
            </w:pPr>
            <w:r>
              <w:rPr>
                <w:rFonts w:hint="eastAsia"/>
                <w:bCs/>
                <w:color w:val="auto"/>
                <w:spacing w:val="12"/>
                <w:highlight w:val="none"/>
              </w:rPr>
              <w:t>联系人</w:t>
            </w:r>
            <w:r>
              <w:rPr>
                <w:rFonts w:hint="eastAsia"/>
                <w:bCs/>
                <w:color w:val="auto"/>
                <w:spacing w:val="27"/>
                <w:highlight w:val="none"/>
              </w:rPr>
              <w:t>姓名</w:t>
            </w:r>
          </w:p>
        </w:tc>
        <w:tc>
          <w:tcPr>
            <w:tcW w:w="690" w:type="dxa"/>
            <w:vMerge w:val="restart"/>
            <w:tcBorders>
              <w:top w:val="nil"/>
            </w:tcBorders>
            <w:vAlign w:val="center"/>
          </w:tcPr>
          <w:p w14:paraId="6288649A">
            <w:pPr>
              <w:pStyle w:val="71"/>
              <w:shd w:val="clear"/>
              <w:spacing w:line="360" w:lineRule="auto"/>
              <w:jc w:val="both"/>
              <w:rPr>
                <w:rFonts w:hint="eastAsia"/>
                <w:bCs/>
                <w:color w:val="auto"/>
                <w:spacing w:val="16"/>
                <w:highlight w:val="none"/>
              </w:rPr>
            </w:pPr>
          </w:p>
        </w:tc>
        <w:tc>
          <w:tcPr>
            <w:tcW w:w="960" w:type="dxa"/>
            <w:gridSpan w:val="2"/>
            <w:tcBorders>
              <w:top w:val="nil"/>
              <w:bottom w:val="single" w:color="auto" w:sz="4" w:space="0"/>
            </w:tcBorders>
            <w:vAlign w:val="center"/>
          </w:tcPr>
          <w:p w14:paraId="25885352">
            <w:pPr>
              <w:pStyle w:val="71"/>
              <w:shd w:val="clear"/>
              <w:spacing w:line="360" w:lineRule="auto"/>
              <w:jc w:val="both"/>
              <w:rPr>
                <w:rFonts w:hint="eastAsia"/>
                <w:bCs/>
                <w:color w:val="auto"/>
                <w:spacing w:val="16"/>
                <w:highlight w:val="none"/>
              </w:rPr>
            </w:pPr>
            <w:r>
              <w:rPr>
                <w:rFonts w:hint="eastAsia"/>
                <w:bCs/>
                <w:color w:val="auto"/>
                <w:spacing w:val="16"/>
                <w:highlight w:val="none"/>
              </w:rPr>
              <w:t>固定电话</w:t>
            </w:r>
          </w:p>
        </w:tc>
        <w:tc>
          <w:tcPr>
            <w:tcW w:w="2115" w:type="dxa"/>
            <w:gridSpan w:val="3"/>
            <w:tcBorders>
              <w:top w:val="nil"/>
              <w:bottom w:val="single" w:color="auto" w:sz="4" w:space="0"/>
            </w:tcBorders>
            <w:vAlign w:val="center"/>
          </w:tcPr>
          <w:p w14:paraId="79F12F6D">
            <w:pPr>
              <w:widowControl/>
              <w:shd w:val="clear"/>
              <w:spacing w:line="360" w:lineRule="auto"/>
              <w:rPr>
                <w:rFonts w:hint="eastAsia" w:ascii="宋体" w:hAnsi="宋体" w:cs="宋体"/>
                <w:bCs/>
                <w:color w:val="auto"/>
                <w:spacing w:val="16"/>
                <w:kern w:val="0"/>
                <w:sz w:val="24"/>
                <w:highlight w:val="none"/>
              </w:rPr>
            </w:pPr>
          </w:p>
          <w:p w14:paraId="34B5631B">
            <w:pPr>
              <w:pStyle w:val="71"/>
              <w:shd w:val="clear"/>
              <w:spacing w:line="360" w:lineRule="auto"/>
              <w:jc w:val="both"/>
              <w:rPr>
                <w:rFonts w:hint="eastAsia"/>
                <w:bCs/>
                <w:color w:val="auto"/>
                <w:spacing w:val="16"/>
                <w:highlight w:val="none"/>
              </w:rPr>
            </w:pPr>
          </w:p>
        </w:tc>
        <w:tc>
          <w:tcPr>
            <w:tcW w:w="1560" w:type="dxa"/>
            <w:vMerge w:val="restart"/>
            <w:vAlign w:val="center"/>
          </w:tcPr>
          <w:p w14:paraId="2DA7DC0D">
            <w:pPr>
              <w:pStyle w:val="71"/>
              <w:shd w:val="clear"/>
              <w:spacing w:before="0" w:beforeAutospacing="0" w:after="0" w:afterAutospacing="0" w:line="360" w:lineRule="auto"/>
              <w:jc w:val="center"/>
              <w:rPr>
                <w:rFonts w:hint="eastAsia"/>
                <w:bCs/>
                <w:color w:val="auto"/>
                <w:spacing w:val="16"/>
                <w:highlight w:val="none"/>
              </w:rPr>
            </w:pPr>
            <w:r>
              <w:rPr>
                <w:rFonts w:hint="eastAsia"/>
                <w:bCs/>
                <w:color w:val="auto"/>
                <w:spacing w:val="16"/>
                <w:highlight w:val="none"/>
              </w:rPr>
              <w:t>传真</w:t>
            </w:r>
          </w:p>
        </w:tc>
        <w:tc>
          <w:tcPr>
            <w:tcW w:w="2608" w:type="dxa"/>
            <w:gridSpan w:val="3"/>
            <w:vMerge w:val="restart"/>
            <w:vAlign w:val="center"/>
          </w:tcPr>
          <w:p w14:paraId="1BB19F04">
            <w:pPr>
              <w:pStyle w:val="71"/>
              <w:shd w:val="clear"/>
              <w:spacing w:line="360" w:lineRule="auto"/>
              <w:jc w:val="both"/>
              <w:rPr>
                <w:rFonts w:hint="eastAsia"/>
                <w:bCs/>
                <w:color w:val="auto"/>
                <w:spacing w:val="16"/>
                <w:highlight w:val="none"/>
              </w:rPr>
            </w:pPr>
          </w:p>
        </w:tc>
      </w:tr>
      <w:tr w14:paraId="72DB3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tcBorders>
              <w:bottom w:val="single" w:color="auto" w:sz="4" w:space="0"/>
            </w:tcBorders>
            <w:vAlign w:val="center"/>
          </w:tcPr>
          <w:p w14:paraId="6945B938">
            <w:pPr>
              <w:pStyle w:val="71"/>
              <w:shd w:val="clear"/>
              <w:spacing w:line="360" w:lineRule="auto"/>
              <w:ind w:left="107"/>
              <w:jc w:val="both"/>
              <w:rPr>
                <w:rFonts w:hint="eastAsia"/>
                <w:bCs/>
                <w:color w:val="auto"/>
                <w:highlight w:val="none"/>
              </w:rPr>
            </w:pPr>
          </w:p>
        </w:tc>
        <w:tc>
          <w:tcPr>
            <w:tcW w:w="690" w:type="dxa"/>
            <w:vMerge w:val="continue"/>
            <w:tcBorders>
              <w:bottom w:val="single" w:color="auto" w:sz="4" w:space="0"/>
            </w:tcBorders>
            <w:vAlign w:val="center"/>
          </w:tcPr>
          <w:p w14:paraId="32DF8145">
            <w:pPr>
              <w:pStyle w:val="71"/>
              <w:shd w:val="clear"/>
              <w:spacing w:line="360" w:lineRule="auto"/>
              <w:jc w:val="both"/>
              <w:rPr>
                <w:rFonts w:hint="eastAsia"/>
                <w:bCs/>
                <w:color w:val="auto"/>
                <w:spacing w:val="16"/>
                <w:highlight w:val="none"/>
              </w:rPr>
            </w:pPr>
          </w:p>
        </w:tc>
        <w:tc>
          <w:tcPr>
            <w:tcW w:w="960" w:type="dxa"/>
            <w:gridSpan w:val="2"/>
            <w:tcBorders>
              <w:bottom w:val="single" w:color="auto" w:sz="4" w:space="0"/>
            </w:tcBorders>
            <w:vAlign w:val="center"/>
          </w:tcPr>
          <w:p w14:paraId="436F0B6F">
            <w:pPr>
              <w:pStyle w:val="71"/>
              <w:shd w:val="clear"/>
              <w:spacing w:line="360" w:lineRule="auto"/>
              <w:jc w:val="both"/>
              <w:rPr>
                <w:rFonts w:hint="eastAsia"/>
                <w:bCs/>
                <w:color w:val="auto"/>
                <w:spacing w:val="16"/>
                <w:highlight w:val="none"/>
              </w:rPr>
            </w:pPr>
            <w:r>
              <w:rPr>
                <w:rFonts w:hint="eastAsia"/>
                <w:bCs/>
                <w:color w:val="auto"/>
                <w:spacing w:val="27"/>
                <w:highlight w:val="none"/>
              </w:rPr>
              <w:t>手机</w:t>
            </w:r>
          </w:p>
        </w:tc>
        <w:tc>
          <w:tcPr>
            <w:tcW w:w="2115" w:type="dxa"/>
            <w:gridSpan w:val="3"/>
            <w:tcBorders>
              <w:bottom w:val="single" w:color="auto" w:sz="4" w:space="0"/>
            </w:tcBorders>
            <w:vAlign w:val="center"/>
          </w:tcPr>
          <w:p w14:paraId="16167339">
            <w:pPr>
              <w:pStyle w:val="71"/>
              <w:shd w:val="clear"/>
              <w:spacing w:line="360" w:lineRule="auto"/>
              <w:jc w:val="both"/>
              <w:rPr>
                <w:rFonts w:hint="eastAsia"/>
                <w:bCs/>
                <w:color w:val="auto"/>
                <w:spacing w:val="16"/>
                <w:highlight w:val="none"/>
              </w:rPr>
            </w:pPr>
          </w:p>
        </w:tc>
        <w:tc>
          <w:tcPr>
            <w:tcW w:w="1560" w:type="dxa"/>
            <w:vMerge w:val="continue"/>
            <w:vAlign w:val="center"/>
          </w:tcPr>
          <w:p w14:paraId="764F19A3">
            <w:pPr>
              <w:pStyle w:val="71"/>
              <w:shd w:val="clear"/>
              <w:spacing w:line="360" w:lineRule="auto"/>
              <w:jc w:val="center"/>
              <w:rPr>
                <w:rFonts w:hint="eastAsia"/>
                <w:bCs/>
                <w:color w:val="auto"/>
                <w:spacing w:val="16"/>
                <w:highlight w:val="none"/>
              </w:rPr>
            </w:pPr>
          </w:p>
        </w:tc>
        <w:tc>
          <w:tcPr>
            <w:tcW w:w="2608" w:type="dxa"/>
            <w:gridSpan w:val="3"/>
            <w:vMerge w:val="continue"/>
            <w:vAlign w:val="center"/>
          </w:tcPr>
          <w:p w14:paraId="53976A70">
            <w:pPr>
              <w:pStyle w:val="71"/>
              <w:shd w:val="clear"/>
              <w:spacing w:line="360" w:lineRule="auto"/>
              <w:jc w:val="both"/>
              <w:rPr>
                <w:rFonts w:hint="eastAsia"/>
                <w:bCs/>
                <w:color w:val="auto"/>
                <w:spacing w:val="16"/>
                <w:highlight w:val="none"/>
              </w:rPr>
            </w:pPr>
          </w:p>
        </w:tc>
      </w:tr>
      <w:tr w14:paraId="6325F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vAlign w:val="center"/>
          </w:tcPr>
          <w:p w14:paraId="5FE674BE">
            <w:pPr>
              <w:pStyle w:val="71"/>
              <w:shd w:val="clear"/>
              <w:spacing w:line="360" w:lineRule="auto"/>
              <w:ind w:left="107"/>
              <w:jc w:val="both"/>
              <w:rPr>
                <w:rFonts w:hint="eastAsia"/>
                <w:bCs/>
                <w:color w:val="auto"/>
                <w:highlight w:val="none"/>
              </w:rPr>
            </w:pPr>
            <w:r>
              <w:rPr>
                <w:rFonts w:hint="eastAsia"/>
                <w:bCs/>
                <w:color w:val="auto"/>
                <w:highlight w:val="none"/>
              </w:rPr>
              <w:t>1.</w:t>
            </w:r>
          </w:p>
          <w:p w14:paraId="271988D9">
            <w:pPr>
              <w:pStyle w:val="71"/>
              <w:shd w:val="clear"/>
              <w:spacing w:line="360" w:lineRule="auto"/>
              <w:ind w:left="107"/>
              <w:jc w:val="both"/>
              <w:rPr>
                <w:rFonts w:hint="eastAsia"/>
                <w:bCs/>
                <w:color w:val="auto"/>
                <w:highlight w:val="none"/>
              </w:rPr>
            </w:pPr>
            <w:r>
              <w:rPr>
                <w:rFonts w:hint="eastAsia"/>
                <w:bCs/>
                <w:color w:val="auto"/>
                <w:highlight w:val="none"/>
              </w:rPr>
              <w:t>企</w:t>
            </w:r>
          </w:p>
          <w:p w14:paraId="19A3AEEC">
            <w:pPr>
              <w:pStyle w:val="71"/>
              <w:shd w:val="clear"/>
              <w:spacing w:line="360" w:lineRule="auto"/>
              <w:ind w:left="107"/>
              <w:jc w:val="both"/>
              <w:rPr>
                <w:rFonts w:hint="eastAsia"/>
                <w:bCs/>
                <w:color w:val="auto"/>
                <w:highlight w:val="none"/>
              </w:rPr>
            </w:pPr>
            <w:r>
              <w:rPr>
                <w:rFonts w:hint="eastAsia"/>
                <w:bCs/>
                <w:color w:val="auto"/>
                <w:highlight w:val="none"/>
              </w:rPr>
              <w:t>业</w:t>
            </w:r>
          </w:p>
          <w:p w14:paraId="377A4F27">
            <w:pPr>
              <w:pStyle w:val="71"/>
              <w:shd w:val="clear"/>
              <w:spacing w:line="360" w:lineRule="auto"/>
              <w:ind w:left="107"/>
              <w:jc w:val="both"/>
              <w:rPr>
                <w:rFonts w:hint="eastAsia"/>
                <w:bCs/>
                <w:color w:val="auto"/>
                <w:spacing w:val="27"/>
                <w:highlight w:val="none"/>
              </w:rPr>
            </w:pPr>
            <w:r>
              <w:rPr>
                <w:rFonts w:hint="eastAsia"/>
                <w:bCs/>
                <w:color w:val="auto"/>
                <w:spacing w:val="27"/>
                <w:highlight w:val="none"/>
              </w:rPr>
              <w:t>概</w:t>
            </w:r>
          </w:p>
          <w:p w14:paraId="6A3B6694">
            <w:pPr>
              <w:pStyle w:val="71"/>
              <w:shd w:val="clear"/>
              <w:spacing w:line="360" w:lineRule="auto"/>
              <w:ind w:left="107"/>
              <w:jc w:val="both"/>
              <w:rPr>
                <w:rFonts w:hint="eastAsia"/>
                <w:bCs/>
                <w:color w:val="auto"/>
                <w:highlight w:val="none"/>
              </w:rPr>
            </w:pPr>
            <w:r>
              <w:rPr>
                <w:rFonts w:hint="eastAsia"/>
                <w:bCs/>
                <w:color w:val="auto"/>
                <w:spacing w:val="27"/>
                <w:highlight w:val="none"/>
              </w:rPr>
              <w:t>况</w:t>
            </w:r>
          </w:p>
        </w:tc>
        <w:tc>
          <w:tcPr>
            <w:tcW w:w="690" w:type="dxa"/>
            <w:tcBorders>
              <w:top w:val="nil"/>
            </w:tcBorders>
            <w:vAlign w:val="center"/>
          </w:tcPr>
          <w:p w14:paraId="03DB2CB0">
            <w:pPr>
              <w:pStyle w:val="71"/>
              <w:shd w:val="clear"/>
              <w:spacing w:line="360" w:lineRule="auto"/>
              <w:jc w:val="both"/>
              <w:rPr>
                <w:rFonts w:hint="eastAsia"/>
                <w:bCs/>
                <w:color w:val="auto"/>
                <w:spacing w:val="16"/>
                <w:highlight w:val="none"/>
              </w:rPr>
            </w:pPr>
            <w:r>
              <w:rPr>
                <w:rFonts w:hint="eastAsia"/>
                <w:bCs/>
                <w:color w:val="auto"/>
                <w:spacing w:val="16"/>
                <w:highlight w:val="none"/>
              </w:rPr>
              <w:t>职工人数</w:t>
            </w:r>
          </w:p>
        </w:tc>
        <w:tc>
          <w:tcPr>
            <w:tcW w:w="960" w:type="dxa"/>
            <w:gridSpan w:val="2"/>
            <w:tcBorders>
              <w:top w:val="nil"/>
            </w:tcBorders>
            <w:vAlign w:val="center"/>
          </w:tcPr>
          <w:p w14:paraId="0A4E0527">
            <w:pPr>
              <w:pStyle w:val="71"/>
              <w:shd w:val="clear"/>
              <w:spacing w:line="360" w:lineRule="auto"/>
              <w:jc w:val="both"/>
              <w:rPr>
                <w:rFonts w:hint="eastAsia"/>
                <w:bCs/>
                <w:color w:val="auto"/>
                <w:spacing w:val="16"/>
                <w:highlight w:val="none"/>
              </w:rPr>
            </w:pPr>
          </w:p>
        </w:tc>
        <w:tc>
          <w:tcPr>
            <w:tcW w:w="926" w:type="dxa"/>
            <w:tcBorders>
              <w:top w:val="nil"/>
            </w:tcBorders>
            <w:vAlign w:val="center"/>
          </w:tcPr>
          <w:p w14:paraId="6E2858E5">
            <w:pPr>
              <w:pStyle w:val="71"/>
              <w:shd w:val="clear"/>
              <w:spacing w:before="0" w:beforeAutospacing="0" w:after="0" w:afterAutospacing="0" w:line="360" w:lineRule="auto"/>
              <w:jc w:val="both"/>
              <w:rPr>
                <w:rFonts w:hint="eastAsia"/>
                <w:bCs/>
                <w:color w:val="auto"/>
                <w:highlight w:val="none"/>
              </w:rPr>
            </w:pPr>
            <w:r>
              <w:rPr>
                <w:rFonts w:hint="eastAsia"/>
                <w:bCs/>
                <w:color w:val="auto"/>
                <w:spacing w:val="18"/>
                <w:highlight w:val="none"/>
              </w:rPr>
              <w:t>具备大专以</w:t>
            </w:r>
            <w:r>
              <w:rPr>
                <w:rFonts w:hint="eastAsia"/>
                <w:bCs/>
                <w:color w:val="auto"/>
                <w:spacing w:val="12"/>
                <w:highlight w:val="none"/>
              </w:rPr>
              <w:t>上学历人数</w:t>
            </w:r>
          </w:p>
        </w:tc>
        <w:tc>
          <w:tcPr>
            <w:tcW w:w="1189" w:type="dxa"/>
            <w:gridSpan w:val="2"/>
            <w:tcBorders>
              <w:top w:val="nil"/>
            </w:tcBorders>
            <w:vAlign w:val="center"/>
          </w:tcPr>
          <w:p w14:paraId="1CE73E15">
            <w:pPr>
              <w:widowControl/>
              <w:shd w:val="clear"/>
              <w:spacing w:line="360" w:lineRule="auto"/>
              <w:rPr>
                <w:rFonts w:hint="eastAsia" w:ascii="宋体" w:hAnsi="宋体" w:cs="宋体"/>
                <w:bCs/>
                <w:color w:val="auto"/>
                <w:spacing w:val="16"/>
                <w:kern w:val="0"/>
                <w:sz w:val="24"/>
                <w:highlight w:val="none"/>
              </w:rPr>
            </w:pPr>
          </w:p>
          <w:p w14:paraId="6E456CE4">
            <w:pPr>
              <w:widowControl/>
              <w:shd w:val="clear"/>
              <w:spacing w:line="360" w:lineRule="auto"/>
              <w:rPr>
                <w:rFonts w:hint="eastAsia" w:ascii="宋体" w:hAnsi="宋体" w:cs="宋体"/>
                <w:bCs/>
                <w:color w:val="auto"/>
                <w:spacing w:val="16"/>
                <w:kern w:val="0"/>
                <w:sz w:val="24"/>
                <w:highlight w:val="none"/>
              </w:rPr>
            </w:pPr>
          </w:p>
          <w:p w14:paraId="786F48AE">
            <w:pPr>
              <w:pStyle w:val="71"/>
              <w:shd w:val="clear"/>
              <w:spacing w:line="360" w:lineRule="auto"/>
              <w:jc w:val="both"/>
              <w:rPr>
                <w:rFonts w:hint="eastAsia"/>
                <w:bCs/>
                <w:color w:val="auto"/>
                <w:spacing w:val="16"/>
                <w:highlight w:val="none"/>
              </w:rPr>
            </w:pPr>
          </w:p>
        </w:tc>
        <w:tc>
          <w:tcPr>
            <w:tcW w:w="1560" w:type="dxa"/>
            <w:vAlign w:val="center"/>
          </w:tcPr>
          <w:p w14:paraId="6044441A">
            <w:pPr>
              <w:pStyle w:val="71"/>
              <w:shd w:val="clear"/>
              <w:spacing w:line="360" w:lineRule="auto"/>
              <w:jc w:val="center"/>
              <w:rPr>
                <w:rFonts w:hint="eastAsia"/>
                <w:bCs/>
                <w:color w:val="auto"/>
                <w:spacing w:val="16"/>
                <w:highlight w:val="none"/>
              </w:rPr>
            </w:pPr>
            <w:r>
              <w:rPr>
                <w:rFonts w:hint="eastAsia"/>
                <w:bCs/>
                <w:color w:val="auto"/>
                <w:spacing w:val="65"/>
                <w:highlight w:val="none"/>
              </w:rPr>
              <w:t>国家授予技</w:t>
            </w:r>
            <w:r>
              <w:rPr>
                <w:rFonts w:hint="eastAsia"/>
                <w:bCs/>
                <w:color w:val="auto"/>
                <w:spacing w:val="12"/>
                <w:highlight w:val="none"/>
              </w:rPr>
              <w:t>术职称人数</w:t>
            </w:r>
          </w:p>
        </w:tc>
        <w:tc>
          <w:tcPr>
            <w:tcW w:w="2608" w:type="dxa"/>
            <w:gridSpan w:val="3"/>
            <w:vAlign w:val="center"/>
          </w:tcPr>
          <w:p w14:paraId="35F59441">
            <w:pPr>
              <w:widowControl/>
              <w:shd w:val="clear"/>
              <w:spacing w:line="360" w:lineRule="auto"/>
              <w:rPr>
                <w:rFonts w:hint="eastAsia" w:ascii="宋体" w:hAnsi="宋体" w:cs="宋体"/>
                <w:bCs/>
                <w:color w:val="auto"/>
                <w:spacing w:val="16"/>
                <w:kern w:val="0"/>
                <w:sz w:val="24"/>
                <w:highlight w:val="none"/>
              </w:rPr>
            </w:pPr>
          </w:p>
          <w:p w14:paraId="2945504A">
            <w:pPr>
              <w:pStyle w:val="71"/>
              <w:shd w:val="clear"/>
              <w:spacing w:line="360" w:lineRule="auto"/>
              <w:jc w:val="both"/>
              <w:rPr>
                <w:rFonts w:hint="eastAsia"/>
                <w:bCs/>
                <w:color w:val="auto"/>
                <w:spacing w:val="16"/>
                <w:highlight w:val="none"/>
              </w:rPr>
            </w:pPr>
          </w:p>
        </w:tc>
      </w:tr>
      <w:tr w14:paraId="07E21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vAlign w:val="center"/>
          </w:tcPr>
          <w:p w14:paraId="425E5D3E">
            <w:pPr>
              <w:pStyle w:val="71"/>
              <w:shd w:val="clear"/>
              <w:spacing w:line="360" w:lineRule="auto"/>
              <w:ind w:left="107"/>
              <w:jc w:val="both"/>
              <w:rPr>
                <w:rFonts w:hint="eastAsia"/>
                <w:bCs/>
                <w:color w:val="auto"/>
                <w:highlight w:val="none"/>
              </w:rPr>
            </w:pPr>
          </w:p>
        </w:tc>
        <w:tc>
          <w:tcPr>
            <w:tcW w:w="690" w:type="dxa"/>
            <w:vAlign w:val="center"/>
          </w:tcPr>
          <w:p w14:paraId="392BF6A8">
            <w:pPr>
              <w:pStyle w:val="71"/>
              <w:shd w:val="clear"/>
              <w:spacing w:line="360" w:lineRule="auto"/>
              <w:jc w:val="both"/>
              <w:rPr>
                <w:rFonts w:hint="eastAsia"/>
                <w:bCs/>
                <w:color w:val="auto"/>
                <w:highlight w:val="none"/>
              </w:rPr>
            </w:pPr>
            <w:r>
              <w:rPr>
                <w:rFonts w:hint="eastAsia"/>
                <w:bCs/>
                <w:color w:val="auto"/>
                <w:spacing w:val="16"/>
                <w:highlight w:val="none"/>
              </w:rPr>
              <w:t>占地面积</w:t>
            </w:r>
          </w:p>
        </w:tc>
        <w:tc>
          <w:tcPr>
            <w:tcW w:w="960" w:type="dxa"/>
            <w:gridSpan w:val="2"/>
            <w:vAlign w:val="center"/>
          </w:tcPr>
          <w:p w14:paraId="66A24A6B">
            <w:pPr>
              <w:pStyle w:val="71"/>
              <w:shd w:val="clear"/>
              <w:spacing w:line="360" w:lineRule="auto"/>
              <w:jc w:val="both"/>
              <w:rPr>
                <w:rFonts w:hint="eastAsia"/>
                <w:bCs/>
                <w:color w:val="auto"/>
                <w:highlight w:val="none"/>
              </w:rPr>
            </w:pPr>
          </w:p>
        </w:tc>
        <w:tc>
          <w:tcPr>
            <w:tcW w:w="926" w:type="dxa"/>
            <w:vAlign w:val="center"/>
          </w:tcPr>
          <w:p w14:paraId="7B0DDE55">
            <w:pPr>
              <w:pStyle w:val="71"/>
              <w:shd w:val="clear"/>
              <w:spacing w:line="360" w:lineRule="auto"/>
              <w:jc w:val="both"/>
              <w:rPr>
                <w:rFonts w:hint="eastAsia"/>
                <w:bCs/>
                <w:color w:val="auto"/>
                <w:highlight w:val="none"/>
              </w:rPr>
            </w:pPr>
            <w:r>
              <w:rPr>
                <w:rFonts w:hint="eastAsia"/>
                <w:bCs/>
                <w:color w:val="auto"/>
                <w:spacing w:val="16"/>
                <w:highlight w:val="none"/>
              </w:rPr>
              <w:t>建筑面积</w:t>
            </w:r>
          </w:p>
        </w:tc>
        <w:tc>
          <w:tcPr>
            <w:tcW w:w="1189" w:type="dxa"/>
            <w:gridSpan w:val="2"/>
            <w:vAlign w:val="center"/>
          </w:tcPr>
          <w:p w14:paraId="5E175F8F">
            <w:pPr>
              <w:pStyle w:val="71"/>
              <w:shd w:val="clear"/>
              <w:spacing w:line="360" w:lineRule="auto"/>
              <w:jc w:val="both"/>
              <w:rPr>
                <w:rFonts w:hint="eastAsia"/>
                <w:bCs/>
                <w:color w:val="auto"/>
                <w:highlight w:val="none"/>
              </w:rPr>
            </w:pPr>
            <w:r>
              <w:rPr>
                <w:rFonts w:hint="eastAsia"/>
                <w:bCs/>
                <w:color w:val="auto"/>
                <w:highlight w:val="none"/>
              </w:rPr>
              <w:t>平方米</w:t>
            </w:r>
          </w:p>
          <w:p w14:paraId="41B9D461">
            <w:pPr>
              <w:pStyle w:val="71"/>
              <w:shd w:val="clear"/>
              <w:spacing w:line="360" w:lineRule="auto"/>
              <w:jc w:val="both"/>
              <w:rPr>
                <w:rFonts w:hint="eastAsia"/>
                <w:bCs/>
                <w:color w:val="auto"/>
                <w:highlight w:val="none"/>
              </w:rPr>
            </w:pPr>
            <w:r>
              <w:rPr>
                <w:rFonts w:hint="eastAsia"/>
                <w:bCs/>
                <w:color w:val="auto"/>
                <w:spacing w:val="16"/>
                <w:highlight w:val="none"/>
              </w:rPr>
              <w:t>□自有□租赁</w:t>
            </w:r>
          </w:p>
        </w:tc>
        <w:tc>
          <w:tcPr>
            <w:tcW w:w="1560" w:type="dxa"/>
            <w:vAlign w:val="center"/>
          </w:tcPr>
          <w:p w14:paraId="11156881">
            <w:pPr>
              <w:pStyle w:val="71"/>
              <w:shd w:val="clear"/>
              <w:spacing w:line="360" w:lineRule="auto"/>
              <w:jc w:val="center"/>
              <w:rPr>
                <w:rFonts w:hint="eastAsia"/>
                <w:bCs/>
                <w:color w:val="auto"/>
                <w:highlight w:val="none"/>
              </w:rPr>
            </w:pPr>
            <w:r>
              <w:rPr>
                <w:rFonts w:hint="eastAsia"/>
                <w:bCs/>
                <w:color w:val="auto"/>
                <w:spacing w:val="16"/>
                <w:highlight w:val="none"/>
              </w:rPr>
              <w:t>生产经营场所及场所的设施与设备</w:t>
            </w:r>
          </w:p>
        </w:tc>
        <w:tc>
          <w:tcPr>
            <w:tcW w:w="2608" w:type="dxa"/>
            <w:gridSpan w:val="3"/>
            <w:vAlign w:val="center"/>
          </w:tcPr>
          <w:p w14:paraId="7D56D97A">
            <w:pPr>
              <w:pStyle w:val="71"/>
              <w:shd w:val="clear"/>
              <w:spacing w:before="0" w:beforeAutospacing="0" w:after="0" w:afterAutospacing="0" w:line="360" w:lineRule="auto"/>
              <w:jc w:val="both"/>
              <w:rPr>
                <w:rFonts w:hint="eastAsia"/>
                <w:bCs/>
                <w:color w:val="auto"/>
                <w:spacing w:val="16"/>
                <w:highlight w:val="none"/>
              </w:rPr>
            </w:pPr>
          </w:p>
        </w:tc>
      </w:tr>
      <w:tr w14:paraId="08880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vAlign w:val="center"/>
          </w:tcPr>
          <w:p w14:paraId="0845D2D9">
            <w:pPr>
              <w:pStyle w:val="71"/>
              <w:shd w:val="clear"/>
              <w:spacing w:line="360" w:lineRule="auto"/>
              <w:ind w:left="107"/>
              <w:jc w:val="both"/>
              <w:rPr>
                <w:rFonts w:hint="eastAsia"/>
                <w:bCs/>
                <w:color w:val="auto"/>
                <w:highlight w:val="none"/>
              </w:rPr>
            </w:pPr>
          </w:p>
        </w:tc>
        <w:tc>
          <w:tcPr>
            <w:tcW w:w="690" w:type="dxa"/>
            <w:vAlign w:val="center"/>
          </w:tcPr>
          <w:p w14:paraId="79B67E09">
            <w:pPr>
              <w:pStyle w:val="71"/>
              <w:shd w:val="clear"/>
              <w:spacing w:line="360" w:lineRule="auto"/>
              <w:ind w:left="2"/>
              <w:jc w:val="both"/>
              <w:rPr>
                <w:rFonts w:hint="eastAsia"/>
                <w:bCs/>
                <w:color w:val="auto"/>
                <w:spacing w:val="16"/>
                <w:highlight w:val="none"/>
              </w:rPr>
            </w:pPr>
            <w:r>
              <w:rPr>
                <w:rFonts w:hint="eastAsia"/>
                <w:bCs/>
                <w:color w:val="auto"/>
                <w:spacing w:val="16"/>
                <w:highlight w:val="none"/>
              </w:rPr>
              <w:t>注册资金</w:t>
            </w:r>
          </w:p>
        </w:tc>
        <w:tc>
          <w:tcPr>
            <w:tcW w:w="960" w:type="dxa"/>
            <w:gridSpan w:val="2"/>
            <w:vAlign w:val="center"/>
          </w:tcPr>
          <w:p w14:paraId="690E09BE">
            <w:pPr>
              <w:pStyle w:val="71"/>
              <w:shd w:val="clear"/>
              <w:spacing w:line="360" w:lineRule="auto"/>
              <w:ind w:left="2"/>
              <w:jc w:val="both"/>
              <w:rPr>
                <w:rFonts w:hint="eastAsia"/>
                <w:bCs/>
                <w:color w:val="auto"/>
                <w:highlight w:val="none"/>
              </w:rPr>
            </w:pPr>
          </w:p>
        </w:tc>
        <w:tc>
          <w:tcPr>
            <w:tcW w:w="926" w:type="dxa"/>
            <w:vAlign w:val="center"/>
          </w:tcPr>
          <w:p w14:paraId="5A989C35">
            <w:pPr>
              <w:pStyle w:val="71"/>
              <w:shd w:val="clear"/>
              <w:spacing w:line="360" w:lineRule="auto"/>
              <w:ind w:left="107"/>
              <w:jc w:val="both"/>
              <w:rPr>
                <w:rFonts w:hint="eastAsia"/>
                <w:bCs/>
                <w:color w:val="auto"/>
                <w:highlight w:val="none"/>
              </w:rPr>
            </w:pPr>
            <w:r>
              <w:rPr>
                <w:rFonts w:hint="eastAsia"/>
                <w:bCs/>
                <w:color w:val="auto"/>
                <w:spacing w:val="16"/>
                <w:highlight w:val="none"/>
              </w:rPr>
              <w:t>注册发证</w:t>
            </w:r>
            <w:r>
              <w:rPr>
                <w:rFonts w:hint="eastAsia"/>
                <w:bCs/>
                <w:color w:val="auto"/>
                <w:spacing w:val="27"/>
                <w:highlight w:val="none"/>
              </w:rPr>
              <w:t>机关</w:t>
            </w:r>
          </w:p>
        </w:tc>
        <w:tc>
          <w:tcPr>
            <w:tcW w:w="2749" w:type="dxa"/>
            <w:gridSpan w:val="3"/>
            <w:vAlign w:val="center"/>
          </w:tcPr>
          <w:p w14:paraId="2BAD8375">
            <w:pPr>
              <w:widowControl/>
              <w:shd w:val="clear"/>
              <w:spacing w:line="360" w:lineRule="auto"/>
              <w:rPr>
                <w:rFonts w:hint="eastAsia" w:ascii="宋体" w:hAnsi="宋体" w:cs="宋体"/>
                <w:bCs/>
                <w:color w:val="auto"/>
                <w:kern w:val="0"/>
                <w:sz w:val="24"/>
                <w:highlight w:val="none"/>
              </w:rPr>
            </w:pPr>
          </w:p>
          <w:p w14:paraId="3A98F00D">
            <w:pPr>
              <w:pStyle w:val="71"/>
              <w:shd w:val="clear"/>
              <w:spacing w:line="360" w:lineRule="auto"/>
              <w:ind w:left="107"/>
              <w:jc w:val="both"/>
              <w:rPr>
                <w:rFonts w:hint="eastAsia"/>
                <w:bCs/>
                <w:color w:val="auto"/>
                <w:highlight w:val="none"/>
              </w:rPr>
            </w:pPr>
          </w:p>
        </w:tc>
        <w:tc>
          <w:tcPr>
            <w:tcW w:w="1675" w:type="dxa"/>
            <w:gridSpan w:val="2"/>
            <w:vAlign w:val="center"/>
          </w:tcPr>
          <w:p w14:paraId="183E06AE">
            <w:pPr>
              <w:pStyle w:val="71"/>
              <w:shd w:val="clear"/>
              <w:spacing w:line="360" w:lineRule="auto"/>
              <w:ind w:left="107"/>
              <w:jc w:val="both"/>
              <w:rPr>
                <w:rFonts w:hint="eastAsia"/>
                <w:bCs/>
                <w:color w:val="auto"/>
                <w:highlight w:val="none"/>
              </w:rPr>
            </w:pPr>
            <w:r>
              <w:rPr>
                <w:rFonts w:hint="eastAsia"/>
                <w:bCs/>
                <w:color w:val="auto"/>
                <w:highlight w:val="none"/>
              </w:rPr>
              <w:t>公司成</w:t>
            </w:r>
            <w:r>
              <w:rPr>
                <w:rFonts w:hint="eastAsia"/>
                <w:bCs/>
                <w:color w:val="auto"/>
                <w:spacing w:val="12"/>
                <w:highlight w:val="none"/>
              </w:rPr>
              <w:t>立时间</w:t>
            </w:r>
          </w:p>
        </w:tc>
        <w:tc>
          <w:tcPr>
            <w:tcW w:w="933" w:type="dxa"/>
            <w:vAlign w:val="center"/>
          </w:tcPr>
          <w:p w14:paraId="1E930087">
            <w:pPr>
              <w:pStyle w:val="71"/>
              <w:shd w:val="clear"/>
              <w:spacing w:line="360" w:lineRule="auto"/>
              <w:ind w:left="107"/>
              <w:jc w:val="both"/>
              <w:rPr>
                <w:rFonts w:hint="eastAsia"/>
                <w:bCs/>
                <w:color w:val="auto"/>
                <w:highlight w:val="none"/>
              </w:rPr>
            </w:pPr>
          </w:p>
        </w:tc>
      </w:tr>
      <w:tr w14:paraId="45D70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vAlign w:val="center"/>
          </w:tcPr>
          <w:p w14:paraId="64A1F5C9">
            <w:pPr>
              <w:pStyle w:val="71"/>
              <w:shd w:val="clear"/>
              <w:spacing w:line="360" w:lineRule="auto"/>
              <w:ind w:left="107"/>
              <w:jc w:val="both"/>
              <w:rPr>
                <w:rFonts w:hint="eastAsia"/>
                <w:bCs/>
                <w:color w:val="auto"/>
                <w:highlight w:val="none"/>
              </w:rPr>
            </w:pPr>
          </w:p>
        </w:tc>
        <w:tc>
          <w:tcPr>
            <w:tcW w:w="690" w:type="dxa"/>
            <w:vAlign w:val="center"/>
          </w:tcPr>
          <w:p w14:paraId="345F0313">
            <w:pPr>
              <w:pStyle w:val="71"/>
              <w:shd w:val="clear"/>
              <w:spacing w:line="360" w:lineRule="auto"/>
              <w:ind w:left="2"/>
              <w:jc w:val="both"/>
              <w:rPr>
                <w:rFonts w:hint="eastAsia"/>
                <w:bCs/>
                <w:color w:val="auto"/>
                <w:highlight w:val="none"/>
              </w:rPr>
            </w:pPr>
            <w:r>
              <w:rPr>
                <w:rFonts w:hint="eastAsia"/>
                <w:bCs/>
                <w:color w:val="auto"/>
                <w:highlight w:val="none"/>
              </w:rPr>
              <w:t>核准经营范围</w:t>
            </w:r>
          </w:p>
        </w:tc>
        <w:tc>
          <w:tcPr>
            <w:tcW w:w="7243" w:type="dxa"/>
            <w:gridSpan w:val="9"/>
            <w:vAlign w:val="center"/>
          </w:tcPr>
          <w:p w14:paraId="3C05CEB0">
            <w:pPr>
              <w:pStyle w:val="71"/>
              <w:shd w:val="clear"/>
              <w:spacing w:line="360" w:lineRule="auto"/>
              <w:ind w:left="107"/>
              <w:jc w:val="both"/>
              <w:rPr>
                <w:rFonts w:hint="eastAsia"/>
                <w:bCs/>
                <w:color w:val="auto"/>
                <w:highlight w:val="none"/>
              </w:rPr>
            </w:pPr>
          </w:p>
        </w:tc>
      </w:tr>
      <w:tr w14:paraId="1170F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vAlign w:val="center"/>
          </w:tcPr>
          <w:p w14:paraId="653A85D6">
            <w:pPr>
              <w:pStyle w:val="71"/>
              <w:shd w:val="clear"/>
              <w:spacing w:line="360" w:lineRule="auto"/>
              <w:ind w:left="107"/>
              <w:jc w:val="both"/>
              <w:rPr>
                <w:rFonts w:hint="eastAsia"/>
                <w:bCs/>
                <w:color w:val="auto"/>
                <w:highlight w:val="none"/>
              </w:rPr>
            </w:pPr>
          </w:p>
        </w:tc>
        <w:tc>
          <w:tcPr>
            <w:tcW w:w="7933" w:type="dxa"/>
            <w:gridSpan w:val="10"/>
            <w:vAlign w:val="center"/>
          </w:tcPr>
          <w:p w14:paraId="112D49B2">
            <w:pPr>
              <w:pStyle w:val="71"/>
              <w:shd w:val="clear"/>
              <w:spacing w:line="360" w:lineRule="auto"/>
              <w:jc w:val="both"/>
              <w:rPr>
                <w:rFonts w:hint="eastAsia"/>
                <w:bCs/>
                <w:color w:val="auto"/>
                <w:spacing w:val="13"/>
                <w:highlight w:val="none"/>
              </w:rPr>
            </w:pPr>
            <w:r>
              <w:rPr>
                <w:rFonts w:hint="eastAsia"/>
                <w:bCs/>
                <w:color w:val="auto"/>
                <w:spacing w:val="13"/>
                <w:highlight w:val="none"/>
              </w:rPr>
              <w:t>发展历程及主要荣誉：</w:t>
            </w:r>
          </w:p>
        </w:tc>
      </w:tr>
      <w:tr w14:paraId="0E8AD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vAlign w:val="center"/>
          </w:tcPr>
          <w:p w14:paraId="366081BB">
            <w:pPr>
              <w:pStyle w:val="71"/>
              <w:shd w:val="clear"/>
              <w:spacing w:line="360" w:lineRule="auto"/>
              <w:ind w:left="107"/>
              <w:jc w:val="both"/>
              <w:rPr>
                <w:rFonts w:hint="eastAsia"/>
                <w:bCs/>
                <w:color w:val="auto"/>
                <w:highlight w:val="none"/>
              </w:rPr>
            </w:pPr>
            <w:r>
              <w:rPr>
                <w:rFonts w:hint="eastAsia"/>
                <w:bCs/>
                <w:color w:val="auto"/>
                <w:highlight w:val="none"/>
              </w:rPr>
              <w:t>2．</w:t>
            </w:r>
          </w:p>
          <w:p w14:paraId="2F5DA5FF">
            <w:pPr>
              <w:pStyle w:val="71"/>
              <w:shd w:val="clear"/>
              <w:spacing w:line="360" w:lineRule="auto"/>
              <w:ind w:left="107"/>
              <w:jc w:val="both"/>
              <w:rPr>
                <w:rFonts w:hint="eastAsia"/>
                <w:bCs/>
                <w:color w:val="auto"/>
                <w:spacing w:val="16"/>
                <w:highlight w:val="none"/>
              </w:rPr>
            </w:pPr>
            <w:r>
              <w:rPr>
                <w:rFonts w:hint="eastAsia"/>
                <w:bCs/>
                <w:color w:val="auto"/>
                <w:highlight w:val="none"/>
              </w:rPr>
              <w:t>企</w:t>
            </w:r>
            <w:r>
              <w:rPr>
                <w:rFonts w:hint="eastAsia"/>
                <w:bCs/>
                <w:color w:val="auto"/>
                <w:spacing w:val="12"/>
                <w:highlight w:val="none"/>
              </w:rPr>
              <w:t>业有关资质获证情况</w:t>
            </w:r>
          </w:p>
        </w:tc>
        <w:tc>
          <w:tcPr>
            <w:tcW w:w="1355" w:type="dxa"/>
            <w:gridSpan w:val="2"/>
            <w:vMerge w:val="restart"/>
            <w:vAlign w:val="center"/>
          </w:tcPr>
          <w:p w14:paraId="36B5F0EB">
            <w:pPr>
              <w:pStyle w:val="71"/>
              <w:shd w:val="clear"/>
              <w:spacing w:before="0" w:beforeAutospacing="0" w:after="0" w:afterAutospacing="0" w:line="360" w:lineRule="auto"/>
              <w:jc w:val="both"/>
              <w:rPr>
                <w:rFonts w:hint="eastAsia"/>
                <w:bCs/>
                <w:color w:val="auto"/>
                <w:spacing w:val="16"/>
                <w:highlight w:val="none"/>
              </w:rPr>
            </w:pPr>
            <w:r>
              <w:rPr>
                <w:rFonts w:hint="eastAsia"/>
                <w:bCs/>
                <w:color w:val="auto"/>
                <w:spacing w:val="12"/>
                <w:highlight w:val="none"/>
              </w:rPr>
              <w:t>产品生产许可证情况</w:t>
            </w:r>
            <w:r>
              <w:rPr>
                <w:rFonts w:hint="eastAsia"/>
                <w:bCs/>
                <w:color w:val="auto"/>
                <w:spacing w:val="41"/>
                <w:highlight w:val="none"/>
              </w:rPr>
              <w:t>（对需获得生产许可证的</w:t>
            </w:r>
            <w:r>
              <w:rPr>
                <w:rFonts w:hint="eastAsia"/>
                <w:bCs/>
                <w:color w:val="auto"/>
                <w:spacing w:val="11"/>
                <w:highlight w:val="none"/>
              </w:rPr>
              <w:t>产品要填写此栏）</w:t>
            </w:r>
          </w:p>
        </w:tc>
        <w:tc>
          <w:tcPr>
            <w:tcW w:w="1333" w:type="dxa"/>
            <w:gridSpan w:val="3"/>
            <w:vAlign w:val="center"/>
          </w:tcPr>
          <w:p w14:paraId="7CE83392">
            <w:pPr>
              <w:pStyle w:val="71"/>
              <w:shd w:val="clear"/>
              <w:spacing w:line="360" w:lineRule="auto"/>
              <w:ind w:right="-78" w:rightChars="-37"/>
              <w:jc w:val="both"/>
              <w:rPr>
                <w:rFonts w:hint="eastAsia"/>
                <w:bCs/>
                <w:color w:val="auto"/>
                <w:spacing w:val="16"/>
                <w:highlight w:val="none"/>
              </w:rPr>
            </w:pPr>
            <w:r>
              <w:rPr>
                <w:rFonts w:hint="eastAsia"/>
                <w:bCs/>
                <w:color w:val="auto"/>
                <w:spacing w:val="16"/>
                <w:highlight w:val="none"/>
              </w:rPr>
              <w:t>产品名称</w:t>
            </w:r>
          </w:p>
        </w:tc>
        <w:tc>
          <w:tcPr>
            <w:tcW w:w="1077" w:type="dxa"/>
            <w:vAlign w:val="center"/>
          </w:tcPr>
          <w:p w14:paraId="730F5DD3">
            <w:pPr>
              <w:pStyle w:val="71"/>
              <w:shd w:val="clear"/>
              <w:spacing w:before="0" w:beforeAutospacing="0" w:after="0" w:afterAutospacing="0" w:line="360" w:lineRule="auto"/>
              <w:jc w:val="both"/>
              <w:rPr>
                <w:rFonts w:hint="eastAsia"/>
                <w:bCs/>
                <w:color w:val="auto"/>
                <w:highlight w:val="none"/>
              </w:rPr>
            </w:pPr>
            <w:r>
              <w:rPr>
                <w:rFonts w:hint="eastAsia"/>
                <w:bCs/>
                <w:color w:val="auto"/>
                <w:spacing w:val="16"/>
                <w:highlight w:val="none"/>
              </w:rPr>
              <w:t>发证机关</w:t>
            </w:r>
          </w:p>
        </w:tc>
        <w:tc>
          <w:tcPr>
            <w:tcW w:w="1617" w:type="dxa"/>
            <w:gridSpan w:val="2"/>
            <w:vAlign w:val="center"/>
          </w:tcPr>
          <w:p w14:paraId="2F8F562C">
            <w:pPr>
              <w:pStyle w:val="71"/>
              <w:shd w:val="clear"/>
              <w:spacing w:line="360" w:lineRule="auto"/>
              <w:jc w:val="both"/>
              <w:rPr>
                <w:rFonts w:hint="eastAsia"/>
                <w:bCs/>
                <w:color w:val="auto"/>
                <w:highlight w:val="none"/>
              </w:rPr>
            </w:pPr>
            <w:r>
              <w:rPr>
                <w:rFonts w:hint="eastAsia"/>
                <w:bCs/>
                <w:color w:val="auto"/>
                <w:spacing w:val="27"/>
                <w:highlight w:val="none"/>
              </w:rPr>
              <w:t>编号</w:t>
            </w:r>
          </w:p>
        </w:tc>
        <w:tc>
          <w:tcPr>
            <w:tcW w:w="1618" w:type="dxa"/>
            <w:vAlign w:val="center"/>
          </w:tcPr>
          <w:p w14:paraId="28E9ACD4">
            <w:pPr>
              <w:pStyle w:val="71"/>
              <w:shd w:val="clear"/>
              <w:spacing w:line="360" w:lineRule="auto"/>
              <w:jc w:val="both"/>
              <w:rPr>
                <w:rFonts w:hint="eastAsia"/>
                <w:bCs/>
                <w:color w:val="auto"/>
                <w:highlight w:val="none"/>
              </w:rPr>
            </w:pPr>
            <w:r>
              <w:rPr>
                <w:rFonts w:hint="eastAsia"/>
                <w:bCs/>
                <w:color w:val="auto"/>
                <w:spacing w:val="16"/>
                <w:highlight w:val="none"/>
              </w:rPr>
              <w:t>发证时间</w:t>
            </w:r>
          </w:p>
        </w:tc>
        <w:tc>
          <w:tcPr>
            <w:tcW w:w="933" w:type="dxa"/>
            <w:vAlign w:val="center"/>
          </w:tcPr>
          <w:p w14:paraId="27980880">
            <w:pPr>
              <w:pStyle w:val="71"/>
              <w:shd w:val="clear"/>
              <w:spacing w:before="0" w:beforeAutospacing="0" w:after="0" w:afterAutospacing="0" w:line="360" w:lineRule="auto"/>
              <w:jc w:val="both"/>
              <w:rPr>
                <w:rFonts w:hint="eastAsia"/>
                <w:bCs/>
                <w:color w:val="auto"/>
                <w:highlight w:val="none"/>
              </w:rPr>
            </w:pPr>
            <w:r>
              <w:rPr>
                <w:rFonts w:hint="eastAsia"/>
                <w:bCs/>
                <w:color w:val="auto"/>
                <w:spacing w:val="27"/>
                <w:highlight w:val="none"/>
              </w:rPr>
              <w:t>期限</w:t>
            </w:r>
          </w:p>
        </w:tc>
      </w:tr>
      <w:tr w14:paraId="3C385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vAlign w:val="center"/>
          </w:tcPr>
          <w:p w14:paraId="7F16FA9B">
            <w:pPr>
              <w:pStyle w:val="71"/>
              <w:shd w:val="clear"/>
              <w:spacing w:line="360" w:lineRule="auto"/>
              <w:ind w:left="107"/>
              <w:jc w:val="both"/>
              <w:rPr>
                <w:rFonts w:hint="eastAsia"/>
                <w:bCs/>
                <w:color w:val="auto"/>
                <w:highlight w:val="none"/>
              </w:rPr>
            </w:pPr>
          </w:p>
        </w:tc>
        <w:tc>
          <w:tcPr>
            <w:tcW w:w="1355" w:type="dxa"/>
            <w:gridSpan w:val="2"/>
            <w:vMerge w:val="continue"/>
            <w:vAlign w:val="center"/>
          </w:tcPr>
          <w:p w14:paraId="2F991833">
            <w:pPr>
              <w:pStyle w:val="71"/>
              <w:shd w:val="clear"/>
              <w:spacing w:line="360" w:lineRule="auto"/>
              <w:jc w:val="both"/>
              <w:rPr>
                <w:rFonts w:hint="eastAsia"/>
                <w:bCs/>
                <w:color w:val="auto"/>
                <w:highlight w:val="none"/>
              </w:rPr>
            </w:pPr>
          </w:p>
        </w:tc>
        <w:tc>
          <w:tcPr>
            <w:tcW w:w="1333" w:type="dxa"/>
            <w:gridSpan w:val="3"/>
            <w:vAlign w:val="center"/>
          </w:tcPr>
          <w:p w14:paraId="1F423B2A">
            <w:pPr>
              <w:pStyle w:val="71"/>
              <w:shd w:val="clear"/>
              <w:spacing w:line="360" w:lineRule="auto"/>
              <w:jc w:val="both"/>
              <w:rPr>
                <w:rFonts w:hint="eastAsia"/>
                <w:bCs/>
                <w:color w:val="auto"/>
                <w:highlight w:val="none"/>
              </w:rPr>
            </w:pPr>
          </w:p>
        </w:tc>
        <w:tc>
          <w:tcPr>
            <w:tcW w:w="1077" w:type="dxa"/>
            <w:vAlign w:val="center"/>
          </w:tcPr>
          <w:p w14:paraId="4AE47D8B">
            <w:pPr>
              <w:pStyle w:val="71"/>
              <w:shd w:val="clear"/>
              <w:spacing w:line="360" w:lineRule="auto"/>
              <w:jc w:val="both"/>
              <w:rPr>
                <w:rFonts w:hint="eastAsia"/>
                <w:bCs/>
                <w:color w:val="auto"/>
                <w:highlight w:val="none"/>
              </w:rPr>
            </w:pPr>
          </w:p>
        </w:tc>
        <w:tc>
          <w:tcPr>
            <w:tcW w:w="1617" w:type="dxa"/>
            <w:gridSpan w:val="2"/>
            <w:vAlign w:val="center"/>
          </w:tcPr>
          <w:p w14:paraId="3AB11BAE">
            <w:pPr>
              <w:pStyle w:val="71"/>
              <w:shd w:val="clear"/>
              <w:spacing w:line="360" w:lineRule="auto"/>
              <w:jc w:val="both"/>
              <w:rPr>
                <w:rFonts w:hint="eastAsia"/>
                <w:bCs/>
                <w:color w:val="auto"/>
                <w:highlight w:val="none"/>
              </w:rPr>
            </w:pPr>
          </w:p>
        </w:tc>
        <w:tc>
          <w:tcPr>
            <w:tcW w:w="2551" w:type="dxa"/>
            <w:gridSpan w:val="2"/>
            <w:vAlign w:val="center"/>
          </w:tcPr>
          <w:p w14:paraId="377FC86A">
            <w:pPr>
              <w:pStyle w:val="71"/>
              <w:shd w:val="clear"/>
              <w:spacing w:line="360" w:lineRule="auto"/>
              <w:jc w:val="both"/>
              <w:rPr>
                <w:rFonts w:hint="eastAsia"/>
                <w:bCs/>
                <w:color w:val="auto"/>
                <w:highlight w:val="none"/>
              </w:rPr>
            </w:pPr>
          </w:p>
        </w:tc>
      </w:tr>
      <w:tr w14:paraId="5475B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vAlign w:val="center"/>
          </w:tcPr>
          <w:p w14:paraId="590A0C0A">
            <w:pPr>
              <w:pStyle w:val="71"/>
              <w:shd w:val="clear"/>
              <w:spacing w:line="360" w:lineRule="auto"/>
              <w:ind w:left="107"/>
              <w:jc w:val="both"/>
              <w:rPr>
                <w:rFonts w:hint="eastAsia"/>
                <w:bCs/>
                <w:color w:val="auto"/>
                <w:spacing w:val="16"/>
                <w:highlight w:val="none"/>
              </w:rPr>
            </w:pPr>
          </w:p>
        </w:tc>
        <w:tc>
          <w:tcPr>
            <w:tcW w:w="1355" w:type="dxa"/>
            <w:gridSpan w:val="2"/>
            <w:vAlign w:val="center"/>
          </w:tcPr>
          <w:p w14:paraId="717CC14F">
            <w:pPr>
              <w:pStyle w:val="71"/>
              <w:shd w:val="clear"/>
              <w:spacing w:before="0" w:beforeAutospacing="0" w:after="0" w:afterAutospacing="0" w:line="360" w:lineRule="auto"/>
              <w:ind w:right="-107" w:rightChars="-51"/>
              <w:jc w:val="both"/>
              <w:rPr>
                <w:rFonts w:hint="eastAsia"/>
                <w:bCs/>
                <w:color w:val="auto"/>
                <w:spacing w:val="41"/>
                <w:highlight w:val="none"/>
              </w:rPr>
            </w:pPr>
            <w:r>
              <w:rPr>
                <w:rFonts w:hint="eastAsia"/>
                <w:bCs/>
                <w:color w:val="auto"/>
                <w:spacing w:val="41"/>
                <w:highlight w:val="none"/>
              </w:rPr>
              <w:t>企业通过质量体系、环保</w:t>
            </w:r>
            <w:r>
              <w:rPr>
                <w:rFonts w:hint="eastAsia"/>
                <w:bCs/>
                <w:color w:val="auto"/>
                <w:spacing w:val="11"/>
                <w:highlight w:val="none"/>
              </w:rPr>
              <w:t>体系、计量等认证情况</w:t>
            </w:r>
          </w:p>
        </w:tc>
        <w:tc>
          <w:tcPr>
            <w:tcW w:w="6578" w:type="dxa"/>
            <w:gridSpan w:val="8"/>
            <w:vAlign w:val="center"/>
          </w:tcPr>
          <w:p w14:paraId="5A10E032">
            <w:pPr>
              <w:pStyle w:val="71"/>
              <w:shd w:val="clear"/>
              <w:spacing w:line="360" w:lineRule="auto"/>
              <w:jc w:val="both"/>
              <w:rPr>
                <w:rFonts w:hint="eastAsia"/>
                <w:bCs/>
                <w:color w:val="auto"/>
                <w:spacing w:val="16"/>
                <w:highlight w:val="none"/>
              </w:rPr>
            </w:pPr>
          </w:p>
        </w:tc>
      </w:tr>
      <w:tr w14:paraId="3F1EA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vAlign w:val="center"/>
          </w:tcPr>
          <w:p w14:paraId="4337CF00">
            <w:pPr>
              <w:pStyle w:val="71"/>
              <w:shd w:val="clear"/>
              <w:spacing w:line="360" w:lineRule="auto"/>
              <w:ind w:left="107"/>
              <w:jc w:val="both"/>
              <w:rPr>
                <w:rFonts w:hint="eastAsia"/>
                <w:bCs/>
                <w:color w:val="auto"/>
                <w:spacing w:val="27"/>
                <w:highlight w:val="none"/>
              </w:rPr>
            </w:pPr>
          </w:p>
        </w:tc>
        <w:tc>
          <w:tcPr>
            <w:tcW w:w="1355" w:type="dxa"/>
            <w:gridSpan w:val="2"/>
            <w:vAlign w:val="center"/>
          </w:tcPr>
          <w:p w14:paraId="4F0D11C9">
            <w:pPr>
              <w:pStyle w:val="71"/>
              <w:shd w:val="clear"/>
              <w:spacing w:line="360" w:lineRule="auto"/>
              <w:jc w:val="both"/>
              <w:rPr>
                <w:rFonts w:hint="eastAsia"/>
                <w:bCs/>
                <w:color w:val="auto"/>
                <w:spacing w:val="16"/>
                <w:highlight w:val="none"/>
              </w:rPr>
            </w:pPr>
            <w:r>
              <w:rPr>
                <w:rFonts w:hint="eastAsia"/>
                <w:bCs/>
                <w:color w:val="auto"/>
                <w:spacing w:val="10"/>
                <w:highlight w:val="none"/>
              </w:rPr>
              <w:t>企业获得专利情况</w:t>
            </w:r>
          </w:p>
        </w:tc>
        <w:tc>
          <w:tcPr>
            <w:tcW w:w="6578" w:type="dxa"/>
            <w:gridSpan w:val="8"/>
            <w:vAlign w:val="center"/>
          </w:tcPr>
          <w:p w14:paraId="43701D3E">
            <w:pPr>
              <w:pStyle w:val="71"/>
              <w:shd w:val="clear"/>
              <w:spacing w:line="360" w:lineRule="auto"/>
              <w:jc w:val="both"/>
              <w:rPr>
                <w:rFonts w:hint="eastAsia"/>
                <w:bCs/>
                <w:color w:val="auto"/>
                <w:spacing w:val="16"/>
                <w:highlight w:val="none"/>
              </w:rPr>
            </w:pPr>
          </w:p>
        </w:tc>
      </w:tr>
    </w:tbl>
    <w:p w14:paraId="1658212F">
      <w:pPr>
        <w:shd w:val="clear"/>
        <w:spacing w:line="360" w:lineRule="auto"/>
        <w:rPr>
          <w:rFonts w:hint="eastAsia" w:ascii="宋体" w:hAnsi="宋体" w:cs="宋体"/>
          <w:color w:val="auto"/>
          <w:sz w:val="24"/>
          <w:szCs w:val="32"/>
          <w:highlight w:val="none"/>
        </w:rPr>
      </w:pPr>
    </w:p>
    <w:p w14:paraId="4DFDD194">
      <w:pPr>
        <w:shd w:val="clear"/>
        <w:spacing w:line="360" w:lineRule="auto"/>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要求：</w:t>
      </w:r>
    </w:p>
    <w:p w14:paraId="1D5DFBE0">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1.姓名栏必须将所有股东都统计在内，若非股份公司此行（第三行）无需填写；</w:t>
      </w:r>
    </w:p>
    <w:p w14:paraId="39948370">
      <w:pPr>
        <w:shd w:val="clear"/>
        <w:spacing w:line="360" w:lineRule="auto"/>
        <w:rPr>
          <w:rFonts w:hint="eastAsia" w:ascii="宋体" w:hAnsi="宋体" w:cs="宋体"/>
          <w:color w:val="auto"/>
          <w:sz w:val="24"/>
          <w:szCs w:val="32"/>
          <w:highlight w:val="none"/>
        </w:rPr>
      </w:pPr>
    </w:p>
    <w:p w14:paraId="118328F8">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6FC77E4B">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5344F908">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1812966E">
      <w:pPr>
        <w:shd w:val="clear"/>
        <w:spacing w:line="360" w:lineRule="auto"/>
        <w:rPr>
          <w:rFonts w:hint="eastAsia" w:ascii="宋体" w:hAnsi="宋体" w:cs="宋体"/>
          <w:color w:val="auto"/>
          <w:sz w:val="24"/>
          <w:szCs w:val="32"/>
          <w:highlight w:val="none"/>
        </w:rPr>
      </w:pPr>
    </w:p>
    <w:p w14:paraId="1C21AA5E">
      <w:pPr>
        <w:shd w:val="clear"/>
        <w:spacing w:line="360" w:lineRule="auto"/>
        <w:rPr>
          <w:rFonts w:hint="eastAsia" w:ascii="宋体" w:hAnsi="宋体" w:cs="宋体"/>
          <w:color w:val="auto"/>
          <w:sz w:val="24"/>
          <w:szCs w:val="32"/>
          <w:highlight w:val="none"/>
        </w:rPr>
      </w:pPr>
    </w:p>
    <w:p w14:paraId="529198A9">
      <w:pPr>
        <w:shd w:val="clear"/>
        <w:spacing w:line="480" w:lineRule="exact"/>
        <w:jc w:val="left"/>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11</w:t>
      </w:r>
    </w:p>
    <w:p w14:paraId="369A744C">
      <w:pPr>
        <w:shd w:val="clear"/>
        <w:spacing w:line="480" w:lineRule="exact"/>
        <w:jc w:val="center"/>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项目实施人员一览表（标段）</w:t>
      </w:r>
    </w:p>
    <w:p w14:paraId="5E6C4679">
      <w:pPr>
        <w:shd w:val="clear"/>
        <w:spacing w:line="360" w:lineRule="auto"/>
        <w:jc w:val="center"/>
        <w:rPr>
          <w:rFonts w:hint="eastAsia" w:ascii="宋体" w:hAnsi="宋体" w:cs="宋体"/>
          <w:color w:val="auto"/>
          <w:sz w:val="24"/>
          <w:szCs w:val="32"/>
          <w:highlight w:val="none"/>
        </w:rPr>
      </w:pPr>
      <w:r>
        <w:rPr>
          <w:rFonts w:hint="eastAsia" w:ascii="宋体" w:hAnsi="宋体" w:cs="宋体"/>
          <w:color w:val="auto"/>
          <w:sz w:val="24"/>
          <w:szCs w:val="32"/>
          <w:highlight w:val="none"/>
        </w:rPr>
        <w:t>（主要从业人员及其技术资格）</w:t>
      </w:r>
    </w:p>
    <w:tbl>
      <w:tblPr>
        <w:tblStyle w:val="29"/>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418"/>
        <w:gridCol w:w="2126"/>
      </w:tblGrid>
      <w:tr w14:paraId="6EA13A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vAlign w:val="center"/>
          </w:tcPr>
          <w:p w14:paraId="7AD87901">
            <w:pPr>
              <w:shd w:val="clear"/>
              <w:snapToGrid w:val="0"/>
              <w:spacing w:before="156" w:beforeLines="50" w:after="50" w:line="360" w:lineRule="auto"/>
              <w:jc w:val="center"/>
              <w:rPr>
                <w:rFonts w:hint="eastAsia" w:ascii="宋体" w:hAnsi="宋体" w:cs="宋体"/>
                <w:b/>
                <w:color w:val="auto"/>
                <w:sz w:val="24"/>
                <w:szCs w:val="20"/>
                <w:highlight w:val="none"/>
              </w:rPr>
            </w:pPr>
            <w:r>
              <w:rPr>
                <w:rFonts w:hint="eastAsia" w:ascii="宋体" w:hAnsi="宋体" w:cs="宋体"/>
                <w:b/>
                <w:color w:val="auto"/>
                <w:sz w:val="24"/>
                <w:szCs w:val="20"/>
                <w:highlight w:val="none"/>
              </w:rPr>
              <w:t>序号</w:t>
            </w:r>
          </w:p>
        </w:tc>
        <w:tc>
          <w:tcPr>
            <w:tcW w:w="543" w:type="dxa"/>
            <w:tcBorders>
              <w:top w:val="single" w:color="auto" w:sz="4" w:space="0"/>
              <w:left w:val="single" w:color="auto" w:sz="4" w:space="0"/>
              <w:bottom w:val="single" w:color="auto" w:sz="4" w:space="0"/>
              <w:right w:val="single" w:color="auto" w:sz="4" w:space="0"/>
            </w:tcBorders>
            <w:vAlign w:val="center"/>
          </w:tcPr>
          <w:p w14:paraId="5DA70E87">
            <w:pPr>
              <w:shd w:val="clear"/>
              <w:snapToGrid w:val="0"/>
              <w:spacing w:before="156" w:beforeLines="50" w:after="50" w:line="360" w:lineRule="auto"/>
              <w:jc w:val="center"/>
              <w:rPr>
                <w:rFonts w:hint="eastAsia" w:ascii="宋体" w:hAnsi="宋体" w:cs="宋体"/>
                <w:b/>
                <w:color w:val="auto"/>
                <w:sz w:val="24"/>
                <w:szCs w:val="20"/>
                <w:highlight w:val="none"/>
              </w:rPr>
            </w:pPr>
            <w:r>
              <w:rPr>
                <w:rFonts w:hint="eastAsia" w:ascii="宋体" w:hAnsi="宋体" w:cs="宋体"/>
                <w:b/>
                <w:color w:val="auto"/>
                <w:sz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6CE531EC">
            <w:pPr>
              <w:shd w:val="clear"/>
              <w:snapToGrid w:val="0"/>
              <w:spacing w:before="156" w:beforeLines="50" w:after="50" w:line="360" w:lineRule="auto"/>
              <w:jc w:val="center"/>
              <w:rPr>
                <w:rFonts w:hint="eastAsia" w:ascii="宋体" w:hAnsi="宋体" w:cs="宋体"/>
                <w:b/>
                <w:color w:val="auto"/>
                <w:sz w:val="24"/>
                <w:szCs w:val="20"/>
                <w:highlight w:val="none"/>
              </w:rPr>
            </w:pPr>
            <w:r>
              <w:rPr>
                <w:rFonts w:hint="eastAsia" w:ascii="宋体" w:hAnsi="宋体" w:cs="宋体"/>
                <w:b/>
                <w:color w:val="auto"/>
                <w:sz w:val="24"/>
                <w:highlight w:val="none"/>
              </w:rPr>
              <w:t>职务</w:t>
            </w:r>
          </w:p>
        </w:tc>
        <w:tc>
          <w:tcPr>
            <w:tcW w:w="795" w:type="dxa"/>
            <w:tcBorders>
              <w:top w:val="single" w:color="auto" w:sz="4" w:space="0"/>
              <w:left w:val="single" w:color="auto" w:sz="4" w:space="0"/>
              <w:bottom w:val="single" w:color="auto" w:sz="4" w:space="0"/>
              <w:right w:val="single" w:color="auto" w:sz="4" w:space="0"/>
            </w:tcBorders>
            <w:vAlign w:val="center"/>
          </w:tcPr>
          <w:p w14:paraId="2FB9259E">
            <w:pPr>
              <w:shd w:val="clear"/>
              <w:snapToGrid w:val="0"/>
              <w:spacing w:before="156" w:beforeLines="50" w:after="50" w:line="360" w:lineRule="auto"/>
              <w:jc w:val="center"/>
              <w:rPr>
                <w:rFonts w:hint="eastAsia" w:ascii="宋体" w:hAnsi="宋体" w:cs="宋体"/>
                <w:b/>
                <w:color w:val="auto"/>
                <w:sz w:val="24"/>
                <w:szCs w:val="20"/>
                <w:highlight w:val="none"/>
              </w:rPr>
            </w:pPr>
            <w:r>
              <w:rPr>
                <w:rFonts w:hint="eastAsia" w:ascii="宋体" w:hAnsi="宋体" w:cs="宋体"/>
                <w:b/>
                <w:color w:val="auto"/>
                <w:sz w:val="24"/>
                <w:szCs w:val="20"/>
                <w:highlight w:val="none"/>
              </w:rPr>
              <w:t>职责</w:t>
            </w:r>
          </w:p>
        </w:tc>
        <w:tc>
          <w:tcPr>
            <w:tcW w:w="1276" w:type="dxa"/>
            <w:tcBorders>
              <w:top w:val="single" w:color="auto" w:sz="4" w:space="0"/>
              <w:left w:val="single" w:color="auto" w:sz="4" w:space="0"/>
              <w:bottom w:val="single" w:color="auto" w:sz="4" w:space="0"/>
              <w:right w:val="single" w:color="auto" w:sz="4" w:space="0"/>
            </w:tcBorders>
            <w:vAlign w:val="center"/>
          </w:tcPr>
          <w:p w14:paraId="6CE4F40A">
            <w:pPr>
              <w:shd w:val="clear"/>
              <w:snapToGrid w:val="0"/>
              <w:spacing w:before="156" w:beforeLines="50" w:after="50" w:line="360" w:lineRule="auto"/>
              <w:jc w:val="center"/>
              <w:rPr>
                <w:rFonts w:hint="eastAsia" w:ascii="宋体" w:hAnsi="宋体" w:cs="宋体"/>
                <w:b/>
                <w:color w:val="auto"/>
                <w:sz w:val="24"/>
                <w:szCs w:val="20"/>
                <w:highlight w:val="none"/>
              </w:rPr>
            </w:pPr>
            <w:r>
              <w:rPr>
                <w:rFonts w:hint="eastAsia" w:ascii="宋体" w:hAnsi="宋体" w:cs="宋体"/>
                <w:b/>
                <w:color w:val="auto"/>
                <w:sz w:val="24"/>
                <w:highlight w:val="none"/>
              </w:rPr>
              <w:t>专业技术资格</w:t>
            </w:r>
          </w:p>
        </w:tc>
        <w:tc>
          <w:tcPr>
            <w:tcW w:w="1275" w:type="dxa"/>
            <w:tcBorders>
              <w:top w:val="single" w:color="auto" w:sz="4" w:space="0"/>
              <w:left w:val="single" w:color="auto" w:sz="4" w:space="0"/>
              <w:bottom w:val="single" w:color="auto" w:sz="4" w:space="0"/>
              <w:right w:val="single" w:color="auto" w:sz="4" w:space="0"/>
            </w:tcBorders>
            <w:vAlign w:val="center"/>
          </w:tcPr>
          <w:p w14:paraId="26731513">
            <w:pPr>
              <w:shd w:val="clear"/>
              <w:snapToGrid w:val="0"/>
              <w:spacing w:before="156" w:beforeLines="50" w:after="50" w:line="360" w:lineRule="auto"/>
              <w:jc w:val="center"/>
              <w:rPr>
                <w:rFonts w:hint="eastAsia" w:ascii="宋体" w:hAnsi="宋体" w:cs="宋体"/>
                <w:b/>
                <w:color w:val="auto"/>
                <w:sz w:val="24"/>
                <w:szCs w:val="20"/>
                <w:highlight w:val="none"/>
              </w:rPr>
            </w:pPr>
            <w:r>
              <w:rPr>
                <w:rFonts w:hint="eastAsia" w:ascii="宋体" w:hAnsi="宋体" w:cs="宋体"/>
                <w:b/>
                <w:color w:val="auto"/>
                <w:sz w:val="24"/>
                <w:highlight w:val="none"/>
              </w:rPr>
              <w:t>证书编号</w:t>
            </w:r>
          </w:p>
        </w:tc>
        <w:tc>
          <w:tcPr>
            <w:tcW w:w="1418" w:type="dxa"/>
            <w:tcBorders>
              <w:top w:val="single" w:color="auto" w:sz="4" w:space="0"/>
              <w:left w:val="single" w:color="auto" w:sz="4" w:space="0"/>
              <w:bottom w:val="single" w:color="auto" w:sz="4" w:space="0"/>
              <w:right w:val="single" w:color="auto" w:sz="4" w:space="0"/>
            </w:tcBorders>
            <w:vAlign w:val="center"/>
          </w:tcPr>
          <w:p w14:paraId="27FC540B">
            <w:pPr>
              <w:shd w:val="clear"/>
              <w:snapToGrid w:val="0"/>
              <w:spacing w:before="156" w:beforeLines="50" w:after="50" w:line="360" w:lineRule="auto"/>
              <w:jc w:val="center"/>
              <w:rPr>
                <w:rFonts w:hint="eastAsia" w:ascii="宋体" w:hAnsi="宋体" w:cs="宋体"/>
                <w:b/>
                <w:bCs/>
                <w:color w:val="auto"/>
                <w:sz w:val="24"/>
                <w:szCs w:val="20"/>
                <w:highlight w:val="none"/>
              </w:rPr>
            </w:pPr>
            <w:r>
              <w:rPr>
                <w:rFonts w:hint="eastAsia" w:ascii="宋体" w:hAnsi="宋体" w:cs="宋体"/>
                <w:b/>
                <w:bCs/>
                <w:color w:val="auto"/>
                <w:sz w:val="24"/>
                <w:highlight w:val="none"/>
              </w:rPr>
              <w:t>参加本单位工作时间</w:t>
            </w:r>
          </w:p>
        </w:tc>
        <w:tc>
          <w:tcPr>
            <w:tcW w:w="2126" w:type="dxa"/>
            <w:tcBorders>
              <w:top w:val="single" w:color="auto" w:sz="4" w:space="0"/>
              <w:left w:val="single" w:color="auto" w:sz="4" w:space="0"/>
              <w:bottom w:val="single" w:color="auto" w:sz="4" w:space="0"/>
              <w:right w:val="single" w:color="auto" w:sz="4" w:space="0"/>
            </w:tcBorders>
            <w:vAlign w:val="center"/>
          </w:tcPr>
          <w:p w14:paraId="1630F12E">
            <w:pPr>
              <w:shd w:val="clear"/>
              <w:snapToGrid w:val="0"/>
              <w:spacing w:before="156" w:beforeLines="50" w:after="50" w:line="360" w:lineRule="auto"/>
              <w:jc w:val="center"/>
              <w:rPr>
                <w:rFonts w:hint="eastAsia" w:ascii="宋体" w:hAnsi="宋体" w:cs="宋体"/>
                <w:b/>
                <w:bCs/>
                <w:color w:val="auto"/>
                <w:sz w:val="24"/>
                <w:szCs w:val="20"/>
                <w:highlight w:val="none"/>
              </w:rPr>
            </w:pPr>
            <w:r>
              <w:rPr>
                <w:rFonts w:hint="eastAsia" w:ascii="宋体" w:hAnsi="宋体" w:cs="宋体"/>
                <w:b/>
                <w:color w:val="auto"/>
                <w:sz w:val="24"/>
                <w:highlight w:val="none"/>
              </w:rPr>
              <w:t>劳动合同编号</w:t>
            </w:r>
          </w:p>
        </w:tc>
      </w:tr>
      <w:tr w14:paraId="15B6DE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3A528F1F">
            <w:pPr>
              <w:shd w:val="clear"/>
              <w:snapToGrid w:val="0"/>
              <w:spacing w:before="156" w:beforeLines="50" w:after="50" w:line="360" w:lineRule="auto"/>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0C497C4B">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7A320F87">
            <w:pPr>
              <w:shd w:val="clear"/>
              <w:snapToGrid w:val="0"/>
              <w:spacing w:before="156" w:beforeLines="50" w:after="50" w:line="360" w:lineRule="auto"/>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6D8A966A">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78B961C2">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7AE8360D">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396E8430">
            <w:pPr>
              <w:shd w:val="clear"/>
              <w:snapToGrid w:val="0"/>
              <w:spacing w:before="156" w:beforeLines="50" w:after="50" w:line="360" w:lineRule="auto"/>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5FD1FBD4">
            <w:pPr>
              <w:shd w:val="clear"/>
              <w:snapToGrid w:val="0"/>
              <w:spacing w:before="156" w:beforeLines="50" w:after="50" w:line="360" w:lineRule="auto"/>
              <w:rPr>
                <w:rFonts w:hint="eastAsia" w:ascii="宋体" w:hAnsi="宋体" w:cs="宋体"/>
                <w:b/>
                <w:color w:val="auto"/>
                <w:kern w:val="44"/>
                <w:sz w:val="24"/>
                <w:szCs w:val="20"/>
                <w:highlight w:val="none"/>
              </w:rPr>
            </w:pPr>
          </w:p>
        </w:tc>
      </w:tr>
      <w:tr w14:paraId="470365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237F5FA7">
            <w:pPr>
              <w:shd w:val="clear"/>
              <w:snapToGrid w:val="0"/>
              <w:spacing w:before="156" w:beforeLines="50" w:after="50" w:line="360" w:lineRule="auto"/>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688546A8">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5BF495B0">
            <w:pPr>
              <w:shd w:val="clear"/>
              <w:snapToGrid w:val="0"/>
              <w:spacing w:before="156" w:beforeLines="50" w:after="50" w:line="360" w:lineRule="auto"/>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511F680A">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3CE71F13">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099FF4C5">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587DED60">
            <w:pPr>
              <w:shd w:val="clear"/>
              <w:snapToGrid w:val="0"/>
              <w:spacing w:before="156" w:beforeLines="50" w:after="50" w:line="360" w:lineRule="auto"/>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72086479">
            <w:pPr>
              <w:shd w:val="clear"/>
              <w:snapToGrid w:val="0"/>
              <w:spacing w:before="156" w:beforeLines="50" w:after="50" w:line="360" w:lineRule="auto"/>
              <w:rPr>
                <w:rFonts w:hint="eastAsia" w:ascii="宋体" w:hAnsi="宋体" w:cs="宋体"/>
                <w:b/>
                <w:color w:val="auto"/>
                <w:kern w:val="44"/>
                <w:sz w:val="24"/>
                <w:szCs w:val="20"/>
                <w:highlight w:val="none"/>
              </w:rPr>
            </w:pPr>
          </w:p>
        </w:tc>
      </w:tr>
      <w:tr w14:paraId="233059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68607117">
            <w:pPr>
              <w:shd w:val="clear"/>
              <w:snapToGrid w:val="0"/>
              <w:spacing w:before="156" w:beforeLines="50" w:after="50" w:line="360" w:lineRule="auto"/>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56DF77FD">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560B0FAF">
            <w:pPr>
              <w:shd w:val="clear"/>
              <w:snapToGrid w:val="0"/>
              <w:spacing w:before="156" w:beforeLines="50" w:after="50" w:line="360" w:lineRule="auto"/>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01658033">
            <w:pPr>
              <w:pStyle w:val="15"/>
              <w:shd w:val="clear"/>
              <w:snapToGrid w:val="0"/>
              <w:spacing w:before="156" w:beforeLines="50" w:after="50" w:line="360" w:lineRule="auto"/>
              <w:ind w:left="5250"/>
              <w:rPr>
                <w:rFonts w:hint="eastAsia" w:ascii="宋体" w:hAnsi="宋体" w:eastAsia="宋体" w:cs="宋体"/>
                <w:b/>
                <w:color w:val="auto"/>
                <w:kern w:val="44"/>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2DF3CCEA">
            <w:pPr>
              <w:pStyle w:val="15"/>
              <w:shd w:val="clear"/>
              <w:snapToGrid w:val="0"/>
              <w:spacing w:before="156" w:beforeLines="50" w:after="50" w:line="360" w:lineRule="auto"/>
              <w:ind w:left="5250"/>
              <w:rPr>
                <w:rFonts w:hint="eastAsia" w:ascii="宋体" w:hAnsi="宋体" w:eastAsia="宋体" w:cs="宋体"/>
                <w:b/>
                <w:color w:val="auto"/>
                <w:kern w:val="44"/>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7D09032C">
            <w:pPr>
              <w:pStyle w:val="15"/>
              <w:shd w:val="clear"/>
              <w:spacing w:line="360" w:lineRule="auto"/>
              <w:ind w:left="5250"/>
              <w:rPr>
                <w:rFonts w:hint="eastAsia" w:ascii="宋体" w:hAnsi="宋体" w:eastAsia="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5DCBB657">
            <w:pPr>
              <w:shd w:val="clear"/>
              <w:snapToGrid w:val="0"/>
              <w:spacing w:before="156" w:beforeLines="50" w:after="50" w:line="360" w:lineRule="auto"/>
              <w:rPr>
                <w:rFonts w:hint="eastAsia" w:ascii="宋体" w:hAnsi="宋体" w:cs="宋体"/>
                <w:color w:val="auto"/>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6B1F19DE">
            <w:pPr>
              <w:shd w:val="clear"/>
              <w:snapToGrid w:val="0"/>
              <w:spacing w:before="156" w:beforeLines="50" w:after="50" w:line="360" w:lineRule="auto"/>
              <w:rPr>
                <w:rFonts w:hint="eastAsia" w:ascii="宋体" w:hAnsi="宋体" w:cs="宋体"/>
                <w:b/>
                <w:color w:val="auto"/>
                <w:kern w:val="44"/>
                <w:sz w:val="24"/>
                <w:szCs w:val="20"/>
                <w:highlight w:val="none"/>
              </w:rPr>
            </w:pPr>
          </w:p>
        </w:tc>
      </w:tr>
      <w:tr w14:paraId="0319C0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10F6B1BE">
            <w:pPr>
              <w:shd w:val="clear"/>
              <w:snapToGrid w:val="0"/>
              <w:spacing w:before="156" w:beforeLines="50" w:after="50" w:line="360" w:lineRule="auto"/>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630D74ED">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164B9D10">
            <w:pPr>
              <w:shd w:val="clear"/>
              <w:snapToGrid w:val="0"/>
              <w:spacing w:before="156" w:beforeLines="50" w:after="50" w:line="360" w:lineRule="auto"/>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6DD5370A">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27AD7EBC">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45E3AEC4">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4AB45F15">
            <w:pPr>
              <w:shd w:val="clear"/>
              <w:snapToGrid w:val="0"/>
              <w:spacing w:before="156" w:beforeLines="50" w:after="50" w:line="360" w:lineRule="auto"/>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04B08638">
            <w:pPr>
              <w:shd w:val="clear"/>
              <w:snapToGrid w:val="0"/>
              <w:spacing w:before="156" w:beforeLines="50" w:after="50" w:line="360" w:lineRule="auto"/>
              <w:rPr>
                <w:rFonts w:hint="eastAsia" w:ascii="宋体" w:hAnsi="宋体" w:cs="宋体"/>
                <w:b/>
                <w:color w:val="auto"/>
                <w:kern w:val="44"/>
                <w:sz w:val="24"/>
                <w:szCs w:val="20"/>
                <w:highlight w:val="none"/>
              </w:rPr>
            </w:pPr>
          </w:p>
        </w:tc>
      </w:tr>
      <w:tr w14:paraId="560A87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0E0643A1">
            <w:pPr>
              <w:shd w:val="clear"/>
              <w:snapToGrid w:val="0"/>
              <w:spacing w:before="156" w:beforeLines="50" w:after="50" w:line="360" w:lineRule="auto"/>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215D3216">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0F57421F">
            <w:pPr>
              <w:shd w:val="clear"/>
              <w:snapToGrid w:val="0"/>
              <w:spacing w:before="156" w:beforeLines="50" w:after="50" w:line="360" w:lineRule="auto"/>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219067B8">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3BE7CA1F">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4641DDA7">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67E13A10">
            <w:pPr>
              <w:shd w:val="clear"/>
              <w:snapToGrid w:val="0"/>
              <w:spacing w:before="156" w:beforeLines="50" w:after="50" w:line="360" w:lineRule="auto"/>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467D7551">
            <w:pPr>
              <w:shd w:val="clear"/>
              <w:snapToGrid w:val="0"/>
              <w:spacing w:before="156" w:beforeLines="50" w:after="50" w:line="360" w:lineRule="auto"/>
              <w:rPr>
                <w:rFonts w:hint="eastAsia" w:ascii="宋体" w:hAnsi="宋体" w:cs="宋体"/>
                <w:b/>
                <w:color w:val="auto"/>
                <w:kern w:val="44"/>
                <w:sz w:val="24"/>
                <w:szCs w:val="20"/>
                <w:highlight w:val="none"/>
              </w:rPr>
            </w:pPr>
          </w:p>
        </w:tc>
      </w:tr>
      <w:tr w14:paraId="7A2FAC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6D07D7F3">
            <w:pPr>
              <w:shd w:val="clear"/>
              <w:snapToGrid w:val="0"/>
              <w:spacing w:before="156" w:beforeLines="50" w:after="50" w:line="360" w:lineRule="auto"/>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60F46C61">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1BEE9CAF">
            <w:pPr>
              <w:shd w:val="clear"/>
              <w:snapToGrid w:val="0"/>
              <w:spacing w:before="156" w:beforeLines="50" w:after="50" w:line="360" w:lineRule="auto"/>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2BFD9814">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3ABFFB14">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720FF080">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688A4E37">
            <w:pPr>
              <w:shd w:val="clear"/>
              <w:snapToGrid w:val="0"/>
              <w:spacing w:before="156" w:beforeLines="50" w:after="50" w:line="360" w:lineRule="auto"/>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1CE78D97">
            <w:pPr>
              <w:shd w:val="clear"/>
              <w:snapToGrid w:val="0"/>
              <w:spacing w:before="156" w:beforeLines="50" w:after="50" w:line="360" w:lineRule="auto"/>
              <w:rPr>
                <w:rFonts w:hint="eastAsia" w:ascii="宋体" w:hAnsi="宋体" w:cs="宋体"/>
                <w:b/>
                <w:color w:val="auto"/>
                <w:kern w:val="44"/>
                <w:sz w:val="24"/>
                <w:szCs w:val="20"/>
                <w:highlight w:val="none"/>
              </w:rPr>
            </w:pPr>
          </w:p>
        </w:tc>
      </w:tr>
      <w:tr w14:paraId="6F98C3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11EB3267">
            <w:pPr>
              <w:shd w:val="clear"/>
              <w:snapToGrid w:val="0"/>
              <w:spacing w:before="156" w:beforeLines="50" w:after="50" w:line="360" w:lineRule="auto"/>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06F946C1">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241C0978">
            <w:pPr>
              <w:shd w:val="clear"/>
              <w:snapToGrid w:val="0"/>
              <w:spacing w:before="156" w:beforeLines="50" w:after="50" w:line="360" w:lineRule="auto"/>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62A412A3">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4B6BF372">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07673C67">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1E84E2AF">
            <w:pPr>
              <w:shd w:val="clear"/>
              <w:snapToGrid w:val="0"/>
              <w:spacing w:before="156" w:beforeLines="50" w:after="50" w:line="360" w:lineRule="auto"/>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6AF90DF1">
            <w:pPr>
              <w:shd w:val="clear"/>
              <w:snapToGrid w:val="0"/>
              <w:spacing w:before="156" w:beforeLines="50" w:after="50" w:line="360" w:lineRule="auto"/>
              <w:rPr>
                <w:rFonts w:hint="eastAsia" w:ascii="宋体" w:hAnsi="宋体" w:cs="宋体"/>
                <w:b/>
                <w:color w:val="auto"/>
                <w:kern w:val="44"/>
                <w:sz w:val="24"/>
                <w:szCs w:val="20"/>
                <w:highlight w:val="none"/>
              </w:rPr>
            </w:pPr>
          </w:p>
        </w:tc>
      </w:tr>
      <w:tr w14:paraId="2B6DFB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5290BD2C">
            <w:pPr>
              <w:shd w:val="clear"/>
              <w:snapToGrid w:val="0"/>
              <w:spacing w:before="156" w:beforeLines="50" w:after="50" w:line="360" w:lineRule="auto"/>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14:paraId="15B61954">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05F664EA">
            <w:pPr>
              <w:shd w:val="clear"/>
              <w:snapToGrid w:val="0"/>
              <w:spacing w:before="156" w:beforeLines="50" w:after="50" w:line="360" w:lineRule="auto"/>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14:paraId="588A1DBA">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14:paraId="45A355AA">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14:paraId="261A4695">
            <w:pPr>
              <w:shd w:val="clear"/>
              <w:snapToGrid w:val="0"/>
              <w:spacing w:before="156" w:beforeLines="50" w:after="50" w:line="360" w:lineRule="auto"/>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59128437">
            <w:pPr>
              <w:shd w:val="clear"/>
              <w:snapToGrid w:val="0"/>
              <w:spacing w:before="156" w:beforeLines="50" w:after="50" w:line="360" w:lineRule="auto"/>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14:paraId="366713C3">
            <w:pPr>
              <w:shd w:val="clear"/>
              <w:snapToGrid w:val="0"/>
              <w:spacing w:before="156" w:beforeLines="50" w:after="50" w:line="360" w:lineRule="auto"/>
              <w:rPr>
                <w:rFonts w:hint="eastAsia" w:ascii="宋体" w:hAnsi="宋体" w:cs="宋体"/>
                <w:b/>
                <w:color w:val="auto"/>
                <w:kern w:val="44"/>
                <w:sz w:val="24"/>
                <w:szCs w:val="20"/>
                <w:highlight w:val="none"/>
              </w:rPr>
            </w:pPr>
          </w:p>
        </w:tc>
      </w:tr>
    </w:tbl>
    <w:p w14:paraId="354CB72B">
      <w:pPr>
        <w:shd w:val="clear"/>
        <w:spacing w:line="360" w:lineRule="auto"/>
        <w:jc w:val="left"/>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要求：</w:t>
      </w:r>
    </w:p>
    <w:p w14:paraId="5B1BBC32">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1.在填写时，如本表格不适合投标单位的实际情况，可根据本表格式自行划表填写。</w:t>
      </w:r>
    </w:p>
    <w:p w14:paraId="520FA042">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2.附人员证书复印件；</w:t>
      </w:r>
    </w:p>
    <w:p w14:paraId="3C83D280">
      <w:pPr>
        <w:shd w:val="clear"/>
        <w:spacing w:line="360" w:lineRule="auto"/>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　　3.出具上述人员在本单位服务的外部证明，如：代缴个税税单或参加社会保险的《投保单》或《社会保险参保人员证明》等。</w:t>
      </w:r>
    </w:p>
    <w:p w14:paraId="282F6021">
      <w:pPr>
        <w:shd w:val="clear"/>
        <w:spacing w:line="360" w:lineRule="auto"/>
        <w:rPr>
          <w:rFonts w:hint="eastAsia" w:ascii="宋体" w:hAnsi="宋体" w:cs="宋体"/>
          <w:color w:val="auto"/>
          <w:sz w:val="24"/>
          <w:szCs w:val="32"/>
          <w:highlight w:val="none"/>
        </w:rPr>
      </w:pPr>
    </w:p>
    <w:p w14:paraId="3C878D7B">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374B8A11">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67FC749B">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5B12549E">
      <w:pPr>
        <w:widowControl/>
        <w:shd w:val="clear"/>
        <w:jc w:val="left"/>
        <w:rPr>
          <w:rFonts w:hint="eastAsia" w:ascii="宋体" w:hAnsi="宋体" w:cs="宋体"/>
          <w:b/>
          <w:color w:val="auto"/>
          <w:sz w:val="28"/>
          <w:highlight w:val="none"/>
        </w:rPr>
      </w:pPr>
      <w:r>
        <w:rPr>
          <w:rFonts w:hint="eastAsia" w:ascii="宋体" w:hAnsi="宋体" w:cs="宋体"/>
          <w:b/>
          <w:color w:val="auto"/>
          <w:sz w:val="28"/>
          <w:highlight w:val="none"/>
        </w:rPr>
        <w:br w:type="page"/>
      </w:r>
    </w:p>
    <w:p w14:paraId="69452A55">
      <w:pPr>
        <w:shd w:val="clear"/>
        <w:spacing w:line="480" w:lineRule="exact"/>
        <w:rPr>
          <w:rFonts w:hint="eastAsia" w:ascii="宋体" w:hAnsi="宋体" w:cs="宋体"/>
          <w:b/>
          <w:color w:val="auto"/>
          <w:sz w:val="28"/>
          <w:highlight w:val="none"/>
        </w:rPr>
      </w:pPr>
      <w:r>
        <w:rPr>
          <w:rFonts w:hint="eastAsia" w:ascii="宋体" w:hAnsi="宋体" w:cs="宋体"/>
          <w:b/>
          <w:color w:val="auto"/>
          <w:sz w:val="28"/>
          <w:highlight w:val="none"/>
        </w:rPr>
        <w:t>附件12</w:t>
      </w:r>
    </w:p>
    <w:p w14:paraId="1D75DF2A">
      <w:pPr>
        <w:shd w:val="clear"/>
        <w:spacing w:before="156" w:beforeLines="50" w:after="156" w:afterLines="50" w:line="480" w:lineRule="exact"/>
        <w:ind w:right="-10"/>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项目负责人资格情况表</w:t>
      </w:r>
    </w:p>
    <w:p w14:paraId="4DFF1165">
      <w:pPr>
        <w:shd w:val="clea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采购项目：                                        采购编号：</w:t>
      </w:r>
    </w:p>
    <w:tbl>
      <w:tblPr>
        <w:tblStyle w:val="29"/>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06073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bottom w:val="single" w:color="auto" w:sz="4" w:space="0"/>
              <w:right w:val="single" w:color="auto" w:sz="4" w:space="0"/>
            </w:tcBorders>
            <w:vAlign w:val="center"/>
          </w:tcPr>
          <w:p w14:paraId="4D4B1FF0">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姓名</w:t>
            </w:r>
          </w:p>
        </w:tc>
        <w:tc>
          <w:tcPr>
            <w:tcW w:w="2967" w:type="dxa"/>
            <w:tcBorders>
              <w:top w:val="single" w:color="auto" w:sz="12" w:space="0"/>
              <w:left w:val="single" w:color="auto" w:sz="4" w:space="0"/>
              <w:bottom w:val="single" w:color="auto" w:sz="4" w:space="0"/>
              <w:right w:val="single" w:color="auto" w:sz="4" w:space="0"/>
            </w:tcBorders>
            <w:vAlign w:val="center"/>
          </w:tcPr>
          <w:p w14:paraId="561528A1">
            <w:pPr>
              <w:shd w:val="clear"/>
              <w:jc w:val="center"/>
              <w:rPr>
                <w:rFonts w:hint="eastAsia" w:ascii="宋体" w:hAnsi="宋体" w:cs="宋体"/>
                <w:b/>
                <w:bCs/>
                <w:color w:val="auto"/>
                <w:sz w:val="24"/>
                <w:highlight w:val="none"/>
                <w:lang w:val="zh-CN"/>
              </w:rPr>
            </w:pPr>
          </w:p>
        </w:tc>
        <w:tc>
          <w:tcPr>
            <w:tcW w:w="3685" w:type="dxa"/>
            <w:tcBorders>
              <w:top w:val="single" w:color="auto" w:sz="12" w:space="0"/>
              <w:left w:val="single" w:color="auto" w:sz="4" w:space="0"/>
              <w:bottom w:val="single" w:color="auto" w:sz="4" w:space="0"/>
              <w:right w:val="single" w:color="auto" w:sz="12" w:space="0"/>
            </w:tcBorders>
            <w:vAlign w:val="center"/>
          </w:tcPr>
          <w:p w14:paraId="04C49EA7">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近年来主要工作业绩</w:t>
            </w:r>
          </w:p>
        </w:tc>
      </w:tr>
      <w:tr w14:paraId="2F2FB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5CFB3F7F">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性别</w:t>
            </w:r>
          </w:p>
        </w:tc>
        <w:tc>
          <w:tcPr>
            <w:tcW w:w="2967" w:type="dxa"/>
            <w:tcBorders>
              <w:top w:val="single" w:color="auto" w:sz="4" w:space="0"/>
              <w:left w:val="single" w:color="auto" w:sz="4" w:space="0"/>
              <w:bottom w:val="single" w:color="auto" w:sz="4" w:space="0"/>
              <w:right w:val="single" w:color="auto" w:sz="4" w:space="0"/>
            </w:tcBorders>
            <w:vAlign w:val="center"/>
          </w:tcPr>
          <w:p w14:paraId="2DBFD3E3">
            <w:pPr>
              <w:shd w:val="clear"/>
              <w:jc w:val="center"/>
              <w:rPr>
                <w:rFonts w:hint="eastAsia" w:ascii="宋体" w:hAnsi="宋体" w:cs="宋体"/>
                <w:b/>
                <w:bCs/>
                <w:color w:val="auto"/>
                <w:sz w:val="24"/>
                <w:highlight w:val="none"/>
                <w:lang w:val="zh-CN"/>
              </w:rPr>
            </w:pPr>
          </w:p>
        </w:tc>
        <w:tc>
          <w:tcPr>
            <w:tcW w:w="3685" w:type="dxa"/>
            <w:vMerge w:val="restart"/>
            <w:tcBorders>
              <w:top w:val="single" w:color="auto" w:sz="4" w:space="0"/>
              <w:left w:val="single" w:color="auto" w:sz="4" w:space="0"/>
              <w:bottom w:val="single" w:color="auto" w:sz="4" w:space="0"/>
              <w:right w:val="single" w:color="auto" w:sz="12" w:space="0"/>
            </w:tcBorders>
            <w:vAlign w:val="center"/>
          </w:tcPr>
          <w:p w14:paraId="333082C2">
            <w:pPr>
              <w:shd w:val="clear"/>
              <w:jc w:val="center"/>
              <w:rPr>
                <w:rFonts w:hint="eastAsia" w:ascii="宋体" w:hAnsi="宋体" w:cs="宋体"/>
                <w:b/>
                <w:bCs/>
                <w:color w:val="auto"/>
                <w:sz w:val="24"/>
                <w:highlight w:val="none"/>
              </w:rPr>
            </w:pPr>
            <w:r>
              <w:rPr>
                <w:rFonts w:hint="eastAsia" w:ascii="宋体" w:hAnsi="宋体" w:cs="宋体"/>
                <w:b/>
                <w:bCs/>
                <w:color w:val="auto"/>
                <w:sz w:val="24"/>
                <w:highlight w:val="none"/>
              </w:rPr>
              <w:t>注：业绩证明应提供旁证材料</w:t>
            </w:r>
          </w:p>
          <w:p w14:paraId="67151767">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rPr>
              <w:t>（供货合同或中标通知书）。</w:t>
            </w:r>
          </w:p>
        </w:tc>
      </w:tr>
      <w:tr w14:paraId="28A3E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556C1F3B">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年龄</w:t>
            </w:r>
          </w:p>
        </w:tc>
        <w:tc>
          <w:tcPr>
            <w:tcW w:w="2967" w:type="dxa"/>
            <w:tcBorders>
              <w:top w:val="single" w:color="auto" w:sz="4" w:space="0"/>
              <w:left w:val="single" w:color="auto" w:sz="4" w:space="0"/>
              <w:bottom w:val="single" w:color="auto" w:sz="4" w:space="0"/>
              <w:right w:val="single" w:color="auto" w:sz="4" w:space="0"/>
            </w:tcBorders>
            <w:vAlign w:val="center"/>
          </w:tcPr>
          <w:p w14:paraId="2FF6EAD5">
            <w:pPr>
              <w:shd w:val="clear"/>
              <w:jc w:val="center"/>
              <w:rPr>
                <w:rFonts w:hint="eastAsia"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2E9BC366">
            <w:pPr>
              <w:shd w:val="clear"/>
              <w:jc w:val="center"/>
              <w:rPr>
                <w:rFonts w:hint="eastAsia" w:ascii="宋体" w:hAnsi="宋体" w:cs="宋体"/>
                <w:b/>
                <w:bCs/>
                <w:color w:val="auto"/>
                <w:sz w:val="24"/>
                <w:highlight w:val="none"/>
                <w:lang w:val="zh-CN"/>
              </w:rPr>
            </w:pPr>
          </w:p>
        </w:tc>
      </w:tr>
      <w:tr w14:paraId="1D912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32F9376B">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职称</w:t>
            </w:r>
          </w:p>
        </w:tc>
        <w:tc>
          <w:tcPr>
            <w:tcW w:w="2967" w:type="dxa"/>
            <w:tcBorders>
              <w:top w:val="single" w:color="auto" w:sz="4" w:space="0"/>
              <w:left w:val="single" w:color="auto" w:sz="4" w:space="0"/>
              <w:bottom w:val="single" w:color="auto" w:sz="4" w:space="0"/>
              <w:right w:val="single" w:color="auto" w:sz="4" w:space="0"/>
            </w:tcBorders>
            <w:vAlign w:val="center"/>
          </w:tcPr>
          <w:p w14:paraId="1DCFE55B">
            <w:pPr>
              <w:shd w:val="clear"/>
              <w:jc w:val="center"/>
              <w:rPr>
                <w:rFonts w:hint="eastAsia"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4B9E9399">
            <w:pPr>
              <w:shd w:val="clear"/>
              <w:jc w:val="center"/>
              <w:rPr>
                <w:rFonts w:hint="eastAsia" w:ascii="宋体" w:hAnsi="宋体" w:cs="宋体"/>
                <w:b/>
                <w:bCs/>
                <w:color w:val="auto"/>
                <w:sz w:val="24"/>
                <w:highlight w:val="none"/>
                <w:lang w:val="zh-CN"/>
              </w:rPr>
            </w:pPr>
          </w:p>
        </w:tc>
      </w:tr>
      <w:tr w14:paraId="3B161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65DCB4D6">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毕业时间</w:t>
            </w:r>
          </w:p>
        </w:tc>
        <w:tc>
          <w:tcPr>
            <w:tcW w:w="2967" w:type="dxa"/>
            <w:tcBorders>
              <w:top w:val="single" w:color="auto" w:sz="4" w:space="0"/>
              <w:left w:val="single" w:color="auto" w:sz="4" w:space="0"/>
              <w:bottom w:val="single" w:color="auto" w:sz="4" w:space="0"/>
              <w:right w:val="single" w:color="auto" w:sz="4" w:space="0"/>
            </w:tcBorders>
            <w:vAlign w:val="center"/>
          </w:tcPr>
          <w:p w14:paraId="5F1259EB">
            <w:pPr>
              <w:shd w:val="clear"/>
              <w:jc w:val="center"/>
              <w:rPr>
                <w:rFonts w:hint="eastAsia"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5E1086F4">
            <w:pPr>
              <w:shd w:val="clear"/>
              <w:jc w:val="center"/>
              <w:rPr>
                <w:rFonts w:hint="eastAsia" w:ascii="宋体" w:hAnsi="宋体" w:cs="宋体"/>
                <w:b/>
                <w:bCs/>
                <w:color w:val="auto"/>
                <w:sz w:val="24"/>
                <w:highlight w:val="none"/>
                <w:lang w:val="zh-CN"/>
              </w:rPr>
            </w:pPr>
          </w:p>
        </w:tc>
      </w:tr>
      <w:tr w14:paraId="42DE7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5AA76D7E">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学校专业</w:t>
            </w:r>
          </w:p>
        </w:tc>
        <w:tc>
          <w:tcPr>
            <w:tcW w:w="2967" w:type="dxa"/>
            <w:tcBorders>
              <w:top w:val="single" w:color="auto" w:sz="4" w:space="0"/>
              <w:left w:val="single" w:color="auto" w:sz="4" w:space="0"/>
              <w:bottom w:val="single" w:color="auto" w:sz="4" w:space="0"/>
              <w:right w:val="single" w:color="auto" w:sz="4" w:space="0"/>
            </w:tcBorders>
            <w:vAlign w:val="center"/>
          </w:tcPr>
          <w:p w14:paraId="64205343">
            <w:pPr>
              <w:shd w:val="clear"/>
              <w:jc w:val="center"/>
              <w:rPr>
                <w:rFonts w:hint="eastAsia"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47271F09">
            <w:pPr>
              <w:shd w:val="clear"/>
              <w:jc w:val="center"/>
              <w:rPr>
                <w:rFonts w:hint="eastAsia" w:ascii="宋体" w:hAnsi="宋体" w:cs="宋体"/>
                <w:b/>
                <w:bCs/>
                <w:color w:val="auto"/>
                <w:sz w:val="24"/>
                <w:highlight w:val="none"/>
                <w:lang w:val="zh-CN"/>
              </w:rPr>
            </w:pPr>
          </w:p>
        </w:tc>
      </w:tr>
      <w:tr w14:paraId="21D93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6AF2E704">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联系电话</w:t>
            </w:r>
          </w:p>
        </w:tc>
        <w:tc>
          <w:tcPr>
            <w:tcW w:w="2967" w:type="dxa"/>
            <w:tcBorders>
              <w:top w:val="single" w:color="auto" w:sz="4" w:space="0"/>
              <w:left w:val="single" w:color="auto" w:sz="4" w:space="0"/>
              <w:bottom w:val="single" w:color="auto" w:sz="4" w:space="0"/>
              <w:right w:val="single" w:color="auto" w:sz="4" w:space="0"/>
            </w:tcBorders>
            <w:vAlign w:val="center"/>
          </w:tcPr>
          <w:p w14:paraId="0395693C">
            <w:pPr>
              <w:shd w:val="clear"/>
              <w:jc w:val="center"/>
              <w:rPr>
                <w:rFonts w:hint="eastAsia"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15F2E21D">
            <w:pPr>
              <w:shd w:val="clear"/>
              <w:jc w:val="center"/>
              <w:rPr>
                <w:rFonts w:hint="eastAsia" w:ascii="宋体" w:hAnsi="宋体" w:cs="宋体"/>
                <w:b/>
                <w:bCs/>
                <w:color w:val="auto"/>
                <w:sz w:val="24"/>
                <w:highlight w:val="none"/>
                <w:lang w:val="zh-CN"/>
              </w:rPr>
            </w:pPr>
          </w:p>
        </w:tc>
      </w:tr>
      <w:tr w14:paraId="1D390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255FD290">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rPr>
              <w:t>最近一年工作状况</w:t>
            </w:r>
          </w:p>
        </w:tc>
        <w:tc>
          <w:tcPr>
            <w:tcW w:w="2967" w:type="dxa"/>
            <w:tcBorders>
              <w:top w:val="single" w:color="auto" w:sz="4" w:space="0"/>
              <w:left w:val="single" w:color="auto" w:sz="4" w:space="0"/>
              <w:bottom w:val="single" w:color="auto" w:sz="4" w:space="0"/>
              <w:right w:val="single" w:color="auto" w:sz="4" w:space="0"/>
            </w:tcBorders>
            <w:vAlign w:val="center"/>
          </w:tcPr>
          <w:p w14:paraId="681D9B01">
            <w:pPr>
              <w:shd w:val="clear"/>
              <w:jc w:val="center"/>
              <w:rPr>
                <w:rFonts w:hint="eastAsia"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52D05426">
            <w:pPr>
              <w:shd w:val="clear"/>
              <w:jc w:val="center"/>
              <w:rPr>
                <w:rFonts w:hint="eastAsia" w:ascii="宋体" w:hAnsi="宋体" w:cs="宋体"/>
                <w:b/>
                <w:bCs/>
                <w:color w:val="auto"/>
                <w:sz w:val="24"/>
                <w:highlight w:val="none"/>
                <w:lang w:val="zh-CN"/>
              </w:rPr>
            </w:pPr>
          </w:p>
        </w:tc>
      </w:tr>
      <w:tr w14:paraId="223A6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4" w:space="0"/>
              <w:left w:val="single" w:color="auto" w:sz="12" w:space="0"/>
              <w:bottom w:val="single" w:color="auto" w:sz="12" w:space="0"/>
              <w:right w:val="single" w:color="auto" w:sz="4" w:space="0"/>
            </w:tcBorders>
            <w:vAlign w:val="center"/>
          </w:tcPr>
          <w:p w14:paraId="2FCF6D7D">
            <w:pPr>
              <w:shd w:val="clear"/>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vAlign w:val="center"/>
          </w:tcPr>
          <w:p w14:paraId="43A81500">
            <w:pPr>
              <w:shd w:val="clear"/>
              <w:jc w:val="center"/>
              <w:rPr>
                <w:rFonts w:hint="eastAsia" w:ascii="宋体" w:hAnsi="宋体" w:cs="宋体"/>
                <w:b/>
                <w:bCs/>
                <w:color w:val="auto"/>
                <w:sz w:val="24"/>
                <w:highlight w:val="none"/>
                <w:lang w:val="zh-CN"/>
              </w:rPr>
            </w:pPr>
          </w:p>
        </w:tc>
      </w:tr>
    </w:tbl>
    <w:p w14:paraId="3614B7F9">
      <w:pPr>
        <w:shd w:val="clear"/>
        <w:spacing w:line="360" w:lineRule="auto"/>
        <w:rPr>
          <w:rFonts w:hint="eastAsia" w:ascii="宋体" w:hAnsi="宋体" w:cs="宋体"/>
          <w:color w:val="auto"/>
          <w:sz w:val="24"/>
          <w:highlight w:val="none"/>
        </w:rPr>
      </w:pPr>
    </w:p>
    <w:p w14:paraId="53E28E84">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35824D99">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62E7B2C8">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6DC29871">
      <w:pPr>
        <w:shd w:val="clear"/>
        <w:spacing w:line="360" w:lineRule="auto"/>
        <w:rPr>
          <w:rFonts w:hint="eastAsia" w:ascii="宋体" w:hAnsi="宋体" w:cs="宋体"/>
          <w:color w:val="auto"/>
          <w:sz w:val="24"/>
          <w:szCs w:val="32"/>
          <w:highlight w:val="none"/>
        </w:rPr>
      </w:pPr>
    </w:p>
    <w:p w14:paraId="5D5F1592">
      <w:pPr>
        <w:shd w:val="clear"/>
        <w:spacing w:line="360" w:lineRule="auto"/>
        <w:rPr>
          <w:rFonts w:hint="eastAsia" w:ascii="宋体" w:hAnsi="宋体" w:cs="宋体"/>
          <w:color w:val="auto"/>
          <w:sz w:val="24"/>
          <w:szCs w:val="32"/>
          <w:highlight w:val="none"/>
        </w:rPr>
      </w:pPr>
    </w:p>
    <w:p w14:paraId="23CB58E2">
      <w:pPr>
        <w:shd w:val="clear"/>
        <w:spacing w:line="360" w:lineRule="auto"/>
        <w:rPr>
          <w:rFonts w:hint="eastAsia" w:ascii="宋体" w:hAnsi="宋体" w:cs="宋体"/>
          <w:color w:val="auto"/>
          <w:sz w:val="24"/>
          <w:szCs w:val="32"/>
          <w:highlight w:val="none"/>
        </w:rPr>
      </w:pPr>
    </w:p>
    <w:p w14:paraId="4B1D9D95">
      <w:pPr>
        <w:widowControl/>
        <w:shd w:val="clear"/>
        <w:jc w:val="left"/>
        <w:rPr>
          <w:rFonts w:hint="eastAsia"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br w:type="page"/>
      </w:r>
    </w:p>
    <w:p w14:paraId="4A3341E8">
      <w:pPr>
        <w:shd w:val="clear"/>
        <w:spacing w:line="480" w:lineRule="exact"/>
        <w:jc w:val="left"/>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13</w:t>
      </w:r>
    </w:p>
    <w:p w14:paraId="2B7446E3">
      <w:pPr>
        <w:shd w:val="clear"/>
        <w:spacing w:line="480" w:lineRule="exact"/>
        <w:jc w:val="center"/>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供货清单 (</w:t>
      </w:r>
      <w:r>
        <w:rPr>
          <w:rFonts w:hint="eastAsia" w:ascii="宋体" w:hAnsi="宋体" w:cs="宋体"/>
          <w:b/>
          <w:bCs/>
          <w:color w:val="auto"/>
          <w:sz w:val="32"/>
          <w:szCs w:val="40"/>
          <w:highlight w:val="none"/>
        </w:rPr>
        <w:t>如有</w:t>
      </w:r>
      <w:r>
        <w:rPr>
          <w:rFonts w:hint="eastAsia" w:ascii="宋体" w:hAnsi="宋体" w:cs="宋体"/>
          <w:b/>
          <w:bCs/>
          <w:color w:val="auto"/>
          <w:sz w:val="32"/>
          <w:szCs w:val="40"/>
          <w:highlight w:val="none"/>
          <w:lang w:val="zh-CN"/>
        </w:rPr>
        <w:t>)</w:t>
      </w:r>
    </w:p>
    <w:p w14:paraId="26D031A2">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项目编号：</w:t>
      </w:r>
    </w:p>
    <w:tbl>
      <w:tblPr>
        <w:tblStyle w:val="29"/>
        <w:tblW w:w="8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2169"/>
        <w:gridCol w:w="1134"/>
        <w:gridCol w:w="1842"/>
        <w:gridCol w:w="993"/>
        <w:gridCol w:w="1559"/>
      </w:tblGrid>
      <w:tr w14:paraId="13C60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1C0CCC0D">
            <w:pPr>
              <w:shd w:val="clear"/>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2169" w:type="dxa"/>
            <w:vAlign w:val="center"/>
          </w:tcPr>
          <w:p w14:paraId="31FCCB0B">
            <w:pPr>
              <w:shd w:val="clear"/>
              <w:tabs>
                <w:tab w:val="left" w:pos="8280"/>
              </w:tabs>
              <w:autoSpaceDE w:val="0"/>
              <w:autoSpaceDN w:val="0"/>
              <w:adjustRightInd w:val="0"/>
              <w:ind w:right="25"/>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134" w:type="dxa"/>
            <w:vAlign w:val="center"/>
          </w:tcPr>
          <w:p w14:paraId="4A0620F0">
            <w:pPr>
              <w:shd w:val="clear"/>
              <w:tabs>
                <w:tab w:val="left" w:pos="8280"/>
              </w:tabs>
              <w:autoSpaceDE w:val="0"/>
              <w:autoSpaceDN w:val="0"/>
              <w:adjustRightInd w:val="0"/>
              <w:ind w:right="25"/>
              <w:jc w:val="center"/>
              <w:rPr>
                <w:rFonts w:hint="eastAsia" w:ascii="宋体" w:hAnsi="宋体" w:cs="宋体"/>
                <w:b/>
                <w:color w:val="auto"/>
                <w:sz w:val="24"/>
                <w:highlight w:val="none"/>
              </w:rPr>
            </w:pPr>
            <w:r>
              <w:rPr>
                <w:rFonts w:hint="eastAsia" w:ascii="宋体" w:hAnsi="宋体" w:cs="宋体"/>
                <w:b/>
                <w:color w:val="auto"/>
                <w:sz w:val="24"/>
                <w:highlight w:val="none"/>
              </w:rPr>
              <w:t>品牌</w:t>
            </w:r>
          </w:p>
        </w:tc>
        <w:tc>
          <w:tcPr>
            <w:tcW w:w="1842" w:type="dxa"/>
            <w:vAlign w:val="center"/>
          </w:tcPr>
          <w:p w14:paraId="682A7D03">
            <w:pPr>
              <w:shd w:val="clear"/>
              <w:tabs>
                <w:tab w:val="left" w:pos="8280"/>
              </w:tabs>
              <w:autoSpaceDE w:val="0"/>
              <w:autoSpaceDN w:val="0"/>
              <w:adjustRightInd w:val="0"/>
              <w:ind w:right="25"/>
              <w:jc w:val="center"/>
              <w:rPr>
                <w:rFonts w:hint="eastAsia"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410AD686">
            <w:pPr>
              <w:shd w:val="clear"/>
              <w:jc w:val="center"/>
              <w:rPr>
                <w:rFonts w:hint="eastAsia" w:ascii="宋体" w:hAnsi="宋体" w:cs="宋体"/>
                <w:b/>
                <w:color w:val="auto"/>
                <w:sz w:val="24"/>
                <w:highlight w:val="none"/>
              </w:rPr>
            </w:pPr>
            <w:r>
              <w:rPr>
                <w:rFonts w:hint="eastAsia" w:ascii="宋体" w:hAnsi="宋体" w:cs="宋体"/>
                <w:b/>
                <w:color w:val="auto"/>
                <w:sz w:val="24"/>
                <w:highlight w:val="none"/>
              </w:rPr>
              <w:t>产地</w:t>
            </w:r>
          </w:p>
        </w:tc>
        <w:tc>
          <w:tcPr>
            <w:tcW w:w="1559" w:type="dxa"/>
            <w:vAlign w:val="center"/>
          </w:tcPr>
          <w:p w14:paraId="57D4A4E0">
            <w:pPr>
              <w:shd w:val="clear"/>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r>
      <w:tr w14:paraId="7C94E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2F5B0174">
            <w:pPr>
              <w:shd w:val="clear"/>
              <w:jc w:val="center"/>
              <w:rPr>
                <w:rFonts w:hint="eastAsia" w:ascii="宋体" w:hAnsi="宋体" w:cs="宋体"/>
                <w:color w:val="auto"/>
                <w:sz w:val="24"/>
                <w:highlight w:val="none"/>
              </w:rPr>
            </w:pPr>
          </w:p>
        </w:tc>
        <w:tc>
          <w:tcPr>
            <w:tcW w:w="2169" w:type="dxa"/>
            <w:vAlign w:val="center"/>
          </w:tcPr>
          <w:p w14:paraId="51538D84">
            <w:pPr>
              <w:shd w:val="clear"/>
              <w:jc w:val="center"/>
              <w:rPr>
                <w:rFonts w:hint="eastAsia" w:ascii="宋体" w:hAnsi="宋体" w:cs="宋体"/>
                <w:color w:val="auto"/>
                <w:sz w:val="24"/>
                <w:highlight w:val="none"/>
              </w:rPr>
            </w:pPr>
          </w:p>
        </w:tc>
        <w:tc>
          <w:tcPr>
            <w:tcW w:w="1134" w:type="dxa"/>
            <w:vAlign w:val="center"/>
          </w:tcPr>
          <w:p w14:paraId="0D68DAA5">
            <w:pPr>
              <w:shd w:val="clear"/>
              <w:jc w:val="center"/>
              <w:rPr>
                <w:rFonts w:hint="eastAsia" w:ascii="宋体" w:hAnsi="宋体" w:cs="宋体"/>
                <w:color w:val="auto"/>
                <w:sz w:val="24"/>
                <w:highlight w:val="none"/>
              </w:rPr>
            </w:pPr>
          </w:p>
        </w:tc>
        <w:tc>
          <w:tcPr>
            <w:tcW w:w="1842" w:type="dxa"/>
            <w:vAlign w:val="center"/>
          </w:tcPr>
          <w:p w14:paraId="0A98AFAE">
            <w:pPr>
              <w:shd w:val="clear"/>
              <w:jc w:val="center"/>
              <w:rPr>
                <w:rFonts w:hint="eastAsia" w:ascii="宋体" w:hAnsi="宋体" w:cs="宋体"/>
                <w:color w:val="auto"/>
                <w:sz w:val="24"/>
                <w:highlight w:val="none"/>
              </w:rPr>
            </w:pPr>
          </w:p>
        </w:tc>
        <w:tc>
          <w:tcPr>
            <w:tcW w:w="993" w:type="dxa"/>
            <w:vAlign w:val="center"/>
          </w:tcPr>
          <w:p w14:paraId="1E98617B">
            <w:pPr>
              <w:shd w:val="clear"/>
              <w:jc w:val="center"/>
              <w:rPr>
                <w:rFonts w:hint="eastAsia" w:ascii="宋体" w:hAnsi="宋体" w:cs="宋体"/>
                <w:color w:val="auto"/>
                <w:sz w:val="24"/>
                <w:highlight w:val="none"/>
              </w:rPr>
            </w:pPr>
          </w:p>
        </w:tc>
        <w:tc>
          <w:tcPr>
            <w:tcW w:w="1559" w:type="dxa"/>
            <w:vAlign w:val="center"/>
          </w:tcPr>
          <w:p w14:paraId="56E07929">
            <w:pPr>
              <w:shd w:val="clear"/>
              <w:jc w:val="center"/>
              <w:rPr>
                <w:rFonts w:hint="eastAsia" w:ascii="宋体" w:hAnsi="宋体" w:cs="宋体"/>
                <w:color w:val="auto"/>
                <w:sz w:val="24"/>
                <w:highlight w:val="none"/>
              </w:rPr>
            </w:pPr>
          </w:p>
        </w:tc>
      </w:tr>
      <w:tr w14:paraId="7A3E8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7849111F">
            <w:pPr>
              <w:shd w:val="clear"/>
              <w:jc w:val="center"/>
              <w:rPr>
                <w:rFonts w:hint="eastAsia" w:ascii="宋体" w:hAnsi="宋体" w:cs="宋体"/>
                <w:color w:val="auto"/>
                <w:sz w:val="24"/>
                <w:highlight w:val="none"/>
              </w:rPr>
            </w:pPr>
          </w:p>
        </w:tc>
        <w:tc>
          <w:tcPr>
            <w:tcW w:w="2169" w:type="dxa"/>
            <w:vAlign w:val="center"/>
          </w:tcPr>
          <w:p w14:paraId="2622D5C3">
            <w:pPr>
              <w:shd w:val="clear"/>
              <w:jc w:val="center"/>
              <w:rPr>
                <w:rFonts w:hint="eastAsia" w:ascii="宋体" w:hAnsi="宋体" w:cs="宋体"/>
                <w:color w:val="auto"/>
                <w:sz w:val="24"/>
                <w:highlight w:val="none"/>
              </w:rPr>
            </w:pPr>
          </w:p>
        </w:tc>
        <w:tc>
          <w:tcPr>
            <w:tcW w:w="1134" w:type="dxa"/>
            <w:vAlign w:val="center"/>
          </w:tcPr>
          <w:p w14:paraId="216F6B4A">
            <w:pPr>
              <w:shd w:val="clear"/>
              <w:jc w:val="center"/>
              <w:rPr>
                <w:rFonts w:hint="eastAsia" w:ascii="宋体" w:hAnsi="宋体" w:cs="宋体"/>
                <w:color w:val="auto"/>
                <w:sz w:val="24"/>
                <w:highlight w:val="none"/>
              </w:rPr>
            </w:pPr>
          </w:p>
        </w:tc>
        <w:tc>
          <w:tcPr>
            <w:tcW w:w="1842" w:type="dxa"/>
            <w:vAlign w:val="center"/>
          </w:tcPr>
          <w:p w14:paraId="4A73BA5E">
            <w:pPr>
              <w:shd w:val="clear"/>
              <w:jc w:val="center"/>
              <w:rPr>
                <w:rFonts w:hint="eastAsia" w:ascii="宋体" w:hAnsi="宋体" w:cs="宋体"/>
                <w:color w:val="auto"/>
                <w:sz w:val="24"/>
                <w:highlight w:val="none"/>
              </w:rPr>
            </w:pPr>
          </w:p>
        </w:tc>
        <w:tc>
          <w:tcPr>
            <w:tcW w:w="993" w:type="dxa"/>
            <w:vAlign w:val="center"/>
          </w:tcPr>
          <w:p w14:paraId="54C182BC">
            <w:pPr>
              <w:shd w:val="clear"/>
              <w:jc w:val="center"/>
              <w:rPr>
                <w:rFonts w:hint="eastAsia" w:ascii="宋体" w:hAnsi="宋体" w:cs="宋体"/>
                <w:color w:val="auto"/>
                <w:sz w:val="24"/>
                <w:highlight w:val="none"/>
              </w:rPr>
            </w:pPr>
          </w:p>
        </w:tc>
        <w:tc>
          <w:tcPr>
            <w:tcW w:w="1559" w:type="dxa"/>
            <w:vAlign w:val="center"/>
          </w:tcPr>
          <w:p w14:paraId="1EC1574B">
            <w:pPr>
              <w:shd w:val="clear"/>
              <w:jc w:val="center"/>
              <w:rPr>
                <w:rFonts w:hint="eastAsia" w:ascii="宋体" w:hAnsi="宋体" w:cs="宋体"/>
                <w:color w:val="auto"/>
                <w:sz w:val="24"/>
                <w:highlight w:val="none"/>
              </w:rPr>
            </w:pPr>
          </w:p>
        </w:tc>
      </w:tr>
      <w:tr w14:paraId="55CA8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4C048F92">
            <w:pPr>
              <w:shd w:val="clear"/>
              <w:jc w:val="center"/>
              <w:rPr>
                <w:rFonts w:hint="eastAsia" w:ascii="宋体" w:hAnsi="宋体" w:cs="宋体"/>
                <w:color w:val="auto"/>
                <w:sz w:val="24"/>
                <w:highlight w:val="none"/>
              </w:rPr>
            </w:pPr>
          </w:p>
        </w:tc>
        <w:tc>
          <w:tcPr>
            <w:tcW w:w="2169" w:type="dxa"/>
            <w:vAlign w:val="center"/>
          </w:tcPr>
          <w:p w14:paraId="6604A316">
            <w:pPr>
              <w:shd w:val="clear"/>
              <w:jc w:val="center"/>
              <w:rPr>
                <w:rFonts w:hint="eastAsia" w:ascii="宋体" w:hAnsi="宋体" w:cs="宋体"/>
                <w:color w:val="auto"/>
                <w:sz w:val="24"/>
                <w:highlight w:val="none"/>
              </w:rPr>
            </w:pPr>
          </w:p>
        </w:tc>
        <w:tc>
          <w:tcPr>
            <w:tcW w:w="1134" w:type="dxa"/>
            <w:vAlign w:val="center"/>
          </w:tcPr>
          <w:p w14:paraId="5AF17508">
            <w:pPr>
              <w:shd w:val="clear"/>
              <w:jc w:val="center"/>
              <w:rPr>
                <w:rFonts w:hint="eastAsia" w:ascii="宋体" w:hAnsi="宋体" w:cs="宋体"/>
                <w:color w:val="auto"/>
                <w:sz w:val="24"/>
                <w:highlight w:val="none"/>
              </w:rPr>
            </w:pPr>
          </w:p>
        </w:tc>
        <w:tc>
          <w:tcPr>
            <w:tcW w:w="1842" w:type="dxa"/>
            <w:vAlign w:val="center"/>
          </w:tcPr>
          <w:p w14:paraId="7C239F46">
            <w:pPr>
              <w:shd w:val="clear"/>
              <w:jc w:val="center"/>
              <w:rPr>
                <w:rFonts w:hint="eastAsia" w:ascii="宋体" w:hAnsi="宋体" w:cs="宋体"/>
                <w:color w:val="auto"/>
                <w:sz w:val="24"/>
                <w:highlight w:val="none"/>
              </w:rPr>
            </w:pPr>
          </w:p>
        </w:tc>
        <w:tc>
          <w:tcPr>
            <w:tcW w:w="993" w:type="dxa"/>
            <w:vAlign w:val="center"/>
          </w:tcPr>
          <w:p w14:paraId="7DA24BCB">
            <w:pPr>
              <w:shd w:val="clear"/>
              <w:jc w:val="center"/>
              <w:rPr>
                <w:rFonts w:hint="eastAsia" w:ascii="宋体" w:hAnsi="宋体" w:cs="宋体"/>
                <w:color w:val="auto"/>
                <w:sz w:val="24"/>
                <w:highlight w:val="none"/>
              </w:rPr>
            </w:pPr>
          </w:p>
        </w:tc>
        <w:tc>
          <w:tcPr>
            <w:tcW w:w="1559" w:type="dxa"/>
            <w:vAlign w:val="center"/>
          </w:tcPr>
          <w:p w14:paraId="5642A541">
            <w:pPr>
              <w:shd w:val="clear"/>
              <w:jc w:val="center"/>
              <w:rPr>
                <w:rFonts w:hint="eastAsia" w:ascii="宋体" w:hAnsi="宋体" w:cs="宋体"/>
                <w:color w:val="auto"/>
                <w:sz w:val="24"/>
                <w:highlight w:val="none"/>
              </w:rPr>
            </w:pPr>
          </w:p>
        </w:tc>
      </w:tr>
      <w:tr w14:paraId="592BC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55CA9CD9">
            <w:pPr>
              <w:shd w:val="clear"/>
              <w:jc w:val="center"/>
              <w:rPr>
                <w:rFonts w:hint="eastAsia" w:ascii="宋体" w:hAnsi="宋体" w:cs="宋体"/>
                <w:color w:val="auto"/>
                <w:sz w:val="24"/>
                <w:highlight w:val="none"/>
              </w:rPr>
            </w:pPr>
          </w:p>
        </w:tc>
        <w:tc>
          <w:tcPr>
            <w:tcW w:w="2169" w:type="dxa"/>
            <w:vAlign w:val="center"/>
          </w:tcPr>
          <w:p w14:paraId="58F004D3">
            <w:pPr>
              <w:shd w:val="clear"/>
              <w:jc w:val="center"/>
              <w:rPr>
                <w:rFonts w:hint="eastAsia" w:ascii="宋体" w:hAnsi="宋体" w:cs="宋体"/>
                <w:color w:val="auto"/>
                <w:sz w:val="24"/>
                <w:highlight w:val="none"/>
              </w:rPr>
            </w:pPr>
          </w:p>
        </w:tc>
        <w:tc>
          <w:tcPr>
            <w:tcW w:w="1134" w:type="dxa"/>
            <w:vAlign w:val="center"/>
          </w:tcPr>
          <w:p w14:paraId="0AF6043F">
            <w:pPr>
              <w:shd w:val="clear"/>
              <w:jc w:val="center"/>
              <w:rPr>
                <w:rFonts w:hint="eastAsia" w:ascii="宋体" w:hAnsi="宋体" w:cs="宋体"/>
                <w:color w:val="auto"/>
                <w:sz w:val="24"/>
                <w:highlight w:val="none"/>
              </w:rPr>
            </w:pPr>
          </w:p>
        </w:tc>
        <w:tc>
          <w:tcPr>
            <w:tcW w:w="1842" w:type="dxa"/>
            <w:vAlign w:val="center"/>
          </w:tcPr>
          <w:p w14:paraId="1B0DA674">
            <w:pPr>
              <w:shd w:val="clear"/>
              <w:jc w:val="center"/>
              <w:rPr>
                <w:rFonts w:hint="eastAsia" w:ascii="宋体" w:hAnsi="宋体" w:cs="宋体"/>
                <w:color w:val="auto"/>
                <w:sz w:val="24"/>
                <w:highlight w:val="none"/>
              </w:rPr>
            </w:pPr>
          </w:p>
        </w:tc>
        <w:tc>
          <w:tcPr>
            <w:tcW w:w="993" w:type="dxa"/>
            <w:vAlign w:val="center"/>
          </w:tcPr>
          <w:p w14:paraId="75B76124">
            <w:pPr>
              <w:shd w:val="clear"/>
              <w:jc w:val="center"/>
              <w:rPr>
                <w:rFonts w:hint="eastAsia" w:ascii="宋体" w:hAnsi="宋体" w:cs="宋体"/>
                <w:color w:val="auto"/>
                <w:sz w:val="24"/>
                <w:highlight w:val="none"/>
              </w:rPr>
            </w:pPr>
          </w:p>
        </w:tc>
        <w:tc>
          <w:tcPr>
            <w:tcW w:w="1559" w:type="dxa"/>
            <w:vAlign w:val="center"/>
          </w:tcPr>
          <w:p w14:paraId="17169A57">
            <w:pPr>
              <w:shd w:val="clear"/>
              <w:jc w:val="center"/>
              <w:rPr>
                <w:rFonts w:hint="eastAsia" w:ascii="宋体" w:hAnsi="宋体" w:cs="宋体"/>
                <w:color w:val="auto"/>
                <w:sz w:val="24"/>
                <w:highlight w:val="none"/>
              </w:rPr>
            </w:pPr>
          </w:p>
        </w:tc>
      </w:tr>
      <w:tr w14:paraId="6A77D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7EFC26DD">
            <w:pPr>
              <w:shd w:val="clear"/>
              <w:jc w:val="center"/>
              <w:rPr>
                <w:rFonts w:hint="eastAsia" w:ascii="宋体" w:hAnsi="宋体" w:cs="宋体"/>
                <w:color w:val="auto"/>
                <w:sz w:val="24"/>
                <w:highlight w:val="none"/>
              </w:rPr>
            </w:pPr>
          </w:p>
        </w:tc>
        <w:tc>
          <w:tcPr>
            <w:tcW w:w="2169" w:type="dxa"/>
            <w:vAlign w:val="center"/>
          </w:tcPr>
          <w:p w14:paraId="2A6BDB68">
            <w:pPr>
              <w:shd w:val="clear"/>
              <w:jc w:val="center"/>
              <w:rPr>
                <w:rFonts w:hint="eastAsia" w:ascii="宋体" w:hAnsi="宋体" w:cs="宋体"/>
                <w:color w:val="auto"/>
                <w:sz w:val="24"/>
                <w:highlight w:val="none"/>
              </w:rPr>
            </w:pPr>
          </w:p>
        </w:tc>
        <w:tc>
          <w:tcPr>
            <w:tcW w:w="1134" w:type="dxa"/>
            <w:vAlign w:val="center"/>
          </w:tcPr>
          <w:p w14:paraId="06CCE6A6">
            <w:pPr>
              <w:shd w:val="clear"/>
              <w:jc w:val="center"/>
              <w:rPr>
                <w:rFonts w:hint="eastAsia" w:ascii="宋体" w:hAnsi="宋体" w:cs="宋体"/>
                <w:color w:val="auto"/>
                <w:sz w:val="24"/>
                <w:highlight w:val="none"/>
              </w:rPr>
            </w:pPr>
          </w:p>
        </w:tc>
        <w:tc>
          <w:tcPr>
            <w:tcW w:w="1842" w:type="dxa"/>
            <w:vAlign w:val="center"/>
          </w:tcPr>
          <w:p w14:paraId="7DB914D0">
            <w:pPr>
              <w:shd w:val="clear"/>
              <w:jc w:val="center"/>
              <w:rPr>
                <w:rFonts w:hint="eastAsia" w:ascii="宋体" w:hAnsi="宋体" w:cs="宋体"/>
                <w:color w:val="auto"/>
                <w:sz w:val="24"/>
                <w:highlight w:val="none"/>
              </w:rPr>
            </w:pPr>
          </w:p>
        </w:tc>
        <w:tc>
          <w:tcPr>
            <w:tcW w:w="993" w:type="dxa"/>
            <w:vAlign w:val="center"/>
          </w:tcPr>
          <w:p w14:paraId="40607DB4">
            <w:pPr>
              <w:shd w:val="clear"/>
              <w:jc w:val="center"/>
              <w:rPr>
                <w:rFonts w:hint="eastAsia" w:ascii="宋体" w:hAnsi="宋体" w:cs="宋体"/>
                <w:color w:val="auto"/>
                <w:sz w:val="24"/>
                <w:highlight w:val="none"/>
              </w:rPr>
            </w:pPr>
          </w:p>
        </w:tc>
        <w:tc>
          <w:tcPr>
            <w:tcW w:w="1559" w:type="dxa"/>
            <w:vAlign w:val="center"/>
          </w:tcPr>
          <w:p w14:paraId="50C32BE5">
            <w:pPr>
              <w:shd w:val="clear"/>
              <w:jc w:val="center"/>
              <w:rPr>
                <w:rFonts w:hint="eastAsia" w:ascii="宋体" w:hAnsi="宋体" w:cs="宋体"/>
                <w:color w:val="auto"/>
                <w:sz w:val="24"/>
                <w:highlight w:val="none"/>
              </w:rPr>
            </w:pPr>
          </w:p>
        </w:tc>
      </w:tr>
      <w:tr w14:paraId="4A0CB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11A53A09">
            <w:pPr>
              <w:shd w:val="clear"/>
              <w:jc w:val="center"/>
              <w:rPr>
                <w:rFonts w:hint="eastAsia" w:ascii="宋体" w:hAnsi="宋体" w:cs="宋体"/>
                <w:color w:val="auto"/>
                <w:sz w:val="24"/>
                <w:highlight w:val="none"/>
              </w:rPr>
            </w:pPr>
          </w:p>
        </w:tc>
        <w:tc>
          <w:tcPr>
            <w:tcW w:w="2169" w:type="dxa"/>
            <w:vAlign w:val="center"/>
          </w:tcPr>
          <w:p w14:paraId="0AB0348E">
            <w:pPr>
              <w:shd w:val="clear"/>
              <w:jc w:val="center"/>
              <w:rPr>
                <w:rFonts w:hint="eastAsia" w:ascii="宋体" w:hAnsi="宋体" w:cs="宋体"/>
                <w:color w:val="auto"/>
                <w:sz w:val="24"/>
                <w:highlight w:val="none"/>
              </w:rPr>
            </w:pPr>
          </w:p>
        </w:tc>
        <w:tc>
          <w:tcPr>
            <w:tcW w:w="1134" w:type="dxa"/>
            <w:vAlign w:val="center"/>
          </w:tcPr>
          <w:p w14:paraId="24DCD16D">
            <w:pPr>
              <w:shd w:val="clear"/>
              <w:jc w:val="center"/>
              <w:rPr>
                <w:rFonts w:hint="eastAsia" w:ascii="宋体" w:hAnsi="宋体" w:cs="宋体"/>
                <w:color w:val="auto"/>
                <w:sz w:val="24"/>
                <w:highlight w:val="none"/>
              </w:rPr>
            </w:pPr>
          </w:p>
        </w:tc>
        <w:tc>
          <w:tcPr>
            <w:tcW w:w="1842" w:type="dxa"/>
            <w:vAlign w:val="center"/>
          </w:tcPr>
          <w:p w14:paraId="465B1206">
            <w:pPr>
              <w:shd w:val="clear"/>
              <w:jc w:val="center"/>
              <w:rPr>
                <w:rFonts w:hint="eastAsia" w:ascii="宋体" w:hAnsi="宋体" w:cs="宋体"/>
                <w:color w:val="auto"/>
                <w:sz w:val="24"/>
                <w:highlight w:val="none"/>
              </w:rPr>
            </w:pPr>
          </w:p>
        </w:tc>
        <w:tc>
          <w:tcPr>
            <w:tcW w:w="993" w:type="dxa"/>
            <w:vAlign w:val="center"/>
          </w:tcPr>
          <w:p w14:paraId="2ECF3856">
            <w:pPr>
              <w:shd w:val="clear"/>
              <w:jc w:val="center"/>
              <w:rPr>
                <w:rFonts w:hint="eastAsia" w:ascii="宋体" w:hAnsi="宋体" w:cs="宋体"/>
                <w:color w:val="auto"/>
                <w:sz w:val="24"/>
                <w:highlight w:val="none"/>
              </w:rPr>
            </w:pPr>
          </w:p>
        </w:tc>
        <w:tc>
          <w:tcPr>
            <w:tcW w:w="1559" w:type="dxa"/>
            <w:vAlign w:val="center"/>
          </w:tcPr>
          <w:p w14:paraId="5EB11202">
            <w:pPr>
              <w:shd w:val="clear"/>
              <w:jc w:val="center"/>
              <w:rPr>
                <w:rFonts w:hint="eastAsia" w:ascii="宋体" w:hAnsi="宋体" w:cs="宋体"/>
                <w:color w:val="auto"/>
                <w:sz w:val="24"/>
                <w:highlight w:val="none"/>
              </w:rPr>
            </w:pPr>
          </w:p>
        </w:tc>
      </w:tr>
      <w:tr w14:paraId="5D9EF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65D2A5D8">
            <w:pPr>
              <w:shd w:val="clear"/>
              <w:jc w:val="center"/>
              <w:rPr>
                <w:rFonts w:hint="eastAsia" w:ascii="宋体" w:hAnsi="宋体" w:cs="宋体"/>
                <w:color w:val="auto"/>
                <w:sz w:val="24"/>
                <w:highlight w:val="none"/>
              </w:rPr>
            </w:pPr>
          </w:p>
        </w:tc>
        <w:tc>
          <w:tcPr>
            <w:tcW w:w="2169" w:type="dxa"/>
            <w:vAlign w:val="center"/>
          </w:tcPr>
          <w:p w14:paraId="5D3134B2">
            <w:pPr>
              <w:shd w:val="clear"/>
              <w:jc w:val="center"/>
              <w:rPr>
                <w:rFonts w:hint="eastAsia" w:ascii="宋体" w:hAnsi="宋体" w:cs="宋体"/>
                <w:color w:val="auto"/>
                <w:sz w:val="24"/>
                <w:highlight w:val="none"/>
              </w:rPr>
            </w:pPr>
          </w:p>
        </w:tc>
        <w:tc>
          <w:tcPr>
            <w:tcW w:w="1134" w:type="dxa"/>
            <w:vAlign w:val="center"/>
          </w:tcPr>
          <w:p w14:paraId="43BF79B7">
            <w:pPr>
              <w:shd w:val="clear"/>
              <w:jc w:val="center"/>
              <w:rPr>
                <w:rFonts w:hint="eastAsia" w:ascii="宋体" w:hAnsi="宋体" w:cs="宋体"/>
                <w:color w:val="auto"/>
                <w:sz w:val="24"/>
                <w:highlight w:val="none"/>
              </w:rPr>
            </w:pPr>
          </w:p>
        </w:tc>
        <w:tc>
          <w:tcPr>
            <w:tcW w:w="1842" w:type="dxa"/>
            <w:vAlign w:val="center"/>
          </w:tcPr>
          <w:p w14:paraId="23AD2E49">
            <w:pPr>
              <w:shd w:val="clear"/>
              <w:jc w:val="center"/>
              <w:rPr>
                <w:rFonts w:hint="eastAsia" w:ascii="宋体" w:hAnsi="宋体" w:cs="宋体"/>
                <w:color w:val="auto"/>
                <w:sz w:val="24"/>
                <w:highlight w:val="none"/>
              </w:rPr>
            </w:pPr>
          </w:p>
        </w:tc>
        <w:tc>
          <w:tcPr>
            <w:tcW w:w="993" w:type="dxa"/>
            <w:vAlign w:val="center"/>
          </w:tcPr>
          <w:p w14:paraId="45D560F7">
            <w:pPr>
              <w:shd w:val="clear"/>
              <w:jc w:val="center"/>
              <w:rPr>
                <w:rFonts w:hint="eastAsia" w:ascii="宋体" w:hAnsi="宋体" w:cs="宋体"/>
                <w:color w:val="auto"/>
                <w:sz w:val="24"/>
                <w:highlight w:val="none"/>
              </w:rPr>
            </w:pPr>
          </w:p>
        </w:tc>
        <w:tc>
          <w:tcPr>
            <w:tcW w:w="1559" w:type="dxa"/>
            <w:vAlign w:val="center"/>
          </w:tcPr>
          <w:p w14:paraId="25F5B148">
            <w:pPr>
              <w:shd w:val="clear"/>
              <w:jc w:val="center"/>
              <w:rPr>
                <w:rFonts w:hint="eastAsia" w:ascii="宋体" w:hAnsi="宋体" w:cs="宋体"/>
                <w:color w:val="auto"/>
                <w:sz w:val="24"/>
                <w:highlight w:val="none"/>
              </w:rPr>
            </w:pPr>
          </w:p>
        </w:tc>
      </w:tr>
    </w:tbl>
    <w:p w14:paraId="358D5870">
      <w:pPr>
        <w:shd w:val="clear"/>
        <w:spacing w:line="360" w:lineRule="auto"/>
        <w:rPr>
          <w:rFonts w:hint="eastAsia" w:ascii="宋体" w:hAnsi="宋体" w:cs="宋体"/>
          <w:color w:val="auto"/>
          <w:sz w:val="24"/>
          <w:highlight w:val="none"/>
        </w:rPr>
      </w:pPr>
    </w:p>
    <w:p w14:paraId="0A869E34">
      <w:pPr>
        <w:shd w:val="clea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要求：</w:t>
      </w:r>
    </w:p>
    <w:p w14:paraId="696FD860">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1.本表中的名称、数量应与报价明细表中相对应的报价名称、数量一致。</w:t>
      </w:r>
    </w:p>
    <w:p w14:paraId="02CCD084">
      <w:pPr>
        <w:shd w:val="clear"/>
        <w:spacing w:line="360" w:lineRule="auto"/>
        <w:rPr>
          <w:rFonts w:hint="eastAsia" w:ascii="宋体" w:hAnsi="宋体" w:cs="宋体"/>
          <w:color w:val="auto"/>
          <w:sz w:val="24"/>
          <w:highlight w:val="none"/>
        </w:rPr>
      </w:pPr>
    </w:p>
    <w:p w14:paraId="0668122D">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618E00FE">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1FC90D66">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7F13B347">
      <w:pPr>
        <w:shd w:val="clear"/>
        <w:spacing w:line="360" w:lineRule="auto"/>
        <w:rPr>
          <w:rFonts w:hint="eastAsia" w:ascii="宋体" w:hAnsi="宋体" w:cs="宋体"/>
          <w:color w:val="auto"/>
          <w:sz w:val="24"/>
          <w:highlight w:val="none"/>
        </w:rPr>
      </w:pPr>
    </w:p>
    <w:p w14:paraId="31D1B7F6">
      <w:pPr>
        <w:shd w:val="clear"/>
        <w:spacing w:line="360" w:lineRule="auto"/>
        <w:rPr>
          <w:rFonts w:hint="eastAsia" w:ascii="宋体" w:hAnsi="宋体" w:cs="宋体"/>
          <w:color w:val="auto"/>
          <w:sz w:val="24"/>
          <w:highlight w:val="none"/>
        </w:rPr>
      </w:pPr>
    </w:p>
    <w:p w14:paraId="558B13EF">
      <w:pPr>
        <w:shd w:val="clear"/>
        <w:spacing w:line="360" w:lineRule="auto"/>
        <w:rPr>
          <w:rFonts w:hint="eastAsia" w:ascii="宋体" w:hAnsi="宋体" w:cs="宋体"/>
          <w:color w:val="auto"/>
          <w:sz w:val="24"/>
          <w:highlight w:val="none"/>
        </w:rPr>
      </w:pPr>
    </w:p>
    <w:p w14:paraId="5388A12C">
      <w:pPr>
        <w:shd w:val="clear"/>
        <w:spacing w:line="360" w:lineRule="auto"/>
        <w:rPr>
          <w:rFonts w:hint="eastAsia" w:ascii="宋体" w:hAnsi="宋体" w:cs="宋体"/>
          <w:color w:val="auto"/>
          <w:sz w:val="24"/>
          <w:highlight w:val="none"/>
        </w:rPr>
      </w:pPr>
    </w:p>
    <w:p w14:paraId="3B9BFDA9">
      <w:pPr>
        <w:shd w:val="clear"/>
        <w:spacing w:line="360" w:lineRule="auto"/>
        <w:rPr>
          <w:rFonts w:hint="eastAsia" w:ascii="宋体" w:hAnsi="宋体" w:cs="宋体"/>
          <w:color w:val="auto"/>
          <w:sz w:val="24"/>
          <w:highlight w:val="none"/>
        </w:rPr>
      </w:pPr>
    </w:p>
    <w:p w14:paraId="6A5F0CB7">
      <w:pPr>
        <w:shd w:val="clear"/>
        <w:spacing w:line="360" w:lineRule="auto"/>
        <w:rPr>
          <w:rFonts w:hint="eastAsia" w:ascii="宋体" w:hAnsi="宋体" w:cs="宋体"/>
          <w:color w:val="auto"/>
          <w:sz w:val="24"/>
          <w:highlight w:val="none"/>
        </w:rPr>
      </w:pPr>
    </w:p>
    <w:p w14:paraId="5B77BDE4">
      <w:pPr>
        <w:shd w:val="clear"/>
        <w:spacing w:line="360" w:lineRule="auto"/>
        <w:rPr>
          <w:rFonts w:hint="eastAsia" w:ascii="宋体" w:hAnsi="宋体" w:cs="宋体"/>
          <w:color w:val="auto"/>
          <w:sz w:val="24"/>
          <w:highlight w:val="none"/>
        </w:rPr>
      </w:pPr>
    </w:p>
    <w:p w14:paraId="1BBCC5DF">
      <w:pPr>
        <w:shd w:val="clear"/>
        <w:spacing w:line="360" w:lineRule="auto"/>
        <w:rPr>
          <w:rFonts w:hint="eastAsia" w:ascii="宋体" w:hAnsi="宋体" w:cs="宋体"/>
          <w:color w:val="auto"/>
          <w:sz w:val="24"/>
          <w:highlight w:val="none"/>
        </w:rPr>
      </w:pPr>
    </w:p>
    <w:p w14:paraId="33FFC106">
      <w:pPr>
        <w:shd w:val="clear"/>
        <w:spacing w:line="360" w:lineRule="auto"/>
        <w:rPr>
          <w:rFonts w:hint="eastAsia" w:ascii="宋体" w:hAnsi="宋体" w:cs="宋体"/>
          <w:color w:val="auto"/>
          <w:sz w:val="24"/>
          <w:highlight w:val="none"/>
        </w:rPr>
      </w:pPr>
    </w:p>
    <w:p w14:paraId="759CC1D1">
      <w:pPr>
        <w:shd w:val="clear"/>
        <w:spacing w:line="480" w:lineRule="exact"/>
        <w:jc w:val="left"/>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14</w:t>
      </w:r>
    </w:p>
    <w:p w14:paraId="19C46970">
      <w:pPr>
        <w:shd w:val="clear"/>
        <w:spacing w:line="480" w:lineRule="exact"/>
        <w:ind w:left="480"/>
        <w:jc w:val="center"/>
        <w:rPr>
          <w:rFonts w:hint="eastAsia" w:ascii="宋体" w:hAnsi="宋体" w:cs="宋体"/>
          <w:b/>
          <w:bCs/>
          <w:color w:val="auto"/>
          <w:sz w:val="32"/>
          <w:szCs w:val="32"/>
          <w:highlight w:val="none"/>
        </w:rPr>
      </w:pPr>
      <w:r>
        <w:rPr>
          <w:rFonts w:hint="eastAsia" w:ascii="宋体" w:hAnsi="宋体" w:cs="宋体"/>
          <w:b/>
          <w:bCs/>
          <w:color w:val="auto"/>
          <w:kern w:val="0"/>
          <w:sz w:val="32"/>
          <w:szCs w:val="32"/>
          <w:highlight w:val="none"/>
        </w:rPr>
        <w:t>技术需求响应表</w:t>
      </w:r>
    </w:p>
    <w:tbl>
      <w:tblPr>
        <w:tblStyle w:val="29"/>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449"/>
        <w:gridCol w:w="1560"/>
        <w:gridCol w:w="1401"/>
        <w:gridCol w:w="1365"/>
      </w:tblGrid>
      <w:tr w14:paraId="2145E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14:paraId="1F0DA091">
            <w:pPr>
              <w:shd w:val="clea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785" w:type="dxa"/>
            <w:vAlign w:val="center"/>
          </w:tcPr>
          <w:p w14:paraId="68D59AF6">
            <w:pPr>
              <w:shd w:val="clear"/>
              <w:spacing w:line="360" w:lineRule="auto"/>
              <w:ind w:left="13" w:leftChars="6"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449" w:type="dxa"/>
            <w:vAlign w:val="center"/>
          </w:tcPr>
          <w:p w14:paraId="65A6C9B9">
            <w:pPr>
              <w:shd w:val="clear"/>
              <w:spacing w:line="360" w:lineRule="auto"/>
              <w:ind w:left="52"/>
              <w:rPr>
                <w:rFonts w:hint="eastAsia" w:ascii="宋体" w:hAnsi="宋体" w:cs="宋体"/>
                <w:b/>
                <w:color w:val="auto"/>
                <w:sz w:val="24"/>
                <w:highlight w:val="none"/>
              </w:rPr>
            </w:pPr>
            <w:r>
              <w:rPr>
                <w:rFonts w:hint="eastAsia" w:ascii="宋体" w:hAnsi="宋体" w:cs="宋体"/>
                <w:b/>
                <w:color w:val="auto"/>
                <w:sz w:val="24"/>
                <w:highlight w:val="none"/>
              </w:rPr>
              <w:t>规格型号</w:t>
            </w:r>
          </w:p>
        </w:tc>
        <w:tc>
          <w:tcPr>
            <w:tcW w:w="1560" w:type="dxa"/>
            <w:vAlign w:val="center"/>
          </w:tcPr>
          <w:p w14:paraId="4A95AFCC">
            <w:pPr>
              <w:shd w:val="clear"/>
              <w:spacing w:line="360" w:lineRule="auto"/>
              <w:ind w:left="152"/>
              <w:rPr>
                <w:rFonts w:hint="eastAsia" w:ascii="宋体" w:hAnsi="宋体" w:cs="宋体"/>
                <w:b/>
                <w:color w:val="auto"/>
                <w:sz w:val="24"/>
                <w:highlight w:val="none"/>
              </w:rPr>
            </w:pPr>
            <w:r>
              <w:rPr>
                <w:rFonts w:hint="eastAsia" w:ascii="宋体" w:hAnsi="宋体" w:cs="宋体"/>
                <w:b/>
                <w:color w:val="auto"/>
                <w:sz w:val="24"/>
                <w:highlight w:val="none"/>
              </w:rPr>
              <w:t>招标参数</w:t>
            </w:r>
          </w:p>
        </w:tc>
        <w:tc>
          <w:tcPr>
            <w:tcW w:w="1401" w:type="dxa"/>
            <w:vAlign w:val="center"/>
          </w:tcPr>
          <w:p w14:paraId="6B860D08">
            <w:pPr>
              <w:shd w:val="clea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投标参数</w:t>
            </w:r>
          </w:p>
        </w:tc>
        <w:tc>
          <w:tcPr>
            <w:tcW w:w="1365" w:type="dxa"/>
            <w:vAlign w:val="center"/>
          </w:tcPr>
          <w:p w14:paraId="10AEE9A4">
            <w:pPr>
              <w:shd w:val="clea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偏离说明</w:t>
            </w:r>
          </w:p>
        </w:tc>
      </w:tr>
      <w:tr w14:paraId="5D6D0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14:paraId="1152B436">
            <w:pPr>
              <w:shd w:val="clear"/>
              <w:spacing w:line="360" w:lineRule="auto"/>
              <w:rPr>
                <w:rFonts w:hint="eastAsia" w:ascii="宋体" w:hAnsi="宋体" w:cs="宋体"/>
                <w:color w:val="auto"/>
                <w:sz w:val="24"/>
                <w:highlight w:val="none"/>
              </w:rPr>
            </w:pPr>
          </w:p>
        </w:tc>
        <w:tc>
          <w:tcPr>
            <w:tcW w:w="1785" w:type="dxa"/>
            <w:vAlign w:val="center"/>
          </w:tcPr>
          <w:p w14:paraId="2CD8353D">
            <w:pPr>
              <w:shd w:val="clear"/>
              <w:spacing w:line="360" w:lineRule="auto"/>
              <w:rPr>
                <w:rFonts w:hint="eastAsia" w:ascii="宋体" w:hAnsi="宋体" w:cs="宋体"/>
                <w:color w:val="auto"/>
                <w:sz w:val="24"/>
                <w:highlight w:val="none"/>
              </w:rPr>
            </w:pPr>
          </w:p>
        </w:tc>
        <w:tc>
          <w:tcPr>
            <w:tcW w:w="1449" w:type="dxa"/>
            <w:vAlign w:val="center"/>
          </w:tcPr>
          <w:p w14:paraId="7D7F32C8">
            <w:pPr>
              <w:shd w:val="clear"/>
              <w:spacing w:line="360" w:lineRule="auto"/>
              <w:rPr>
                <w:rFonts w:hint="eastAsia" w:ascii="宋体" w:hAnsi="宋体" w:cs="宋体"/>
                <w:color w:val="auto"/>
                <w:sz w:val="24"/>
                <w:highlight w:val="none"/>
              </w:rPr>
            </w:pPr>
          </w:p>
        </w:tc>
        <w:tc>
          <w:tcPr>
            <w:tcW w:w="1560" w:type="dxa"/>
            <w:vAlign w:val="center"/>
          </w:tcPr>
          <w:p w14:paraId="13CC29C1">
            <w:pPr>
              <w:shd w:val="clear"/>
              <w:spacing w:line="360" w:lineRule="auto"/>
              <w:rPr>
                <w:rFonts w:hint="eastAsia" w:ascii="宋体" w:hAnsi="宋体" w:cs="宋体"/>
                <w:color w:val="auto"/>
                <w:sz w:val="24"/>
                <w:highlight w:val="none"/>
              </w:rPr>
            </w:pPr>
          </w:p>
        </w:tc>
        <w:tc>
          <w:tcPr>
            <w:tcW w:w="1401" w:type="dxa"/>
            <w:vAlign w:val="center"/>
          </w:tcPr>
          <w:p w14:paraId="1A6A97C6">
            <w:pPr>
              <w:shd w:val="clear"/>
              <w:spacing w:line="360" w:lineRule="auto"/>
              <w:rPr>
                <w:rFonts w:hint="eastAsia" w:ascii="宋体" w:hAnsi="宋体" w:cs="宋体"/>
                <w:color w:val="auto"/>
                <w:sz w:val="24"/>
                <w:highlight w:val="none"/>
              </w:rPr>
            </w:pPr>
          </w:p>
        </w:tc>
        <w:tc>
          <w:tcPr>
            <w:tcW w:w="1365" w:type="dxa"/>
            <w:vAlign w:val="center"/>
          </w:tcPr>
          <w:p w14:paraId="064D456C">
            <w:pPr>
              <w:shd w:val="clear"/>
              <w:spacing w:line="360" w:lineRule="auto"/>
              <w:rPr>
                <w:rFonts w:hint="eastAsia" w:ascii="宋体" w:hAnsi="宋体" w:cs="宋体"/>
                <w:color w:val="auto"/>
                <w:sz w:val="24"/>
                <w:highlight w:val="none"/>
              </w:rPr>
            </w:pPr>
          </w:p>
        </w:tc>
      </w:tr>
      <w:tr w14:paraId="71643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3A9CFE75">
            <w:pPr>
              <w:shd w:val="clear"/>
              <w:spacing w:line="360" w:lineRule="auto"/>
              <w:rPr>
                <w:rFonts w:hint="eastAsia" w:ascii="宋体" w:hAnsi="宋体" w:cs="宋体"/>
                <w:color w:val="auto"/>
                <w:sz w:val="24"/>
                <w:highlight w:val="none"/>
              </w:rPr>
            </w:pPr>
          </w:p>
        </w:tc>
        <w:tc>
          <w:tcPr>
            <w:tcW w:w="1785" w:type="dxa"/>
            <w:vAlign w:val="center"/>
          </w:tcPr>
          <w:p w14:paraId="33DAAD70">
            <w:pPr>
              <w:shd w:val="clear"/>
              <w:spacing w:line="360" w:lineRule="auto"/>
              <w:rPr>
                <w:rFonts w:hint="eastAsia" w:ascii="宋体" w:hAnsi="宋体" w:cs="宋体"/>
                <w:color w:val="auto"/>
                <w:sz w:val="24"/>
                <w:highlight w:val="none"/>
              </w:rPr>
            </w:pPr>
          </w:p>
        </w:tc>
        <w:tc>
          <w:tcPr>
            <w:tcW w:w="1449" w:type="dxa"/>
            <w:vAlign w:val="center"/>
          </w:tcPr>
          <w:p w14:paraId="673C80D8">
            <w:pPr>
              <w:shd w:val="clear"/>
              <w:spacing w:line="360" w:lineRule="auto"/>
              <w:rPr>
                <w:rFonts w:hint="eastAsia" w:ascii="宋体" w:hAnsi="宋体" w:cs="宋体"/>
                <w:color w:val="auto"/>
                <w:sz w:val="24"/>
                <w:highlight w:val="none"/>
              </w:rPr>
            </w:pPr>
          </w:p>
        </w:tc>
        <w:tc>
          <w:tcPr>
            <w:tcW w:w="1560" w:type="dxa"/>
            <w:vAlign w:val="center"/>
          </w:tcPr>
          <w:p w14:paraId="1727D289">
            <w:pPr>
              <w:shd w:val="clear"/>
              <w:spacing w:line="360" w:lineRule="auto"/>
              <w:rPr>
                <w:rFonts w:hint="eastAsia" w:ascii="宋体" w:hAnsi="宋体" w:cs="宋体"/>
                <w:color w:val="auto"/>
                <w:sz w:val="24"/>
                <w:highlight w:val="none"/>
              </w:rPr>
            </w:pPr>
          </w:p>
        </w:tc>
        <w:tc>
          <w:tcPr>
            <w:tcW w:w="1401" w:type="dxa"/>
            <w:vAlign w:val="center"/>
          </w:tcPr>
          <w:p w14:paraId="6DC4931B">
            <w:pPr>
              <w:shd w:val="clear"/>
              <w:spacing w:line="360" w:lineRule="auto"/>
              <w:rPr>
                <w:rFonts w:hint="eastAsia" w:ascii="宋体" w:hAnsi="宋体" w:cs="宋体"/>
                <w:color w:val="auto"/>
                <w:sz w:val="24"/>
                <w:highlight w:val="none"/>
              </w:rPr>
            </w:pPr>
          </w:p>
        </w:tc>
        <w:tc>
          <w:tcPr>
            <w:tcW w:w="1365" w:type="dxa"/>
            <w:vAlign w:val="center"/>
          </w:tcPr>
          <w:p w14:paraId="294C5BA3">
            <w:pPr>
              <w:shd w:val="clear"/>
              <w:spacing w:line="360" w:lineRule="auto"/>
              <w:rPr>
                <w:rFonts w:hint="eastAsia" w:ascii="宋体" w:hAnsi="宋体" w:cs="宋体"/>
                <w:color w:val="auto"/>
                <w:sz w:val="24"/>
                <w:highlight w:val="none"/>
              </w:rPr>
            </w:pPr>
          </w:p>
        </w:tc>
      </w:tr>
      <w:tr w14:paraId="6BD8C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2C32E337">
            <w:pPr>
              <w:shd w:val="clear"/>
              <w:spacing w:line="360" w:lineRule="auto"/>
              <w:rPr>
                <w:rFonts w:hint="eastAsia" w:ascii="宋体" w:hAnsi="宋体" w:cs="宋体"/>
                <w:color w:val="auto"/>
                <w:sz w:val="24"/>
                <w:highlight w:val="none"/>
              </w:rPr>
            </w:pPr>
          </w:p>
        </w:tc>
        <w:tc>
          <w:tcPr>
            <w:tcW w:w="1785" w:type="dxa"/>
            <w:vAlign w:val="center"/>
          </w:tcPr>
          <w:p w14:paraId="37437D70">
            <w:pPr>
              <w:shd w:val="clear"/>
              <w:spacing w:line="360" w:lineRule="auto"/>
              <w:rPr>
                <w:rFonts w:hint="eastAsia" w:ascii="宋体" w:hAnsi="宋体" w:cs="宋体"/>
                <w:color w:val="auto"/>
                <w:sz w:val="24"/>
                <w:highlight w:val="none"/>
              </w:rPr>
            </w:pPr>
          </w:p>
        </w:tc>
        <w:tc>
          <w:tcPr>
            <w:tcW w:w="1449" w:type="dxa"/>
            <w:vAlign w:val="center"/>
          </w:tcPr>
          <w:p w14:paraId="332FFDF7">
            <w:pPr>
              <w:shd w:val="clear"/>
              <w:spacing w:line="360" w:lineRule="auto"/>
              <w:rPr>
                <w:rFonts w:hint="eastAsia" w:ascii="宋体" w:hAnsi="宋体" w:cs="宋体"/>
                <w:color w:val="auto"/>
                <w:sz w:val="24"/>
                <w:highlight w:val="none"/>
              </w:rPr>
            </w:pPr>
          </w:p>
        </w:tc>
        <w:tc>
          <w:tcPr>
            <w:tcW w:w="1560" w:type="dxa"/>
            <w:vAlign w:val="center"/>
          </w:tcPr>
          <w:p w14:paraId="532EC31F">
            <w:pPr>
              <w:shd w:val="clear"/>
              <w:spacing w:line="360" w:lineRule="auto"/>
              <w:rPr>
                <w:rFonts w:hint="eastAsia" w:ascii="宋体" w:hAnsi="宋体" w:cs="宋体"/>
                <w:color w:val="auto"/>
                <w:sz w:val="24"/>
                <w:highlight w:val="none"/>
              </w:rPr>
            </w:pPr>
          </w:p>
        </w:tc>
        <w:tc>
          <w:tcPr>
            <w:tcW w:w="1401" w:type="dxa"/>
            <w:vAlign w:val="center"/>
          </w:tcPr>
          <w:p w14:paraId="440066A9">
            <w:pPr>
              <w:shd w:val="clear"/>
              <w:spacing w:line="360" w:lineRule="auto"/>
              <w:rPr>
                <w:rFonts w:hint="eastAsia" w:ascii="宋体" w:hAnsi="宋体" w:cs="宋体"/>
                <w:color w:val="auto"/>
                <w:sz w:val="24"/>
                <w:highlight w:val="none"/>
              </w:rPr>
            </w:pPr>
          </w:p>
        </w:tc>
        <w:tc>
          <w:tcPr>
            <w:tcW w:w="1365" w:type="dxa"/>
            <w:vAlign w:val="center"/>
          </w:tcPr>
          <w:p w14:paraId="5E6F3889">
            <w:pPr>
              <w:shd w:val="clear"/>
              <w:spacing w:line="360" w:lineRule="auto"/>
              <w:rPr>
                <w:rFonts w:hint="eastAsia" w:ascii="宋体" w:hAnsi="宋体" w:cs="宋体"/>
                <w:color w:val="auto"/>
                <w:sz w:val="24"/>
                <w:highlight w:val="none"/>
              </w:rPr>
            </w:pPr>
          </w:p>
        </w:tc>
      </w:tr>
      <w:tr w14:paraId="69CC6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75C276EB">
            <w:pPr>
              <w:shd w:val="clear"/>
              <w:spacing w:line="360" w:lineRule="auto"/>
              <w:rPr>
                <w:rFonts w:hint="eastAsia" w:ascii="宋体" w:hAnsi="宋体" w:cs="宋体"/>
                <w:color w:val="auto"/>
                <w:sz w:val="24"/>
                <w:highlight w:val="none"/>
              </w:rPr>
            </w:pPr>
          </w:p>
        </w:tc>
        <w:tc>
          <w:tcPr>
            <w:tcW w:w="1785" w:type="dxa"/>
            <w:vAlign w:val="center"/>
          </w:tcPr>
          <w:p w14:paraId="4058FC8C">
            <w:pPr>
              <w:shd w:val="clear"/>
              <w:spacing w:line="360" w:lineRule="auto"/>
              <w:rPr>
                <w:rFonts w:hint="eastAsia" w:ascii="宋体" w:hAnsi="宋体" w:cs="宋体"/>
                <w:color w:val="auto"/>
                <w:sz w:val="24"/>
                <w:highlight w:val="none"/>
              </w:rPr>
            </w:pPr>
          </w:p>
        </w:tc>
        <w:tc>
          <w:tcPr>
            <w:tcW w:w="1449" w:type="dxa"/>
            <w:vAlign w:val="center"/>
          </w:tcPr>
          <w:p w14:paraId="30DD6558">
            <w:pPr>
              <w:shd w:val="clear"/>
              <w:spacing w:line="360" w:lineRule="auto"/>
              <w:rPr>
                <w:rFonts w:hint="eastAsia" w:ascii="宋体" w:hAnsi="宋体" w:cs="宋体"/>
                <w:color w:val="auto"/>
                <w:sz w:val="24"/>
                <w:highlight w:val="none"/>
              </w:rPr>
            </w:pPr>
          </w:p>
        </w:tc>
        <w:tc>
          <w:tcPr>
            <w:tcW w:w="1560" w:type="dxa"/>
            <w:vAlign w:val="center"/>
          </w:tcPr>
          <w:p w14:paraId="3885BCAF">
            <w:pPr>
              <w:shd w:val="clear"/>
              <w:spacing w:line="360" w:lineRule="auto"/>
              <w:rPr>
                <w:rFonts w:hint="eastAsia" w:ascii="宋体" w:hAnsi="宋体" w:cs="宋体"/>
                <w:color w:val="auto"/>
                <w:sz w:val="24"/>
                <w:highlight w:val="none"/>
              </w:rPr>
            </w:pPr>
          </w:p>
        </w:tc>
        <w:tc>
          <w:tcPr>
            <w:tcW w:w="1401" w:type="dxa"/>
            <w:vAlign w:val="center"/>
          </w:tcPr>
          <w:p w14:paraId="7DA445A2">
            <w:pPr>
              <w:shd w:val="clear"/>
              <w:spacing w:line="360" w:lineRule="auto"/>
              <w:rPr>
                <w:rFonts w:hint="eastAsia" w:ascii="宋体" w:hAnsi="宋体" w:cs="宋体"/>
                <w:color w:val="auto"/>
                <w:sz w:val="24"/>
                <w:highlight w:val="none"/>
              </w:rPr>
            </w:pPr>
          </w:p>
        </w:tc>
        <w:tc>
          <w:tcPr>
            <w:tcW w:w="1365" w:type="dxa"/>
            <w:vAlign w:val="center"/>
          </w:tcPr>
          <w:p w14:paraId="221063AB">
            <w:pPr>
              <w:shd w:val="clear"/>
              <w:spacing w:line="360" w:lineRule="auto"/>
              <w:rPr>
                <w:rFonts w:hint="eastAsia" w:ascii="宋体" w:hAnsi="宋体" w:cs="宋体"/>
                <w:color w:val="auto"/>
                <w:sz w:val="24"/>
                <w:highlight w:val="none"/>
              </w:rPr>
            </w:pPr>
          </w:p>
        </w:tc>
      </w:tr>
      <w:tr w14:paraId="49DA7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vAlign w:val="center"/>
          </w:tcPr>
          <w:p w14:paraId="62C5E2A9">
            <w:pPr>
              <w:shd w:val="clear"/>
              <w:spacing w:line="360" w:lineRule="auto"/>
              <w:rPr>
                <w:rFonts w:hint="eastAsia" w:ascii="宋体" w:hAnsi="宋体" w:cs="宋体"/>
                <w:color w:val="auto"/>
                <w:sz w:val="24"/>
                <w:highlight w:val="none"/>
              </w:rPr>
            </w:pPr>
          </w:p>
        </w:tc>
        <w:tc>
          <w:tcPr>
            <w:tcW w:w="1785" w:type="dxa"/>
            <w:vAlign w:val="center"/>
          </w:tcPr>
          <w:p w14:paraId="5C954715">
            <w:pPr>
              <w:shd w:val="clear"/>
              <w:spacing w:line="360" w:lineRule="auto"/>
              <w:rPr>
                <w:rFonts w:hint="eastAsia" w:ascii="宋体" w:hAnsi="宋体" w:cs="宋体"/>
                <w:color w:val="auto"/>
                <w:sz w:val="24"/>
                <w:highlight w:val="none"/>
              </w:rPr>
            </w:pPr>
          </w:p>
        </w:tc>
        <w:tc>
          <w:tcPr>
            <w:tcW w:w="1449" w:type="dxa"/>
            <w:vAlign w:val="center"/>
          </w:tcPr>
          <w:p w14:paraId="65D4DABA">
            <w:pPr>
              <w:shd w:val="clear"/>
              <w:spacing w:line="360" w:lineRule="auto"/>
              <w:rPr>
                <w:rFonts w:hint="eastAsia" w:ascii="宋体" w:hAnsi="宋体" w:cs="宋体"/>
                <w:color w:val="auto"/>
                <w:sz w:val="24"/>
                <w:highlight w:val="none"/>
              </w:rPr>
            </w:pPr>
          </w:p>
        </w:tc>
        <w:tc>
          <w:tcPr>
            <w:tcW w:w="1560" w:type="dxa"/>
            <w:vAlign w:val="center"/>
          </w:tcPr>
          <w:p w14:paraId="31D7F334">
            <w:pPr>
              <w:shd w:val="clear"/>
              <w:spacing w:line="360" w:lineRule="auto"/>
              <w:rPr>
                <w:rFonts w:hint="eastAsia" w:ascii="宋体" w:hAnsi="宋体" w:cs="宋体"/>
                <w:color w:val="auto"/>
                <w:sz w:val="24"/>
                <w:highlight w:val="none"/>
              </w:rPr>
            </w:pPr>
          </w:p>
        </w:tc>
        <w:tc>
          <w:tcPr>
            <w:tcW w:w="1401" w:type="dxa"/>
            <w:vAlign w:val="center"/>
          </w:tcPr>
          <w:p w14:paraId="4499DF5E">
            <w:pPr>
              <w:shd w:val="clear"/>
              <w:spacing w:line="360" w:lineRule="auto"/>
              <w:rPr>
                <w:rFonts w:hint="eastAsia" w:ascii="宋体" w:hAnsi="宋体" w:cs="宋体"/>
                <w:color w:val="auto"/>
                <w:sz w:val="24"/>
                <w:highlight w:val="none"/>
              </w:rPr>
            </w:pPr>
          </w:p>
        </w:tc>
        <w:tc>
          <w:tcPr>
            <w:tcW w:w="1365" w:type="dxa"/>
            <w:vAlign w:val="center"/>
          </w:tcPr>
          <w:p w14:paraId="5E1AEBF1">
            <w:pPr>
              <w:shd w:val="clear"/>
              <w:spacing w:line="360" w:lineRule="auto"/>
              <w:rPr>
                <w:rFonts w:hint="eastAsia" w:ascii="宋体" w:hAnsi="宋体" w:cs="宋体"/>
                <w:color w:val="auto"/>
                <w:sz w:val="24"/>
                <w:highlight w:val="none"/>
              </w:rPr>
            </w:pPr>
          </w:p>
        </w:tc>
      </w:tr>
      <w:tr w14:paraId="04DBA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14:paraId="5C4A3CCB">
            <w:pPr>
              <w:shd w:val="clear"/>
              <w:spacing w:line="360" w:lineRule="auto"/>
              <w:rPr>
                <w:rFonts w:hint="eastAsia" w:ascii="宋体" w:hAnsi="宋体" w:cs="宋体"/>
                <w:color w:val="auto"/>
                <w:sz w:val="24"/>
                <w:highlight w:val="none"/>
              </w:rPr>
            </w:pPr>
          </w:p>
        </w:tc>
        <w:tc>
          <w:tcPr>
            <w:tcW w:w="1785" w:type="dxa"/>
            <w:vAlign w:val="center"/>
          </w:tcPr>
          <w:p w14:paraId="270B2F7C">
            <w:pPr>
              <w:shd w:val="clear"/>
              <w:spacing w:line="360" w:lineRule="auto"/>
              <w:rPr>
                <w:rFonts w:hint="eastAsia" w:ascii="宋体" w:hAnsi="宋体" w:cs="宋体"/>
                <w:color w:val="auto"/>
                <w:sz w:val="24"/>
                <w:highlight w:val="none"/>
              </w:rPr>
            </w:pPr>
          </w:p>
        </w:tc>
        <w:tc>
          <w:tcPr>
            <w:tcW w:w="1449" w:type="dxa"/>
            <w:vAlign w:val="center"/>
          </w:tcPr>
          <w:p w14:paraId="7329658F">
            <w:pPr>
              <w:shd w:val="clear"/>
              <w:spacing w:line="360" w:lineRule="auto"/>
              <w:rPr>
                <w:rFonts w:hint="eastAsia" w:ascii="宋体" w:hAnsi="宋体" w:cs="宋体"/>
                <w:color w:val="auto"/>
                <w:sz w:val="24"/>
                <w:highlight w:val="none"/>
              </w:rPr>
            </w:pPr>
          </w:p>
        </w:tc>
        <w:tc>
          <w:tcPr>
            <w:tcW w:w="1560" w:type="dxa"/>
            <w:vAlign w:val="center"/>
          </w:tcPr>
          <w:p w14:paraId="162A2406">
            <w:pPr>
              <w:shd w:val="clear"/>
              <w:spacing w:line="360" w:lineRule="auto"/>
              <w:rPr>
                <w:rFonts w:hint="eastAsia" w:ascii="宋体" w:hAnsi="宋体" w:cs="宋体"/>
                <w:color w:val="auto"/>
                <w:sz w:val="24"/>
                <w:highlight w:val="none"/>
              </w:rPr>
            </w:pPr>
          </w:p>
        </w:tc>
        <w:tc>
          <w:tcPr>
            <w:tcW w:w="1401" w:type="dxa"/>
            <w:vAlign w:val="center"/>
          </w:tcPr>
          <w:p w14:paraId="69B4C46E">
            <w:pPr>
              <w:shd w:val="clear"/>
              <w:spacing w:line="360" w:lineRule="auto"/>
              <w:rPr>
                <w:rFonts w:hint="eastAsia" w:ascii="宋体" w:hAnsi="宋体" w:cs="宋体"/>
                <w:color w:val="auto"/>
                <w:sz w:val="24"/>
                <w:highlight w:val="none"/>
              </w:rPr>
            </w:pPr>
          </w:p>
        </w:tc>
        <w:tc>
          <w:tcPr>
            <w:tcW w:w="1365" w:type="dxa"/>
            <w:vAlign w:val="center"/>
          </w:tcPr>
          <w:p w14:paraId="56E0B063">
            <w:pPr>
              <w:shd w:val="clear"/>
              <w:spacing w:line="360" w:lineRule="auto"/>
              <w:rPr>
                <w:rFonts w:hint="eastAsia" w:ascii="宋体" w:hAnsi="宋体" w:cs="宋体"/>
                <w:color w:val="auto"/>
                <w:sz w:val="24"/>
                <w:highlight w:val="none"/>
              </w:rPr>
            </w:pPr>
          </w:p>
        </w:tc>
      </w:tr>
      <w:tr w14:paraId="4A4E8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7A771D85">
            <w:pPr>
              <w:shd w:val="clear"/>
              <w:spacing w:line="360" w:lineRule="auto"/>
              <w:rPr>
                <w:rFonts w:hint="eastAsia" w:ascii="宋体" w:hAnsi="宋体" w:cs="宋体"/>
                <w:color w:val="auto"/>
                <w:sz w:val="24"/>
                <w:highlight w:val="none"/>
              </w:rPr>
            </w:pPr>
          </w:p>
        </w:tc>
        <w:tc>
          <w:tcPr>
            <w:tcW w:w="1785" w:type="dxa"/>
            <w:vAlign w:val="center"/>
          </w:tcPr>
          <w:p w14:paraId="46B46D07">
            <w:pPr>
              <w:shd w:val="clear"/>
              <w:spacing w:line="360" w:lineRule="auto"/>
              <w:rPr>
                <w:rFonts w:hint="eastAsia" w:ascii="宋体" w:hAnsi="宋体" w:cs="宋体"/>
                <w:color w:val="auto"/>
                <w:sz w:val="24"/>
                <w:highlight w:val="none"/>
              </w:rPr>
            </w:pPr>
          </w:p>
        </w:tc>
        <w:tc>
          <w:tcPr>
            <w:tcW w:w="1449" w:type="dxa"/>
            <w:vAlign w:val="center"/>
          </w:tcPr>
          <w:p w14:paraId="12C78D2C">
            <w:pPr>
              <w:shd w:val="clear"/>
              <w:spacing w:line="360" w:lineRule="auto"/>
              <w:rPr>
                <w:rFonts w:hint="eastAsia" w:ascii="宋体" w:hAnsi="宋体" w:cs="宋体"/>
                <w:color w:val="auto"/>
                <w:sz w:val="24"/>
                <w:highlight w:val="none"/>
              </w:rPr>
            </w:pPr>
          </w:p>
        </w:tc>
        <w:tc>
          <w:tcPr>
            <w:tcW w:w="1560" w:type="dxa"/>
            <w:vAlign w:val="center"/>
          </w:tcPr>
          <w:p w14:paraId="0C7F8C7B">
            <w:pPr>
              <w:shd w:val="clear"/>
              <w:spacing w:line="360" w:lineRule="auto"/>
              <w:rPr>
                <w:rFonts w:hint="eastAsia" w:ascii="宋体" w:hAnsi="宋体" w:cs="宋体"/>
                <w:color w:val="auto"/>
                <w:sz w:val="24"/>
                <w:highlight w:val="none"/>
              </w:rPr>
            </w:pPr>
          </w:p>
        </w:tc>
        <w:tc>
          <w:tcPr>
            <w:tcW w:w="1401" w:type="dxa"/>
            <w:vAlign w:val="center"/>
          </w:tcPr>
          <w:p w14:paraId="143D06B4">
            <w:pPr>
              <w:shd w:val="clear"/>
              <w:spacing w:line="360" w:lineRule="auto"/>
              <w:rPr>
                <w:rFonts w:hint="eastAsia" w:ascii="宋体" w:hAnsi="宋体" w:cs="宋体"/>
                <w:color w:val="auto"/>
                <w:sz w:val="24"/>
                <w:highlight w:val="none"/>
              </w:rPr>
            </w:pPr>
          </w:p>
        </w:tc>
        <w:tc>
          <w:tcPr>
            <w:tcW w:w="1365" w:type="dxa"/>
            <w:vAlign w:val="center"/>
          </w:tcPr>
          <w:p w14:paraId="0436EDD4">
            <w:pPr>
              <w:shd w:val="clear"/>
              <w:spacing w:line="360" w:lineRule="auto"/>
              <w:rPr>
                <w:rFonts w:hint="eastAsia" w:ascii="宋体" w:hAnsi="宋体" w:cs="宋体"/>
                <w:color w:val="auto"/>
                <w:sz w:val="24"/>
                <w:highlight w:val="none"/>
              </w:rPr>
            </w:pPr>
          </w:p>
        </w:tc>
      </w:tr>
    </w:tbl>
    <w:p w14:paraId="41B4F184">
      <w:pPr>
        <w:shd w:val="clea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要求：</w:t>
      </w:r>
    </w:p>
    <w:p w14:paraId="55A2353C">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1.本表的名称须与《报价明细表》一致。</w:t>
      </w:r>
    </w:p>
    <w:p w14:paraId="4AE1284C">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2.本表参照本招标文件第四章“招标需求”内第二条“具体技术需求”填制，投标人应根据投标设备的性能指标、服务指标，对照招标文件要求在“偏离情况”栏注明“正偏离”、“负偏离”或“无偏离”。</w:t>
      </w:r>
    </w:p>
    <w:p w14:paraId="3AD3BBDC">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审小组将视偏离程度给予扣分或认定为虚假应标。</w:t>
      </w:r>
    </w:p>
    <w:p w14:paraId="67DAAF00">
      <w:pPr>
        <w:shd w:val="clear"/>
        <w:spacing w:line="360" w:lineRule="auto"/>
        <w:rPr>
          <w:rFonts w:hint="eastAsia" w:ascii="宋体" w:hAnsi="宋体" w:cs="宋体"/>
          <w:color w:val="auto"/>
          <w:sz w:val="24"/>
          <w:highlight w:val="none"/>
        </w:rPr>
      </w:pPr>
    </w:p>
    <w:p w14:paraId="4B788929">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6A32D4E4">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3B1E175B">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0C72C073">
      <w:pPr>
        <w:shd w:val="clear"/>
        <w:spacing w:line="360" w:lineRule="auto"/>
        <w:rPr>
          <w:rFonts w:hint="eastAsia" w:ascii="宋体" w:hAnsi="宋体" w:cs="宋体"/>
          <w:color w:val="auto"/>
          <w:sz w:val="24"/>
          <w:highlight w:val="none"/>
        </w:rPr>
      </w:pPr>
    </w:p>
    <w:p w14:paraId="294DACB5">
      <w:pPr>
        <w:shd w:val="clear"/>
        <w:spacing w:line="360" w:lineRule="auto"/>
        <w:rPr>
          <w:rFonts w:hint="eastAsia" w:ascii="宋体" w:hAnsi="宋体" w:cs="宋体"/>
          <w:color w:val="auto"/>
          <w:sz w:val="24"/>
          <w:highlight w:val="none"/>
        </w:rPr>
      </w:pPr>
    </w:p>
    <w:p w14:paraId="23E766AF">
      <w:pPr>
        <w:shd w:val="clear"/>
        <w:spacing w:line="360" w:lineRule="auto"/>
        <w:rPr>
          <w:rFonts w:hint="eastAsia" w:ascii="宋体" w:hAnsi="宋体" w:cs="宋体"/>
          <w:color w:val="auto"/>
          <w:sz w:val="24"/>
          <w:highlight w:val="none"/>
        </w:rPr>
      </w:pPr>
    </w:p>
    <w:p w14:paraId="7F5B139F">
      <w:pPr>
        <w:widowControl/>
        <w:shd w:val="clear"/>
        <w:jc w:val="left"/>
        <w:rPr>
          <w:rFonts w:hint="eastAsia"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br w:type="page"/>
      </w:r>
    </w:p>
    <w:p w14:paraId="640CC8F9">
      <w:pPr>
        <w:shd w:val="clear"/>
        <w:spacing w:line="480" w:lineRule="exact"/>
        <w:jc w:val="left"/>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15</w:t>
      </w:r>
    </w:p>
    <w:p w14:paraId="5986EF5E">
      <w:pPr>
        <w:shd w:val="clear"/>
        <w:spacing w:line="480" w:lineRule="exact"/>
        <w:jc w:val="center"/>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证书一览表</w:t>
      </w:r>
    </w:p>
    <w:tbl>
      <w:tblPr>
        <w:tblStyle w:val="29"/>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14:paraId="3841DD1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tcPr>
          <w:p w14:paraId="2899CD1B">
            <w:pPr>
              <w:pStyle w:val="61"/>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证书名称</w:t>
            </w:r>
          </w:p>
        </w:tc>
        <w:tc>
          <w:tcPr>
            <w:tcW w:w="2258" w:type="dxa"/>
            <w:tcBorders>
              <w:top w:val="double" w:color="auto" w:sz="4" w:space="0"/>
            </w:tcBorders>
          </w:tcPr>
          <w:p w14:paraId="2F5E4420">
            <w:pPr>
              <w:pStyle w:val="61"/>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发证单位</w:t>
            </w:r>
          </w:p>
        </w:tc>
        <w:tc>
          <w:tcPr>
            <w:tcW w:w="2260" w:type="dxa"/>
            <w:tcBorders>
              <w:top w:val="double" w:color="auto" w:sz="4" w:space="0"/>
            </w:tcBorders>
          </w:tcPr>
          <w:p w14:paraId="4E6845C2">
            <w:pPr>
              <w:pStyle w:val="61"/>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证书等级</w:t>
            </w:r>
          </w:p>
        </w:tc>
        <w:tc>
          <w:tcPr>
            <w:tcW w:w="2047" w:type="dxa"/>
            <w:tcBorders>
              <w:top w:val="double" w:color="auto" w:sz="4" w:space="0"/>
              <w:right w:val="single" w:color="auto" w:sz="4" w:space="0"/>
            </w:tcBorders>
          </w:tcPr>
          <w:p w14:paraId="1148FDEB">
            <w:pPr>
              <w:pStyle w:val="61"/>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证书有效期</w:t>
            </w:r>
          </w:p>
        </w:tc>
      </w:tr>
      <w:tr w14:paraId="2980966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51CA8D99">
            <w:pPr>
              <w:pStyle w:val="61"/>
              <w:shd w:val="clear"/>
              <w:spacing w:line="360" w:lineRule="auto"/>
              <w:jc w:val="center"/>
              <w:rPr>
                <w:rFonts w:hint="eastAsia" w:ascii="宋体" w:hAnsi="宋体" w:cs="宋体"/>
                <w:color w:val="auto"/>
                <w:szCs w:val="21"/>
                <w:highlight w:val="none"/>
              </w:rPr>
            </w:pPr>
          </w:p>
        </w:tc>
        <w:tc>
          <w:tcPr>
            <w:tcW w:w="2258" w:type="dxa"/>
          </w:tcPr>
          <w:p w14:paraId="62A6F7CD">
            <w:pPr>
              <w:pStyle w:val="61"/>
              <w:shd w:val="clear"/>
              <w:spacing w:line="360" w:lineRule="auto"/>
              <w:jc w:val="center"/>
              <w:rPr>
                <w:rFonts w:hint="eastAsia" w:ascii="宋体" w:hAnsi="宋体" w:cs="宋体"/>
                <w:color w:val="auto"/>
                <w:szCs w:val="21"/>
                <w:highlight w:val="none"/>
              </w:rPr>
            </w:pPr>
          </w:p>
        </w:tc>
        <w:tc>
          <w:tcPr>
            <w:tcW w:w="2260" w:type="dxa"/>
          </w:tcPr>
          <w:p w14:paraId="3A7D6FC8">
            <w:pPr>
              <w:pStyle w:val="61"/>
              <w:shd w:val="clear"/>
              <w:spacing w:line="360" w:lineRule="auto"/>
              <w:jc w:val="center"/>
              <w:rPr>
                <w:rFonts w:hint="eastAsia" w:ascii="宋体" w:hAnsi="宋体" w:cs="宋体"/>
                <w:color w:val="auto"/>
                <w:szCs w:val="21"/>
                <w:highlight w:val="none"/>
              </w:rPr>
            </w:pPr>
          </w:p>
        </w:tc>
        <w:tc>
          <w:tcPr>
            <w:tcW w:w="2047" w:type="dxa"/>
            <w:tcBorders>
              <w:right w:val="single" w:color="auto" w:sz="4" w:space="0"/>
            </w:tcBorders>
          </w:tcPr>
          <w:p w14:paraId="79360C3E">
            <w:pPr>
              <w:pStyle w:val="61"/>
              <w:shd w:val="clear"/>
              <w:spacing w:line="360" w:lineRule="auto"/>
              <w:jc w:val="center"/>
              <w:rPr>
                <w:rFonts w:hint="eastAsia" w:ascii="宋体" w:hAnsi="宋体" w:cs="宋体"/>
                <w:color w:val="auto"/>
                <w:szCs w:val="21"/>
                <w:highlight w:val="none"/>
              </w:rPr>
            </w:pPr>
          </w:p>
        </w:tc>
      </w:tr>
      <w:tr w14:paraId="2FDEC4F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45165B83">
            <w:pPr>
              <w:pStyle w:val="61"/>
              <w:shd w:val="clear"/>
              <w:spacing w:line="360" w:lineRule="auto"/>
              <w:jc w:val="center"/>
              <w:rPr>
                <w:rFonts w:hint="eastAsia" w:ascii="宋体" w:hAnsi="宋体" w:cs="宋体"/>
                <w:color w:val="auto"/>
                <w:szCs w:val="21"/>
                <w:highlight w:val="none"/>
              </w:rPr>
            </w:pPr>
          </w:p>
        </w:tc>
        <w:tc>
          <w:tcPr>
            <w:tcW w:w="2258" w:type="dxa"/>
          </w:tcPr>
          <w:p w14:paraId="05C17A9F">
            <w:pPr>
              <w:pStyle w:val="61"/>
              <w:shd w:val="clear"/>
              <w:spacing w:line="360" w:lineRule="auto"/>
              <w:jc w:val="center"/>
              <w:rPr>
                <w:rFonts w:hint="eastAsia" w:ascii="宋体" w:hAnsi="宋体" w:cs="宋体"/>
                <w:color w:val="auto"/>
                <w:szCs w:val="21"/>
                <w:highlight w:val="none"/>
              </w:rPr>
            </w:pPr>
          </w:p>
        </w:tc>
        <w:tc>
          <w:tcPr>
            <w:tcW w:w="2260" w:type="dxa"/>
          </w:tcPr>
          <w:p w14:paraId="6A89EAEB">
            <w:pPr>
              <w:pStyle w:val="61"/>
              <w:shd w:val="clear"/>
              <w:spacing w:line="360" w:lineRule="auto"/>
              <w:jc w:val="center"/>
              <w:rPr>
                <w:rFonts w:hint="eastAsia" w:ascii="宋体" w:hAnsi="宋体" w:cs="宋体"/>
                <w:color w:val="auto"/>
                <w:szCs w:val="21"/>
                <w:highlight w:val="none"/>
              </w:rPr>
            </w:pPr>
          </w:p>
        </w:tc>
        <w:tc>
          <w:tcPr>
            <w:tcW w:w="2047" w:type="dxa"/>
            <w:tcBorders>
              <w:right w:val="single" w:color="auto" w:sz="4" w:space="0"/>
            </w:tcBorders>
          </w:tcPr>
          <w:p w14:paraId="48062C50">
            <w:pPr>
              <w:pStyle w:val="61"/>
              <w:shd w:val="clear"/>
              <w:spacing w:line="360" w:lineRule="auto"/>
              <w:jc w:val="center"/>
              <w:rPr>
                <w:rFonts w:hint="eastAsia" w:ascii="宋体" w:hAnsi="宋体" w:cs="宋体"/>
                <w:color w:val="auto"/>
                <w:szCs w:val="21"/>
                <w:highlight w:val="none"/>
              </w:rPr>
            </w:pPr>
          </w:p>
        </w:tc>
      </w:tr>
      <w:tr w14:paraId="373C3C4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103711A6">
            <w:pPr>
              <w:pStyle w:val="61"/>
              <w:shd w:val="clear"/>
              <w:spacing w:line="360" w:lineRule="auto"/>
              <w:jc w:val="center"/>
              <w:rPr>
                <w:rFonts w:hint="eastAsia" w:ascii="宋体" w:hAnsi="宋体" w:cs="宋体"/>
                <w:color w:val="auto"/>
                <w:szCs w:val="21"/>
                <w:highlight w:val="none"/>
              </w:rPr>
            </w:pPr>
          </w:p>
        </w:tc>
        <w:tc>
          <w:tcPr>
            <w:tcW w:w="2258" w:type="dxa"/>
          </w:tcPr>
          <w:p w14:paraId="2BACBF95">
            <w:pPr>
              <w:pStyle w:val="61"/>
              <w:shd w:val="clear"/>
              <w:spacing w:line="360" w:lineRule="auto"/>
              <w:jc w:val="center"/>
              <w:rPr>
                <w:rFonts w:hint="eastAsia" w:ascii="宋体" w:hAnsi="宋体" w:cs="宋体"/>
                <w:color w:val="auto"/>
                <w:szCs w:val="21"/>
                <w:highlight w:val="none"/>
              </w:rPr>
            </w:pPr>
          </w:p>
        </w:tc>
        <w:tc>
          <w:tcPr>
            <w:tcW w:w="2260" w:type="dxa"/>
          </w:tcPr>
          <w:p w14:paraId="1D3E8C66">
            <w:pPr>
              <w:pStyle w:val="61"/>
              <w:shd w:val="clear"/>
              <w:spacing w:line="360" w:lineRule="auto"/>
              <w:jc w:val="center"/>
              <w:rPr>
                <w:rFonts w:hint="eastAsia" w:ascii="宋体" w:hAnsi="宋体" w:cs="宋体"/>
                <w:color w:val="auto"/>
                <w:szCs w:val="21"/>
                <w:highlight w:val="none"/>
              </w:rPr>
            </w:pPr>
          </w:p>
        </w:tc>
        <w:tc>
          <w:tcPr>
            <w:tcW w:w="2047" w:type="dxa"/>
            <w:tcBorders>
              <w:right w:val="single" w:color="auto" w:sz="4" w:space="0"/>
            </w:tcBorders>
          </w:tcPr>
          <w:p w14:paraId="039CF3A9">
            <w:pPr>
              <w:pStyle w:val="61"/>
              <w:shd w:val="clear"/>
              <w:spacing w:line="360" w:lineRule="auto"/>
              <w:jc w:val="center"/>
              <w:rPr>
                <w:rFonts w:hint="eastAsia" w:ascii="宋体" w:hAnsi="宋体" w:cs="宋体"/>
                <w:color w:val="auto"/>
                <w:szCs w:val="21"/>
                <w:highlight w:val="none"/>
              </w:rPr>
            </w:pPr>
          </w:p>
        </w:tc>
      </w:tr>
      <w:tr w14:paraId="6015454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1CE0B414">
            <w:pPr>
              <w:pStyle w:val="61"/>
              <w:shd w:val="clear"/>
              <w:spacing w:line="360" w:lineRule="auto"/>
              <w:jc w:val="center"/>
              <w:rPr>
                <w:rFonts w:hint="eastAsia" w:ascii="宋体" w:hAnsi="宋体" w:cs="宋体"/>
                <w:color w:val="auto"/>
                <w:szCs w:val="21"/>
                <w:highlight w:val="none"/>
              </w:rPr>
            </w:pPr>
          </w:p>
        </w:tc>
        <w:tc>
          <w:tcPr>
            <w:tcW w:w="2258" w:type="dxa"/>
          </w:tcPr>
          <w:p w14:paraId="73691FA8">
            <w:pPr>
              <w:pStyle w:val="61"/>
              <w:shd w:val="clear"/>
              <w:spacing w:line="360" w:lineRule="auto"/>
              <w:jc w:val="center"/>
              <w:rPr>
                <w:rFonts w:hint="eastAsia" w:ascii="宋体" w:hAnsi="宋体" w:cs="宋体"/>
                <w:color w:val="auto"/>
                <w:szCs w:val="21"/>
                <w:highlight w:val="none"/>
              </w:rPr>
            </w:pPr>
          </w:p>
        </w:tc>
        <w:tc>
          <w:tcPr>
            <w:tcW w:w="2260" w:type="dxa"/>
          </w:tcPr>
          <w:p w14:paraId="22F0594F">
            <w:pPr>
              <w:pStyle w:val="61"/>
              <w:shd w:val="clear"/>
              <w:spacing w:line="360" w:lineRule="auto"/>
              <w:jc w:val="center"/>
              <w:rPr>
                <w:rFonts w:hint="eastAsia" w:ascii="宋体" w:hAnsi="宋体" w:cs="宋体"/>
                <w:color w:val="auto"/>
                <w:szCs w:val="21"/>
                <w:highlight w:val="none"/>
              </w:rPr>
            </w:pPr>
          </w:p>
        </w:tc>
        <w:tc>
          <w:tcPr>
            <w:tcW w:w="2047" w:type="dxa"/>
            <w:tcBorders>
              <w:right w:val="single" w:color="auto" w:sz="4" w:space="0"/>
            </w:tcBorders>
          </w:tcPr>
          <w:p w14:paraId="799EE71D">
            <w:pPr>
              <w:pStyle w:val="61"/>
              <w:shd w:val="clear"/>
              <w:spacing w:line="360" w:lineRule="auto"/>
              <w:jc w:val="center"/>
              <w:rPr>
                <w:rFonts w:hint="eastAsia" w:ascii="宋体" w:hAnsi="宋体" w:cs="宋体"/>
                <w:color w:val="auto"/>
                <w:szCs w:val="21"/>
                <w:highlight w:val="none"/>
              </w:rPr>
            </w:pPr>
          </w:p>
        </w:tc>
      </w:tr>
      <w:tr w14:paraId="66A3F40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2B10D89E">
            <w:pPr>
              <w:pStyle w:val="61"/>
              <w:shd w:val="clear"/>
              <w:spacing w:line="360" w:lineRule="auto"/>
              <w:jc w:val="center"/>
              <w:rPr>
                <w:rFonts w:hint="eastAsia" w:ascii="宋体" w:hAnsi="宋体" w:cs="宋体"/>
                <w:color w:val="auto"/>
                <w:szCs w:val="21"/>
                <w:highlight w:val="none"/>
              </w:rPr>
            </w:pPr>
          </w:p>
        </w:tc>
        <w:tc>
          <w:tcPr>
            <w:tcW w:w="2258" w:type="dxa"/>
          </w:tcPr>
          <w:p w14:paraId="4052F4F9">
            <w:pPr>
              <w:pStyle w:val="61"/>
              <w:shd w:val="clear"/>
              <w:spacing w:line="360" w:lineRule="auto"/>
              <w:jc w:val="center"/>
              <w:rPr>
                <w:rFonts w:hint="eastAsia" w:ascii="宋体" w:hAnsi="宋体" w:cs="宋体"/>
                <w:color w:val="auto"/>
                <w:szCs w:val="21"/>
                <w:highlight w:val="none"/>
              </w:rPr>
            </w:pPr>
          </w:p>
        </w:tc>
        <w:tc>
          <w:tcPr>
            <w:tcW w:w="2260" w:type="dxa"/>
          </w:tcPr>
          <w:p w14:paraId="498CCA8D">
            <w:pPr>
              <w:pStyle w:val="61"/>
              <w:shd w:val="clear"/>
              <w:spacing w:line="360" w:lineRule="auto"/>
              <w:jc w:val="center"/>
              <w:rPr>
                <w:rFonts w:hint="eastAsia" w:ascii="宋体" w:hAnsi="宋体" w:cs="宋体"/>
                <w:color w:val="auto"/>
                <w:szCs w:val="21"/>
                <w:highlight w:val="none"/>
              </w:rPr>
            </w:pPr>
          </w:p>
        </w:tc>
        <w:tc>
          <w:tcPr>
            <w:tcW w:w="2047" w:type="dxa"/>
            <w:tcBorders>
              <w:right w:val="single" w:color="auto" w:sz="4" w:space="0"/>
            </w:tcBorders>
          </w:tcPr>
          <w:p w14:paraId="394351C0">
            <w:pPr>
              <w:pStyle w:val="61"/>
              <w:shd w:val="clear"/>
              <w:spacing w:line="360" w:lineRule="auto"/>
              <w:jc w:val="center"/>
              <w:rPr>
                <w:rFonts w:hint="eastAsia" w:ascii="宋体" w:hAnsi="宋体" w:cs="宋体"/>
                <w:color w:val="auto"/>
                <w:szCs w:val="21"/>
                <w:highlight w:val="none"/>
              </w:rPr>
            </w:pPr>
          </w:p>
        </w:tc>
      </w:tr>
      <w:tr w14:paraId="7F16C77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3AD4F8F2">
            <w:pPr>
              <w:pStyle w:val="61"/>
              <w:shd w:val="clear"/>
              <w:spacing w:line="360" w:lineRule="auto"/>
              <w:jc w:val="center"/>
              <w:rPr>
                <w:rFonts w:hint="eastAsia" w:ascii="宋体" w:hAnsi="宋体" w:cs="宋体"/>
                <w:color w:val="auto"/>
                <w:szCs w:val="21"/>
                <w:highlight w:val="none"/>
              </w:rPr>
            </w:pPr>
          </w:p>
        </w:tc>
        <w:tc>
          <w:tcPr>
            <w:tcW w:w="2258" w:type="dxa"/>
          </w:tcPr>
          <w:p w14:paraId="175F3E4C">
            <w:pPr>
              <w:pStyle w:val="61"/>
              <w:shd w:val="clear"/>
              <w:spacing w:line="360" w:lineRule="auto"/>
              <w:jc w:val="center"/>
              <w:rPr>
                <w:rFonts w:hint="eastAsia" w:ascii="宋体" w:hAnsi="宋体" w:cs="宋体"/>
                <w:color w:val="auto"/>
                <w:szCs w:val="21"/>
                <w:highlight w:val="none"/>
              </w:rPr>
            </w:pPr>
          </w:p>
        </w:tc>
        <w:tc>
          <w:tcPr>
            <w:tcW w:w="2260" w:type="dxa"/>
          </w:tcPr>
          <w:p w14:paraId="3BE5B00B">
            <w:pPr>
              <w:pStyle w:val="61"/>
              <w:shd w:val="clear"/>
              <w:spacing w:line="360" w:lineRule="auto"/>
              <w:jc w:val="center"/>
              <w:rPr>
                <w:rFonts w:hint="eastAsia" w:ascii="宋体" w:hAnsi="宋体" w:cs="宋体"/>
                <w:color w:val="auto"/>
                <w:szCs w:val="21"/>
                <w:highlight w:val="none"/>
              </w:rPr>
            </w:pPr>
          </w:p>
        </w:tc>
        <w:tc>
          <w:tcPr>
            <w:tcW w:w="2047" w:type="dxa"/>
            <w:tcBorders>
              <w:right w:val="single" w:color="auto" w:sz="4" w:space="0"/>
            </w:tcBorders>
          </w:tcPr>
          <w:p w14:paraId="759F65F1">
            <w:pPr>
              <w:pStyle w:val="61"/>
              <w:shd w:val="clear"/>
              <w:spacing w:line="360" w:lineRule="auto"/>
              <w:jc w:val="center"/>
              <w:rPr>
                <w:rFonts w:hint="eastAsia" w:ascii="宋体" w:hAnsi="宋体" w:cs="宋体"/>
                <w:color w:val="auto"/>
                <w:szCs w:val="21"/>
                <w:highlight w:val="none"/>
              </w:rPr>
            </w:pPr>
          </w:p>
        </w:tc>
      </w:tr>
      <w:tr w14:paraId="6F4BBE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tcPr>
          <w:p w14:paraId="27EFC07B">
            <w:pPr>
              <w:pStyle w:val="61"/>
              <w:shd w:val="clear"/>
              <w:spacing w:line="360" w:lineRule="auto"/>
              <w:jc w:val="center"/>
              <w:rPr>
                <w:rFonts w:hint="eastAsia" w:ascii="宋体" w:hAnsi="宋体" w:cs="宋体"/>
                <w:color w:val="auto"/>
                <w:szCs w:val="21"/>
                <w:highlight w:val="none"/>
              </w:rPr>
            </w:pPr>
          </w:p>
        </w:tc>
        <w:tc>
          <w:tcPr>
            <w:tcW w:w="2258" w:type="dxa"/>
            <w:tcBorders>
              <w:bottom w:val="double" w:color="auto" w:sz="4" w:space="0"/>
            </w:tcBorders>
          </w:tcPr>
          <w:p w14:paraId="33B7FFD5">
            <w:pPr>
              <w:pStyle w:val="61"/>
              <w:shd w:val="clear"/>
              <w:spacing w:line="360" w:lineRule="auto"/>
              <w:jc w:val="center"/>
              <w:rPr>
                <w:rFonts w:hint="eastAsia" w:ascii="宋体" w:hAnsi="宋体" w:cs="宋体"/>
                <w:color w:val="auto"/>
                <w:szCs w:val="21"/>
                <w:highlight w:val="none"/>
              </w:rPr>
            </w:pPr>
          </w:p>
        </w:tc>
        <w:tc>
          <w:tcPr>
            <w:tcW w:w="2260" w:type="dxa"/>
            <w:tcBorders>
              <w:bottom w:val="double" w:color="auto" w:sz="4" w:space="0"/>
            </w:tcBorders>
          </w:tcPr>
          <w:p w14:paraId="34DE5D5B">
            <w:pPr>
              <w:pStyle w:val="61"/>
              <w:shd w:val="clear"/>
              <w:spacing w:line="360" w:lineRule="auto"/>
              <w:jc w:val="center"/>
              <w:rPr>
                <w:rFonts w:hint="eastAsia" w:ascii="宋体" w:hAnsi="宋体" w:cs="宋体"/>
                <w:color w:val="auto"/>
                <w:szCs w:val="21"/>
                <w:highlight w:val="none"/>
              </w:rPr>
            </w:pPr>
          </w:p>
        </w:tc>
        <w:tc>
          <w:tcPr>
            <w:tcW w:w="2047" w:type="dxa"/>
            <w:tcBorders>
              <w:bottom w:val="double" w:color="auto" w:sz="4" w:space="0"/>
              <w:right w:val="single" w:color="auto" w:sz="4" w:space="0"/>
            </w:tcBorders>
          </w:tcPr>
          <w:p w14:paraId="51B030C4">
            <w:pPr>
              <w:pStyle w:val="61"/>
              <w:shd w:val="clear"/>
              <w:spacing w:line="360" w:lineRule="auto"/>
              <w:jc w:val="center"/>
              <w:rPr>
                <w:rFonts w:hint="eastAsia" w:ascii="宋体" w:hAnsi="宋体" w:cs="宋体"/>
                <w:color w:val="auto"/>
                <w:szCs w:val="21"/>
                <w:highlight w:val="none"/>
              </w:rPr>
            </w:pPr>
          </w:p>
        </w:tc>
      </w:tr>
    </w:tbl>
    <w:p w14:paraId="47DF974B">
      <w:pPr>
        <w:shd w:val="clear"/>
        <w:spacing w:line="360" w:lineRule="auto"/>
        <w:jc w:val="left"/>
        <w:rPr>
          <w:rFonts w:hint="eastAsia" w:ascii="宋体" w:hAnsi="宋体" w:cs="宋体"/>
          <w:b/>
          <w:bCs/>
          <w:color w:val="auto"/>
          <w:sz w:val="24"/>
          <w:szCs w:val="32"/>
          <w:highlight w:val="none"/>
          <w:lang w:val="zh-CN"/>
        </w:rPr>
      </w:pPr>
    </w:p>
    <w:p w14:paraId="67BBEFFC">
      <w:pPr>
        <w:shd w:val="clea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要求：</w:t>
      </w:r>
    </w:p>
    <w:p w14:paraId="2FF28B49">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1.填写投标人获得资质、认证或企业信誉证书；</w:t>
      </w:r>
    </w:p>
    <w:p w14:paraId="06D64936">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2.附所列证书复印件或其他证明材料。</w:t>
      </w:r>
    </w:p>
    <w:p w14:paraId="65C3605A">
      <w:pPr>
        <w:shd w:val="clear"/>
        <w:spacing w:line="360" w:lineRule="auto"/>
        <w:jc w:val="left"/>
        <w:rPr>
          <w:rFonts w:hint="eastAsia" w:ascii="宋体" w:hAnsi="宋体" w:cs="宋体"/>
          <w:b/>
          <w:bCs/>
          <w:color w:val="auto"/>
          <w:sz w:val="24"/>
          <w:szCs w:val="32"/>
          <w:highlight w:val="none"/>
          <w:lang w:val="zh-CN"/>
        </w:rPr>
      </w:pPr>
    </w:p>
    <w:p w14:paraId="13543E54">
      <w:pPr>
        <w:shd w:val="clear"/>
        <w:spacing w:line="360" w:lineRule="auto"/>
        <w:jc w:val="left"/>
        <w:rPr>
          <w:rFonts w:hint="eastAsia" w:ascii="宋体" w:hAnsi="宋体" w:cs="宋体"/>
          <w:b/>
          <w:bCs/>
          <w:color w:val="auto"/>
          <w:sz w:val="24"/>
          <w:szCs w:val="32"/>
          <w:highlight w:val="none"/>
          <w:lang w:val="zh-CN"/>
        </w:rPr>
      </w:pPr>
    </w:p>
    <w:p w14:paraId="21E7E9FE">
      <w:pPr>
        <w:shd w:val="clear"/>
        <w:spacing w:line="360" w:lineRule="auto"/>
        <w:jc w:val="left"/>
        <w:rPr>
          <w:rFonts w:hint="eastAsia" w:ascii="宋体" w:hAnsi="宋体" w:cs="宋体"/>
          <w:b/>
          <w:bCs/>
          <w:color w:val="auto"/>
          <w:sz w:val="24"/>
          <w:szCs w:val="32"/>
          <w:highlight w:val="none"/>
          <w:lang w:val="zh-CN"/>
        </w:rPr>
      </w:pPr>
    </w:p>
    <w:p w14:paraId="59088811">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3758E95D">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68FD71EB">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5E083C1B">
      <w:pPr>
        <w:shd w:val="clear"/>
        <w:spacing w:line="360" w:lineRule="auto"/>
        <w:rPr>
          <w:rFonts w:hint="eastAsia" w:ascii="宋体" w:hAnsi="宋体" w:cs="宋体"/>
          <w:b/>
          <w:bCs/>
          <w:color w:val="auto"/>
          <w:sz w:val="24"/>
          <w:highlight w:val="none"/>
        </w:rPr>
      </w:pPr>
    </w:p>
    <w:p w14:paraId="7CF6BBAF">
      <w:pPr>
        <w:shd w:val="clear"/>
        <w:spacing w:line="360" w:lineRule="auto"/>
        <w:rPr>
          <w:rFonts w:hint="eastAsia" w:ascii="宋体" w:hAnsi="宋体" w:cs="宋体"/>
          <w:b/>
          <w:bCs/>
          <w:color w:val="auto"/>
          <w:sz w:val="24"/>
          <w:highlight w:val="none"/>
        </w:rPr>
      </w:pPr>
    </w:p>
    <w:p w14:paraId="208B2DA6">
      <w:pPr>
        <w:shd w:val="clear"/>
        <w:spacing w:line="360" w:lineRule="auto"/>
        <w:rPr>
          <w:rFonts w:hint="eastAsia" w:ascii="宋体" w:hAnsi="宋体" w:cs="宋体"/>
          <w:b/>
          <w:bCs/>
          <w:color w:val="auto"/>
          <w:sz w:val="24"/>
          <w:highlight w:val="none"/>
        </w:rPr>
      </w:pPr>
    </w:p>
    <w:p w14:paraId="16630390">
      <w:pPr>
        <w:shd w:val="clear"/>
        <w:spacing w:line="360" w:lineRule="auto"/>
        <w:rPr>
          <w:rFonts w:hint="eastAsia" w:ascii="宋体" w:hAnsi="宋体" w:cs="宋体"/>
          <w:b/>
          <w:bCs/>
          <w:color w:val="auto"/>
          <w:sz w:val="24"/>
          <w:highlight w:val="none"/>
        </w:rPr>
      </w:pPr>
    </w:p>
    <w:p w14:paraId="6F8C5F03">
      <w:pPr>
        <w:shd w:val="clear"/>
        <w:spacing w:line="360" w:lineRule="auto"/>
        <w:rPr>
          <w:rFonts w:hint="eastAsia" w:ascii="宋体" w:hAnsi="宋体" w:cs="宋体"/>
          <w:b/>
          <w:bCs/>
          <w:color w:val="auto"/>
          <w:sz w:val="24"/>
          <w:highlight w:val="none"/>
        </w:rPr>
      </w:pPr>
    </w:p>
    <w:p w14:paraId="7725DCAA">
      <w:pPr>
        <w:shd w:val="clear"/>
        <w:spacing w:line="360" w:lineRule="auto"/>
        <w:rPr>
          <w:rFonts w:hint="eastAsia" w:ascii="宋体" w:hAnsi="宋体" w:cs="宋体"/>
          <w:b/>
          <w:bCs/>
          <w:color w:val="auto"/>
          <w:sz w:val="24"/>
          <w:highlight w:val="none"/>
        </w:rPr>
      </w:pPr>
    </w:p>
    <w:p w14:paraId="028F593A">
      <w:pPr>
        <w:widowControl/>
        <w:shd w:val="clear"/>
        <w:jc w:val="left"/>
        <w:rPr>
          <w:rFonts w:hint="eastAsia"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br w:type="page"/>
      </w:r>
    </w:p>
    <w:p w14:paraId="505EB619">
      <w:pPr>
        <w:shd w:val="clear"/>
        <w:spacing w:line="480" w:lineRule="exact"/>
        <w:jc w:val="left"/>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16</w:t>
      </w:r>
    </w:p>
    <w:p w14:paraId="5C7CC77B">
      <w:pPr>
        <w:shd w:val="clear"/>
        <w:spacing w:line="480" w:lineRule="exact"/>
        <w:jc w:val="center"/>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投标人类似项目实施情况一览表</w:t>
      </w:r>
    </w:p>
    <w:tbl>
      <w:tblPr>
        <w:tblStyle w:val="29"/>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7C6E69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14:paraId="39FDA7D4">
            <w:pPr>
              <w:pStyle w:val="67"/>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14:paraId="531C4A4E">
            <w:pPr>
              <w:pStyle w:val="67"/>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14:paraId="7F5B6773">
            <w:pPr>
              <w:pStyle w:val="67"/>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14:paraId="709CB42A">
            <w:pPr>
              <w:pStyle w:val="67"/>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14:paraId="46B8A62B">
            <w:pPr>
              <w:pStyle w:val="67"/>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34CBA3A7">
            <w:pPr>
              <w:pStyle w:val="67"/>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14:paraId="035203F4">
            <w:pPr>
              <w:pStyle w:val="67"/>
              <w:shd w:val="clea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项目单位名称及其联系人电话</w:t>
            </w:r>
          </w:p>
        </w:tc>
      </w:tr>
      <w:tr w14:paraId="465B84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14:paraId="32D8067C">
            <w:pPr>
              <w:pStyle w:val="67"/>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tcPr>
          <w:p w14:paraId="247D934C">
            <w:pPr>
              <w:pStyle w:val="67"/>
              <w:shd w:val="clear"/>
              <w:spacing w:line="360" w:lineRule="auto"/>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008892B2">
            <w:pPr>
              <w:pStyle w:val="67"/>
              <w:shd w:val="clear"/>
              <w:spacing w:line="360" w:lineRule="auto"/>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270601A">
            <w:pPr>
              <w:pStyle w:val="67"/>
              <w:shd w:val="clear"/>
              <w:spacing w:line="360" w:lineRule="auto"/>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7C238A14">
            <w:pPr>
              <w:pStyle w:val="67"/>
              <w:shd w:val="clear"/>
              <w:spacing w:line="360" w:lineRule="auto"/>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7A75154A">
            <w:pPr>
              <w:pStyle w:val="67"/>
              <w:shd w:val="clear"/>
              <w:spacing w:line="360" w:lineRule="auto"/>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78BEAF64">
            <w:pPr>
              <w:pStyle w:val="67"/>
              <w:shd w:val="clear"/>
              <w:spacing w:line="360" w:lineRule="auto"/>
              <w:rPr>
                <w:rFonts w:hint="eastAsia" w:ascii="宋体" w:hAnsi="宋体" w:cs="宋体"/>
                <w:color w:val="auto"/>
                <w:sz w:val="24"/>
                <w:highlight w:val="none"/>
              </w:rPr>
            </w:pPr>
          </w:p>
        </w:tc>
      </w:tr>
      <w:tr w14:paraId="63D133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14:paraId="400038C7">
            <w:pPr>
              <w:pStyle w:val="67"/>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tcPr>
          <w:p w14:paraId="638EF645">
            <w:pPr>
              <w:pStyle w:val="67"/>
              <w:shd w:val="clear"/>
              <w:spacing w:line="360" w:lineRule="auto"/>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7E8A95F2">
            <w:pPr>
              <w:pStyle w:val="67"/>
              <w:shd w:val="clear"/>
              <w:spacing w:line="360" w:lineRule="auto"/>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5A75FCC">
            <w:pPr>
              <w:pStyle w:val="67"/>
              <w:shd w:val="clear"/>
              <w:spacing w:line="360" w:lineRule="auto"/>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2112EAC1">
            <w:pPr>
              <w:pStyle w:val="67"/>
              <w:shd w:val="clear"/>
              <w:spacing w:line="360" w:lineRule="auto"/>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6DC4B930">
            <w:pPr>
              <w:pStyle w:val="67"/>
              <w:shd w:val="clear"/>
              <w:spacing w:line="360" w:lineRule="auto"/>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2F0166CB">
            <w:pPr>
              <w:pStyle w:val="67"/>
              <w:shd w:val="clear"/>
              <w:spacing w:line="360" w:lineRule="auto"/>
              <w:rPr>
                <w:rFonts w:hint="eastAsia" w:ascii="宋体" w:hAnsi="宋体" w:cs="宋体"/>
                <w:color w:val="auto"/>
                <w:sz w:val="24"/>
                <w:highlight w:val="none"/>
              </w:rPr>
            </w:pPr>
          </w:p>
        </w:tc>
      </w:tr>
      <w:tr w14:paraId="074594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14:paraId="6BA0EB4A">
            <w:pPr>
              <w:pStyle w:val="67"/>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tcPr>
          <w:p w14:paraId="176F671A">
            <w:pPr>
              <w:pStyle w:val="67"/>
              <w:shd w:val="clear"/>
              <w:spacing w:line="360" w:lineRule="auto"/>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27D3159B">
            <w:pPr>
              <w:pStyle w:val="67"/>
              <w:shd w:val="clear"/>
              <w:spacing w:line="360" w:lineRule="auto"/>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7F0A7E2">
            <w:pPr>
              <w:pStyle w:val="67"/>
              <w:shd w:val="clear"/>
              <w:spacing w:line="360" w:lineRule="auto"/>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16657B5F">
            <w:pPr>
              <w:pStyle w:val="67"/>
              <w:shd w:val="clear"/>
              <w:spacing w:line="360" w:lineRule="auto"/>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4E3A9F10">
            <w:pPr>
              <w:pStyle w:val="67"/>
              <w:shd w:val="clear"/>
              <w:spacing w:line="360" w:lineRule="auto"/>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39F50174">
            <w:pPr>
              <w:pStyle w:val="67"/>
              <w:shd w:val="clear"/>
              <w:spacing w:line="360" w:lineRule="auto"/>
              <w:rPr>
                <w:rFonts w:hint="eastAsia" w:ascii="宋体" w:hAnsi="宋体" w:cs="宋体"/>
                <w:color w:val="auto"/>
                <w:sz w:val="24"/>
                <w:highlight w:val="none"/>
              </w:rPr>
            </w:pPr>
          </w:p>
        </w:tc>
      </w:tr>
      <w:tr w14:paraId="069CA1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135B4EBF">
            <w:pPr>
              <w:pStyle w:val="67"/>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tcPr>
          <w:p w14:paraId="30E8BD9E">
            <w:pPr>
              <w:pStyle w:val="67"/>
              <w:shd w:val="clear"/>
              <w:spacing w:line="360" w:lineRule="auto"/>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6BBF3422">
            <w:pPr>
              <w:pStyle w:val="67"/>
              <w:shd w:val="clear"/>
              <w:spacing w:line="360" w:lineRule="auto"/>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13FDF1C">
            <w:pPr>
              <w:pStyle w:val="67"/>
              <w:shd w:val="clear"/>
              <w:spacing w:line="360" w:lineRule="auto"/>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2A5EF83C">
            <w:pPr>
              <w:pStyle w:val="67"/>
              <w:shd w:val="clear"/>
              <w:spacing w:line="360" w:lineRule="auto"/>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1865DF14">
            <w:pPr>
              <w:pStyle w:val="67"/>
              <w:shd w:val="clear"/>
              <w:spacing w:line="360" w:lineRule="auto"/>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172BCE78">
            <w:pPr>
              <w:pStyle w:val="67"/>
              <w:shd w:val="clear"/>
              <w:spacing w:line="360" w:lineRule="auto"/>
              <w:rPr>
                <w:rFonts w:hint="eastAsia" w:ascii="宋体" w:hAnsi="宋体" w:cs="宋体"/>
                <w:color w:val="auto"/>
                <w:sz w:val="24"/>
                <w:highlight w:val="none"/>
              </w:rPr>
            </w:pPr>
          </w:p>
        </w:tc>
      </w:tr>
      <w:tr w14:paraId="1AD3CF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41DA04F9">
            <w:pPr>
              <w:pStyle w:val="67"/>
              <w:shd w:val="clear"/>
              <w:spacing w:line="360" w:lineRule="auto"/>
              <w:rPr>
                <w:rFonts w:hint="eastAsia" w:ascii="宋体" w:hAnsi="宋体" w:cs="宋体"/>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63FD9B39">
            <w:pPr>
              <w:pStyle w:val="67"/>
              <w:shd w:val="clear"/>
              <w:spacing w:line="360" w:lineRule="auto"/>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1338C096">
            <w:pPr>
              <w:pStyle w:val="67"/>
              <w:shd w:val="clear"/>
              <w:spacing w:line="360" w:lineRule="auto"/>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340FD08">
            <w:pPr>
              <w:pStyle w:val="67"/>
              <w:shd w:val="clear"/>
              <w:spacing w:line="360" w:lineRule="auto"/>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6F37DAC5">
            <w:pPr>
              <w:pStyle w:val="67"/>
              <w:shd w:val="clear"/>
              <w:spacing w:line="360" w:lineRule="auto"/>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4CD0A09E">
            <w:pPr>
              <w:pStyle w:val="67"/>
              <w:shd w:val="clear"/>
              <w:spacing w:line="360" w:lineRule="auto"/>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7AAEB146">
            <w:pPr>
              <w:pStyle w:val="67"/>
              <w:shd w:val="clear"/>
              <w:spacing w:line="360" w:lineRule="auto"/>
              <w:rPr>
                <w:rFonts w:hint="eastAsia" w:ascii="宋体" w:hAnsi="宋体" w:cs="宋体"/>
                <w:color w:val="auto"/>
                <w:sz w:val="24"/>
                <w:highlight w:val="none"/>
              </w:rPr>
            </w:pPr>
          </w:p>
        </w:tc>
      </w:tr>
      <w:tr w14:paraId="4023FC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4ACC521E">
            <w:pPr>
              <w:pStyle w:val="67"/>
              <w:shd w:val="clear"/>
              <w:spacing w:line="360" w:lineRule="auto"/>
              <w:rPr>
                <w:rFonts w:hint="eastAsia" w:ascii="宋体" w:hAnsi="宋体" w:cs="宋体"/>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1B7722F7">
            <w:pPr>
              <w:pStyle w:val="67"/>
              <w:shd w:val="clear"/>
              <w:spacing w:line="360" w:lineRule="auto"/>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44851DF2">
            <w:pPr>
              <w:pStyle w:val="67"/>
              <w:shd w:val="clear"/>
              <w:spacing w:line="360" w:lineRule="auto"/>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1DA99F1">
            <w:pPr>
              <w:pStyle w:val="67"/>
              <w:shd w:val="clear"/>
              <w:spacing w:line="360" w:lineRule="auto"/>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7A5081E6">
            <w:pPr>
              <w:pStyle w:val="67"/>
              <w:shd w:val="clear"/>
              <w:spacing w:line="360" w:lineRule="auto"/>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7D943C1A">
            <w:pPr>
              <w:pStyle w:val="67"/>
              <w:shd w:val="clear"/>
              <w:spacing w:line="360" w:lineRule="auto"/>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3AD2B2D9">
            <w:pPr>
              <w:pStyle w:val="67"/>
              <w:shd w:val="clear"/>
              <w:spacing w:line="360" w:lineRule="auto"/>
              <w:rPr>
                <w:rFonts w:hint="eastAsia" w:ascii="宋体" w:hAnsi="宋体" w:cs="宋体"/>
                <w:color w:val="auto"/>
                <w:sz w:val="24"/>
                <w:highlight w:val="none"/>
              </w:rPr>
            </w:pPr>
          </w:p>
        </w:tc>
      </w:tr>
      <w:tr w14:paraId="1CC80A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3FAD1455">
            <w:pPr>
              <w:pStyle w:val="67"/>
              <w:shd w:val="clear"/>
              <w:spacing w:line="360" w:lineRule="auto"/>
              <w:rPr>
                <w:rFonts w:hint="eastAsia" w:ascii="宋体" w:hAnsi="宋体" w:cs="宋体"/>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6DF1D0FA">
            <w:pPr>
              <w:pStyle w:val="67"/>
              <w:shd w:val="clear"/>
              <w:spacing w:line="360" w:lineRule="auto"/>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70EAE753">
            <w:pPr>
              <w:pStyle w:val="67"/>
              <w:shd w:val="clear"/>
              <w:spacing w:line="360" w:lineRule="auto"/>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EB9598E">
            <w:pPr>
              <w:pStyle w:val="67"/>
              <w:shd w:val="clear"/>
              <w:spacing w:line="360" w:lineRule="auto"/>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27AD86E9">
            <w:pPr>
              <w:pStyle w:val="67"/>
              <w:shd w:val="clear"/>
              <w:spacing w:line="360" w:lineRule="auto"/>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471D68E5">
            <w:pPr>
              <w:pStyle w:val="67"/>
              <w:shd w:val="clear"/>
              <w:spacing w:line="360" w:lineRule="auto"/>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4E4DE146">
            <w:pPr>
              <w:pStyle w:val="67"/>
              <w:shd w:val="clear"/>
              <w:spacing w:line="360" w:lineRule="auto"/>
              <w:rPr>
                <w:rFonts w:hint="eastAsia" w:ascii="宋体" w:hAnsi="宋体" w:cs="宋体"/>
                <w:color w:val="auto"/>
                <w:sz w:val="24"/>
                <w:highlight w:val="none"/>
              </w:rPr>
            </w:pPr>
          </w:p>
        </w:tc>
      </w:tr>
    </w:tbl>
    <w:p w14:paraId="413D3E11">
      <w:pPr>
        <w:shd w:val="clea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要求：</w:t>
      </w:r>
    </w:p>
    <w:p w14:paraId="6582FAB3">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1.业绩证明应提供证明材料（合同复印件可只提供首页、含金额页、盖章页并加盖投标人公章）；</w:t>
      </w:r>
    </w:p>
    <w:p w14:paraId="6CD88DC6">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2.报价供应商可按此表格式复制。</w:t>
      </w:r>
    </w:p>
    <w:p w14:paraId="4AC3E296">
      <w:pPr>
        <w:shd w:val="clear"/>
        <w:spacing w:line="360" w:lineRule="auto"/>
        <w:ind w:firstLine="480" w:firstLineChars="200"/>
        <w:rPr>
          <w:rFonts w:hint="eastAsia" w:ascii="宋体" w:hAnsi="宋体" w:cs="宋体"/>
          <w:color w:val="auto"/>
          <w:sz w:val="24"/>
          <w:highlight w:val="none"/>
        </w:rPr>
      </w:pPr>
    </w:p>
    <w:p w14:paraId="57D85F7F">
      <w:pPr>
        <w:shd w:val="clear"/>
        <w:spacing w:line="360" w:lineRule="auto"/>
        <w:ind w:firstLine="480" w:firstLineChars="200"/>
        <w:rPr>
          <w:rFonts w:hint="eastAsia" w:ascii="宋体" w:hAnsi="宋体" w:cs="宋体"/>
          <w:color w:val="auto"/>
          <w:sz w:val="24"/>
          <w:highlight w:val="none"/>
        </w:rPr>
      </w:pPr>
    </w:p>
    <w:p w14:paraId="22D45E29">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482D0843">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02A2C31E">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39240208">
      <w:pPr>
        <w:shd w:val="clear"/>
        <w:spacing w:line="360" w:lineRule="auto"/>
        <w:ind w:firstLine="480" w:firstLineChars="200"/>
        <w:rPr>
          <w:rFonts w:hint="eastAsia" w:ascii="宋体" w:hAnsi="宋体" w:cs="宋体"/>
          <w:color w:val="auto"/>
          <w:sz w:val="24"/>
          <w:highlight w:val="none"/>
        </w:rPr>
      </w:pPr>
    </w:p>
    <w:p w14:paraId="356EC639">
      <w:pPr>
        <w:shd w:val="clear"/>
        <w:spacing w:line="360" w:lineRule="auto"/>
        <w:ind w:firstLine="480" w:firstLineChars="200"/>
        <w:rPr>
          <w:rFonts w:hint="eastAsia" w:ascii="宋体" w:hAnsi="宋体" w:cs="宋体"/>
          <w:color w:val="auto"/>
          <w:sz w:val="24"/>
          <w:highlight w:val="none"/>
        </w:rPr>
      </w:pPr>
    </w:p>
    <w:p w14:paraId="75B756F7">
      <w:pPr>
        <w:shd w:val="clear"/>
        <w:spacing w:line="360" w:lineRule="auto"/>
        <w:ind w:firstLine="480" w:firstLineChars="200"/>
        <w:rPr>
          <w:rFonts w:hint="eastAsia" w:ascii="宋体" w:hAnsi="宋体" w:cs="宋体"/>
          <w:color w:val="auto"/>
          <w:sz w:val="24"/>
          <w:highlight w:val="none"/>
        </w:rPr>
      </w:pPr>
    </w:p>
    <w:p w14:paraId="15902EE7">
      <w:pPr>
        <w:shd w:val="clear"/>
        <w:spacing w:line="360" w:lineRule="auto"/>
        <w:ind w:firstLine="480" w:firstLineChars="200"/>
        <w:rPr>
          <w:rFonts w:hint="eastAsia" w:ascii="宋体" w:hAnsi="宋体" w:cs="宋体"/>
          <w:color w:val="auto"/>
          <w:sz w:val="24"/>
          <w:highlight w:val="none"/>
        </w:rPr>
      </w:pPr>
    </w:p>
    <w:p w14:paraId="5764206B">
      <w:pPr>
        <w:shd w:val="clear"/>
        <w:spacing w:line="360" w:lineRule="auto"/>
        <w:ind w:firstLine="480" w:firstLineChars="200"/>
        <w:rPr>
          <w:rFonts w:hint="eastAsia" w:ascii="宋体" w:hAnsi="宋体" w:cs="宋体"/>
          <w:color w:val="auto"/>
          <w:sz w:val="24"/>
          <w:highlight w:val="none"/>
        </w:rPr>
      </w:pPr>
    </w:p>
    <w:p w14:paraId="373C942B">
      <w:pPr>
        <w:widowControl/>
        <w:shd w:val="clear"/>
        <w:jc w:val="left"/>
        <w:rPr>
          <w:rFonts w:hint="eastAsia"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br w:type="page"/>
      </w:r>
    </w:p>
    <w:p w14:paraId="2A0D13A8">
      <w:pPr>
        <w:shd w:val="clear"/>
        <w:spacing w:line="480" w:lineRule="exact"/>
        <w:jc w:val="left"/>
        <w:rPr>
          <w:rFonts w:hint="eastAsia" w:ascii="宋体" w:hAnsi="宋体" w:cs="宋体"/>
          <w:b/>
          <w:bCs/>
          <w:color w:val="auto"/>
          <w:sz w:val="28"/>
          <w:szCs w:val="36"/>
          <w:highlight w:val="none"/>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17</w:t>
      </w:r>
    </w:p>
    <w:p w14:paraId="52B7EC4C">
      <w:pPr>
        <w:shd w:val="clear"/>
        <w:spacing w:line="480" w:lineRule="exact"/>
        <w:jc w:val="center"/>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资信及商务需求响应表</w:t>
      </w:r>
    </w:p>
    <w:tbl>
      <w:tblPr>
        <w:tblStyle w:val="29"/>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14:paraId="6135A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vAlign w:val="center"/>
          </w:tcPr>
          <w:p w14:paraId="74F0F866">
            <w:pPr>
              <w:shd w:val="clea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785" w:type="dxa"/>
            <w:vAlign w:val="center"/>
          </w:tcPr>
          <w:p w14:paraId="5B764442">
            <w:pPr>
              <w:shd w:val="clear"/>
              <w:rPr>
                <w:rFonts w:hint="eastAsia" w:ascii="宋体" w:hAnsi="宋体" w:cs="宋体"/>
                <w:b/>
                <w:color w:val="auto"/>
                <w:sz w:val="24"/>
                <w:highlight w:val="none"/>
              </w:rPr>
            </w:pPr>
            <w:r>
              <w:rPr>
                <w:rFonts w:hint="eastAsia" w:ascii="宋体" w:hAnsi="宋体" w:cs="宋体"/>
                <w:b/>
                <w:color w:val="auto"/>
                <w:sz w:val="24"/>
                <w:highlight w:val="none"/>
              </w:rPr>
              <w:t>内容</w:t>
            </w:r>
          </w:p>
        </w:tc>
        <w:tc>
          <w:tcPr>
            <w:tcW w:w="1785" w:type="dxa"/>
            <w:vAlign w:val="center"/>
          </w:tcPr>
          <w:p w14:paraId="632584B2">
            <w:pPr>
              <w:shd w:val="clear"/>
              <w:ind w:left="53" w:leftChars="25" w:firstLine="241" w:firstLineChars="100"/>
              <w:rPr>
                <w:rFonts w:hint="eastAsia" w:ascii="宋体" w:hAnsi="宋体" w:cs="宋体"/>
                <w:b/>
                <w:color w:val="auto"/>
                <w:sz w:val="24"/>
                <w:highlight w:val="none"/>
              </w:rPr>
            </w:pPr>
            <w:r>
              <w:rPr>
                <w:rFonts w:hint="eastAsia" w:ascii="宋体" w:hAnsi="宋体" w:cs="宋体"/>
                <w:b/>
                <w:color w:val="auto"/>
                <w:sz w:val="24"/>
                <w:highlight w:val="none"/>
              </w:rPr>
              <w:t>招标需求</w:t>
            </w:r>
          </w:p>
        </w:tc>
        <w:tc>
          <w:tcPr>
            <w:tcW w:w="1365" w:type="dxa"/>
            <w:vAlign w:val="center"/>
          </w:tcPr>
          <w:p w14:paraId="31609002">
            <w:pPr>
              <w:shd w:val="clear"/>
              <w:ind w:left="152"/>
              <w:rPr>
                <w:rFonts w:hint="eastAsia" w:ascii="宋体" w:hAnsi="宋体" w:cs="宋体"/>
                <w:b/>
                <w:color w:val="auto"/>
                <w:sz w:val="24"/>
                <w:highlight w:val="none"/>
              </w:rPr>
            </w:pPr>
            <w:r>
              <w:rPr>
                <w:rFonts w:hint="eastAsia" w:ascii="宋体" w:hAnsi="宋体" w:cs="宋体"/>
                <w:b/>
                <w:color w:val="auto"/>
                <w:sz w:val="24"/>
                <w:highlight w:val="none"/>
              </w:rPr>
              <w:t>是否响应</w:t>
            </w:r>
          </w:p>
        </w:tc>
        <w:tc>
          <w:tcPr>
            <w:tcW w:w="2625" w:type="dxa"/>
            <w:vAlign w:val="center"/>
          </w:tcPr>
          <w:p w14:paraId="6081736B">
            <w:pPr>
              <w:shd w:val="clear"/>
              <w:jc w:val="center"/>
              <w:rPr>
                <w:rFonts w:hint="eastAsia" w:ascii="宋体" w:hAnsi="宋体" w:cs="宋体"/>
                <w:b/>
                <w:color w:val="auto"/>
                <w:sz w:val="24"/>
                <w:highlight w:val="none"/>
              </w:rPr>
            </w:pPr>
            <w:r>
              <w:rPr>
                <w:rFonts w:hint="eastAsia" w:ascii="宋体" w:hAnsi="宋体" w:cs="宋体"/>
                <w:b/>
                <w:color w:val="auto"/>
                <w:sz w:val="24"/>
                <w:highlight w:val="none"/>
              </w:rPr>
              <w:t>投标人的承诺或说明</w:t>
            </w:r>
          </w:p>
        </w:tc>
      </w:tr>
      <w:tr w14:paraId="69134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14:paraId="63A55250">
            <w:pPr>
              <w:shd w:val="clear"/>
              <w:rPr>
                <w:rFonts w:hint="eastAsia" w:ascii="宋体" w:hAnsi="宋体" w:cs="宋体"/>
                <w:color w:val="auto"/>
                <w:sz w:val="24"/>
                <w:highlight w:val="none"/>
              </w:rPr>
            </w:pPr>
          </w:p>
        </w:tc>
        <w:tc>
          <w:tcPr>
            <w:tcW w:w="1785" w:type="dxa"/>
          </w:tcPr>
          <w:p w14:paraId="5853ABEA">
            <w:pPr>
              <w:shd w:val="clear"/>
              <w:snapToGrid w:val="0"/>
              <w:rPr>
                <w:rFonts w:hint="eastAsia" w:ascii="宋体" w:hAnsi="宋体" w:cs="宋体"/>
                <w:color w:val="auto"/>
                <w:sz w:val="24"/>
                <w:highlight w:val="none"/>
              </w:rPr>
            </w:pPr>
            <w:r>
              <w:rPr>
                <w:rFonts w:hint="eastAsia" w:ascii="宋体" w:hAnsi="宋体" w:cs="宋体"/>
                <w:color w:val="auto"/>
                <w:sz w:val="24"/>
                <w:highlight w:val="none"/>
              </w:rPr>
              <w:t>售后服务保障要求</w:t>
            </w:r>
          </w:p>
        </w:tc>
        <w:tc>
          <w:tcPr>
            <w:tcW w:w="1785" w:type="dxa"/>
            <w:vAlign w:val="center"/>
          </w:tcPr>
          <w:p w14:paraId="1CF71C95">
            <w:pPr>
              <w:shd w:val="clear"/>
              <w:rPr>
                <w:rFonts w:hint="eastAsia" w:ascii="宋体" w:hAnsi="宋体" w:cs="宋体"/>
                <w:color w:val="auto"/>
                <w:sz w:val="24"/>
                <w:highlight w:val="none"/>
              </w:rPr>
            </w:pPr>
          </w:p>
        </w:tc>
        <w:tc>
          <w:tcPr>
            <w:tcW w:w="1365" w:type="dxa"/>
            <w:vAlign w:val="center"/>
          </w:tcPr>
          <w:p w14:paraId="4F103B2C">
            <w:pPr>
              <w:shd w:val="clear"/>
              <w:rPr>
                <w:rFonts w:hint="eastAsia" w:ascii="宋体" w:hAnsi="宋体" w:cs="宋体"/>
                <w:color w:val="auto"/>
                <w:sz w:val="24"/>
                <w:highlight w:val="none"/>
              </w:rPr>
            </w:pPr>
          </w:p>
        </w:tc>
        <w:tc>
          <w:tcPr>
            <w:tcW w:w="2625" w:type="dxa"/>
            <w:vAlign w:val="center"/>
          </w:tcPr>
          <w:p w14:paraId="3CBAE5EB">
            <w:pPr>
              <w:shd w:val="clear"/>
              <w:rPr>
                <w:rFonts w:hint="eastAsia" w:ascii="宋体" w:hAnsi="宋体" w:cs="宋体"/>
                <w:color w:val="auto"/>
                <w:sz w:val="24"/>
                <w:highlight w:val="none"/>
              </w:rPr>
            </w:pPr>
          </w:p>
        </w:tc>
      </w:tr>
      <w:tr w14:paraId="25556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23ABFA1C">
            <w:pPr>
              <w:shd w:val="clear"/>
              <w:rPr>
                <w:rFonts w:hint="eastAsia" w:ascii="宋体" w:hAnsi="宋体" w:cs="宋体"/>
                <w:color w:val="auto"/>
                <w:sz w:val="24"/>
                <w:highlight w:val="none"/>
              </w:rPr>
            </w:pPr>
          </w:p>
        </w:tc>
        <w:tc>
          <w:tcPr>
            <w:tcW w:w="1785" w:type="dxa"/>
          </w:tcPr>
          <w:p w14:paraId="17A6C583">
            <w:pPr>
              <w:shd w:val="clear"/>
              <w:snapToGrid w:val="0"/>
              <w:rPr>
                <w:rFonts w:hint="eastAsia" w:ascii="宋体" w:hAnsi="宋体" w:cs="宋体"/>
                <w:color w:val="auto"/>
                <w:sz w:val="24"/>
                <w:highlight w:val="none"/>
              </w:rPr>
            </w:pPr>
            <w:r>
              <w:rPr>
                <w:rFonts w:hint="eastAsia" w:ascii="宋体" w:hAnsi="宋体" w:cs="宋体"/>
                <w:color w:val="auto"/>
                <w:sz w:val="24"/>
                <w:highlight w:val="none"/>
              </w:rPr>
              <w:t>备品备件及耗材等要求</w:t>
            </w:r>
          </w:p>
        </w:tc>
        <w:tc>
          <w:tcPr>
            <w:tcW w:w="1785" w:type="dxa"/>
            <w:vAlign w:val="center"/>
          </w:tcPr>
          <w:p w14:paraId="73F3F50C">
            <w:pPr>
              <w:shd w:val="clear"/>
              <w:rPr>
                <w:rFonts w:hint="eastAsia" w:ascii="宋体" w:hAnsi="宋体" w:cs="宋体"/>
                <w:color w:val="auto"/>
                <w:sz w:val="24"/>
                <w:highlight w:val="none"/>
              </w:rPr>
            </w:pPr>
          </w:p>
        </w:tc>
        <w:tc>
          <w:tcPr>
            <w:tcW w:w="1365" w:type="dxa"/>
            <w:vAlign w:val="center"/>
          </w:tcPr>
          <w:p w14:paraId="710CD1FB">
            <w:pPr>
              <w:shd w:val="clear"/>
              <w:rPr>
                <w:rFonts w:hint="eastAsia" w:ascii="宋体" w:hAnsi="宋体" w:cs="宋体"/>
                <w:color w:val="auto"/>
                <w:sz w:val="24"/>
                <w:highlight w:val="none"/>
              </w:rPr>
            </w:pPr>
          </w:p>
        </w:tc>
        <w:tc>
          <w:tcPr>
            <w:tcW w:w="2625" w:type="dxa"/>
            <w:vAlign w:val="center"/>
          </w:tcPr>
          <w:p w14:paraId="13E07782">
            <w:pPr>
              <w:shd w:val="clear"/>
              <w:rPr>
                <w:rFonts w:hint="eastAsia" w:ascii="宋体" w:hAnsi="宋体" w:cs="宋体"/>
                <w:color w:val="auto"/>
                <w:sz w:val="24"/>
                <w:highlight w:val="none"/>
              </w:rPr>
            </w:pPr>
          </w:p>
        </w:tc>
      </w:tr>
      <w:tr w14:paraId="6A397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58DBEF07">
            <w:pPr>
              <w:shd w:val="clear"/>
              <w:rPr>
                <w:rFonts w:hint="eastAsia" w:ascii="宋体" w:hAnsi="宋体" w:cs="宋体"/>
                <w:color w:val="auto"/>
                <w:sz w:val="24"/>
                <w:highlight w:val="none"/>
              </w:rPr>
            </w:pPr>
          </w:p>
        </w:tc>
        <w:tc>
          <w:tcPr>
            <w:tcW w:w="1785" w:type="dxa"/>
          </w:tcPr>
          <w:p w14:paraId="086DBE55">
            <w:pPr>
              <w:shd w:val="clear"/>
              <w:snapToGrid w:val="0"/>
              <w:rPr>
                <w:rFonts w:hint="eastAsia" w:ascii="宋体" w:hAnsi="宋体" w:cs="宋体"/>
                <w:color w:val="auto"/>
                <w:sz w:val="24"/>
                <w:highlight w:val="none"/>
              </w:rPr>
            </w:pPr>
            <w:r>
              <w:rPr>
                <w:rFonts w:hint="eastAsia" w:ascii="宋体" w:hAnsi="宋体" w:cs="宋体"/>
                <w:color w:val="auto"/>
                <w:sz w:val="24"/>
                <w:highlight w:val="none"/>
              </w:rPr>
              <w:t>质保期</w:t>
            </w:r>
          </w:p>
        </w:tc>
        <w:tc>
          <w:tcPr>
            <w:tcW w:w="1785" w:type="dxa"/>
            <w:vAlign w:val="center"/>
          </w:tcPr>
          <w:p w14:paraId="752B6DBC">
            <w:pPr>
              <w:shd w:val="clear"/>
              <w:rPr>
                <w:rFonts w:hint="eastAsia" w:ascii="宋体" w:hAnsi="宋体" w:cs="宋体"/>
                <w:color w:val="auto"/>
                <w:sz w:val="24"/>
                <w:highlight w:val="none"/>
              </w:rPr>
            </w:pPr>
          </w:p>
        </w:tc>
        <w:tc>
          <w:tcPr>
            <w:tcW w:w="1365" w:type="dxa"/>
            <w:vAlign w:val="center"/>
          </w:tcPr>
          <w:p w14:paraId="1E1DC19B">
            <w:pPr>
              <w:shd w:val="clear"/>
              <w:rPr>
                <w:rFonts w:hint="eastAsia" w:ascii="宋体" w:hAnsi="宋体" w:cs="宋体"/>
                <w:color w:val="auto"/>
                <w:sz w:val="24"/>
                <w:highlight w:val="none"/>
              </w:rPr>
            </w:pPr>
          </w:p>
        </w:tc>
        <w:tc>
          <w:tcPr>
            <w:tcW w:w="2625" w:type="dxa"/>
            <w:vAlign w:val="center"/>
          </w:tcPr>
          <w:p w14:paraId="769917F8">
            <w:pPr>
              <w:shd w:val="clear"/>
              <w:rPr>
                <w:rFonts w:hint="eastAsia" w:ascii="宋体" w:hAnsi="宋体" w:cs="宋体"/>
                <w:color w:val="auto"/>
                <w:sz w:val="24"/>
                <w:highlight w:val="none"/>
              </w:rPr>
            </w:pPr>
          </w:p>
        </w:tc>
      </w:tr>
      <w:tr w14:paraId="724CA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3A543699">
            <w:pPr>
              <w:shd w:val="clear"/>
              <w:rPr>
                <w:rFonts w:hint="eastAsia" w:ascii="宋体" w:hAnsi="宋体" w:cs="宋体"/>
                <w:color w:val="auto"/>
                <w:sz w:val="24"/>
                <w:highlight w:val="none"/>
              </w:rPr>
            </w:pPr>
          </w:p>
        </w:tc>
        <w:tc>
          <w:tcPr>
            <w:tcW w:w="1785" w:type="dxa"/>
          </w:tcPr>
          <w:p w14:paraId="4BBF5CF4">
            <w:pPr>
              <w:shd w:val="clear"/>
              <w:snapToGrid w:val="0"/>
              <w:rPr>
                <w:rFonts w:hint="eastAsia" w:ascii="宋体" w:hAnsi="宋体" w:cs="宋体"/>
                <w:color w:val="auto"/>
                <w:sz w:val="24"/>
                <w:highlight w:val="none"/>
              </w:rPr>
            </w:pPr>
            <w:r>
              <w:rPr>
                <w:rFonts w:hint="eastAsia" w:ascii="宋体" w:hAnsi="宋体" w:cs="宋体"/>
                <w:color w:val="auto"/>
                <w:sz w:val="24"/>
                <w:highlight w:val="none"/>
              </w:rPr>
              <w:t>交货和服务</w:t>
            </w:r>
          </w:p>
          <w:p w14:paraId="075DE086">
            <w:pPr>
              <w:shd w:val="clear"/>
              <w:snapToGrid w:val="0"/>
              <w:rPr>
                <w:rFonts w:hint="eastAsia" w:ascii="宋体" w:hAnsi="宋体" w:cs="宋体"/>
                <w:color w:val="auto"/>
                <w:sz w:val="24"/>
                <w:highlight w:val="none"/>
              </w:rPr>
            </w:pPr>
            <w:r>
              <w:rPr>
                <w:rFonts w:hint="eastAsia" w:ascii="宋体" w:hAnsi="宋体" w:cs="宋体"/>
                <w:color w:val="auto"/>
                <w:sz w:val="24"/>
                <w:highlight w:val="none"/>
              </w:rPr>
              <w:t>时间及地点</w:t>
            </w:r>
          </w:p>
        </w:tc>
        <w:tc>
          <w:tcPr>
            <w:tcW w:w="1785" w:type="dxa"/>
            <w:vAlign w:val="center"/>
          </w:tcPr>
          <w:p w14:paraId="377B2D07">
            <w:pPr>
              <w:shd w:val="clear"/>
              <w:rPr>
                <w:rFonts w:hint="eastAsia" w:ascii="宋体" w:hAnsi="宋体" w:cs="宋体"/>
                <w:color w:val="auto"/>
                <w:sz w:val="24"/>
                <w:highlight w:val="none"/>
              </w:rPr>
            </w:pPr>
          </w:p>
        </w:tc>
        <w:tc>
          <w:tcPr>
            <w:tcW w:w="1365" w:type="dxa"/>
            <w:vAlign w:val="center"/>
          </w:tcPr>
          <w:p w14:paraId="0B7B2FCD">
            <w:pPr>
              <w:shd w:val="clear"/>
              <w:rPr>
                <w:rFonts w:hint="eastAsia" w:ascii="宋体" w:hAnsi="宋体" w:cs="宋体"/>
                <w:color w:val="auto"/>
                <w:sz w:val="24"/>
                <w:highlight w:val="none"/>
              </w:rPr>
            </w:pPr>
          </w:p>
        </w:tc>
        <w:tc>
          <w:tcPr>
            <w:tcW w:w="2625" w:type="dxa"/>
            <w:vAlign w:val="center"/>
          </w:tcPr>
          <w:p w14:paraId="0FE57F2D">
            <w:pPr>
              <w:shd w:val="clear"/>
              <w:rPr>
                <w:rFonts w:hint="eastAsia" w:ascii="宋体" w:hAnsi="宋体" w:cs="宋体"/>
                <w:color w:val="auto"/>
                <w:sz w:val="24"/>
                <w:highlight w:val="none"/>
              </w:rPr>
            </w:pPr>
          </w:p>
        </w:tc>
      </w:tr>
      <w:tr w14:paraId="5B65A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00DEDE58">
            <w:pPr>
              <w:shd w:val="clear"/>
              <w:rPr>
                <w:rFonts w:hint="eastAsia" w:ascii="宋体" w:hAnsi="宋体" w:cs="宋体"/>
                <w:color w:val="auto"/>
                <w:sz w:val="24"/>
                <w:highlight w:val="none"/>
              </w:rPr>
            </w:pPr>
          </w:p>
        </w:tc>
        <w:tc>
          <w:tcPr>
            <w:tcW w:w="1785" w:type="dxa"/>
          </w:tcPr>
          <w:p w14:paraId="01047EF5">
            <w:pPr>
              <w:shd w:val="clear"/>
              <w:snapToGrid w:val="0"/>
              <w:rPr>
                <w:rFonts w:hint="eastAsia" w:ascii="宋体" w:hAnsi="宋体" w:cs="宋体"/>
                <w:color w:val="auto"/>
                <w:sz w:val="24"/>
                <w:highlight w:val="none"/>
              </w:rPr>
            </w:pPr>
            <w:r>
              <w:rPr>
                <w:rFonts w:hint="eastAsia" w:ascii="宋体" w:hAnsi="宋体" w:cs="宋体"/>
                <w:color w:val="auto"/>
                <w:sz w:val="24"/>
                <w:highlight w:val="none"/>
              </w:rPr>
              <w:t>付款条件</w:t>
            </w:r>
          </w:p>
        </w:tc>
        <w:tc>
          <w:tcPr>
            <w:tcW w:w="1785" w:type="dxa"/>
            <w:vAlign w:val="center"/>
          </w:tcPr>
          <w:p w14:paraId="24873E32">
            <w:pPr>
              <w:shd w:val="clear"/>
              <w:rPr>
                <w:rFonts w:hint="eastAsia" w:ascii="宋体" w:hAnsi="宋体" w:cs="宋体"/>
                <w:color w:val="auto"/>
                <w:sz w:val="24"/>
                <w:highlight w:val="none"/>
              </w:rPr>
            </w:pPr>
          </w:p>
        </w:tc>
        <w:tc>
          <w:tcPr>
            <w:tcW w:w="1365" w:type="dxa"/>
            <w:vAlign w:val="center"/>
          </w:tcPr>
          <w:p w14:paraId="7369C42F">
            <w:pPr>
              <w:shd w:val="clear"/>
              <w:rPr>
                <w:rFonts w:hint="eastAsia" w:ascii="宋体" w:hAnsi="宋体" w:cs="宋体"/>
                <w:color w:val="auto"/>
                <w:sz w:val="24"/>
                <w:highlight w:val="none"/>
              </w:rPr>
            </w:pPr>
          </w:p>
        </w:tc>
        <w:tc>
          <w:tcPr>
            <w:tcW w:w="2625" w:type="dxa"/>
            <w:vAlign w:val="center"/>
          </w:tcPr>
          <w:p w14:paraId="3B984396">
            <w:pPr>
              <w:shd w:val="clear"/>
              <w:rPr>
                <w:rFonts w:hint="eastAsia" w:ascii="宋体" w:hAnsi="宋体" w:cs="宋体"/>
                <w:color w:val="auto"/>
                <w:sz w:val="24"/>
                <w:highlight w:val="none"/>
              </w:rPr>
            </w:pPr>
          </w:p>
        </w:tc>
      </w:tr>
      <w:tr w14:paraId="101B9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64E3BF23">
            <w:pPr>
              <w:shd w:val="clear"/>
              <w:rPr>
                <w:rFonts w:hint="eastAsia" w:ascii="宋体" w:hAnsi="宋体" w:cs="宋体"/>
                <w:color w:val="auto"/>
                <w:sz w:val="24"/>
                <w:highlight w:val="none"/>
              </w:rPr>
            </w:pPr>
          </w:p>
        </w:tc>
        <w:tc>
          <w:tcPr>
            <w:tcW w:w="1785" w:type="dxa"/>
          </w:tcPr>
          <w:p w14:paraId="1028927C">
            <w:pPr>
              <w:shd w:val="clear"/>
              <w:snapToGrid w:val="0"/>
              <w:rPr>
                <w:rFonts w:hint="eastAsia" w:ascii="宋体" w:hAnsi="宋体" w:cs="宋体"/>
                <w:color w:val="auto"/>
                <w:sz w:val="24"/>
                <w:highlight w:val="none"/>
              </w:rPr>
            </w:pPr>
            <w:r>
              <w:rPr>
                <w:rFonts w:hint="eastAsia" w:ascii="宋体" w:hAnsi="宋体" w:cs="宋体"/>
                <w:color w:val="auto"/>
                <w:sz w:val="24"/>
                <w:highlight w:val="none"/>
              </w:rPr>
              <w:t>……</w:t>
            </w:r>
          </w:p>
        </w:tc>
        <w:tc>
          <w:tcPr>
            <w:tcW w:w="1785" w:type="dxa"/>
            <w:vAlign w:val="center"/>
          </w:tcPr>
          <w:p w14:paraId="7F8860AE">
            <w:pPr>
              <w:shd w:val="clear"/>
              <w:rPr>
                <w:rFonts w:hint="eastAsia" w:ascii="宋体" w:hAnsi="宋体" w:cs="宋体"/>
                <w:color w:val="auto"/>
                <w:sz w:val="24"/>
                <w:highlight w:val="none"/>
              </w:rPr>
            </w:pPr>
          </w:p>
        </w:tc>
        <w:tc>
          <w:tcPr>
            <w:tcW w:w="1365" w:type="dxa"/>
            <w:vAlign w:val="center"/>
          </w:tcPr>
          <w:p w14:paraId="2DF1F7E9">
            <w:pPr>
              <w:shd w:val="clear"/>
              <w:rPr>
                <w:rFonts w:hint="eastAsia" w:ascii="宋体" w:hAnsi="宋体" w:cs="宋体"/>
                <w:color w:val="auto"/>
                <w:sz w:val="24"/>
                <w:highlight w:val="none"/>
              </w:rPr>
            </w:pPr>
          </w:p>
        </w:tc>
        <w:tc>
          <w:tcPr>
            <w:tcW w:w="2625" w:type="dxa"/>
            <w:vAlign w:val="center"/>
          </w:tcPr>
          <w:p w14:paraId="36C0737F">
            <w:pPr>
              <w:shd w:val="clear"/>
              <w:rPr>
                <w:rFonts w:hint="eastAsia" w:ascii="宋体" w:hAnsi="宋体" w:cs="宋体"/>
                <w:color w:val="auto"/>
                <w:sz w:val="24"/>
                <w:highlight w:val="none"/>
              </w:rPr>
            </w:pPr>
          </w:p>
        </w:tc>
      </w:tr>
      <w:tr w14:paraId="6F4B9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vAlign w:val="center"/>
          </w:tcPr>
          <w:p w14:paraId="0E9902BB">
            <w:pPr>
              <w:shd w:val="clear"/>
              <w:rPr>
                <w:rFonts w:hint="eastAsia" w:ascii="宋体" w:hAnsi="宋体" w:cs="宋体"/>
                <w:color w:val="auto"/>
                <w:sz w:val="24"/>
                <w:highlight w:val="none"/>
              </w:rPr>
            </w:pPr>
          </w:p>
        </w:tc>
        <w:tc>
          <w:tcPr>
            <w:tcW w:w="1785" w:type="dxa"/>
          </w:tcPr>
          <w:p w14:paraId="1F0A7895">
            <w:pPr>
              <w:shd w:val="clear"/>
              <w:snapToGrid w:val="0"/>
              <w:rPr>
                <w:rFonts w:hint="eastAsia" w:ascii="宋体" w:hAnsi="宋体" w:cs="宋体"/>
                <w:color w:val="auto"/>
                <w:sz w:val="24"/>
                <w:highlight w:val="none"/>
              </w:rPr>
            </w:pPr>
          </w:p>
        </w:tc>
        <w:tc>
          <w:tcPr>
            <w:tcW w:w="1785" w:type="dxa"/>
            <w:vAlign w:val="center"/>
          </w:tcPr>
          <w:p w14:paraId="6FC0ABE4">
            <w:pPr>
              <w:shd w:val="clear"/>
              <w:rPr>
                <w:rFonts w:hint="eastAsia" w:ascii="宋体" w:hAnsi="宋体" w:cs="宋体"/>
                <w:color w:val="auto"/>
                <w:sz w:val="24"/>
                <w:highlight w:val="none"/>
              </w:rPr>
            </w:pPr>
          </w:p>
        </w:tc>
        <w:tc>
          <w:tcPr>
            <w:tcW w:w="1365" w:type="dxa"/>
            <w:vAlign w:val="center"/>
          </w:tcPr>
          <w:p w14:paraId="4D8F39C5">
            <w:pPr>
              <w:shd w:val="clear"/>
              <w:rPr>
                <w:rFonts w:hint="eastAsia" w:ascii="宋体" w:hAnsi="宋体" w:cs="宋体"/>
                <w:color w:val="auto"/>
                <w:sz w:val="24"/>
                <w:highlight w:val="none"/>
              </w:rPr>
            </w:pPr>
          </w:p>
        </w:tc>
        <w:tc>
          <w:tcPr>
            <w:tcW w:w="2625" w:type="dxa"/>
            <w:vAlign w:val="center"/>
          </w:tcPr>
          <w:p w14:paraId="0AA822CC">
            <w:pPr>
              <w:shd w:val="clear"/>
              <w:rPr>
                <w:rFonts w:hint="eastAsia" w:ascii="宋体" w:hAnsi="宋体" w:cs="宋体"/>
                <w:color w:val="auto"/>
                <w:sz w:val="24"/>
                <w:highlight w:val="none"/>
              </w:rPr>
            </w:pPr>
          </w:p>
        </w:tc>
      </w:tr>
      <w:tr w14:paraId="466B5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14:paraId="4144C58A">
            <w:pPr>
              <w:shd w:val="clear"/>
              <w:rPr>
                <w:rFonts w:hint="eastAsia" w:ascii="宋体" w:hAnsi="宋体" w:cs="宋体"/>
                <w:color w:val="auto"/>
                <w:sz w:val="24"/>
                <w:highlight w:val="none"/>
              </w:rPr>
            </w:pPr>
          </w:p>
        </w:tc>
        <w:tc>
          <w:tcPr>
            <w:tcW w:w="1785" w:type="dxa"/>
          </w:tcPr>
          <w:p w14:paraId="065B08A4">
            <w:pPr>
              <w:shd w:val="clear"/>
              <w:snapToGrid w:val="0"/>
              <w:rPr>
                <w:rFonts w:hint="eastAsia" w:ascii="宋体" w:hAnsi="宋体" w:cs="宋体"/>
                <w:color w:val="auto"/>
                <w:sz w:val="24"/>
                <w:highlight w:val="none"/>
              </w:rPr>
            </w:pPr>
          </w:p>
        </w:tc>
        <w:tc>
          <w:tcPr>
            <w:tcW w:w="1785" w:type="dxa"/>
            <w:vAlign w:val="center"/>
          </w:tcPr>
          <w:p w14:paraId="6D673652">
            <w:pPr>
              <w:shd w:val="clear"/>
              <w:rPr>
                <w:rFonts w:hint="eastAsia" w:ascii="宋体" w:hAnsi="宋体" w:cs="宋体"/>
                <w:color w:val="auto"/>
                <w:sz w:val="24"/>
                <w:highlight w:val="none"/>
              </w:rPr>
            </w:pPr>
          </w:p>
        </w:tc>
        <w:tc>
          <w:tcPr>
            <w:tcW w:w="1365" w:type="dxa"/>
            <w:vAlign w:val="center"/>
          </w:tcPr>
          <w:p w14:paraId="2B9BD137">
            <w:pPr>
              <w:shd w:val="clear"/>
              <w:rPr>
                <w:rFonts w:hint="eastAsia" w:ascii="宋体" w:hAnsi="宋体" w:cs="宋体"/>
                <w:color w:val="auto"/>
                <w:sz w:val="24"/>
                <w:highlight w:val="none"/>
              </w:rPr>
            </w:pPr>
          </w:p>
        </w:tc>
        <w:tc>
          <w:tcPr>
            <w:tcW w:w="2625" w:type="dxa"/>
            <w:vAlign w:val="center"/>
          </w:tcPr>
          <w:p w14:paraId="13B5F457">
            <w:pPr>
              <w:shd w:val="clear"/>
              <w:rPr>
                <w:rFonts w:hint="eastAsia" w:ascii="宋体" w:hAnsi="宋体" w:cs="宋体"/>
                <w:color w:val="auto"/>
                <w:sz w:val="24"/>
                <w:highlight w:val="none"/>
              </w:rPr>
            </w:pPr>
          </w:p>
        </w:tc>
      </w:tr>
    </w:tbl>
    <w:p w14:paraId="1F785FD0">
      <w:pPr>
        <w:shd w:val="clear"/>
        <w:spacing w:line="360" w:lineRule="auto"/>
        <w:rPr>
          <w:rFonts w:hint="eastAsia" w:ascii="宋体" w:hAnsi="宋体" w:cs="宋体"/>
          <w:b/>
          <w:color w:val="auto"/>
          <w:sz w:val="24"/>
          <w:highlight w:val="none"/>
        </w:rPr>
      </w:pPr>
    </w:p>
    <w:p w14:paraId="68007717">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74E5A6F6">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29432401">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0FC8FEED">
      <w:pPr>
        <w:shd w:val="clear"/>
        <w:spacing w:line="360" w:lineRule="auto"/>
        <w:rPr>
          <w:rFonts w:hint="eastAsia" w:ascii="宋体" w:hAnsi="宋体" w:cs="宋体"/>
          <w:b/>
          <w:color w:val="auto"/>
          <w:sz w:val="24"/>
          <w:highlight w:val="none"/>
        </w:rPr>
      </w:pPr>
    </w:p>
    <w:p w14:paraId="2CE8854B">
      <w:pPr>
        <w:shd w:val="clear"/>
        <w:spacing w:line="360" w:lineRule="auto"/>
        <w:rPr>
          <w:rFonts w:hint="eastAsia" w:ascii="宋体" w:hAnsi="宋体" w:cs="宋体"/>
          <w:b/>
          <w:color w:val="auto"/>
          <w:sz w:val="24"/>
          <w:highlight w:val="none"/>
        </w:rPr>
      </w:pPr>
    </w:p>
    <w:p w14:paraId="6F4E54C0">
      <w:pPr>
        <w:shd w:val="clear"/>
        <w:spacing w:line="360" w:lineRule="auto"/>
        <w:rPr>
          <w:rFonts w:hint="eastAsia" w:ascii="宋体" w:hAnsi="宋体" w:cs="宋体"/>
          <w:b/>
          <w:color w:val="auto"/>
          <w:sz w:val="24"/>
          <w:highlight w:val="none"/>
        </w:rPr>
      </w:pPr>
    </w:p>
    <w:p w14:paraId="2B164708">
      <w:pPr>
        <w:shd w:val="clear"/>
        <w:spacing w:line="360" w:lineRule="auto"/>
        <w:rPr>
          <w:rFonts w:hint="eastAsia" w:ascii="宋体" w:hAnsi="宋体" w:cs="宋体"/>
          <w:b/>
          <w:color w:val="auto"/>
          <w:sz w:val="24"/>
          <w:highlight w:val="none"/>
        </w:rPr>
      </w:pPr>
    </w:p>
    <w:p w14:paraId="10AFCC5C">
      <w:pPr>
        <w:shd w:val="clear"/>
        <w:spacing w:line="360" w:lineRule="auto"/>
        <w:rPr>
          <w:rFonts w:hint="eastAsia" w:ascii="宋体" w:hAnsi="宋体" w:cs="宋体"/>
          <w:b/>
          <w:color w:val="auto"/>
          <w:sz w:val="24"/>
          <w:highlight w:val="none"/>
        </w:rPr>
      </w:pPr>
    </w:p>
    <w:p w14:paraId="433F9FB7">
      <w:pPr>
        <w:shd w:val="clear"/>
        <w:spacing w:line="360" w:lineRule="auto"/>
        <w:rPr>
          <w:rFonts w:hint="eastAsia" w:ascii="宋体" w:hAnsi="宋体" w:cs="宋体"/>
          <w:b/>
          <w:color w:val="auto"/>
          <w:sz w:val="24"/>
          <w:highlight w:val="none"/>
        </w:rPr>
      </w:pPr>
    </w:p>
    <w:p w14:paraId="7ADF1574">
      <w:pPr>
        <w:shd w:val="clear"/>
        <w:spacing w:line="360" w:lineRule="auto"/>
        <w:rPr>
          <w:rFonts w:hint="eastAsia" w:ascii="宋体" w:hAnsi="宋体" w:cs="宋体"/>
          <w:b/>
          <w:color w:val="auto"/>
          <w:sz w:val="24"/>
          <w:highlight w:val="none"/>
        </w:rPr>
      </w:pPr>
    </w:p>
    <w:p w14:paraId="5B470B82">
      <w:pPr>
        <w:shd w:val="clear"/>
        <w:spacing w:line="360" w:lineRule="auto"/>
        <w:rPr>
          <w:rFonts w:hint="eastAsia" w:ascii="宋体" w:hAnsi="宋体" w:cs="宋体"/>
          <w:b/>
          <w:color w:val="auto"/>
          <w:sz w:val="24"/>
          <w:highlight w:val="none"/>
        </w:rPr>
      </w:pPr>
    </w:p>
    <w:p w14:paraId="4F916A8B">
      <w:pPr>
        <w:shd w:val="clear"/>
        <w:spacing w:line="360" w:lineRule="auto"/>
        <w:rPr>
          <w:rFonts w:hint="eastAsia" w:ascii="宋体" w:hAnsi="宋体" w:cs="宋体"/>
          <w:b/>
          <w:color w:val="auto"/>
          <w:sz w:val="24"/>
          <w:highlight w:val="none"/>
        </w:rPr>
      </w:pPr>
    </w:p>
    <w:p w14:paraId="18B13B0D">
      <w:pPr>
        <w:widowControl/>
        <w:shd w:val="clear"/>
        <w:jc w:val="left"/>
        <w:rPr>
          <w:rFonts w:hint="eastAsia" w:ascii="宋体" w:hAnsi="宋体" w:cs="宋体"/>
          <w:b/>
          <w:color w:val="auto"/>
          <w:sz w:val="28"/>
          <w:highlight w:val="none"/>
        </w:rPr>
      </w:pPr>
      <w:r>
        <w:rPr>
          <w:rFonts w:hint="eastAsia" w:ascii="宋体" w:hAnsi="宋体" w:cs="宋体"/>
          <w:b/>
          <w:color w:val="auto"/>
          <w:sz w:val="28"/>
          <w:highlight w:val="none"/>
        </w:rPr>
        <w:br w:type="page"/>
      </w:r>
    </w:p>
    <w:p w14:paraId="6233326B">
      <w:pPr>
        <w:shd w:val="clear"/>
        <w:tabs>
          <w:tab w:val="left" w:pos="2460"/>
        </w:tabs>
        <w:spacing w:line="480" w:lineRule="exact"/>
        <w:rPr>
          <w:rFonts w:hint="eastAsia" w:ascii="宋体" w:hAnsi="宋体" w:cs="宋体"/>
          <w:b/>
          <w:color w:val="auto"/>
          <w:sz w:val="28"/>
          <w:highlight w:val="none"/>
        </w:rPr>
      </w:pPr>
      <w:r>
        <w:rPr>
          <w:rFonts w:hint="eastAsia" w:ascii="宋体" w:hAnsi="宋体" w:cs="宋体"/>
          <w:b/>
          <w:color w:val="auto"/>
          <w:sz w:val="28"/>
          <w:highlight w:val="none"/>
        </w:rPr>
        <w:t>附件18</w:t>
      </w:r>
    </w:p>
    <w:p w14:paraId="612224C3">
      <w:pPr>
        <w:shd w:val="clear"/>
        <w:spacing w:line="480" w:lineRule="exact"/>
        <w:ind w:firstLine="435"/>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售后服务情况表</w:t>
      </w:r>
    </w:p>
    <w:tbl>
      <w:tblPr>
        <w:tblStyle w:val="29"/>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14:paraId="49B21A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Borders>
              <w:top w:val="single" w:color="auto" w:sz="4" w:space="0"/>
            </w:tcBorders>
            <w:vAlign w:val="center"/>
          </w:tcPr>
          <w:p w14:paraId="75E92A46">
            <w:pPr>
              <w:pStyle w:val="60"/>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2355" w:type="dxa"/>
            <w:tcBorders>
              <w:top w:val="single" w:color="auto" w:sz="4" w:space="0"/>
            </w:tcBorders>
            <w:vAlign w:val="center"/>
          </w:tcPr>
          <w:p w14:paraId="0D07ACAE">
            <w:pPr>
              <w:pStyle w:val="60"/>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项目</w:t>
            </w:r>
          </w:p>
        </w:tc>
        <w:tc>
          <w:tcPr>
            <w:tcW w:w="4061" w:type="dxa"/>
            <w:tcBorders>
              <w:top w:val="single" w:color="auto" w:sz="4" w:space="0"/>
            </w:tcBorders>
            <w:vAlign w:val="center"/>
          </w:tcPr>
          <w:p w14:paraId="7A783C64">
            <w:pPr>
              <w:pStyle w:val="60"/>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投标人情况</w:t>
            </w:r>
          </w:p>
        </w:tc>
        <w:tc>
          <w:tcPr>
            <w:tcW w:w="1373" w:type="dxa"/>
            <w:tcBorders>
              <w:top w:val="single" w:color="auto" w:sz="4" w:space="0"/>
            </w:tcBorders>
            <w:vAlign w:val="center"/>
          </w:tcPr>
          <w:p w14:paraId="71B1B678">
            <w:pPr>
              <w:pStyle w:val="60"/>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w:t>
            </w:r>
          </w:p>
        </w:tc>
      </w:tr>
      <w:tr w14:paraId="00AA957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vAlign w:val="center"/>
          </w:tcPr>
          <w:p w14:paraId="50AB77D2">
            <w:pPr>
              <w:pStyle w:val="60"/>
              <w:shd w:val="clear"/>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1</w:t>
            </w:r>
          </w:p>
        </w:tc>
        <w:tc>
          <w:tcPr>
            <w:tcW w:w="2355" w:type="dxa"/>
            <w:vMerge w:val="restart"/>
            <w:vAlign w:val="center"/>
          </w:tcPr>
          <w:p w14:paraId="5D20990A">
            <w:pPr>
              <w:pStyle w:val="60"/>
              <w:widowControl/>
              <w:shd w:val="clear"/>
              <w:spacing w:line="360" w:lineRule="auto"/>
              <w:jc w:val="left"/>
              <w:rPr>
                <w:rFonts w:hint="eastAsia" w:ascii="宋体" w:hAnsi="宋体" w:cs="宋体"/>
                <w:bCs/>
                <w:color w:val="auto"/>
                <w:sz w:val="24"/>
                <w:highlight w:val="none"/>
              </w:rPr>
            </w:pPr>
            <w:r>
              <w:rPr>
                <w:rFonts w:hint="eastAsia" w:ascii="宋体" w:hAnsi="宋体" w:cs="宋体"/>
                <w:bCs/>
                <w:color w:val="auto"/>
                <w:sz w:val="24"/>
                <w:highlight w:val="none"/>
              </w:rPr>
              <w:t>保修期内售后服务情况(服务方式、服务网点、售后服务的内容和措施等等，可用附页和宣传材料)</w:t>
            </w:r>
          </w:p>
        </w:tc>
        <w:tc>
          <w:tcPr>
            <w:tcW w:w="4061" w:type="dxa"/>
          </w:tcPr>
          <w:p w14:paraId="469C0819">
            <w:pPr>
              <w:pStyle w:val="60"/>
              <w:shd w:val="clear"/>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生产厂商售后服务情况：</w:t>
            </w:r>
          </w:p>
        </w:tc>
        <w:tc>
          <w:tcPr>
            <w:tcW w:w="1373" w:type="dxa"/>
          </w:tcPr>
          <w:p w14:paraId="6AEF7D66">
            <w:pPr>
              <w:pStyle w:val="60"/>
              <w:shd w:val="clear"/>
              <w:spacing w:line="360" w:lineRule="auto"/>
              <w:rPr>
                <w:rFonts w:hint="eastAsia" w:ascii="宋体" w:hAnsi="宋体" w:cs="宋体"/>
                <w:bCs/>
                <w:color w:val="auto"/>
                <w:sz w:val="24"/>
                <w:highlight w:val="none"/>
              </w:rPr>
            </w:pPr>
          </w:p>
        </w:tc>
      </w:tr>
      <w:tr w14:paraId="4D9DDD8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739" w:type="dxa"/>
            <w:vMerge w:val="continue"/>
            <w:vAlign w:val="center"/>
          </w:tcPr>
          <w:p w14:paraId="2B359163">
            <w:pPr>
              <w:pStyle w:val="60"/>
              <w:widowControl/>
              <w:shd w:val="clear"/>
              <w:spacing w:line="360" w:lineRule="auto"/>
              <w:jc w:val="left"/>
              <w:rPr>
                <w:rFonts w:hint="eastAsia" w:ascii="宋体" w:hAnsi="宋体" w:cs="宋体"/>
                <w:bCs/>
                <w:color w:val="auto"/>
                <w:sz w:val="24"/>
                <w:highlight w:val="none"/>
              </w:rPr>
            </w:pPr>
          </w:p>
        </w:tc>
        <w:tc>
          <w:tcPr>
            <w:tcW w:w="2355" w:type="dxa"/>
            <w:vMerge w:val="continue"/>
            <w:vAlign w:val="center"/>
          </w:tcPr>
          <w:p w14:paraId="4117468D">
            <w:pPr>
              <w:pStyle w:val="60"/>
              <w:widowControl/>
              <w:shd w:val="clear"/>
              <w:spacing w:line="360" w:lineRule="auto"/>
              <w:jc w:val="left"/>
              <w:rPr>
                <w:rFonts w:hint="eastAsia" w:ascii="宋体" w:hAnsi="宋体" w:cs="宋体"/>
                <w:bCs/>
                <w:color w:val="auto"/>
                <w:sz w:val="24"/>
                <w:highlight w:val="none"/>
              </w:rPr>
            </w:pPr>
          </w:p>
        </w:tc>
        <w:tc>
          <w:tcPr>
            <w:tcW w:w="4061" w:type="dxa"/>
          </w:tcPr>
          <w:p w14:paraId="34FA6E6C">
            <w:pPr>
              <w:pStyle w:val="60"/>
              <w:shd w:val="clear"/>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投标人售后服务情况：</w:t>
            </w:r>
          </w:p>
        </w:tc>
        <w:tc>
          <w:tcPr>
            <w:tcW w:w="1373" w:type="dxa"/>
          </w:tcPr>
          <w:p w14:paraId="066AE347">
            <w:pPr>
              <w:pStyle w:val="60"/>
              <w:shd w:val="clear"/>
              <w:spacing w:line="360" w:lineRule="auto"/>
              <w:jc w:val="left"/>
              <w:rPr>
                <w:rFonts w:hint="eastAsia" w:ascii="宋体" w:hAnsi="宋体" w:cs="宋体"/>
                <w:bCs/>
                <w:color w:val="auto"/>
                <w:sz w:val="24"/>
                <w:highlight w:val="none"/>
              </w:rPr>
            </w:pPr>
          </w:p>
        </w:tc>
      </w:tr>
      <w:tr w14:paraId="3C0723C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739" w:type="dxa"/>
            <w:vAlign w:val="center"/>
          </w:tcPr>
          <w:p w14:paraId="3C49645B">
            <w:pPr>
              <w:pStyle w:val="60"/>
              <w:shd w:val="clear"/>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2</w:t>
            </w:r>
          </w:p>
        </w:tc>
        <w:tc>
          <w:tcPr>
            <w:tcW w:w="2355" w:type="dxa"/>
            <w:vAlign w:val="center"/>
          </w:tcPr>
          <w:p w14:paraId="669BD3BE">
            <w:pPr>
              <w:pStyle w:val="60"/>
              <w:shd w:val="clear"/>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保修期后售后服务</w:t>
            </w:r>
          </w:p>
        </w:tc>
        <w:tc>
          <w:tcPr>
            <w:tcW w:w="4061" w:type="dxa"/>
          </w:tcPr>
          <w:p w14:paraId="03171451">
            <w:pPr>
              <w:pStyle w:val="60"/>
              <w:widowControl/>
              <w:shd w:val="clear"/>
              <w:spacing w:line="360" w:lineRule="auto"/>
              <w:jc w:val="left"/>
              <w:rPr>
                <w:rFonts w:hint="eastAsia" w:ascii="宋体" w:hAnsi="宋体" w:cs="宋体"/>
                <w:bCs/>
                <w:color w:val="auto"/>
                <w:sz w:val="24"/>
                <w:highlight w:val="none"/>
              </w:rPr>
            </w:pPr>
          </w:p>
          <w:p w14:paraId="2773174F">
            <w:pPr>
              <w:pStyle w:val="60"/>
              <w:widowControl/>
              <w:shd w:val="clear"/>
              <w:spacing w:line="360" w:lineRule="auto"/>
              <w:jc w:val="left"/>
              <w:rPr>
                <w:rFonts w:hint="eastAsia" w:ascii="宋体" w:hAnsi="宋体" w:cs="宋体"/>
                <w:bCs/>
                <w:color w:val="auto"/>
                <w:sz w:val="24"/>
                <w:highlight w:val="none"/>
              </w:rPr>
            </w:pPr>
          </w:p>
          <w:p w14:paraId="0551E7CE">
            <w:pPr>
              <w:pStyle w:val="60"/>
              <w:shd w:val="clear"/>
              <w:spacing w:line="360" w:lineRule="auto"/>
              <w:rPr>
                <w:rFonts w:hint="eastAsia" w:ascii="宋体" w:hAnsi="宋体" w:cs="宋体"/>
                <w:bCs/>
                <w:color w:val="auto"/>
                <w:sz w:val="24"/>
                <w:highlight w:val="none"/>
              </w:rPr>
            </w:pPr>
          </w:p>
        </w:tc>
        <w:tc>
          <w:tcPr>
            <w:tcW w:w="1373" w:type="dxa"/>
          </w:tcPr>
          <w:p w14:paraId="3236737F">
            <w:pPr>
              <w:pStyle w:val="60"/>
              <w:widowControl/>
              <w:shd w:val="clear"/>
              <w:spacing w:line="360" w:lineRule="auto"/>
              <w:jc w:val="left"/>
              <w:rPr>
                <w:rFonts w:hint="eastAsia" w:ascii="宋体" w:hAnsi="宋体" w:cs="宋体"/>
                <w:bCs/>
                <w:color w:val="auto"/>
                <w:sz w:val="24"/>
                <w:highlight w:val="none"/>
              </w:rPr>
            </w:pPr>
          </w:p>
          <w:p w14:paraId="6DF9A8AC">
            <w:pPr>
              <w:pStyle w:val="60"/>
              <w:widowControl/>
              <w:shd w:val="clear"/>
              <w:spacing w:line="360" w:lineRule="auto"/>
              <w:jc w:val="left"/>
              <w:rPr>
                <w:rFonts w:hint="eastAsia" w:ascii="宋体" w:hAnsi="宋体" w:cs="宋体"/>
                <w:bCs/>
                <w:color w:val="auto"/>
                <w:sz w:val="24"/>
                <w:highlight w:val="none"/>
              </w:rPr>
            </w:pPr>
          </w:p>
          <w:p w14:paraId="1DC8D103">
            <w:pPr>
              <w:pStyle w:val="60"/>
              <w:shd w:val="clear"/>
              <w:spacing w:line="360" w:lineRule="auto"/>
              <w:rPr>
                <w:rFonts w:hint="eastAsia" w:ascii="宋体" w:hAnsi="宋体" w:cs="宋体"/>
                <w:bCs/>
                <w:color w:val="auto"/>
                <w:sz w:val="24"/>
                <w:highlight w:val="none"/>
              </w:rPr>
            </w:pPr>
          </w:p>
        </w:tc>
      </w:tr>
      <w:tr w14:paraId="5A3191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620" w:hRule="exact"/>
          <w:jc w:val="center"/>
        </w:trPr>
        <w:tc>
          <w:tcPr>
            <w:tcW w:w="739" w:type="dxa"/>
            <w:vAlign w:val="center"/>
          </w:tcPr>
          <w:p w14:paraId="78F35769">
            <w:pPr>
              <w:pStyle w:val="60"/>
              <w:widowControl/>
              <w:shd w:val="clear"/>
              <w:spacing w:line="360" w:lineRule="auto"/>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 3</w:t>
            </w:r>
          </w:p>
        </w:tc>
        <w:tc>
          <w:tcPr>
            <w:tcW w:w="2355" w:type="dxa"/>
            <w:vAlign w:val="center"/>
          </w:tcPr>
          <w:p w14:paraId="2A6D4F1B">
            <w:pPr>
              <w:pStyle w:val="60"/>
              <w:widowControl/>
              <w:shd w:val="clear"/>
              <w:spacing w:line="360" w:lineRule="auto"/>
              <w:jc w:val="left"/>
              <w:rPr>
                <w:rFonts w:hint="eastAsia" w:ascii="宋体" w:hAnsi="宋体" w:cs="宋体"/>
                <w:bCs/>
                <w:color w:val="auto"/>
                <w:sz w:val="24"/>
                <w:highlight w:val="none"/>
              </w:rPr>
            </w:pPr>
            <w:r>
              <w:rPr>
                <w:rFonts w:hint="eastAsia" w:ascii="宋体" w:hAnsi="宋体" w:cs="宋体"/>
                <w:bCs/>
                <w:color w:val="auto"/>
                <w:sz w:val="24"/>
                <w:highlight w:val="none"/>
              </w:rPr>
              <w:t>培训方案（可用附页）</w:t>
            </w:r>
          </w:p>
        </w:tc>
        <w:tc>
          <w:tcPr>
            <w:tcW w:w="4061" w:type="dxa"/>
          </w:tcPr>
          <w:p w14:paraId="3E80914E">
            <w:pPr>
              <w:pStyle w:val="60"/>
              <w:widowControl/>
              <w:shd w:val="clear"/>
              <w:spacing w:line="360" w:lineRule="auto"/>
              <w:jc w:val="left"/>
              <w:rPr>
                <w:rFonts w:hint="eastAsia" w:ascii="宋体" w:hAnsi="宋体" w:cs="宋体"/>
                <w:bCs/>
                <w:i/>
                <w:color w:val="auto"/>
                <w:sz w:val="24"/>
                <w:highlight w:val="none"/>
              </w:rPr>
            </w:pPr>
          </w:p>
          <w:p w14:paraId="655336A6">
            <w:pPr>
              <w:pStyle w:val="60"/>
              <w:widowControl/>
              <w:shd w:val="clear"/>
              <w:spacing w:line="360" w:lineRule="auto"/>
              <w:jc w:val="left"/>
              <w:rPr>
                <w:rFonts w:hint="eastAsia" w:ascii="宋体" w:hAnsi="宋体" w:cs="宋体"/>
                <w:bCs/>
                <w:i/>
                <w:color w:val="auto"/>
                <w:sz w:val="24"/>
                <w:highlight w:val="none"/>
              </w:rPr>
            </w:pPr>
          </w:p>
        </w:tc>
        <w:tc>
          <w:tcPr>
            <w:tcW w:w="1373" w:type="dxa"/>
          </w:tcPr>
          <w:p w14:paraId="44646BED">
            <w:pPr>
              <w:pStyle w:val="60"/>
              <w:widowControl/>
              <w:shd w:val="clear"/>
              <w:spacing w:line="360" w:lineRule="auto"/>
              <w:jc w:val="left"/>
              <w:rPr>
                <w:rFonts w:hint="eastAsia" w:ascii="宋体" w:hAnsi="宋体" w:cs="宋体"/>
                <w:bCs/>
                <w:i/>
                <w:color w:val="auto"/>
                <w:sz w:val="24"/>
                <w:highlight w:val="none"/>
              </w:rPr>
            </w:pPr>
          </w:p>
          <w:p w14:paraId="5B8D32F8">
            <w:pPr>
              <w:pStyle w:val="60"/>
              <w:widowControl/>
              <w:shd w:val="clear"/>
              <w:spacing w:line="360" w:lineRule="auto"/>
              <w:jc w:val="left"/>
              <w:rPr>
                <w:rFonts w:hint="eastAsia" w:ascii="宋体" w:hAnsi="宋体" w:cs="宋体"/>
                <w:bCs/>
                <w:i/>
                <w:color w:val="auto"/>
                <w:sz w:val="24"/>
                <w:highlight w:val="none"/>
              </w:rPr>
            </w:pPr>
          </w:p>
          <w:p w14:paraId="52E9460F">
            <w:pPr>
              <w:pStyle w:val="60"/>
              <w:widowControl/>
              <w:shd w:val="clear"/>
              <w:spacing w:line="360" w:lineRule="auto"/>
              <w:jc w:val="left"/>
              <w:rPr>
                <w:rFonts w:hint="eastAsia" w:ascii="宋体" w:hAnsi="宋体" w:cs="宋体"/>
                <w:bCs/>
                <w:i/>
                <w:color w:val="auto"/>
                <w:sz w:val="24"/>
                <w:highlight w:val="none"/>
              </w:rPr>
            </w:pPr>
          </w:p>
        </w:tc>
      </w:tr>
      <w:tr w14:paraId="5B2F665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tcBorders>
              <w:bottom w:val="single" w:color="auto" w:sz="4" w:space="0"/>
            </w:tcBorders>
            <w:vAlign w:val="center"/>
          </w:tcPr>
          <w:p w14:paraId="3AB54152">
            <w:pPr>
              <w:pStyle w:val="60"/>
              <w:widowControl/>
              <w:shd w:val="clear"/>
              <w:spacing w:line="360" w:lineRule="auto"/>
              <w:jc w:val="left"/>
              <w:rPr>
                <w:rFonts w:hint="eastAsia" w:ascii="宋体" w:hAnsi="宋体" w:cs="宋体"/>
                <w:bCs/>
                <w:color w:val="auto"/>
                <w:sz w:val="24"/>
                <w:highlight w:val="none"/>
              </w:rPr>
            </w:pPr>
            <w:r>
              <w:rPr>
                <w:rFonts w:hint="eastAsia" w:ascii="宋体" w:hAnsi="宋体" w:cs="宋体"/>
                <w:bCs/>
                <w:color w:val="auto"/>
                <w:sz w:val="24"/>
                <w:highlight w:val="none"/>
              </w:rPr>
              <w:t>……</w:t>
            </w:r>
          </w:p>
        </w:tc>
        <w:tc>
          <w:tcPr>
            <w:tcW w:w="2355" w:type="dxa"/>
            <w:tcBorders>
              <w:bottom w:val="single" w:color="auto" w:sz="4" w:space="0"/>
            </w:tcBorders>
            <w:vAlign w:val="center"/>
          </w:tcPr>
          <w:p w14:paraId="5697BA8F">
            <w:pPr>
              <w:pStyle w:val="60"/>
              <w:widowControl/>
              <w:shd w:val="clear"/>
              <w:spacing w:line="360" w:lineRule="auto"/>
              <w:jc w:val="left"/>
              <w:rPr>
                <w:rFonts w:hint="eastAsia" w:ascii="宋体" w:hAnsi="宋体" w:cs="宋体"/>
                <w:bCs/>
                <w:color w:val="auto"/>
                <w:sz w:val="24"/>
                <w:highlight w:val="none"/>
              </w:rPr>
            </w:pPr>
            <w:r>
              <w:rPr>
                <w:rFonts w:hint="eastAsia" w:ascii="宋体" w:hAnsi="宋体" w:cs="宋体"/>
                <w:bCs/>
                <w:color w:val="auto"/>
                <w:sz w:val="24"/>
                <w:highlight w:val="none"/>
              </w:rPr>
              <w:t>……</w:t>
            </w:r>
          </w:p>
        </w:tc>
        <w:tc>
          <w:tcPr>
            <w:tcW w:w="4061" w:type="dxa"/>
            <w:tcBorders>
              <w:bottom w:val="single" w:color="auto" w:sz="4" w:space="0"/>
            </w:tcBorders>
          </w:tcPr>
          <w:p w14:paraId="15DCDCA3">
            <w:pPr>
              <w:pStyle w:val="60"/>
              <w:widowControl/>
              <w:shd w:val="clear"/>
              <w:spacing w:line="360" w:lineRule="auto"/>
              <w:jc w:val="left"/>
              <w:rPr>
                <w:rFonts w:hint="eastAsia" w:ascii="宋体" w:hAnsi="宋体" w:cs="宋体"/>
                <w:bCs/>
                <w:color w:val="auto"/>
                <w:sz w:val="24"/>
                <w:highlight w:val="none"/>
              </w:rPr>
            </w:pPr>
          </w:p>
        </w:tc>
        <w:tc>
          <w:tcPr>
            <w:tcW w:w="1373" w:type="dxa"/>
            <w:tcBorders>
              <w:bottom w:val="single" w:color="auto" w:sz="4" w:space="0"/>
            </w:tcBorders>
          </w:tcPr>
          <w:p w14:paraId="55092724">
            <w:pPr>
              <w:pStyle w:val="60"/>
              <w:widowControl/>
              <w:shd w:val="clear"/>
              <w:spacing w:line="360" w:lineRule="auto"/>
              <w:jc w:val="left"/>
              <w:rPr>
                <w:rFonts w:hint="eastAsia" w:ascii="宋体" w:hAnsi="宋体" w:cs="宋体"/>
                <w:bCs/>
                <w:color w:val="auto"/>
                <w:sz w:val="24"/>
                <w:highlight w:val="none"/>
              </w:rPr>
            </w:pPr>
          </w:p>
        </w:tc>
      </w:tr>
    </w:tbl>
    <w:p w14:paraId="44753440">
      <w:pPr>
        <w:shd w:val="clear"/>
        <w:spacing w:line="360" w:lineRule="auto"/>
        <w:rPr>
          <w:rFonts w:hint="eastAsia" w:ascii="宋体" w:hAnsi="宋体" w:cs="宋体"/>
          <w:b/>
          <w:color w:val="auto"/>
          <w:sz w:val="24"/>
          <w:highlight w:val="none"/>
        </w:rPr>
      </w:pPr>
    </w:p>
    <w:p w14:paraId="5F625AA2">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5B3BDB75">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225EF2D8">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2F970C0E">
      <w:pPr>
        <w:shd w:val="clear"/>
        <w:spacing w:line="360" w:lineRule="auto"/>
        <w:rPr>
          <w:rFonts w:hint="eastAsia" w:ascii="宋体" w:hAnsi="宋体" w:cs="宋体"/>
          <w:b/>
          <w:color w:val="auto"/>
          <w:sz w:val="24"/>
          <w:highlight w:val="none"/>
        </w:rPr>
      </w:pPr>
    </w:p>
    <w:p w14:paraId="50B648C8">
      <w:pPr>
        <w:shd w:val="clear"/>
        <w:spacing w:line="360" w:lineRule="auto"/>
        <w:rPr>
          <w:rFonts w:hint="eastAsia" w:ascii="宋体" w:hAnsi="宋体" w:cs="宋体"/>
          <w:b/>
          <w:color w:val="auto"/>
          <w:sz w:val="24"/>
          <w:highlight w:val="none"/>
        </w:rPr>
      </w:pPr>
    </w:p>
    <w:p w14:paraId="7C12F65F">
      <w:pPr>
        <w:shd w:val="clear"/>
        <w:spacing w:line="360" w:lineRule="auto"/>
        <w:rPr>
          <w:rFonts w:hint="eastAsia" w:ascii="宋体" w:hAnsi="宋体" w:cs="宋体"/>
          <w:b/>
          <w:color w:val="auto"/>
          <w:sz w:val="24"/>
          <w:highlight w:val="none"/>
        </w:rPr>
      </w:pPr>
    </w:p>
    <w:p w14:paraId="7E8292EB">
      <w:pPr>
        <w:shd w:val="clear"/>
        <w:spacing w:line="360" w:lineRule="auto"/>
        <w:rPr>
          <w:rFonts w:hint="eastAsia" w:ascii="宋体" w:hAnsi="宋体" w:cs="宋体"/>
          <w:b/>
          <w:color w:val="auto"/>
          <w:sz w:val="24"/>
          <w:highlight w:val="none"/>
        </w:rPr>
      </w:pPr>
    </w:p>
    <w:p w14:paraId="724B3DAD">
      <w:pPr>
        <w:shd w:val="clear"/>
        <w:spacing w:line="360" w:lineRule="auto"/>
        <w:rPr>
          <w:rFonts w:hint="eastAsia" w:ascii="宋体" w:hAnsi="宋体" w:cs="宋体"/>
          <w:b/>
          <w:color w:val="auto"/>
          <w:sz w:val="24"/>
          <w:highlight w:val="none"/>
        </w:rPr>
      </w:pPr>
    </w:p>
    <w:p w14:paraId="4B89FCE0">
      <w:pPr>
        <w:shd w:val="clear"/>
        <w:spacing w:line="360" w:lineRule="auto"/>
        <w:rPr>
          <w:rFonts w:hint="eastAsia" w:ascii="宋体" w:hAnsi="宋体" w:cs="宋体"/>
          <w:b/>
          <w:color w:val="auto"/>
          <w:sz w:val="24"/>
          <w:highlight w:val="none"/>
        </w:rPr>
      </w:pPr>
    </w:p>
    <w:p w14:paraId="07B6EDED">
      <w:pPr>
        <w:shd w:val="clear"/>
        <w:spacing w:line="360" w:lineRule="auto"/>
        <w:rPr>
          <w:rFonts w:hint="eastAsia" w:ascii="宋体" w:hAnsi="宋体" w:cs="宋体"/>
          <w:b/>
          <w:color w:val="auto"/>
          <w:sz w:val="24"/>
          <w:highlight w:val="none"/>
        </w:rPr>
      </w:pPr>
    </w:p>
    <w:p w14:paraId="0FD25AB1">
      <w:pPr>
        <w:shd w:val="clear"/>
        <w:spacing w:line="360" w:lineRule="auto"/>
        <w:rPr>
          <w:rFonts w:hint="eastAsia" w:ascii="宋体" w:hAnsi="宋体" w:cs="宋体"/>
          <w:b/>
          <w:color w:val="auto"/>
          <w:sz w:val="24"/>
          <w:highlight w:val="none"/>
        </w:rPr>
      </w:pPr>
    </w:p>
    <w:p w14:paraId="13EDF79E">
      <w:pPr>
        <w:widowControl/>
        <w:shd w:val="clear"/>
        <w:jc w:val="left"/>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br w:type="page"/>
      </w:r>
    </w:p>
    <w:p w14:paraId="2B412E88">
      <w:pPr>
        <w:shd w:val="clear"/>
        <w:spacing w:line="360" w:lineRule="auto"/>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 xml:space="preserve">附件19　                                            </w:t>
      </w:r>
      <w:r>
        <w:rPr>
          <w:rFonts w:hint="eastAsia" w:ascii="宋体" w:hAnsi="宋体" w:cs="宋体"/>
          <w:b/>
          <w:bCs/>
          <w:color w:val="auto"/>
          <w:sz w:val="28"/>
          <w:szCs w:val="36"/>
          <w:highlight w:val="none"/>
          <w:u w:val="single"/>
        </w:rPr>
        <w:t xml:space="preserve">  　</w:t>
      </w:r>
      <w:r>
        <w:rPr>
          <w:rFonts w:hint="eastAsia" w:ascii="宋体" w:hAnsi="宋体" w:cs="宋体"/>
          <w:b/>
          <w:bCs/>
          <w:color w:val="auto"/>
          <w:sz w:val="28"/>
          <w:szCs w:val="36"/>
          <w:highlight w:val="none"/>
        </w:rPr>
        <w:t>本</w:t>
      </w:r>
    </w:p>
    <w:p w14:paraId="7EA2F1D7">
      <w:pPr>
        <w:shd w:val="clear"/>
        <w:jc w:val="center"/>
        <w:rPr>
          <w:rFonts w:hint="eastAsia" w:ascii="宋体" w:hAnsi="宋体" w:cs="宋体"/>
          <w:color w:val="auto"/>
          <w:spacing w:val="40"/>
          <w:sz w:val="52"/>
          <w:szCs w:val="52"/>
          <w:highlight w:val="none"/>
        </w:rPr>
      </w:pPr>
      <w:r>
        <w:rPr>
          <w:rFonts w:hint="eastAsia" w:ascii="宋体" w:hAnsi="宋体" w:cs="宋体"/>
          <w:color w:val="auto"/>
          <w:spacing w:val="40"/>
          <w:sz w:val="52"/>
          <w:szCs w:val="52"/>
          <w:highlight w:val="none"/>
        </w:rPr>
        <w:t>项目名称</w:t>
      </w:r>
    </w:p>
    <w:p w14:paraId="4C24CE86">
      <w:pPr>
        <w:shd w:val="clear"/>
        <w:jc w:val="center"/>
        <w:rPr>
          <w:rFonts w:hint="eastAsia" w:ascii="宋体" w:hAnsi="宋体" w:cs="宋体"/>
          <w:color w:val="auto"/>
          <w:sz w:val="36"/>
          <w:szCs w:val="36"/>
          <w:highlight w:val="none"/>
        </w:rPr>
      </w:pPr>
      <w:r>
        <w:rPr>
          <w:rFonts w:hint="eastAsia" w:ascii="宋体" w:hAnsi="宋体" w:cs="宋体"/>
          <w:color w:val="auto"/>
          <w:sz w:val="36"/>
          <w:szCs w:val="36"/>
          <w:highlight w:val="none"/>
        </w:rPr>
        <w:t>项目编号：（标段）</w:t>
      </w:r>
    </w:p>
    <w:p w14:paraId="3B13C99D">
      <w:pPr>
        <w:shd w:val="clear"/>
        <w:jc w:val="center"/>
        <w:rPr>
          <w:rFonts w:hint="eastAsia" w:ascii="宋体" w:hAnsi="宋体" w:cs="宋体"/>
          <w:b/>
          <w:color w:val="auto"/>
          <w:spacing w:val="40"/>
          <w:sz w:val="84"/>
          <w:szCs w:val="84"/>
          <w:highlight w:val="none"/>
        </w:rPr>
      </w:pPr>
    </w:p>
    <w:p w14:paraId="012A6B33">
      <w:pPr>
        <w:shd w:val="clear"/>
        <w:jc w:val="center"/>
        <w:rPr>
          <w:rFonts w:hint="eastAsia" w:ascii="宋体" w:hAnsi="宋体" w:cs="宋体"/>
          <w:b/>
          <w:color w:val="auto"/>
          <w:spacing w:val="40"/>
          <w:sz w:val="84"/>
          <w:szCs w:val="84"/>
          <w:highlight w:val="none"/>
        </w:rPr>
      </w:pPr>
      <w:r>
        <w:rPr>
          <w:rFonts w:hint="eastAsia" w:ascii="宋体" w:hAnsi="宋体" w:cs="宋体"/>
          <w:b/>
          <w:color w:val="auto"/>
          <w:spacing w:val="40"/>
          <w:sz w:val="84"/>
          <w:szCs w:val="84"/>
          <w:highlight w:val="none"/>
        </w:rPr>
        <w:t>报</w:t>
      </w:r>
    </w:p>
    <w:p w14:paraId="535F2ADD">
      <w:pPr>
        <w:shd w:val="clear"/>
        <w:jc w:val="center"/>
        <w:rPr>
          <w:rFonts w:hint="eastAsia" w:ascii="宋体" w:hAnsi="宋体" w:cs="宋体"/>
          <w:b/>
          <w:color w:val="auto"/>
          <w:spacing w:val="40"/>
          <w:sz w:val="84"/>
          <w:szCs w:val="84"/>
          <w:highlight w:val="none"/>
        </w:rPr>
      </w:pPr>
      <w:r>
        <w:rPr>
          <w:rFonts w:hint="eastAsia" w:ascii="宋体" w:hAnsi="宋体" w:cs="宋体"/>
          <w:b/>
          <w:color w:val="auto"/>
          <w:spacing w:val="40"/>
          <w:sz w:val="84"/>
          <w:szCs w:val="84"/>
          <w:highlight w:val="none"/>
        </w:rPr>
        <w:t>价</w:t>
      </w:r>
    </w:p>
    <w:p w14:paraId="04FC47FE">
      <w:pPr>
        <w:shd w:val="clear"/>
        <w:jc w:val="center"/>
        <w:rPr>
          <w:rFonts w:hint="eastAsia" w:ascii="宋体" w:hAnsi="宋体" w:cs="宋体"/>
          <w:b/>
          <w:color w:val="auto"/>
          <w:spacing w:val="40"/>
          <w:sz w:val="84"/>
          <w:szCs w:val="84"/>
          <w:highlight w:val="none"/>
        </w:rPr>
      </w:pPr>
      <w:r>
        <w:rPr>
          <w:rFonts w:hint="eastAsia" w:ascii="宋体" w:hAnsi="宋体" w:cs="宋体"/>
          <w:b/>
          <w:color w:val="auto"/>
          <w:spacing w:val="40"/>
          <w:sz w:val="84"/>
          <w:szCs w:val="84"/>
          <w:highlight w:val="none"/>
        </w:rPr>
        <w:t>文</w:t>
      </w:r>
    </w:p>
    <w:p w14:paraId="5D6282D6">
      <w:pPr>
        <w:shd w:val="clear"/>
        <w:jc w:val="center"/>
        <w:rPr>
          <w:rFonts w:hint="eastAsia" w:ascii="宋体" w:hAnsi="宋体" w:cs="宋体"/>
          <w:b/>
          <w:color w:val="auto"/>
          <w:spacing w:val="40"/>
          <w:sz w:val="84"/>
          <w:szCs w:val="84"/>
          <w:highlight w:val="none"/>
        </w:rPr>
      </w:pPr>
      <w:r>
        <w:rPr>
          <w:rFonts w:hint="eastAsia" w:ascii="宋体" w:hAnsi="宋体" w:cs="宋体"/>
          <w:b/>
          <w:color w:val="auto"/>
          <w:spacing w:val="40"/>
          <w:sz w:val="84"/>
          <w:szCs w:val="84"/>
          <w:highlight w:val="none"/>
        </w:rPr>
        <w:t>件</w:t>
      </w:r>
    </w:p>
    <w:p w14:paraId="274221FD">
      <w:pPr>
        <w:shd w:val="clear"/>
        <w:jc w:val="center"/>
        <w:rPr>
          <w:rFonts w:hint="eastAsia" w:ascii="宋体" w:hAnsi="宋体" w:cs="宋体"/>
          <w:color w:val="auto"/>
          <w:sz w:val="36"/>
          <w:szCs w:val="36"/>
          <w:highlight w:val="none"/>
        </w:rPr>
      </w:pPr>
    </w:p>
    <w:p w14:paraId="2F1E9D02">
      <w:pPr>
        <w:shd w:val="clear"/>
        <w:jc w:val="center"/>
        <w:rPr>
          <w:rFonts w:hint="eastAsia" w:ascii="宋体" w:hAnsi="宋体" w:cs="宋体"/>
          <w:color w:val="auto"/>
          <w:sz w:val="36"/>
          <w:szCs w:val="36"/>
          <w:highlight w:val="none"/>
        </w:rPr>
      </w:pPr>
    </w:p>
    <w:p w14:paraId="447A351C">
      <w:pPr>
        <w:shd w:val="clear"/>
        <w:jc w:val="center"/>
        <w:rPr>
          <w:rFonts w:hint="eastAsia" w:ascii="宋体" w:hAnsi="宋体" w:cs="宋体"/>
          <w:color w:val="auto"/>
          <w:sz w:val="36"/>
          <w:szCs w:val="36"/>
          <w:highlight w:val="none"/>
        </w:rPr>
      </w:pPr>
    </w:p>
    <w:p w14:paraId="1F5455C8">
      <w:pPr>
        <w:shd w:val="clear"/>
        <w:rPr>
          <w:rFonts w:hint="eastAsia" w:ascii="宋体" w:hAnsi="宋体" w:cs="宋体"/>
          <w:color w:val="auto"/>
          <w:sz w:val="36"/>
          <w:szCs w:val="36"/>
          <w:highlight w:val="none"/>
        </w:rPr>
      </w:pPr>
      <w:r>
        <w:rPr>
          <w:rFonts w:hint="eastAsia" w:ascii="宋体" w:hAnsi="宋体" w:cs="宋体"/>
          <w:color w:val="auto"/>
          <w:sz w:val="36"/>
          <w:szCs w:val="36"/>
          <w:highlight w:val="none"/>
        </w:rPr>
        <w:t>供应商全称</w:t>
      </w:r>
      <w:r>
        <w:rPr>
          <w:rFonts w:hint="eastAsia" w:ascii="宋体" w:hAnsi="宋体" w:cs="宋体"/>
          <w:color w:val="auto"/>
          <w:sz w:val="32"/>
          <w:szCs w:val="32"/>
          <w:highlight w:val="none"/>
        </w:rPr>
        <w:t>（加盖公章）</w:t>
      </w:r>
      <w:r>
        <w:rPr>
          <w:rFonts w:hint="eastAsia" w:ascii="宋体" w:hAnsi="宋体" w:cs="宋体"/>
          <w:color w:val="auto"/>
          <w:sz w:val="36"/>
          <w:szCs w:val="36"/>
          <w:highlight w:val="none"/>
        </w:rPr>
        <w:t>：</w:t>
      </w:r>
    </w:p>
    <w:p w14:paraId="016B8EA2">
      <w:pPr>
        <w:shd w:val="clear"/>
        <w:rPr>
          <w:rFonts w:hint="eastAsia" w:ascii="宋体" w:hAnsi="宋体" w:cs="宋体"/>
          <w:color w:val="auto"/>
          <w:sz w:val="36"/>
          <w:szCs w:val="36"/>
          <w:highlight w:val="none"/>
        </w:rPr>
      </w:pPr>
      <w:r>
        <w:rPr>
          <w:rFonts w:hint="eastAsia" w:ascii="宋体" w:hAnsi="宋体" w:cs="宋体"/>
          <w:color w:val="auto"/>
          <w:sz w:val="36"/>
          <w:szCs w:val="36"/>
          <w:highlight w:val="none"/>
        </w:rPr>
        <w:t>地址：</w:t>
      </w:r>
    </w:p>
    <w:p w14:paraId="164BA071">
      <w:pPr>
        <w:shd w:val="clear"/>
        <w:rPr>
          <w:rFonts w:hint="eastAsia" w:ascii="宋体" w:hAnsi="宋体" w:cs="宋体"/>
          <w:color w:val="auto"/>
          <w:sz w:val="36"/>
          <w:szCs w:val="36"/>
          <w:highlight w:val="none"/>
        </w:rPr>
      </w:pPr>
      <w:r>
        <w:rPr>
          <w:rFonts w:hint="eastAsia" w:ascii="宋体" w:hAnsi="宋体" w:cs="宋体"/>
          <w:color w:val="auto"/>
          <w:sz w:val="36"/>
          <w:szCs w:val="36"/>
          <w:highlight w:val="none"/>
        </w:rPr>
        <w:t>时间：</w:t>
      </w:r>
    </w:p>
    <w:p w14:paraId="6E56BC62">
      <w:pPr>
        <w:shd w:val="clear"/>
        <w:spacing w:line="360" w:lineRule="auto"/>
        <w:rPr>
          <w:rFonts w:hint="eastAsia" w:ascii="宋体" w:hAnsi="宋体" w:cs="宋体"/>
          <w:color w:val="auto"/>
          <w:sz w:val="24"/>
          <w:szCs w:val="32"/>
          <w:highlight w:val="none"/>
        </w:rPr>
      </w:pPr>
    </w:p>
    <w:p w14:paraId="1085DCD3">
      <w:pPr>
        <w:shd w:val="clear"/>
        <w:spacing w:line="360" w:lineRule="auto"/>
        <w:rPr>
          <w:rFonts w:hint="eastAsia" w:ascii="宋体" w:hAnsi="宋体" w:cs="宋体"/>
          <w:color w:val="auto"/>
          <w:sz w:val="24"/>
          <w:szCs w:val="32"/>
          <w:highlight w:val="none"/>
        </w:rPr>
      </w:pPr>
    </w:p>
    <w:p w14:paraId="7A754505">
      <w:pPr>
        <w:shd w:val="clear"/>
        <w:spacing w:line="360" w:lineRule="auto"/>
        <w:rPr>
          <w:rFonts w:hint="eastAsia" w:ascii="宋体" w:hAnsi="宋体" w:cs="宋体"/>
          <w:color w:val="auto"/>
          <w:sz w:val="24"/>
          <w:szCs w:val="32"/>
          <w:highlight w:val="none"/>
        </w:rPr>
      </w:pPr>
    </w:p>
    <w:p w14:paraId="7FE5BDC2">
      <w:pPr>
        <w:shd w:val="clear"/>
        <w:spacing w:line="360" w:lineRule="auto"/>
        <w:jc w:val="center"/>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报价文件目录</w:t>
      </w:r>
    </w:p>
    <w:p w14:paraId="2BADBFE0">
      <w:pPr>
        <w:shd w:val="clear"/>
        <w:spacing w:line="360" w:lineRule="auto"/>
        <w:rPr>
          <w:rFonts w:hint="eastAsia" w:ascii="宋体" w:hAnsi="宋体" w:cs="宋体"/>
          <w:color w:val="auto"/>
          <w:sz w:val="24"/>
          <w:highlight w:val="none"/>
        </w:rPr>
      </w:pPr>
    </w:p>
    <w:p w14:paraId="43A6CCB7">
      <w:pPr>
        <w:shd w:val="clear"/>
        <w:spacing w:line="360" w:lineRule="auto"/>
        <w:ind w:firstLine="560" w:firstLineChars="200"/>
        <w:rPr>
          <w:rFonts w:hint="eastAsia" w:ascii="宋体" w:hAnsi="宋体" w:cs="宋体"/>
          <w:color w:val="auto"/>
          <w:sz w:val="28"/>
          <w:szCs w:val="28"/>
          <w:highlight w:val="none"/>
        </w:rPr>
      </w:pPr>
      <w:r>
        <w:rPr>
          <w:rFonts w:hint="eastAsia" w:ascii="宋体" w:hAnsi="宋体" w:cs="宋体"/>
          <w:color w:val="auto"/>
          <w:sz w:val="28"/>
          <w:szCs w:val="28"/>
          <w:highlight w:val="none"/>
        </w:rPr>
        <w:t>1、开标一览表（附件20）；</w:t>
      </w:r>
    </w:p>
    <w:p w14:paraId="7108683C">
      <w:pPr>
        <w:shd w:val="clear"/>
        <w:spacing w:line="360" w:lineRule="auto"/>
        <w:ind w:firstLine="560" w:firstLineChars="200"/>
        <w:rPr>
          <w:rFonts w:hint="eastAsia" w:ascii="宋体" w:hAnsi="宋体" w:cs="宋体"/>
          <w:color w:val="auto"/>
          <w:sz w:val="28"/>
          <w:szCs w:val="28"/>
          <w:highlight w:val="none"/>
        </w:rPr>
      </w:pPr>
      <w:r>
        <w:rPr>
          <w:rFonts w:hint="eastAsia" w:ascii="宋体" w:hAnsi="宋体" w:cs="宋体"/>
          <w:color w:val="auto"/>
          <w:sz w:val="28"/>
          <w:szCs w:val="28"/>
          <w:highlight w:val="none"/>
        </w:rPr>
        <w:t>2、报价明细表（附件21）；</w:t>
      </w:r>
    </w:p>
    <w:p w14:paraId="6A93CB3E">
      <w:pPr>
        <w:shd w:val="clear"/>
        <w:spacing w:line="360" w:lineRule="auto"/>
        <w:ind w:firstLine="560" w:firstLineChars="200"/>
        <w:rPr>
          <w:rFonts w:hint="eastAsia" w:ascii="宋体" w:hAnsi="宋体" w:cs="宋体"/>
          <w:color w:val="auto"/>
          <w:sz w:val="28"/>
          <w:szCs w:val="28"/>
          <w:highlight w:val="none"/>
        </w:rPr>
      </w:pPr>
      <w:r>
        <w:rPr>
          <w:rFonts w:hint="eastAsia" w:ascii="宋体" w:hAnsi="宋体" w:cs="宋体"/>
          <w:color w:val="auto"/>
          <w:sz w:val="28"/>
          <w:szCs w:val="28"/>
          <w:highlight w:val="none"/>
        </w:rPr>
        <w:t>3、针对报价投标人认为其他需要说明的；</w:t>
      </w:r>
    </w:p>
    <w:p w14:paraId="42E8F6B2">
      <w:pPr>
        <w:shd w:val="clear"/>
        <w:spacing w:line="360" w:lineRule="auto"/>
        <w:ind w:firstLine="560" w:firstLineChars="200"/>
        <w:rPr>
          <w:rFonts w:hint="eastAsia" w:ascii="宋体" w:hAnsi="宋体" w:cs="宋体"/>
          <w:color w:val="auto"/>
          <w:sz w:val="28"/>
          <w:szCs w:val="28"/>
          <w:highlight w:val="none"/>
        </w:rPr>
      </w:pPr>
      <w:r>
        <w:rPr>
          <w:rFonts w:hint="eastAsia" w:ascii="宋体" w:hAnsi="宋体" w:cs="宋体"/>
          <w:color w:val="auto"/>
          <w:sz w:val="28"/>
          <w:szCs w:val="28"/>
          <w:highlight w:val="none"/>
        </w:rPr>
        <w:t>4、中小企业等声明函（附件22）。</w:t>
      </w:r>
    </w:p>
    <w:p w14:paraId="7E4CD716">
      <w:pPr>
        <w:shd w:val="clear"/>
        <w:spacing w:line="360" w:lineRule="auto"/>
        <w:ind w:firstLine="480" w:firstLineChars="200"/>
        <w:rPr>
          <w:rFonts w:hint="eastAsia" w:ascii="宋体" w:hAnsi="宋体" w:cs="宋体"/>
          <w:color w:val="auto"/>
          <w:sz w:val="24"/>
          <w:szCs w:val="32"/>
          <w:highlight w:val="none"/>
        </w:rPr>
      </w:pPr>
    </w:p>
    <w:p w14:paraId="64E471AF">
      <w:pPr>
        <w:shd w:val="clear"/>
        <w:spacing w:line="360" w:lineRule="auto"/>
        <w:rPr>
          <w:rFonts w:hint="eastAsia" w:ascii="宋体" w:hAnsi="宋体" w:cs="宋体"/>
          <w:color w:val="auto"/>
          <w:sz w:val="24"/>
          <w:szCs w:val="32"/>
          <w:highlight w:val="none"/>
        </w:rPr>
      </w:pPr>
    </w:p>
    <w:p w14:paraId="2AEA28CF">
      <w:pPr>
        <w:shd w:val="clear"/>
        <w:spacing w:line="360" w:lineRule="auto"/>
        <w:rPr>
          <w:rFonts w:hint="eastAsia" w:ascii="宋体" w:hAnsi="宋体" w:cs="宋体"/>
          <w:color w:val="auto"/>
          <w:sz w:val="24"/>
          <w:szCs w:val="32"/>
          <w:highlight w:val="none"/>
        </w:rPr>
      </w:pPr>
    </w:p>
    <w:p w14:paraId="742C45B1">
      <w:pPr>
        <w:pStyle w:val="11"/>
        <w:shd w:val="clear"/>
        <w:rPr>
          <w:rFonts w:hint="eastAsia" w:ascii="宋体" w:hAnsi="宋体" w:cs="宋体"/>
          <w:color w:val="auto"/>
          <w:szCs w:val="32"/>
          <w:highlight w:val="none"/>
        </w:rPr>
      </w:pPr>
    </w:p>
    <w:p w14:paraId="617A95DA">
      <w:pPr>
        <w:pStyle w:val="27"/>
        <w:shd w:val="clear"/>
        <w:rPr>
          <w:rFonts w:hint="eastAsia" w:ascii="宋体" w:hAnsi="宋体" w:cs="宋体"/>
          <w:color w:val="auto"/>
          <w:sz w:val="24"/>
          <w:szCs w:val="32"/>
          <w:highlight w:val="none"/>
        </w:rPr>
      </w:pPr>
    </w:p>
    <w:p w14:paraId="36D3C475">
      <w:pPr>
        <w:pStyle w:val="23"/>
        <w:shd w:val="clear"/>
        <w:rPr>
          <w:rFonts w:hint="eastAsia" w:ascii="宋体" w:hAnsi="宋体" w:cs="宋体"/>
          <w:color w:val="auto"/>
          <w:sz w:val="24"/>
          <w:szCs w:val="32"/>
          <w:highlight w:val="none"/>
        </w:rPr>
      </w:pPr>
    </w:p>
    <w:p w14:paraId="7524846F">
      <w:pPr>
        <w:shd w:val="clear"/>
        <w:rPr>
          <w:rFonts w:hint="eastAsia" w:ascii="宋体" w:hAnsi="宋体" w:cs="宋体"/>
          <w:color w:val="auto"/>
          <w:sz w:val="24"/>
          <w:szCs w:val="32"/>
          <w:highlight w:val="none"/>
        </w:rPr>
      </w:pPr>
    </w:p>
    <w:p w14:paraId="14F97E8D">
      <w:pPr>
        <w:pStyle w:val="11"/>
        <w:shd w:val="clear"/>
        <w:rPr>
          <w:rFonts w:hint="eastAsia" w:ascii="宋体" w:hAnsi="宋体" w:cs="宋体"/>
          <w:color w:val="auto"/>
          <w:szCs w:val="32"/>
          <w:highlight w:val="none"/>
        </w:rPr>
      </w:pPr>
    </w:p>
    <w:p w14:paraId="4278B42D">
      <w:pPr>
        <w:pStyle w:val="27"/>
        <w:shd w:val="clear"/>
        <w:rPr>
          <w:rFonts w:hint="eastAsia" w:ascii="宋体" w:hAnsi="宋体" w:cs="宋体"/>
          <w:color w:val="auto"/>
          <w:sz w:val="24"/>
          <w:szCs w:val="32"/>
          <w:highlight w:val="none"/>
        </w:rPr>
      </w:pPr>
    </w:p>
    <w:p w14:paraId="2BA4EABB">
      <w:pPr>
        <w:pStyle w:val="23"/>
        <w:shd w:val="clear"/>
        <w:rPr>
          <w:rFonts w:hint="eastAsia" w:ascii="宋体" w:hAnsi="宋体" w:cs="宋体"/>
          <w:color w:val="auto"/>
          <w:sz w:val="24"/>
          <w:szCs w:val="32"/>
          <w:highlight w:val="none"/>
        </w:rPr>
      </w:pPr>
    </w:p>
    <w:p w14:paraId="70CDCD3D">
      <w:pPr>
        <w:shd w:val="clear"/>
        <w:rPr>
          <w:rFonts w:hint="eastAsia" w:ascii="宋体" w:hAnsi="宋体" w:cs="宋体"/>
          <w:color w:val="auto"/>
          <w:sz w:val="24"/>
          <w:szCs w:val="32"/>
          <w:highlight w:val="none"/>
        </w:rPr>
      </w:pPr>
    </w:p>
    <w:p w14:paraId="22479E0A">
      <w:pPr>
        <w:pStyle w:val="11"/>
        <w:shd w:val="clear"/>
        <w:rPr>
          <w:rFonts w:hint="eastAsia" w:ascii="宋体" w:hAnsi="宋体" w:cs="宋体"/>
          <w:color w:val="auto"/>
          <w:szCs w:val="32"/>
          <w:highlight w:val="none"/>
        </w:rPr>
      </w:pPr>
    </w:p>
    <w:p w14:paraId="3086A94B">
      <w:pPr>
        <w:pStyle w:val="27"/>
        <w:shd w:val="clear"/>
        <w:rPr>
          <w:rFonts w:hint="eastAsia" w:ascii="宋体" w:hAnsi="宋体" w:cs="宋体"/>
          <w:color w:val="auto"/>
          <w:sz w:val="24"/>
          <w:szCs w:val="32"/>
          <w:highlight w:val="none"/>
        </w:rPr>
      </w:pPr>
    </w:p>
    <w:p w14:paraId="39197CE9">
      <w:pPr>
        <w:pStyle w:val="23"/>
        <w:shd w:val="clear"/>
        <w:rPr>
          <w:rFonts w:hint="eastAsia" w:ascii="宋体" w:hAnsi="宋体" w:cs="宋体"/>
          <w:color w:val="auto"/>
          <w:sz w:val="24"/>
          <w:szCs w:val="32"/>
          <w:highlight w:val="none"/>
        </w:rPr>
      </w:pPr>
    </w:p>
    <w:p w14:paraId="21D9C83E">
      <w:pPr>
        <w:shd w:val="clear"/>
        <w:rPr>
          <w:rFonts w:hint="eastAsia" w:ascii="宋体" w:hAnsi="宋体" w:cs="宋体"/>
          <w:color w:val="auto"/>
          <w:sz w:val="24"/>
          <w:szCs w:val="32"/>
          <w:highlight w:val="none"/>
        </w:rPr>
      </w:pPr>
    </w:p>
    <w:p w14:paraId="3AE3C4F2">
      <w:pPr>
        <w:pStyle w:val="11"/>
        <w:shd w:val="clear"/>
        <w:rPr>
          <w:rFonts w:hint="eastAsia" w:ascii="宋体" w:hAnsi="宋体" w:cs="宋体"/>
          <w:color w:val="auto"/>
          <w:szCs w:val="32"/>
          <w:highlight w:val="none"/>
        </w:rPr>
      </w:pPr>
    </w:p>
    <w:p w14:paraId="4F074A42">
      <w:pPr>
        <w:pStyle w:val="27"/>
        <w:shd w:val="clear"/>
        <w:rPr>
          <w:rFonts w:hint="eastAsia" w:ascii="宋体" w:hAnsi="宋体" w:cs="宋体"/>
          <w:color w:val="auto"/>
          <w:sz w:val="24"/>
          <w:szCs w:val="32"/>
          <w:highlight w:val="none"/>
        </w:rPr>
      </w:pPr>
    </w:p>
    <w:p w14:paraId="65B8B7B7">
      <w:pPr>
        <w:pStyle w:val="23"/>
        <w:shd w:val="clear"/>
        <w:rPr>
          <w:rFonts w:hint="eastAsia" w:ascii="宋体" w:hAnsi="宋体" w:cs="宋体"/>
          <w:color w:val="auto"/>
          <w:sz w:val="24"/>
          <w:szCs w:val="32"/>
          <w:highlight w:val="none"/>
        </w:rPr>
      </w:pPr>
    </w:p>
    <w:p w14:paraId="7A6CDD57">
      <w:pPr>
        <w:shd w:val="clear"/>
        <w:rPr>
          <w:rFonts w:hint="eastAsia" w:ascii="宋体" w:hAnsi="宋体" w:cs="宋体"/>
          <w:color w:val="auto"/>
          <w:sz w:val="24"/>
          <w:szCs w:val="32"/>
          <w:highlight w:val="none"/>
        </w:rPr>
      </w:pPr>
    </w:p>
    <w:p w14:paraId="3D744818">
      <w:pPr>
        <w:pStyle w:val="11"/>
        <w:shd w:val="clear"/>
        <w:rPr>
          <w:rFonts w:hint="eastAsia" w:ascii="宋体" w:hAnsi="宋体" w:cs="宋体"/>
          <w:color w:val="auto"/>
          <w:szCs w:val="32"/>
          <w:highlight w:val="none"/>
        </w:rPr>
      </w:pPr>
    </w:p>
    <w:p w14:paraId="30FE935E">
      <w:pPr>
        <w:pStyle w:val="27"/>
        <w:shd w:val="clear"/>
        <w:rPr>
          <w:rFonts w:hint="eastAsia" w:ascii="宋体" w:hAnsi="宋体" w:cs="宋体"/>
          <w:color w:val="auto"/>
          <w:sz w:val="24"/>
          <w:szCs w:val="32"/>
          <w:highlight w:val="none"/>
        </w:rPr>
      </w:pPr>
    </w:p>
    <w:p w14:paraId="31683E0A">
      <w:pPr>
        <w:pStyle w:val="23"/>
        <w:shd w:val="clear"/>
        <w:rPr>
          <w:rFonts w:hint="eastAsia" w:ascii="宋体" w:hAnsi="宋体" w:cs="宋体"/>
          <w:color w:val="auto"/>
          <w:sz w:val="24"/>
          <w:szCs w:val="32"/>
          <w:highlight w:val="none"/>
        </w:rPr>
      </w:pPr>
    </w:p>
    <w:p w14:paraId="0720C4A7">
      <w:pPr>
        <w:shd w:val="clear"/>
        <w:rPr>
          <w:rFonts w:hint="eastAsia" w:ascii="宋体" w:hAnsi="宋体" w:cs="宋体"/>
          <w:color w:val="auto"/>
          <w:sz w:val="24"/>
          <w:szCs w:val="32"/>
          <w:highlight w:val="none"/>
        </w:rPr>
      </w:pPr>
    </w:p>
    <w:p w14:paraId="0F24E4EE">
      <w:pPr>
        <w:pStyle w:val="11"/>
        <w:shd w:val="clear"/>
        <w:rPr>
          <w:rFonts w:hint="eastAsia" w:ascii="宋体" w:hAnsi="宋体" w:cs="宋体"/>
          <w:color w:val="auto"/>
          <w:szCs w:val="32"/>
          <w:highlight w:val="none"/>
        </w:rPr>
      </w:pPr>
    </w:p>
    <w:p w14:paraId="156F4306">
      <w:pPr>
        <w:pStyle w:val="27"/>
        <w:shd w:val="clear"/>
        <w:rPr>
          <w:rFonts w:hint="eastAsia" w:ascii="宋体" w:hAnsi="宋体" w:cs="宋体"/>
          <w:color w:val="auto"/>
          <w:sz w:val="24"/>
          <w:szCs w:val="32"/>
          <w:highlight w:val="none"/>
        </w:rPr>
      </w:pPr>
    </w:p>
    <w:p w14:paraId="686AF85F">
      <w:pPr>
        <w:pStyle w:val="23"/>
        <w:shd w:val="clear"/>
        <w:rPr>
          <w:rFonts w:hint="eastAsia" w:ascii="宋体" w:hAnsi="宋体" w:cs="宋体"/>
          <w:color w:val="auto"/>
          <w:sz w:val="24"/>
          <w:szCs w:val="32"/>
          <w:highlight w:val="none"/>
        </w:rPr>
      </w:pPr>
    </w:p>
    <w:p w14:paraId="6AC74161">
      <w:pPr>
        <w:shd w:val="clear"/>
        <w:rPr>
          <w:rFonts w:hint="eastAsia" w:ascii="宋体" w:hAnsi="宋体" w:cs="宋体"/>
          <w:color w:val="auto"/>
          <w:sz w:val="24"/>
          <w:szCs w:val="32"/>
          <w:highlight w:val="none"/>
        </w:rPr>
      </w:pPr>
    </w:p>
    <w:p w14:paraId="79242384">
      <w:pPr>
        <w:shd w:val="clear"/>
        <w:rPr>
          <w:rFonts w:hint="eastAsia" w:ascii="宋体" w:hAnsi="宋体" w:cs="宋体"/>
          <w:color w:val="auto"/>
          <w:sz w:val="24"/>
          <w:szCs w:val="32"/>
          <w:highlight w:val="none"/>
        </w:rPr>
      </w:pPr>
    </w:p>
    <w:p w14:paraId="7A7373C3">
      <w:pPr>
        <w:shd w:val="clear"/>
        <w:rPr>
          <w:rFonts w:hint="eastAsia" w:ascii="宋体" w:hAnsi="宋体" w:cs="宋体"/>
          <w:color w:val="auto"/>
          <w:sz w:val="24"/>
          <w:szCs w:val="32"/>
          <w:highlight w:val="none"/>
        </w:rPr>
      </w:pPr>
    </w:p>
    <w:p w14:paraId="3A2D06F0">
      <w:pPr>
        <w:shd w:val="clear"/>
        <w:spacing w:line="360" w:lineRule="auto"/>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附件20</w:t>
      </w:r>
    </w:p>
    <w:p w14:paraId="6C6FEBD8">
      <w:pPr>
        <w:shd w:val="clear"/>
        <w:spacing w:line="360" w:lineRule="auto"/>
        <w:ind w:left="-2" w:hanging="2"/>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开标一览表</w:t>
      </w:r>
    </w:p>
    <w:p w14:paraId="1CB7A253">
      <w:pPr>
        <w:shd w:val="clear"/>
        <w:spacing w:line="360" w:lineRule="auto"/>
        <w:ind w:left="-2" w:hanging="2"/>
        <w:jc w:val="center"/>
        <w:rPr>
          <w:rFonts w:hint="eastAsia" w:ascii="宋体" w:hAnsi="宋体" w:cs="宋体"/>
          <w:b/>
          <w:color w:val="auto"/>
          <w:sz w:val="32"/>
          <w:szCs w:val="32"/>
          <w:highlight w:val="none"/>
        </w:rPr>
      </w:pPr>
    </w:p>
    <w:p w14:paraId="4BDB1082">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项目名称：</w:t>
      </w:r>
    </w:p>
    <w:p w14:paraId="2E153A92">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项目编号：                                       [单位：人民币/元]</w:t>
      </w:r>
    </w:p>
    <w:tbl>
      <w:tblPr>
        <w:tblStyle w:val="29"/>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14:paraId="7272D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74" w:hRule="atLeast"/>
          <w:jc w:val="center"/>
        </w:trPr>
        <w:tc>
          <w:tcPr>
            <w:tcW w:w="2694" w:type="dxa"/>
            <w:vMerge w:val="restart"/>
            <w:vAlign w:val="center"/>
          </w:tcPr>
          <w:p w14:paraId="7F74C9BA">
            <w:pPr>
              <w:shd w:val="clear"/>
              <w:autoSpaceDE w:val="0"/>
              <w:autoSpaceDN w:val="0"/>
              <w:spacing w:line="450" w:lineRule="exact"/>
              <w:jc w:val="center"/>
              <w:textAlignment w:val="bottom"/>
              <w:rPr>
                <w:rFonts w:hint="eastAsia" w:ascii="宋体" w:hAnsi="宋体" w:cs="宋体"/>
                <w:color w:val="auto"/>
                <w:sz w:val="24"/>
                <w:highlight w:val="none"/>
              </w:rPr>
            </w:pPr>
            <w:r>
              <w:rPr>
                <w:rFonts w:hint="eastAsia" w:ascii="宋体" w:hAnsi="宋体" w:cs="宋体"/>
                <w:color w:val="auto"/>
                <w:sz w:val="24"/>
                <w:highlight w:val="none"/>
              </w:rPr>
              <w:t>投标报价（元）</w:t>
            </w:r>
          </w:p>
        </w:tc>
        <w:tc>
          <w:tcPr>
            <w:tcW w:w="1349" w:type="dxa"/>
            <w:vAlign w:val="center"/>
          </w:tcPr>
          <w:p w14:paraId="3E6BEAD8">
            <w:pPr>
              <w:shd w:val="clear"/>
              <w:autoSpaceDE w:val="0"/>
              <w:autoSpaceDN w:val="0"/>
              <w:spacing w:line="450" w:lineRule="exact"/>
              <w:jc w:val="center"/>
              <w:textAlignment w:val="bottom"/>
              <w:rPr>
                <w:rFonts w:hint="eastAsia" w:ascii="宋体" w:hAnsi="宋体" w:cs="宋体"/>
                <w:color w:val="auto"/>
                <w:sz w:val="24"/>
                <w:highlight w:val="none"/>
              </w:rPr>
            </w:pPr>
            <w:r>
              <w:rPr>
                <w:rFonts w:hint="eastAsia" w:ascii="宋体" w:hAnsi="宋体" w:cs="宋体"/>
                <w:color w:val="auto"/>
                <w:sz w:val="24"/>
                <w:highlight w:val="none"/>
              </w:rPr>
              <w:t>大写</w:t>
            </w:r>
          </w:p>
        </w:tc>
        <w:tc>
          <w:tcPr>
            <w:tcW w:w="4629" w:type="dxa"/>
            <w:vAlign w:val="center"/>
          </w:tcPr>
          <w:p w14:paraId="4D1D2720">
            <w:pPr>
              <w:shd w:val="clear"/>
              <w:autoSpaceDE w:val="0"/>
              <w:autoSpaceDN w:val="0"/>
              <w:spacing w:line="450" w:lineRule="exact"/>
              <w:jc w:val="center"/>
              <w:textAlignment w:val="bottom"/>
              <w:rPr>
                <w:rFonts w:hint="eastAsia" w:ascii="宋体" w:hAnsi="宋体" w:cs="宋体"/>
                <w:color w:val="auto"/>
                <w:sz w:val="24"/>
                <w:highlight w:val="none"/>
              </w:rPr>
            </w:pPr>
          </w:p>
        </w:tc>
      </w:tr>
      <w:tr w14:paraId="70F27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00" w:hRule="atLeast"/>
          <w:jc w:val="center"/>
        </w:trPr>
        <w:tc>
          <w:tcPr>
            <w:tcW w:w="2694" w:type="dxa"/>
            <w:vMerge w:val="continue"/>
            <w:vAlign w:val="center"/>
          </w:tcPr>
          <w:p w14:paraId="3B5AC3E4">
            <w:pPr>
              <w:shd w:val="clear"/>
              <w:rPr>
                <w:rFonts w:hint="eastAsia" w:ascii="宋体" w:hAnsi="宋体" w:cs="宋体"/>
                <w:color w:val="auto"/>
                <w:sz w:val="24"/>
                <w:highlight w:val="none"/>
              </w:rPr>
            </w:pPr>
          </w:p>
        </w:tc>
        <w:tc>
          <w:tcPr>
            <w:tcW w:w="1349" w:type="dxa"/>
            <w:vAlign w:val="center"/>
          </w:tcPr>
          <w:p w14:paraId="2419E350">
            <w:pPr>
              <w:shd w:val="clear"/>
              <w:autoSpaceDE w:val="0"/>
              <w:autoSpaceDN w:val="0"/>
              <w:spacing w:line="450" w:lineRule="exact"/>
              <w:jc w:val="center"/>
              <w:textAlignment w:val="bottom"/>
              <w:rPr>
                <w:rFonts w:hint="eastAsia" w:ascii="宋体" w:hAnsi="宋体" w:cs="宋体"/>
                <w:color w:val="auto"/>
                <w:sz w:val="24"/>
                <w:highlight w:val="none"/>
              </w:rPr>
            </w:pPr>
            <w:r>
              <w:rPr>
                <w:rFonts w:hint="eastAsia" w:ascii="宋体" w:hAnsi="宋体" w:cs="宋体"/>
                <w:color w:val="auto"/>
                <w:sz w:val="24"/>
                <w:highlight w:val="none"/>
              </w:rPr>
              <w:t>小写</w:t>
            </w:r>
          </w:p>
        </w:tc>
        <w:tc>
          <w:tcPr>
            <w:tcW w:w="4629" w:type="dxa"/>
            <w:vAlign w:val="center"/>
          </w:tcPr>
          <w:p w14:paraId="1032339B">
            <w:pPr>
              <w:shd w:val="clear"/>
              <w:autoSpaceDE w:val="0"/>
              <w:autoSpaceDN w:val="0"/>
              <w:spacing w:line="450" w:lineRule="exact"/>
              <w:jc w:val="center"/>
              <w:textAlignment w:val="bottom"/>
              <w:rPr>
                <w:rFonts w:hint="eastAsia" w:ascii="宋体" w:hAnsi="宋体" w:cs="宋体"/>
                <w:color w:val="auto"/>
                <w:sz w:val="24"/>
                <w:highlight w:val="none"/>
              </w:rPr>
            </w:pPr>
          </w:p>
        </w:tc>
      </w:tr>
    </w:tbl>
    <w:p w14:paraId="20A512A0">
      <w:pPr>
        <w:shd w:val="clear"/>
        <w:spacing w:line="360" w:lineRule="auto"/>
        <w:ind w:firstLine="480" w:firstLineChars="200"/>
        <w:jc w:val="left"/>
        <w:rPr>
          <w:rFonts w:hint="eastAsia" w:ascii="宋体" w:hAnsi="宋体" w:cs="宋体"/>
          <w:color w:val="auto"/>
          <w:sz w:val="24"/>
          <w:szCs w:val="32"/>
          <w:highlight w:val="none"/>
        </w:rPr>
      </w:pPr>
    </w:p>
    <w:p w14:paraId="77C84216">
      <w:pPr>
        <w:shd w:val="clear"/>
        <w:spacing w:line="360" w:lineRule="auto"/>
        <w:jc w:val="left"/>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填报要求：</w:t>
      </w:r>
    </w:p>
    <w:p w14:paraId="589C4E83">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1.本项目投标报价为完成本项目的所有费用，投标报价是履行合同的最终价格，投标人应考虑企业自身实力、经验及项目实施过程中的各种因素，在投标报价中应充分考虑所有可能发生的费用，否则采购人将视投标总价中已包括所有费用。</w:t>
      </w:r>
    </w:p>
    <w:p w14:paraId="7F7CCFA1">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2.报价一经涂改，应在涂改处加盖单位公章，或者由法定代表人或授权委托代理人签字或盖章，否则其投标作无效标处理。</w:t>
      </w:r>
    </w:p>
    <w:p w14:paraId="72363DBC">
      <w:pPr>
        <w:shd w:val="clear"/>
        <w:spacing w:line="360" w:lineRule="auto"/>
        <w:rPr>
          <w:rFonts w:hint="eastAsia" w:ascii="宋体" w:hAnsi="宋体" w:cs="宋体"/>
          <w:color w:val="auto"/>
          <w:sz w:val="24"/>
          <w:highlight w:val="none"/>
        </w:rPr>
      </w:pPr>
    </w:p>
    <w:p w14:paraId="25EB4504">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4DC37DB3">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5FBA0E4C">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7FC36461">
      <w:pPr>
        <w:shd w:val="clear"/>
        <w:spacing w:line="360" w:lineRule="auto"/>
        <w:jc w:val="left"/>
        <w:rPr>
          <w:rFonts w:hint="eastAsia" w:ascii="宋体" w:hAnsi="宋体" w:cs="宋体"/>
          <w:color w:val="auto"/>
          <w:sz w:val="24"/>
          <w:szCs w:val="32"/>
          <w:highlight w:val="none"/>
        </w:rPr>
      </w:pPr>
    </w:p>
    <w:p w14:paraId="05EED73A">
      <w:pPr>
        <w:shd w:val="clear"/>
        <w:spacing w:line="360" w:lineRule="auto"/>
        <w:ind w:firstLine="480" w:firstLineChars="200"/>
        <w:jc w:val="left"/>
        <w:rPr>
          <w:rFonts w:hint="eastAsia" w:ascii="宋体" w:hAnsi="宋体" w:cs="宋体"/>
          <w:color w:val="auto"/>
          <w:sz w:val="24"/>
          <w:szCs w:val="32"/>
          <w:highlight w:val="none"/>
        </w:rPr>
      </w:pPr>
    </w:p>
    <w:p w14:paraId="36C37475">
      <w:pPr>
        <w:shd w:val="clear"/>
        <w:spacing w:line="360" w:lineRule="auto"/>
        <w:ind w:firstLine="480" w:firstLineChars="200"/>
        <w:jc w:val="left"/>
        <w:rPr>
          <w:rFonts w:hint="eastAsia" w:ascii="宋体" w:hAnsi="宋体" w:cs="宋体"/>
          <w:color w:val="auto"/>
          <w:sz w:val="24"/>
          <w:szCs w:val="32"/>
          <w:highlight w:val="none"/>
        </w:rPr>
      </w:pPr>
    </w:p>
    <w:p w14:paraId="035782AD">
      <w:pPr>
        <w:shd w:val="clear"/>
        <w:spacing w:line="360" w:lineRule="auto"/>
        <w:ind w:firstLine="480" w:firstLineChars="200"/>
        <w:jc w:val="left"/>
        <w:rPr>
          <w:rFonts w:hint="eastAsia" w:ascii="宋体" w:hAnsi="宋体" w:cs="宋体"/>
          <w:color w:val="auto"/>
          <w:sz w:val="24"/>
          <w:szCs w:val="32"/>
          <w:highlight w:val="none"/>
        </w:rPr>
      </w:pPr>
    </w:p>
    <w:p w14:paraId="4F3CD5FA">
      <w:pPr>
        <w:shd w:val="clear"/>
        <w:spacing w:line="360" w:lineRule="auto"/>
        <w:ind w:firstLine="480" w:firstLineChars="200"/>
        <w:jc w:val="left"/>
        <w:rPr>
          <w:rFonts w:hint="eastAsia" w:ascii="宋体" w:hAnsi="宋体" w:cs="宋体"/>
          <w:color w:val="auto"/>
          <w:sz w:val="24"/>
          <w:szCs w:val="32"/>
          <w:highlight w:val="none"/>
        </w:rPr>
      </w:pPr>
    </w:p>
    <w:p w14:paraId="6BE9BB53">
      <w:pPr>
        <w:shd w:val="clear"/>
        <w:spacing w:line="360" w:lineRule="auto"/>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附件21</w:t>
      </w:r>
    </w:p>
    <w:p w14:paraId="00C44163">
      <w:pPr>
        <w:shd w:val="clear"/>
        <w:spacing w:line="360" w:lineRule="auto"/>
        <w:jc w:val="center"/>
        <w:rPr>
          <w:rFonts w:hint="eastAsia" w:ascii="宋体" w:hAnsi="宋体" w:cs="宋体"/>
          <w:color w:val="auto"/>
          <w:highlight w:val="none"/>
        </w:rPr>
      </w:pPr>
      <w:r>
        <w:rPr>
          <w:rFonts w:hint="eastAsia" w:ascii="宋体" w:hAnsi="宋体" w:cs="宋体"/>
          <w:b/>
          <w:color w:val="auto"/>
          <w:sz w:val="32"/>
          <w:szCs w:val="32"/>
          <w:highlight w:val="none"/>
        </w:rPr>
        <w:t>报价明细表</w:t>
      </w:r>
    </w:p>
    <w:p w14:paraId="040D2B8A">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项目名称：</w:t>
      </w:r>
    </w:p>
    <w:p w14:paraId="084C05EF">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项目编号：                                       [单位：人民币/元]</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4536"/>
        <w:gridCol w:w="851"/>
        <w:gridCol w:w="992"/>
        <w:gridCol w:w="992"/>
        <w:gridCol w:w="709"/>
      </w:tblGrid>
      <w:tr w14:paraId="5323D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709" w:type="dxa"/>
            <w:vAlign w:val="center"/>
          </w:tcPr>
          <w:p w14:paraId="678C54A8">
            <w:pPr>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4536" w:type="dxa"/>
            <w:vAlign w:val="center"/>
          </w:tcPr>
          <w:p w14:paraId="0D989FC3">
            <w:pPr>
              <w:shd w:val="clear"/>
              <w:spacing w:line="360" w:lineRule="auto"/>
              <w:ind w:left="52"/>
              <w:jc w:val="center"/>
              <w:rPr>
                <w:rFonts w:hint="eastAsia" w:ascii="宋体" w:hAnsi="宋体" w:cs="宋体"/>
                <w:b/>
                <w:color w:val="auto"/>
                <w:sz w:val="24"/>
                <w:highlight w:val="none"/>
              </w:rPr>
            </w:pPr>
            <w:r>
              <w:rPr>
                <w:rFonts w:hint="eastAsia" w:ascii="宋体" w:hAnsi="宋体" w:cs="宋体"/>
                <w:b/>
                <w:color w:val="auto"/>
                <w:sz w:val="24"/>
                <w:highlight w:val="none"/>
              </w:rPr>
              <w:t>报价项目</w:t>
            </w:r>
          </w:p>
        </w:tc>
        <w:tc>
          <w:tcPr>
            <w:tcW w:w="851" w:type="dxa"/>
            <w:vAlign w:val="center"/>
          </w:tcPr>
          <w:p w14:paraId="3335A2A7">
            <w:pPr>
              <w:shd w:val="clear"/>
              <w:spacing w:line="360" w:lineRule="auto"/>
              <w:ind w:left="152"/>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c>
          <w:tcPr>
            <w:tcW w:w="992" w:type="dxa"/>
            <w:vAlign w:val="center"/>
          </w:tcPr>
          <w:p w14:paraId="2BADBDF5">
            <w:pPr>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单价</w:t>
            </w:r>
          </w:p>
        </w:tc>
        <w:tc>
          <w:tcPr>
            <w:tcW w:w="992" w:type="dxa"/>
            <w:vAlign w:val="center"/>
          </w:tcPr>
          <w:p w14:paraId="435D18F3">
            <w:pPr>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小计</w:t>
            </w:r>
          </w:p>
        </w:tc>
        <w:tc>
          <w:tcPr>
            <w:tcW w:w="709" w:type="dxa"/>
            <w:vAlign w:val="center"/>
          </w:tcPr>
          <w:p w14:paraId="6592FDEA">
            <w:pPr>
              <w:shd w:val="clea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w:t>
            </w:r>
          </w:p>
        </w:tc>
      </w:tr>
      <w:tr w14:paraId="65582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09" w:type="dxa"/>
            <w:vAlign w:val="center"/>
          </w:tcPr>
          <w:p w14:paraId="215A93CE">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4536" w:type="dxa"/>
            <w:vAlign w:val="center"/>
          </w:tcPr>
          <w:p w14:paraId="2AE51D0E">
            <w:pPr>
              <w:shd w:val="clear"/>
              <w:jc w:val="center"/>
              <w:rPr>
                <w:rFonts w:hint="eastAsia" w:ascii="宋体" w:hAnsi="宋体" w:cs="宋体"/>
                <w:color w:val="auto"/>
                <w:sz w:val="24"/>
                <w:highlight w:val="none"/>
              </w:rPr>
            </w:pPr>
          </w:p>
        </w:tc>
        <w:tc>
          <w:tcPr>
            <w:tcW w:w="851" w:type="dxa"/>
            <w:vAlign w:val="center"/>
          </w:tcPr>
          <w:p w14:paraId="3298660C">
            <w:pPr>
              <w:shd w:val="clear"/>
              <w:spacing w:line="360" w:lineRule="auto"/>
              <w:jc w:val="center"/>
              <w:rPr>
                <w:rFonts w:hint="eastAsia" w:ascii="宋体" w:hAnsi="宋体" w:cs="宋体"/>
                <w:color w:val="auto"/>
                <w:sz w:val="24"/>
                <w:highlight w:val="none"/>
              </w:rPr>
            </w:pPr>
          </w:p>
        </w:tc>
        <w:tc>
          <w:tcPr>
            <w:tcW w:w="992" w:type="dxa"/>
            <w:vAlign w:val="center"/>
          </w:tcPr>
          <w:p w14:paraId="1B8FAA89">
            <w:pPr>
              <w:shd w:val="clear"/>
              <w:spacing w:line="360" w:lineRule="auto"/>
              <w:rPr>
                <w:rFonts w:hint="eastAsia" w:ascii="宋体" w:hAnsi="宋体" w:cs="宋体"/>
                <w:color w:val="auto"/>
                <w:sz w:val="24"/>
                <w:highlight w:val="none"/>
              </w:rPr>
            </w:pPr>
          </w:p>
        </w:tc>
        <w:tc>
          <w:tcPr>
            <w:tcW w:w="992" w:type="dxa"/>
            <w:vAlign w:val="center"/>
          </w:tcPr>
          <w:p w14:paraId="718E0AE1">
            <w:pPr>
              <w:shd w:val="clear"/>
              <w:spacing w:line="360" w:lineRule="auto"/>
              <w:rPr>
                <w:rFonts w:hint="eastAsia" w:ascii="宋体" w:hAnsi="宋体" w:cs="宋体"/>
                <w:color w:val="auto"/>
                <w:sz w:val="24"/>
                <w:highlight w:val="none"/>
              </w:rPr>
            </w:pPr>
          </w:p>
        </w:tc>
        <w:tc>
          <w:tcPr>
            <w:tcW w:w="709" w:type="dxa"/>
            <w:vAlign w:val="center"/>
          </w:tcPr>
          <w:p w14:paraId="71445405">
            <w:pPr>
              <w:shd w:val="clear"/>
              <w:spacing w:line="360" w:lineRule="auto"/>
              <w:rPr>
                <w:rFonts w:hint="eastAsia" w:ascii="宋体" w:hAnsi="宋体" w:cs="宋体"/>
                <w:color w:val="auto"/>
                <w:sz w:val="24"/>
                <w:highlight w:val="none"/>
              </w:rPr>
            </w:pPr>
          </w:p>
        </w:tc>
      </w:tr>
      <w:tr w14:paraId="34A1B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09" w:type="dxa"/>
            <w:vAlign w:val="center"/>
          </w:tcPr>
          <w:p w14:paraId="02FA6AD0">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4536" w:type="dxa"/>
            <w:vAlign w:val="center"/>
          </w:tcPr>
          <w:p w14:paraId="5BE06528">
            <w:pPr>
              <w:shd w:val="clear"/>
              <w:jc w:val="center"/>
              <w:rPr>
                <w:rFonts w:hint="eastAsia" w:ascii="宋体" w:hAnsi="宋体" w:cs="宋体"/>
                <w:color w:val="auto"/>
                <w:sz w:val="24"/>
                <w:highlight w:val="none"/>
              </w:rPr>
            </w:pPr>
          </w:p>
        </w:tc>
        <w:tc>
          <w:tcPr>
            <w:tcW w:w="851" w:type="dxa"/>
            <w:vAlign w:val="center"/>
          </w:tcPr>
          <w:p w14:paraId="4A95A732">
            <w:pPr>
              <w:shd w:val="clear"/>
              <w:spacing w:line="360" w:lineRule="auto"/>
              <w:jc w:val="center"/>
              <w:rPr>
                <w:rFonts w:hint="eastAsia" w:ascii="宋体" w:hAnsi="宋体" w:cs="宋体"/>
                <w:color w:val="auto"/>
                <w:sz w:val="24"/>
                <w:highlight w:val="none"/>
              </w:rPr>
            </w:pPr>
          </w:p>
        </w:tc>
        <w:tc>
          <w:tcPr>
            <w:tcW w:w="992" w:type="dxa"/>
            <w:vAlign w:val="center"/>
          </w:tcPr>
          <w:p w14:paraId="6A3BF6B6">
            <w:pPr>
              <w:shd w:val="clear"/>
              <w:spacing w:line="360" w:lineRule="auto"/>
              <w:rPr>
                <w:rFonts w:hint="eastAsia" w:ascii="宋体" w:hAnsi="宋体" w:cs="宋体"/>
                <w:color w:val="auto"/>
                <w:sz w:val="24"/>
                <w:highlight w:val="none"/>
              </w:rPr>
            </w:pPr>
          </w:p>
        </w:tc>
        <w:tc>
          <w:tcPr>
            <w:tcW w:w="992" w:type="dxa"/>
            <w:vAlign w:val="center"/>
          </w:tcPr>
          <w:p w14:paraId="1974A43F">
            <w:pPr>
              <w:shd w:val="clear"/>
              <w:spacing w:line="360" w:lineRule="auto"/>
              <w:rPr>
                <w:rFonts w:hint="eastAsia" w:ascii="宋体" w:hAnsi="宋体" w:cs="宋体"/>
                <w:color w:val="auto"/>
                <w:sz w:val="24"/>
                <w:highlight w:val="none"/>
              </w:rPr>
            </w:pPr>
          </w:p>
        </w:tc>
        <w:tc>
          <w:tcPr>
            <w:tcW w:w="709" w:type="dxa"/>
            <w:vAlign w:val="center"/>
          </w:tcPr>
          <w:p w14:paraId="2ACDCF98">
            <w:pPr>
              <w:shd w:val="clear"/>
              <w:spacing w:line="360" w:lineRule="auto"/>
              <w:rPr>
                <w:rFonts w:hint="eastAsia" w:ascii="宋体" w:hAnsi="宋体" w:cs="宋体"/>
                <w:color w:val="auto"/>
                <w:sz w:val="24"/>
                <w:highlight w:val="none"/>
              </w:rPr>
            </w:pPr>
          </w:p>
        </w:tc>
      </w:tr>
      <w:tr w14:paraId="48CD7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09" w:type="dxa"/>
            <w:vAlign w:val="center"/>
          </w:tcPr>
          <w:p w14:paraId="3A1E3100">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4536" w:type="dxa"/>
            <w:vAlign w:val="center"/>
          </w:tcPr>
          <w:p w14:paraId="334A9C46">
            <w:pPr>
              <w:shd w:val="clear"/>
              <w:jc w:val="center"/>
              <w:rPr>
                <w:rFonts w:hint="eastAsia" w:ascii="宋体" w:hAnsi="宋体" w:cs="宋体"/>
                <w:color w:val="auto"/>
                <w:sz w:val="24"/>
                <w:highlight w:val="none"/>
              </w:rPr>
            </w:pPr>
          </w:p>
        </w:tc>
        <w:tc>
          <w:tcPr>
            <w:tcW w:w="851" w:type="dxa"/>
            <w:vAlign w:val="center"/>
          </w:tcPr>
          <w:p w14:paraId="505A0A03">
            <w:pPr>
              <w:shd w:val="clear"/>
              <w:spacing w:line="360" w:lineRule="auto"/>
              <w:jc w:val="center"/>
              <w:rPr>
                <w:rFonts w:hint="eastAsia" w:ascii="宋体" w:hAnsi="宋体" w:cs="宋体"/>
                <w:color w:val="auto"/>
                <w:sz w:val="24"/>
                <w:highlight w:val="none"/>
              </w:rPr>
            </w:pPr>
          </w:p>
        </w:tc>
        <w:tc>
          <w:tcPr>
            <w:tcW w:w="992" w:type="dxa"/>
            <w:vAlign w:val="center"/>
          </w:tcPr>
          <w:p w14:paraId="293EF41A">
            <w:pPr>
              <w:shd w:val="clear"/>
              <w:spacing w:line="360" w:lineRule="auto"/>
              <w:rPr>
                <w:rFonts w:hint="eastAsia" w:ascii="宋体" w:hAnsi="宋体" w:cs="宋体"/>
                <w:color w:val="auto"/>
                <w:sz w:val="24"/>
                <w:highlight w:val="none"/>
              </w:rPr>
            </w:pPr>
          </w:p>
        </w:tc>
        <w:tc>
          <w:tcPr>
            <w:tcW w:w="992" w:type="dxa"/>
            <w:vAlign w:val="center"/>
          </w:tcPr>
          <w:p w14:paraId="6F274935">
            <w:pPr>
              <w:shd w:val="clear"/>
              <w:spacing w:line="360" w:lineRule="auto"/>
              <w:rPr>
                <w:rFonts w:hint="eastAsia" w:ascii="宋体" w:hAnsi="宋体" w:cs="宋体"/>
                <w:color w:val="auto"/>
                <w:sz w:val="24"/>
                <w:highlight w:val="none"/>
              </w:rPr>
            </w:pPr>
          </w:p>
        </w:tc>
        <w:tc>
          <w:tcPr>
            <w:tcW w:w="709" w:type="dxa"/>
            <w:vAlign w:val="center"/>
          </w:tcPr>
          <w:p w14:paraId="51306632">
            <w:pPr>
              <w:shd w:val="clear"/>
              <w:spacing w:line="360" w:lineRule="auto"/>
              <w:rPr>
                <w:rFonts w:hint="eastAsia" w:ascii="宋体" w:hAnsi="宋体" w:cs="宋体"/>
                <w:color w:val="auto"/>
                <w:sz w:val="24"/>
                <w:highlight w:val="none"/>
              </w:rPr>
            </w:pPr>
          </w:p>
        </w:tc>
      </w:tr>
      <w:tr w14:paraId="2A858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09" w:type="dxa"/>
            <w:vAlign w:val="center"/>
          </w:tcPr>
          <w:p w14:paraId="0CF6ED35">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4536" w:type="dxa"/>
            <w:vAlign w:val="center"/>
          </w:tcPr>
          <w:p w14:paraId="77F6CBAA">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851" w:type="dxa"/>
            <w:vAlign w:val="center"/>
          </w:tcPr>
          <w:p w14:paraId="51F0288D">
            <w:pPr>
              <w:shd w:val="clear"/>
              <w:spacing w:line="360" w:lineRule="auto"/>
              <w:jc w:val="center"/>
              <w:rPr>
                <w:rFonts w:hint="eastAsia" w:ascii="宋体" w:hAnsi="宋体" w:cs="宋体"/>
                <w:color w:val="auto"/>
                <w:sz w:val="24"/>
                <w:highlight w:val="none"/>
              </w:rPr>
            </w:pPr>
          </w:p>
        </w:tc>
        <w:tc>
          <w:tcPr>
            <w:tcW w:w="992" w:type="dxa"/>
            <w:vAlign w:val="center"/>
          </w:tcPr>
          <w:p w14:paraId="0550835E">
            <w:pPr>
              <w:shd w:val="clear"/>
              <w:spacing w:line="360" w:lineRule="auto"/>
              <w:rPr>
                <w:rFonts w:hint="eastAsia" w:ascii="宋体" w:hAnsi="宋体" w:cs="宋体"/>
                <w:color w:val="auto"/>
                <w:sz w:val="24"/>
                <w:highlight w:val="none"/>
              </w:rPr>
            </w:pPr>
          </w:p>
        </w:tc>
        <w:tc>
          <w:tcPr>
            <w:tcW w:w="992" w:type="dxa"/>
            <w:vAlign w:val="center"/>
          </w:tcPr>
          <w:p w14:paraId="7CCC4DF7">
            <w:pPr>
              <w:shd w:val="clear"/>
              <w:spacing w:line="360" w:lineRule="auto"/>
              <w:rPr>
                <w:rFonts w:hint="eastAsia" w:ascii="宋体" w:hAnsi="宋体" w:cs="宋体"/>
                <w:color w:val="auto"/>
                <w:sz w:val="24"/>
                <w:highlight w:val="none"/>
              </w:rPr>
            </w:pPr>
          </w:p>
        </w:tc>
        <w:tc>
          <w:tcPr>
            <w:tcW w:w="709" w:type="dxa"/>
            <w:vAlign w:val="center"/>
          </w:tcPr>
          <w:p w14:paraId="44D7EC00">
            <w:pPr>
              <w:shd w:val="clear"/>
              <w:spacing w:line="360" w:lineRule="auto"/>
              <w:rPr>
                <w:rFonts w:hint="eastAsia" w:ascii="宋体" w:hAnsi="宋体" w:cs="宋体"/>
                <w:color w:val="auto"/>
                <w:sz w:val="24"/>
                <w:highlight w:val="none"/>
              </w:rPr>
            </w:pPr>
          </w:p>
        </w:tc>
      </w:tr>
      <w:tr w14:paraId="1DE48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8789" w:type="dxa"/>
            <w:gridSpan w:val="6"/>
            <w:tcBorders>
              <w:bottom w:val="single" w:color="auto" w:sz="4" w:space="0"/>
            </w:tcBorders>
            <w:vAlign w:val="center"/>
          </w:tcPr>
          <w:p w14:paraId="6050FC1B">
            <w:pPr>
              <w:shd w:val="clea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合计人民币：大写                               小写</w:t>
            </w:r>
          </w:p>
        </w:tc>
      </w:tr>
    </w:tbl>
    <w:p w14:paraId="621C25A0">
      <w:pPr>
        <w:shd w:val="clear"/>
        <w:spacing w:line="360" w:lineRule="auto"/>
        <w:jc w:val="left"/>
        <w:rPr>
          <w:rFonts w:hint="eastAsia" w:ascii="宋体" w:hAnsi="宋体" w:cs="宋体"/>
          <w:b/>
          <w:bCs/>
          <w:color w:val="auto"/>
          <w:sz w:val="24"/>
          <w:szCs w:val="32"/>
          <w:highlight w:val="none"/>
        </w:rPr>
      </w:pPr>
    </w:p>
    <w:p w14:paraId="6CDC68C7">
      <w:pPr>
        <w:shd w:val="clear"/>
        <w:spacing w:line="360" w:lineRule="auto"/>
        <w:jc w:val="left"/>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要求：</w:t>
      </w:r>
    </w:p>
    <w:p w14:paraId="5EAC8B95">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1.本表为《开标一览表》的报价明细表，如有缺项、漏项，视为投标报价中已包含相关费用，采购人无需另外支付任何费用。</w:t>
      </w:r>
    </w:p>
    <w:p w14:paraId="1C73C58C">
      <w:pPr>
        <w:shd w:val="clear"/>
        <w:spacing w:line="360" w:lineRule="auto"/>
        <w:ind w:firstLine="480" w:firstLineChars="200"/>
        <w:jc w:val="left"/>
        <w:rPr>
          <w:rFonts w:hint="eastAsia" w:ascii="宋体" w:hAnsi="宋体" w:cs="宋体"/>
          <w:color w:val="auto"/>
          <w:sz w:val="24"/>
          <w:szCs w:val="32"/>
          <w:highlight w:val="none"/>
          <w:lang w:val="zh-CN"/>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zh-CN"/>
        </w:rPr>
        <w:t>“报价明细表”中的报价合计应与“开标一览表”中的投标报价相一致，不一致时，以开标一览表为准。</w:t>
      </w:r>
    </w:p>
    <w:p w14:paraId="206E4D59">
      <w:pPr>
        <w:shd w:val="clear"/>
        <w:spacing w:line="360" w:lineRule="auto"/>
        <w:ind w:firstLine="480" w:firstLineChars="200"/>
        <w:jc w:val="left"/>
        <w:rPr>
          <w:rFonts w:hint="eastAsia" w:ascii="宋体" w:hAnsi="宋体" w:cs="宋体"/>
          <w:color w:val="auto"/>
          <w:sz w:val="24"/>
          <w:szCs w:val="32"/>
          <w:highlight w:val="none"/>
          <w:lang w:val="zh-CN"/>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投标报价明细表所填内容按招标文件采购要求为准。如有漏报的，视同已包含在投标报价内或已作优惠处理。有重大缺项的将作无效标处理。</w:t>
      </w:r>
    </w:p>
    <w:p w14:paraId="429A1FBB">
      <w:pPr>
        <w:shd w:val="clear"/>
        <w:spacing w:line="360" w:lineRule="auto"/>
        <w:jc w:val="left"/>
        <w:rPr>
          <w:rFonts w:hint="eastAsia" w:ascii="宋体" w:hAnsi="宋体" w:cs="宋体"/>
          <w:color w:val="auto"/>
          <w:sz w:val="24"/>
          <w:szCs w:val="32"/>
          <w:highlight w:val="none"/>
        </w:rPr>
      </w:pPr>
    </w:p>
    <w:p w14:paraId="2DC01EF4">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投标人名称（盖章）：</w:t>
      </w:r>
    </w:p>
    <w:p w14:paraId="3E703E33">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授权委托代理人签字或盖章：</w:t>
      </w:r>
    </w:p>
    <w:p w14:paraId="730EEFE8">
      <w:pPr>
        <w:shd w:val="clear"/>
        <w:spacing w:line="480" w:lineRule="auto"/>
        <w:rPr>
          <w:rFonts w:hint="eastAsia" w:ascii="宋体" w:hAnsi="宋体" w:cs="宋体"/>
          <w:color w:val="auto"/>
          <w:sz w:val="24"/>
          <w:highlight w:val="none"/>
        </w:rPr>
      </w:pPr>
      <w:r>
        <w:rPr>
          <w:rFonts w:hint="eastAsia" w:ascii="宋体" w:hAnsi="宋体" w:cs="宋体"/>
          <w:color w:val="auto"/>
          <w:sz w:val="24"/>
          <w:highlight w:val="none"/>
        </w:rPr>
        <w:t>日期：</w:t>
      </w:r>
    </w:p>
    <w:p w14:paraId="1F169F21">
      <w:pPr>
        <w:shd w:val="clear"/>
        <w:spacing w:line="360" w:lineRule="auto"/>
        <w:rPr>
          <w:rFonts w:hint="eastAsia" w:ascii="宋体" w:hAnsi="宋体" w:cs="宋体"/>
          <w:color w:val="auto"/>
          <w:sz w:val="24"/>
          <w:szCs w:val="32"/>
          <w:highlight w:val="none"/>
        </w:rPr>
      </w:pPr>
    </w:p>
    <w:p w14:paraId="41E3749A">
      <w:pPr>
        <w:shd w:val="clear"/>
        <w:spacing w:line="360" w:lineRule="auto"/>
        <w:rPr>
          <w:rFonts w:hint="eastAsia" w:ascii="宋体" w:hAnsi="宋体" w:cs="宋体"/>
          <w:color w:val="auto"/>
          <w:sz w:val="24"/>
          <w:szCs w:val="32"/>
          <w:highlight w:val="none"/>
        </w:rPr>
      </w:pPr>
    </w:p>
    <w:p w14:paraId="4DFD19F3">
      <w:pPr>
        <w:shd w:val="clear"/>
        <w:spacing w:line="360" w:lineRule="auto"/>
        <w:rPr>
          <w:rFonts w:hint="eastAsia" w:ascii="宋体" w:hAnsi="宋体" w:cs="宋体"/>
          <w:color w:val="auto"/>
          <w:sz w:val="24"/>
          <w:szCs w:val="32"/>
          <w:highlight w:val="none"/>
        </w:rPr>
      </w:pPr>
    </w:p>
    <w:p w14:paraId="01D96F99">
      <w:pPr>
        <w:shd w:val="clear"/>
        <w:spacing w:line="360" w:lineRule="auto"/>
        <w:rPr>
          <w:rFonts w:hint="eastAsia" w:ascii="宋体" w:hAnsi="宋体" w:cs="宋体"/>
          <w:color w:val="auto"/>
          <w:sz w:val="24"/>
          <w:szCs w:val="32"/>
          <w:highlight w:val="none"/>
        </w:rPr>
      </w:pPr>
    </w:p>
    <w:p w14:paraId="0D9AFEC7">
      <w:pPr>
        <w:shd w:val="clear"/>
        <w:spacing w:line="360" w:lineRule="auto"/>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附件22</w:t>
      </w:r>
    </w:p>
    <w:p w14:paraId="0E2CC2A2">
      <w:pPr>
        <w:shd w:val="clear"/>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66337D04">
      <w:pPr>
        <w:shd w:val="clear"/>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本公司郑重声明，根据《政府采购促进中小企业发展管理办法》（财库﹝2020﹞46 号）的规定，本公司参加</w:t>
      </w:r>
      <w:r>
        <w:rPr>
          <w:rFonts w:hint="eastAsia" w:ascii="宋体" w:hAnsi="宋体" w:cs="宋体"/>
          <w:bCs/>
          <w:color w:val="auto"/>
          <w:sz w:val="24"/>
          <w:highlight w:val="none"/>
          <w:u w:val="single"/>
        </w:rPr>
        <w:t>（单位名称）</w:t>
      </w:r>
      <w:r>
        <w:rPr>
          <w:rFonts w:hint="eastAsia" w:ascii="宋体" w:hAnsi="宋体" w:cs="宋体"/>
          <w:bCs/>
          <w:color w:val="auto"/>
          <w:sz w:val="24"/>
          <w:highlight w:val="none"/>
        </w:rPr>
        <w:t>的</w:t>
      </w:r>
      <w:r>
        <w:rPr>
          <w:rFonts w:hint="eastAsia" w:ascii="宋体" w:hAnsi="宋体" w:cs="宋体"/>
          <w:bCs/>
          <w:color w:val="auto"/>
          <w:sz w:val="24"/>
          <w:highlight w:val="none"/>
          <w:u w:val="single"/>
        </w:rPr>
        <w:t>（项目名称）</w:t>
      </w:r>
      <w:r>
        <w:rPr>
          <w:rFonts w:hint="eastAsia" w:ascii="宋体" w:hAnsi="宋体" w:cs="宋体"/>
          <w:bCs/>
          <w:color w:val="auto"/>
          <w:sz w:val="24"/>
          <w:highlight w:val="none"/>
        </w:rPr>
        <w:t xml:space="preserve">采购活动，提供的货物全部由符合政策要求的中小企业制造。相关企业的具体情况如下： </w:t>
      </w:r>
    </w:p>
    <w:p w14:paraId="604FFD2F">
      <w:pPr>
        <w:shd w:val="clear"/>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1.</w:t>
      </w:r>
      <w:r>
        <w:rPr>
          <w:rFonts w:hint="eastAsia" w:ascii="宋体" w:hAnsi="宋体" w:cs="宋体"/>
          <w:bCs/>
          <w:color w:val="auto"/>
          <w:sz w:val="24"/>
          <w:highlight w:val="none"/>
          <w:u w:val="single"/>
        </w:rPr>
        <w:t>（标的名称）</w:t>
      </w:r>
      <w:r>
        <w:rPr>
          <w:rFonts w:hint="eastAsia" w:ascii="宋体" w:hAnsi="宋体" w:cs="宋体"/>
          <w:bCs/>
          <w:color w:val="auto"/>
          <w:sz w:val="24"/>
          <w:highlight w:val="none"/>
        </w:rPr>
        <w:t>，属于</w:t>
      </w:r>
      <w:r>
        <w:rPr>
          <w:rFonts w:hint="eastAsia" w:ascii="宋体" w:hAnsi="宋体" w:cs="宋体"/>
          <w:bCs/>
          <w:color w:val="auto"/>
          <w:sz w:val="24"/>
          <w:highlight w:val="none"/>
          <w:u w:val="single"/>
        </w:rPr>
        <w:t>（采购文件中明确的所属行业）</w:t>
      </w:r>
      <w:r>
        <w:rPr>
          <w:rFonts w:hint="eastAsia" w:ascii="宋体" w:hAnsi="宋体" w:cs="宋体"/>
          <w:bCs/>
          <w:color w:val="auto"/>
          <w:sz w:val="24"/>
          <w:highlight w:val="none"/>
        </w:rPr>
        <w:t>行业；制造商为</w:t>
      </w:r>
      <w:r>
        <w:rPr>
          <w:rFonts w:hint="eastAsia" w:ascii="宋体" w:hAnsi="宋体" w:cs="宋体"/>
          <w:bCs/>
          <w:color w:val="auto"/>
          <w:sz w:val="24"/>
          <w:highlight w:val="none"/>
          <w:u w:val="single"/>
        </w:rPr>
        <w:t>（企业名称）</w:t>
      </w:r>
      <w:r>
        <w:rPr>
          <w:rFonts w:hint="eastAsia" w:ascii="宋体" w:hAnsi="宋体" w:cs="宋体"/>
          <w:bCs/>
          <w:color w:val="auto"/>
          <w:sz w:val="24"/>
          <w:highlight w:val="none"/>
        </w:rPr>
        <w:t>，从业人员</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人，营业收入为</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万元，资产总额为</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万元</w:t>
      </w:r>
      <w:r>
        <w:rPr>
          <w:rStyle w:val="36"/>
          <w:rFonts w:hint="eastAsia" w:ascii="宋体" w:hAnsi="宋体" w:cs="宋体"/>
          <w:bCs/>
          <w:color w:val="auto"/>
          <w:sz w:val="24"/>
          <w:highlight w:val="none"/>
        </w:rPr>
        <w:footnoteReference w:id="0"/>
      </w:r>
      <w:r>
        <w:rPr>
          <w:rFonts w:hint="eastAsia" w:ascii="宋体" w:hAnsi="宋体" w:cs="宋体"/>
          <w:bCs/>
          <w:color w:val="auto"/>
          <w:sz w:val="24"/>
          <w:highlight w:val="none"/>
        </w:rPr>
        <w:t>，属于</w:t>
      </w:r>
      <w:r>
        <w:rPr>
          <w:rFonts w:hint="eastAsia" w:ascii="宋体" w:hAnsi="宋体" w:cs="宋体"/>
          <w:bCs/>
          <w:color w:val="auto"/>
          <w:sz w:val="24"/>
          <w:highlight w:val="none"/>
          <w:u w:val="single"/>
        </w:rPr>
        <w:t>（中型企业、小型企业、微型企业）</w:t>
      </w:r>
      <w:r>
        <w:rPr>
          <w:rFonts w:hint="eastAsia" w:ascii="宋体" w:hAnsi="宋体" w:cs="宋体"/>
          <w:bCs/>
          <w:color w:val="auto"/>
          <w:sz w:val="24"/>
          <w:highlight w:val="none"/>
        </w:rPr>
        <w:t>；</w:t>
      </w:r>
    </w:p>
    <w:p w14:paraId="77B0E224">
      <w:pPr>
        <w:shd w:val="clear"/>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2.</w:t>
      </w:r>
      <w:r>
        <w:rPr>
          <w:rFonts w:hint="eastAsia" w:ascii="宋体" w:hAnsi="宋体" w:cs="宋体"/>
          <w:bCs/>
          <w:color w:val="auto"/>
          <w:sz w:val="24"/>
          <w:highlight w:val="none"/>
          <w:u w:val="single"/>
        </w:rPr>
        <w:t>（标的名称）</w:t>
      </w:r>
      <w:r>
        <w:rPr>
          <w:rFonts w:hint="eastAsia" w:ascii="宋体" w:hAnsi="宋体" w:cs="宋体"/>
          <w:bCs/>
          <w:color w:val="auto"/>
          <w:sz w:val="24"/>
          <w:highlight w:val="none"/>
        </w:rPr>
        <w:t>，属于</w:t>
      </w:r>
      <w:r>
        <w:rPr>
          <w:rFonts w:hint="eastAsia" w:ascii="宋体" w:hAnsi="宋体" w:cs="宋体"/>
          <w:bCs/>
          <w:color w:val="auto"/>
          <w:sz w:val="24"/>
          <w:highlight w:val="none"/>
          <w:u w:val="single"/>
        </w:rPr>
        <w:t>（采购文件中明确的所属行业）</w:t>
      </w:r>
      <w:r>
        <w:rPr>
          <w:rFonts w:hint="eastAsia" w:ascii="宋体" w:hAnsi="宋体" w:cs="宋体"/>
          <w:bCs/>
          <w:color w:val="auto"/>
          <w:sz w:val="24"/>
          <w:highlight w:val="none"/>
        </w:rPr>
        <w:t>行业；制造商为</w:t>
      </w:r>
      <w:r>
        <w:rPr>
          <w:rFonts w:hint="eastAsia" w:ascii="宋体" w:hAnsi="宋体" w:cs="宋体"/>
          <w:bCs/>
          <w:color w:val="auto"/>
          <w:sz w:val="24"/>
          <w:highlight w:val="none"/>
          <w:u w:val="single"/>
        </w:rPr>
        <w:t>（企业名称）</w:t>
      </w:r>
      <w:r>
        <w:rPr>
          <w:rFonts w:hint="eastAsia" w:ascii="宋体" w:hAnsi="宋体" w:cs="宋体"/>
          <w:bCs/>
          <w:color w:val="auto"/>
          <w:sz w:val="24"/>
          <w:highlight w:val="none"/>
        </w:rPr>
        <w:t>，从业人员</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人，营业收入为</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万元，资产总额为</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万元，属于</w:t>
      </w:r>
      <w:r>
        <w:rPr>
          <w:rFonts w:hint="eastAsia" w:ascii="宋体" w:hAnsi="宋体" w:cs="宋体"/>
          <w:bCs/>
          <w:color w:val="auto"/>
          <w:sz w:val="24"/>
          <w:highlight w:val="none"/>
          <w:u w:val="single"/>
        </w:rPr>
        <w:t>（中型企业、小型企业、微型企业）</w:t>
      </w:r>
      <w:r>
        <w:rPr>
          <w:rFonts w:hint="eastAsia" w:ascii="宋体" w:hAnsi="宋体" w:cs="宋体"/>
          <w:bCs/>
          <w:color w:val="auto"/>
          <w:sz w:val="24"/>
          <w:highlight w:val="none"/>
        </w:rPr>
        <w:t>；</w:t>
      </w:r>
    </w:p>
    <w:p w14:paraId="57E078C3">
      <w:pPr>
        <w:shd w:val="clear"/>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w:t>
      </w:r>
    </w:p>
    <w:p w14:paraId="5985AA14">
      <w:pPr>
        <w:shd w:val="clear"/>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以上企业，不属于大企业的分支机构，不存在控股股东为大企业的情形，也不存在与大企业的负责人为同一人的情形。</w:t>
      </w:r>
    </w:p>
    <w:p w14:paraId="77DAA7EA">
      <w:pPr>
        <w:shd w:val="clear"/>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本企业对上述声明内容的真实性负责。如有虚假，将依法承担相应责任。 </w:t>
      </w:r>
    </w:p>
    <w:p w14:paraId="1A68B65E">
      <w:pPr>
        <w:shd w:val="clear"/>
        <w:spacing w:line="360" w:lineRule="auto"/>
        <w:jc w:val="left"/>
        <w:rPr>
          <w:rFonts w:hint="eastAsia" w:ascii="宋体" w:hAnsi="宋体" w:cs="宋体"/>
          <w:bCs/>
          <w:color w:val="auto"/>
          <w:sz w:val="24"/>
          <w:highlight w:val="none"/>
        </w:rPr>
      </w:pPr>
    </w:p>
    <w:p w14:paraId="3E28FF74">
      <w:pPr>
        <w:shd w:val="clear"/>
        <w:spacing w:line="360" w:lineRule="auto"/>
        <w:ind w:firstLine="4800" w:firstLineChars="2000"/>
        <w:jc w:val="left"/>
        <w:rPr>
          <w:rFonts w:hint="eastAsia" w:ascii="宋体" w:hAnsi="宋体" w:cs="宋体"/>
          <w:bCs/>
          <w:color w:val="auto"/>
          <w:sz w:val="24"/>
          <w:highlight w:val="none"/>
        </w:rPr>
      </w:pPr>
      <w:r>
        <w:rPr>
          <w:rFonts w:hint="eastAsia" w:ascii="宋体" w:hAnsi="宋体" w:cs="宋体"/>
          <w:bCs/>
          <w:color w:val="auto"/>
          <w:sz w:val="24"/>
          <w:highlight w:val="none"/>
        </w:rPr>
        <w:t>企业名称（盖章）：</w:t>
      </w:r>
    </w:p>
    <w:p w14:paraId="45DCCDAC">
      <w:pPr>
        <w:shd w:val="clear"/>
        <w:spacing w:line="360" w:lineRule="auto"/>
        <w:ind w:firstLine="4800" w:firstLineChars="2000"/>
        <w:jc w:val="left"/>
        <w:rPr>
          <w:rFonts w:hint="eastAsia" w:ascii="宋体" w:hAnsi="宋体" w:cs="宋体"/>
          <w:bCs/>
          <w:color w:val="auto"/>
          <w:sz w:val="24"/>
          <w:highlight w:val="none"/>
        </w:rPr>
      </w:pPr>
      <w:r>
        <w:rPr>
          <w:rFonts w:hint="eastAsia" w:ascii="宋体" w:hAnsi="宋体" w:cs="宋体"/>
          <w:bCs/>
          <w:color w:val="auto"/>
          <w:sz w:val="24"/>
          <w:highlight w:val="none"/>
        </w:rPr>
        <w:t>日    期：</w:t>
      </w:r>
    </w:p>
    <w:p w14:paraId="42CB12BB">
      <w:pPr>
        <w:shd w:val="clear"/>
        <w:spacing w:line="360" w:lineRule="auto"/>
        <w:jc w:val="left"/>
        <w:rPr>
          <w:rFonts w:hint="eastAsia" w:ascii="宋体" w:hAnsi="宋体" w:cs="宋体"/>
          <w:bCs/>
          <w:color w:val="auto"/>
          <w:sz w:val="24"/>
          <w:highlight w:val="none"/>
        </w:rPr>
      </w:pPr>
    </w:p>
    <w:p w14:paraId="039A6235">
      <w:pPr>
        <w:shd w:val="clear"/>
        <w:spacing w:line="360" w:lineRule="auto"/>
        <w:jc w:val="left"/>
        <w:rPr>
          <w:rFonts w:hint="eastAsia" w:ascii="宋体" w:hAnsi="宋体" w:cs="宋体"/>
          <w:bCs/>
          <w:color w:val="auto"/>
          <w:sz w:val="24"/>
          <w:highlight w:val="none"/>
        </w:rPr>
      </w:pPr>
    </w:p>
    <w:p w14:paraId="54B64FAA">
      <w:pPr>
        <w:shd w:val="clear"/>
        <w:spacing w:line="360" w:lineRule="auto"/>
        <w:jc w:val="left"/>
        <w:rPr>
          <w:rFonts w:hint="eastAsia" w:ascii="宋体" w:hAnsi="宋体" w:cs="宋体"/>
          <w:bCs/>
          <w:color w:val="auto"/>
          <w:sz w:val="24"/>
          <w:highlight w:val="none"/>
        </w:rPr>
      </w:pPr>
    </w:p>
    <w:p w14:paraId="711B0060">
      <w:pPr>
        <w:shd w:val="clear"/>
        <w:spacing w:line="360" w:lineRule="auto"/>
        <w:jc w:val="left"/>
        <w:rPr>
          <w:rFonts w:hint="eastAsia" w:ascii="宋体" w:hAnsi="宋体" w:cs="宋体"/>
          <w:bCs/>
          <w:color w:val="auto"/>
          <w:sz w:val="24"/>
          <w:highlight w:val="none"/>
        </w:rPr>
      </w:pPr>
    </w:p>
    <w:p w14:paraId="33EA57FD">
      <w:pPr>
        <w:shd w:val="clear"/>
        <w:spacing w:line="360" w:lineRule="auto"/>
        <w:jc w:val="left"/>
        <w:rPr>
          <w:rFonts w:hint="eastAsia" w:ascii="宋体" w:hAnsi="宋体" w:cs="宋体"/>
          <w:bCs/>
          <w:color w:val="auto"/>
          <w:sz w:val="24"/>
          <w:highlight w:val="none"/>
        </w:rPr>
      </w:pPr>
    </w:p>
    <w:p w14:paraId="403E5B27">
      <w:pPr>
        <w:shd w:val="clear"/>
        <w:spacing w:line="360" w:lineRule="auto"/>
        <w:jc w:val="left"/>
        <w:rPr>
          <w:rFonts w:hint="eastAsia" w:ascii="宋体" w:hAnsi="宋体" w:cs="宋体"/>
          <w:bCs/>
          <w:color w:val="auto"/>
          <w:sz w:val="24"/>
          <w:highlight w:val="none"/>
        </w:rPr>
      </w:pPr>
    </w:p>
    <w:p w14:paraId="333BC3A1">
      <w:pPr>
        <w:shd w:val="clear"/>
        <w:spacing w:line="360" w:lineRule="auto"/>
        <w:jc w:val="left"/>
        <w:rPr>
          <w:rFonts w:hint="eastAsia" w:ascii="宋体" w:hAnsi="宋体" w:cs="宋体"/>
          <w:bCs/>
          <w:color w:val="auto"/>
          <w:sz w:val="24"/>
          <w:highlight w:val="none"/>
        </w:rPr>
      </w:pPr>
    </w:p>
    <w:p w14:paraId="16CCD6E0">
      <w:pPr>
        <w:shd w:val="clear"/>
        <w:spacing w:line="360" w:lineRule="auto"/>
        <w:jc w:val="left"/>
        <w:rPr>
          <w:rFonts w:hint="eastAsia" w:ascii="宋体" w:hAnsi="宋体" w:cs="宋体"/>
          <w:bCs/>
          <w:color w:val="auto"/>
          <w:sz w:val="24"/>
          <w:highlight w:val="none"/>
        </w:rPr>
      </w:pPr>
    </w:p>
    <w:p w14:paraId="4B5C0B9E">
      <w:pPr>
        <w:shd w:val="clear"/>
        <w:spacing w:line="360" w:lineRule="auto"/>
        <w:jc w:val="left"/>
        <w:rPr>
          <w:rFonts w:hint="eastAsia" w:ascii="宋体" w:hAnsi="宋体" w:cs="宋体"/>
          <w:bCs/>
          <w:color w:val="auto"/>
          <w:sz w:val="24"/>
          <w:highlight w:val="none"/>
        </w:rPr>
      </w:pPr>
    </w:p>
    <w:p w14:paraId="253687BD">
      <w:pPr>
        <w:shd w:val="clear"/>
        <w:spacing w:line="360" w:lineRule="auto"/>
        <w:ind w:left="-2" w:hanging="2"/>
        <w:jc w:val="center"/>
        <w:rPr>
          <w:rFonts w:hint="eastAsia" w:ascii="宋体" w:hAnsi="宋体" w:cs="宋体"/>
          <w:b/>
          <w:color w:val="auto"/>
          <w:sz w:val="32"/>
          <w:szCs w:val="32"/>
          <w:highlight w:val="none"/>
          <w:lang w:val="en-GB"/>
        </w:rPr>
      </w:pPr>
      <w:r>
        <w:rPr>
          <w:rFonts w:hint="eastAsia" w:ascii="宋体" w:hAnsi="宋体" w:cs="宋体"/>
          <w:b/>
          <w:color w:val="auto"/>
          <w:sz w:val="32"/>
          <w:szCs w:val="32"/>
          <w:highlight w:val="none"/>
          <w:lang w:val="en-GB"/>
        </w:rPr>
        <w:t>残疾人福利性单位声明函</w:t>
      </w:r>
    </w:p>
    <w:p w14:paraId="3802213F">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44C24195">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6B5AC6D8">
      <w:pPr>
        <w:shd w:val="clear"/>
        <w:spacing w:line="360" w:lineRule="auto"/>
        <w:ind w:firstLine="480" w:firstLineChars="200"/>
        <w:rPr>
          <w:rFonts w:hint="eastAsia" w:ascii="宋体" w:hAnsi="宋体" w:cs="宋体"/>
          <w:color w:val="auto"/>
          <w:sz w:val="24"/>
          <w:highlight w:val="none"/>
        </w:rPr>
      </w:pPr>
    </w:p>
    <w:p w14:paraId="148B44E2">
      <w:pPr>
        <w:shd w:val="clear"/>
        <w:spacing w:line="360" w:lineRule="auto"/>
        <w:ind w:firstLine="3120" w:firstLineChars="1300"/>
        <w:jc w:val="left"/>
        <w:rPr>
          <w:rFonts w:hint="eastAsia" w:ascii="宋体" w:hAnsi="宋体" w:cs="宋体"/>
          <w:bCs/>
          <w:color w:val="auto"/>
          <w:sz w:val="24"/>
          <w:highlight w:val="none"/>
        </w:rPr>
      </w:pPr>
      <w:r>
        <w:rPr>
          <w:rFonts w:hint="eastAsia" w:ascii="宋体" w:hAnsi="宋体" w:cs="宋体"/>
          <w:bCs/>
          <w:color w:val="auto"/>
          <w:sz w:val="24"/>
          <w:highlight w:val="none"/>
        </w:rPr>
        <w:t>单位名称（单位公章）：</w:t>
      </w:r>
    </w:p>
    <w:p w14:paraId="3DDE41AE">
      <w:pPr>
        <w:shd w:val="clear"/>
        <w:spacing w:line="360" w:lineRule="auto"/>
        <w:ind w:firstLine="5040" w:firstLineChars="2100"/>
        <w:rPr>
          <w:rFonts w:hint="eastAsia" w:ascii="宋体" w:hAnsi="宋体" w:cs="宋体"/>
          <w:bCs/>
          <w:color w:val="auto"/>
          <w:sz w:val="24"/>
          <w:highlight w:val="none"/>
        </w:rPr>
      </w:pPr>
      <w:r>
        <w:rPr>
          <w:rFonts w:hint="eastAsia" w:ascii="宋体" w:hAnsi="宋体" w:cs="宋体"/>
          <w:bCs/>
          <w:color w:val="auto"/>
          <w:sz w:val="24"/>
          <w:highlight w:val="none"/>
        </w:rPr>
        <w:t>日期：</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年</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月</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日</w:t>
      </w:r>
    </w:p>
    <w:p w14:paraId="128A972A">
      <w:pPr>
        <w:shd w:val="clear"/>
        <w:spacing w:line="360" w:lineRule="auto"/>
        <w:rPr>
          <w:rFonts w:hint="eastAsia" w:ascii="宋体" w:hAnsi="宋体" w:cs="宋体"/>
          <w:bCs/>
          <w:color w:val="auto"/>
          <w:sz w:val="24"/>
          <w:highlight w:val="none"/>
        </w:rPr>
      </w:pPr>
    </w:p>
    <w:p w14:paraId="69D5EFC3">
      <w:pPr>
        <w:shd w:val="clear"/>
        <w:spacing w:line="360" w:lineRule="auto"/>
        <w:rPr>
          <w:rFonts w:hint="eastAsia" w:ascii="宋体" w:hAnsi="宋体" w:cs="宋体"/>
          <w:bCs/>
          <w:color w:val="auto"/>
          <w:sz w:val="24"/>
          <w:highlight w:val="none"/>
        </w:rPr>
      </w:pPr>
    </w:p>
    <w:p w14:paraId="4F5BECF2">
      <w:pPr>
        <w:shd w:val="clear"/>
        <w:spacing w:line="360" w:lineRule="auto"/>
        <w:rPr>
          <w:rFonts w:hint="eastAsia" w:ascii="宋体" w:hAnsi="宋体" w:cs="宋体"/>
          <w:color w:val="auto"/>
          <w:sz w:val="24"/>
          <w:highlight w:val="none"/>
        </w:rPr>
      </w:pPr>
    </w:p>
    <w:p w14:paraId="149DE957">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中小企业等声明函填表说明：</w:t>
      </w:r>
    </w:p>
    <w:p w14:paraId="090D77E4">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（1）从业人员、营业收入、资产总额填报上一年度数据，无上一年度数据的新成立企业可不填报。</w:t>
      </w:r>
    </w:p>
    <w:p w14:paraId="64BD0BAA">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（2）为了更加准确判定投标人是否为小微企业，请投标人根据工业和信息化部官方网站---中小企业规模类型自测小程序来辨别投标人企业规模类型，中小企业规模类型自测小程序链接网址为</w:t>
      </w:r>
    </w:p>
    <w:p w14:paraId="43756E8C">
      <w:pPr>
        <w:shd w:val="clear"/>
        <w:spacing w:line="360" w:lineRule="auto"/>
        <w:ind w:firstLine="420" w:firstLineChars="200"/>
        <w:rPr>
          <w:rFonts w:hint="eastAsia" w:ascii="宋体" w:hAnsi="宋体" w:cs="宋体"/>
          <w:color w:val="auto"/>
          <w:sz w:val="24"/>
          <w:highlight w:val="none"/>
        </w:rPr>
      </w:pPr>
      <w:r>
        <w:rPr>
          <w:color w:val="auto"/>
          <w:highlight w:val="none"/>
        </w:rPr>
        <w:fldChar w:fldCharType="begin"/>
      </w:r>
      <w:r>
        <w:rPr>
          <w:color w:val="auto"/>
          <w:highlight w:val="none"/>
        </w:rPr>
        <w:instrText xml:space="preserve"> HYPERLINK "http://202.106.120.146/baosong/appweb/orgScale.html" </w:instrText>
      </w:r>
      <w:r>
        <w:rPr>
          <w:color w:val="auto"/>
          <w:highlight w:val="none"/>
        </w:rPr>
        <w:fldChar w:fldCharType="separate"/>
      </w:r>
      <w:r>
        <w:rPr>
          <w:rStyle w:val="34"/>
          <w:rFonts w:hint="eastAsia" w:ascii="宋体" w:hAnsi="宋体" w:cs="宋体"/>
          <w:color w:val="auto"/>
          <w:sz w:val="24"/>
          <w:highlight w:val="none"/>
        </w:rPr>
        <w:t>http://202.106.120.146/baosong/appweb/orgScale.html</w:t>
      </w:r>
      <w:r>
        <w:rPr>
          <w:rStyle w:val="34"/>
          <w:rFonts w:hint="eastAsia" w:ascii="宋体" w:hAnsi="宋体" w:cs="宋体"/>
          <w:color w:val="auto"/>
          <w:sz w:val="24"/>
          <w:highlight w:val="none"/>
        </w:rPr>
        <w:fldChar w:fldCharType="end"/>
      </w:r>
    </w:p>
    <w:p w14:paraId="0B1EB905">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（3）投标人未提供《中小企业声明函》的、《中小企业声明函》中内容应填写而未进行填写或未如实填写的，将不给予投标人小微企业报价优惠扣除。</w:t>
      </w:r>
    </w:p>
    <w:p w14:paraId="34ACA539">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预中标供应商享受小微企业报价优惠扣除的，将按规定公开预中标供应商的《中小企业声明函》。</w:t>
      </w:r>
    </w:p>
    <w:p w14:paraId="5E4B3C38">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（4）如国家对中小企业划型标准有新的规定的，从其规定。</w:t>
      </w:r>
    </w:p>
    <w:p w14:paraId="0752193F">
      <w:pPr>
        <w:shd w:val="clear"/>
        <w:spacing w:line="360" w:lineRule="auto"/>
        <w:rPr>
          <w:rFonts w:hint="eastAsia" w:ascii="宋体" w:hAnsi="宋体" w:cs="宋体"/>
          <w:color w:val="auto"/>
          <w:sz w:val="24"/>
          <w:highlight w:val="none"/>
        </w:rPr>
      </w:pPr>
    </w:p>
    <w:p w14:paraId="739F44C0">
      <w:pPr>
        <w:shd w:val="clear"/>
        <w:spacing w:line="360" w:lineRule="auto"/>
        <w:rPr>
          <w:rFonts w:hint="eastAsia" w:ascii="宋体" w:hAnsi="宋体" w:cs="宋体"/>
          <w:color w:val="auto"/>
          <w:sz w:val="24"/>
          <w:highlight w:val="none"/>
        </w:rPr>
      </w:pPr>
    </w:p>
    <w:p w14:paraId="401D62CD">
      <w:pPr>
        <w:shd w:val="clear"/>
        <w:spacing w:line="360" w:lineRule="auto"/>
        <w:rPr>
          <w:rFonts w:hint="eastAsia" w:ascii="宋体" w:hAnsi="宋体" w:cs="宋体"/>
          <w:color w:val="auto"/>
          <w:sz w:val="24"/>
          <w:highlight w:val="none"/>
        </w:rPr>
      </w:pPr>
    </w:p>
    <w:p w14:paraId="42641F6D">
      <w:pPr>
        <w:shd w:val="clear"/>
        <w:spacing w:line="360" w:lineRule="auto"/>
        <w:rPr>
          <w:rFonts w:hint="eastAsia" w:ascii="宋体" w:hAnsi="宋体" w:cs="宋体"/>
          <w:color w:val="auto"/>
          <w:sz w:val="24"/>
          <w:highlight w:val="none"/>
        </w:rPr>
      </w:pPr>
    </w:p>
    <w:p w14:paraId="161660FB">
      <w:pPr>
        <w:shd w:val="clear"/>
        <w:spacing w:line="420" w:lineRule="exact"/>
        <w:rPr>
          <w:rFonts w:hint="eastAsia" w:ascii="宋体" w:hAnsi="宋体" w:cs="宋体"/>
          <w:b/>
          <w:bCs/>
          <w:color w:val="auto"/>
          <w:sz w:val="28"/>
          <w:szCs w:val="36"/>
          <w:highlight w:val="none"/>
          <w:lang w:val="en-GB"/>
        </w:rPr>
      </w:pPr>
      <w:r>
        <w:rPr>
          <w:rFonts w:hint="eastAsia" w:ascii="宋体" w:hAnsi="宋体" w:cs="宋体"/>
          <w:b/>
          <w:bCs/>
          <w:color w:val="auto"/>
          <w:sz w:val="28"/>
          <w:szCs w:val="36"/>
          <w:highlight w:val="none"/>
          <w:lang w:val="en-GB"/>
        </w:rPr>
        <w:t>附件：</w:t>
      </w:r>
      <w:r>
        <w:rPr>
          <w:rFonts w:hint="eastAsia" w:ascii="宋体" w:hAnsi="宋体" w:cs="宋体"/>
          <w:b/>
          <w:bCs/>
          <w:color w:val="auto"/>
          <w:sz w:val="28"/>
          <w:szCs w:val="36"/>
          <w:highlight w:val="none"/>
        </w:rPr>
        <w:t xml:space="preserve">                </w:t>
      </w:r>
      <w:r>
        <w:rPr>
          <w:rFonts w:hint="eastAsia" w:ascii="宋体" w:hAnsi="宋体" w:cs="宋体"/>
          <w:b/>
          <w:bCs/>
          <w:color w:val="auto"/>
          <w:sz w:val="28"/>
          <w:szCs w:val="36"/>
          <w:highlight w:val="none"/>
          <w:lang w:val="en-GB"/>
        </w:rPr>
        <w:t>政府采购活动确认声明书</w:t>
      </w:r>
    </w:p>
    <w:p w14:paraId="7393427D">
      <w:pPr>
        <w:shd w:val="clear"/>
        <w:spacing w:line="420" w:lineRule="exact"/>
        <w:rPr>
          <w:rFonts w:hint="eastAsia" w:ascii="宋体" w:hAnsi="宋体" w:cs="宋体"/>
          <w:color w:val="auto"/>
          <w:sz w:val="24"/>
          <w:highlight w:val="none"/>
        </w:rPr>
      </w:pPr>
      <w:r>
        <w:rPr>
          <w:rFonts w:hint="eastAsia" w:ascii="宋体" w:hAnsi="宋体" w:cs="宋体"/>
          <w:color w:val="auto"/>
          <w:sz w:val="24"/>
          <w:highlight w:val="none"/>
          <w:u w:val="single"/>
        </w:rPr>
        <w:t>浙江五石中正工程咨询有限公司</w:t>
      </w:r>
      <w:r>
        <w:rPr>
          <w:rFonts w:hint="eastAsia" w:ascii="宋体" w:hAnsi="宋体" w:cs="宋体"/>
          <w:color w:val="auto"/>
          <w:sz w:val="24"/>
          <w:highlight w:val="none"/>
        </w:rPr>
        <w:t>（采购组织机构名称）：</w:t>
      </w:r>
    </w:p>
    <w:p w14:paraId="736AB649">
      <w:pPr>
        <w:shd w:val="clear"/>
        <w:spacing w:line="42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本人经由</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单位</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（法人代表）合法授权参加</w:t>
      </w:r>
      <w:r>
        <w:rPr>
          <w:rFonts w:hint="eastAsia" w:ascii="宋体" w:hAnsi="宋体" w:cs="宋体"/>
          <w:b/>
          <w:bCs/>
          <w:color w:val="auto"/>
          <w:sz w:val="24"/>
          <w:highlight w:val="none"/>
          <w:u w:val="single"/>
          <w:lang w:val="zh-CN"/>
        </w:rPr>
        <w:t>人力资源管理系统升级项目（二次）</w:t>
      </w:r>
      <w:r>
        <w:rPr>
          <w:rFonts w:hint="eastAsia" w:ascii="宋体" w:hAnsi="宋体" w:cs="宋体"/>
          <w:color w:val="auto"/>
          <w:sz w:val="24"/>
          <w:highlight w:val="none"/>
          <w:lang w:val="zh-CN"/>
        </w:rPr>
        <w:t>（</w:t>
      </w:r>
      <w:r>
        <w:rPr>
          <w:rFonts w:hint="eastAsia" w:ascii="宋体" w:hAnsi="宋体" w:cs="宋体"/>
          <w:color w:val="auto"/>
          <w:sz w:val="24"/>
          <w:highlight w:val="none"/>
        </w:rPr>
        <w:t>项目</w:t>
      </w:r>
      <w:r>
        <w:rPr>
          <w:rFonts w:hint="eastAsia" w:ascii="宋体" w:hAnsi="宋体" w:cs="宋体"/>
          <w:color w:val="auto"/>
          <w:sz w:val="24"/>
          <w:highlight w:val="none"/>
          <w:lang w:val="zh-CN"/>
        </w:rPr>
        <w:t>编号：</w:t>
      </w:r>
      <w:r>
        <w:rPr>
          <w:rFonts w:hint="eastAsia" w:ascii="宋体" w:hAnsi="宋体" w:cs="宋体"/>
          <w:b/>
          <w:bCs/>
          <w:color w:val="auto"/>
          <w:sz w:val="24"/>
          <w:highlight w:val="none"/>
          <w:u w:val="single"/>
          <w:lang w:val="zh-CN"/>
        </w:rPr>
        <w:t>ZJWS2024-JJ436-1</w:t>
      </w:r>
      <w:r>
        <w:rPr>
          <w:rFonts w:hint="eastAsia" w:ascii="宋体" w:hAnsi="宋体" w:cs="宋体"/>
          <w:color w:val="auto"/>
          <w:sz w:val="24"/>
          <w:highlight w:val="none"/>
          <w:lang w:val="zh-CN"/>
        </w:rPr>
        <w:t>）政府采购活动，经与本单位法人代表（负责人）联系确认，现就有关公平竞争事项郑重声明如下：</w:t>
      </w:r>
    </w:p>
    <w:p w14:paraId="5FDFF88B">
      <w:pPr>
        <w:shd w:val="clear"/>
        <w:spacing w:line="420" w:lineRule="exact"/>
        <w:rPr>
          <w:rFonts w:hint="eastAsia" w:ascii="宋体" w:hAnsi="宋体" w:cs="宋体"/>
          <w:color w:val="auto"/>
          <w:sz w:val="24"/>
          <w:highlight w:val="none"/>
        </w:rPr>
      </w:pPr>
      <w:r>
        <w:rPr>
          <w:rFonts w:hint="eastAsia" w:ascii="宋体" w:hAnsi="宋体" w:cs="宋体"/>
          <w:color w:val="auto"/>
          <w:sz w:val="24"/>
          <w:highlight w:val="none"/>
        </w:rPr>
        <w:t>一、本单位与采购人之间 □不存在利害关系 □存在下列利害关系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E4EC73C">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A.投资关系    B.行政隶属关系    C.业务指导关系</w:t>
      </w:r>
    </w:p>
    <w:p w14:paraId="1F3E215D">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D.其他可能影响采购公正的利害关系（如有，请如实说明）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92BB16">
      <w:pPr>
        <w:shd w:val="clear"/>
        <w:spacing w:line="420" w:lineRule="exact"/>
        <w:rPr>
          <w:rFonts w:hint="eastAsia" w:ascii="宋体" w:hAnsi="宋体" w:cs="宋体"/>
          <w:color w:val="auto"/>
          <w:sz w:val="24"/>
          <w:highlight w:val="none"/>
        </w:rPr>
      </w:pPr>
      <w:r>
        <w:rPr>
          <w:rFonts w:hint="eastAsia" w:ascii="宋体" w:hAnsi="宋体" w:cs="宋体"/>
          <w:color w:val="auto"/>
          <w:sz w:val="24"/>
          <w:highlight w:val="none"/>
        </w:rPr>
        <w:t>二、现已清楚知道参加本项目采购活动的其他所有供应商名称，本单位 □与其他所有供应商之间均不存在利害关系 □与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（供应商名称）之间存在下列利害关系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1200DB6">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A.法定代表人或负责人或实际控制人是同一人</w:t>
      </w:r>
    </w:p>
    <w:p w14:paraId="75BAED55">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B.法定代表人或负责人或实际控制人是夫妻关系</w:t>
      </w:r>
    </w:p>
    <w:p w14:paraId="1F2FDD94">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C.法定代表人或负责人或实际控制人是直系血亲关系</w:t>
      </w:r>
    </w:p>
    <w:p w14:paraId="0A542872">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D.法定代表人或负责人或实际控制人存在三代以内旁系血亲关系</w:t>
      </w:r>
    </w:p>
    <w:p w14:paraId="59A0614C">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E.法定代表人或负责人或实际控制人存在近姻亲关系</w:t>
      </w:r>
    </w:p>
    <w:p w14:paraId="78C1902D">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F.法定代表人或负责人或实际控制人存在股份控制或实际控制关系</w:t>
      </w:r>
    </w:p>
    <w:p w14:paraId="34C4F9F2">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G.存在共同直接或间接投资设立子公司、联营企业和合营企业情况</w:t>
      </w:r>
    </w:p>
    <w:p w14:paraId="03B58C77">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H.存在分级代理或代销关系、同一生产制造商关系、管理关系、重要业务（占主营业务收入50%以上）或重要财务往来关系（如融资）等其他实质性控制关系</w:t>
      </w:r>
    </w:p>
    <w:p w14:paraId="66DA52A5">
      <w:pPr>
        <w:shd w:val="clear"/>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I.其他利害关系情况</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0A18497">
      <w:pPr>
        <w:shd w:val="clear"/>
        <w:spacing w:line="420" w:lineRule="exact"/>
        <w:rPr>
          <w:rFonts w:hint="eastAsia" w:ascii="宋体" w:hAnsi="宋体" w:cs="宋体"/>
          <w:color w:val="auto"/>
          <w:sz w:val="24"/>
          <w:highlight w:val="none"/>
        </w:rPr>
      </w:pPr>
      <w:r>
        <w:rPr>
          <w:rFonts w:hint="eastAsia" w:ascii="宋体" w:hAnsi="宋体" w:cs="宋体"/>
          <w:color w:val="auto"/>
          <w:sz w:val="24"/>
          <w:highlight w:val="none"/>
        </w:rPr>
        <w:t>三、现已清楚知道并严格遵守政府采购法律法规和现场纪律。</w:t>
      </w:r>
    </w:p>
    <w:p w14:paraId="2F689057">
      <w:pPr>
        <w:shd w:val="clear"/>
        <w:spacing w:line="420" w:lineRule="exact"/>
        <w:rPr>
          <w:rFonts w:hint="eastAsia" w:ascii="宋体" w:hAnsi="宋体" w:cs="宋体"/>
          <w:color w:val="auto"/>
          <w:sz w:val="24"/>
          <w:highlight w:val="none"/>
        </w:rPr>
      </w:pPr>
      <w:r>
        <w:rPr>
          <w:rFonts w:hint="eastAsia" w:ascii="宋体" w:hAnsi="宋体" w:cs="宋体"/>
          <w:color w:val="auto"/>
          <w:sz w:val="24"/>
          <w:highlight w:val="none"/>
        </w:rPr>
        <w:t>四、我发现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供应商之间存在或可能存在上述第二条第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项利害关系。</w:t>
      </w:r>
    </w:p>
    <w:p w14:paraId="59761A44">
      <w:pPr>
        <w:shd w:val="clear"/>
        <w:spacing w:line="420" w:lineRule="exact"/>
        <w:rPr>
          <w:rFonts w:hint="eastAsia" w:ascii="宋体" w:hAnsi="宋体" w:cs="宋体"/>
          <w:color w:val="auto"/>
          <w:sz w:val="24"/>
          <w:highlight w:val="none"/>
        </w:rPr>
      </w:pPr>
      <w:r>
        <w:rPr>
          <w:rFonts w:hint="eastAsia" w:ascii="宋体" w:hAnsi="宋体" w:cs="宋体"/>
          <w:color w:val="auto"/>
          <w:sz w:val="24"/>
          <w:highlight w:val="none"/>
        </w:rPr>
        <w:t>五、本单位若有违反诚信投标、采购法律法规等行为，愿意按照招标文件规定接受投标担保的处理。如已中标，自动放弃中标资格；给招标人造成损失的，依法承担赔偿责任。</w:t>
      </w:r>
    </w:p>
    <w:p w14:paraId="22DA998B">
      <w:pPr>
        <w:shd w:val="clear"/>
        <w:spacing w:line="420" w:lineRule="exact"/>
        <w:ind w:firstLine="4819" w:firstLineChars="2000"/>
        <w:rPr>
          <w:rFonts w:hint="eastAsia" w:ascii="宋体" w:hAnsi="宋体" w:cs="宋体"/>
          <w:b/>
          <w:bCs/>
          <w:color w:val="auto"/>
          <w:sz w:val="24"/>
          <w:highlight w:val="none"/>
        </w:rPr>
      </w:pPr>
      <w:r>
        <w:rPr>
          <w:rFonts w:hint="eastAsia" w:ascii="宋体" w:hAnsi="宋体" w:cs="宋体"/>
          <w:b/>
          <w:bCs/>
          <w:color w:val="auto"/>
          <w:sz w:val="24"/>
          <w:highlight w:val="none"/>
        </w:rPr>
        <w:t>供应商代表签名：</w:t>
      </w:r>
    </w:p>
    <w:p w14:paraId="3741201F">
      <w:pPr>
        <w:shd w:val="clear"/>
        <w:spacing w:line="420" w:lineRule="exact"/>
        <w:jc w:val="right"/>
        <w:rPr>
          <w:rFonts w:hint="eastAsia" w:ascii="宋体" w:hAnsi="宋体" w:cs="宋体"/>
          <w:color w:val="auto"/>
          <w:sz w:val="24"/>
          <w:highlight w:val="none"/>
        </w:rPr>
      </w:pPr>
      <w:r>
        <w:rPr>
          <w:rFonts w:hint="eastAsia" w:ascii="宋体" w:hAnsi="宋体" w:cs="宋体"/>
          <w:color w:val="auto"/>
          <w:sz w:val="24"/>
          <w:highlight w:val="none"/>
        </w:rPr>
        <w:t>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  月  日</w:t>
      </w:r>
    </w:p>
    <w:p w14:paraId="587A08B2">
      <w:pPr>
        <w:shd w:val="clear"/>
        <w:spacing w:line="420" w:lineRule="exact"/>
        <w:ind w:firstLine="482" w:firstLineChars="200"/>
        <w:rPr>
          <w:rFonts w:hint="eastAsia" w:ascii="宋体" w:hAnsi="宋体" w:cs="宋体"/>
          <w:color w:val="auto"/>
          <w:highlight w:val="none"/>
        </w:rPr>
      </w:pPr>
      <w:r>
        <w:rPr>
          <w:rFonts w:hint="eastAsia" w:ascii="宋体" w:hAnsi="宋体" w:cs="宋体"/>
          <w:b/>
          <w:bCs/>
          <w:color w:val="auto"/>
          <w:sz w:val="24"/>
          <w:highlight w:val="none"/>
        </w:rPr>
        <w:t>说明：商务技术文件开启后30分钟内，供应商通过邮件形式将经授权代表签署的《</w:t>
      </w:r>
      <w:r>
        <w:rPr>
          <w:rFonts w:hint="eastAsia" w:ascii="宋体" w:hAnsi="宋体" w:cs="宋体"/>
          <w:b/>
          <w:bCs/>
          <w:color w:val="auto"/>
          <w:sz w:val="24"/>
          <w:highlight w:val="none"/>
          <w:lang w:val="en-GB"/>
        </w:rPr>
        <w:t>政府采购活动确认声明书</w:t>
      </w:r>
      <w:r>
        <w:rPr>
          <w:rFonts w:hint="eastAsia" w:ascii="宋体" w:hAnsi="宋体" w:cs="宋体"/>
          <w:b/>
          <w:bCs/>
          <w:color w:val="auto"/>
          <w:sz w:val="24"/>
          <w:highlight w:val="none"/>
        </w:rPr>
        <w:t>》扫描件发至代理机构经办人邮箱（邮箱地址：</w:t>
      </w:r>
      <w:r>
        <w:rPr>
          <w:color w:val="auto"/>
          <w:highlight w:val="none"/>
        </w:rPr>
        <w:fldChar w:fldCharType="begin"/>
      </w:r>
      <w:r>
        <w:rPr>
          <w:color w:val="auto"/>
          <w:highlight w:val="none"/>
        </w:rPr>
        <w:instrText xml:space="preserve"> HYPERLINK "mailto:303054329@qq.com）；" </w:instrText>
      </w:r>
      <w:r>
        <w:rPr>
          <w:color w:val="auto"/>
          <w:highlight w:val="none"/>
        </w:rPr>
        <w:fldChar w:fldCharType="separate"/>
      </w:r>
      <w:r>
        <w:rPr>
          <w:rFonts w:hint="eastAsia" w:ascii="宋体" w:hAnsi="宋体" w:cs="宋体"/>
          <w:b/>
          <w:bCs/>
          <w:color w:val="auto"/>
          <w:sz w:val="24"/>
          <w:highlight w:val="none"/>
        </w:rPr>
        <w:t>zjwstz@163.com）；</w:t>
      </w:r>
      <w:r>
        <w:rPr>
          <w:rFonts w:hint="eastAsia" w:ascii="宋体" w:hAnsi="宋体" w:cs="宋体"/>
          <w:b/>
          <w:bCs/>
          <w:color w:val="auto"/>
          <w:sz w:val="24"/>
          <w:highlight w:val="none"/>
        </w:rPr>
        <w:fldChar w:fldCharType="end"/>
      </w:r>
      <w:r>
        <w:rPr>
          <w:rFonts w:hint="eastAsia" w:ascii="宋体" w:hAnsi="宋体" w:cs="宋体"/>
          <w:b/>
          <w:bCs/>
          <w:color w:val="auto"/>
          <w:sz w:val="24"/>
          <w:highlight w:val="none"/>
        </w:rPr>
        <w:t>不填写或未按规定发出邮件的，视同默认不存在确认声明书中的相关违规情形。</w:t>
      </w:r>
    </w:p>
    <w:sectPr>
      <w:headerReference r:id="rId4" w:type="default"/>
      <w:pgSz w:w="11906" w:h="16838"/>
      <w:pgMar w:top="1440" w:right="1803" w:bottom="1440" w:left="1803"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Abel">
    <w:altName w:val="Yu Gothic UI"/>
    <w:panose1 w:val="00000000000000000000"/>
    <w:charset w:val="00"/>
    <w:family w:val="auto"/>
    <w:pitch w:val="default"/>
    <w:sig w:usb0="00000000" w:usb1="00000000" w:usb2="00000000" w:usb3="00000000" w:csb0="00000001" w:csb1="00000000"/>
  </w:font>
  <w:font w:name="Yu Gothic UI">
    <w:panose1 w:val="020B0500000000000000"/>
    <w:charset w:val="80"/>
    <w:family w:val="auto"/>
    <w:pitch w:val="default"/>
    <w:sig w:usb0="E00002FF" w:usb1="2AC7FDFF" w:usb2="00000016" w:usb3="00000000" w:csb0="200200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6AB93867">
      <w:pPr>
        <w:pStyle w:val="22"/>
      </w:pPr>
      <w:r>
        <w:rPr>
          <w:rStyle w:val="36"/>
        </w:rPr>
        <w:footnoteRef/>
      </w:r>
      <w:r>
        <w:t xml:space="preserve"> </w:t>
      </w:r>
      <w:r>
        <w:rPr>
          <w:rFonts w:hint="eastAsia" w:ascii="宋体" w:hAnsi="宋体"/>
          <w:bCs/>
          <w:sz w:val="24"/>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89027">
    <w:pPr>
      <w:spacing w:line="20" w:lineRule="atLeast"/>
      <w:rPr>
        <w:b/>
        <w:color w:val="000000"/>
        <w:sz w:val="10"/>
        <w:u w:val="single"/>
      </w:rPr>
    </w:pPr>
    <w:r>
      <w:rPr>
        <w:rFonts w:hint="eastAsia"/>
        <w:b/>
        <w:i/>
        <w:color w:val="000000"/>
        <w:kern w:val="0"/>
        <w:sz w:val="18"/>
        <w:u w:val="single"/>
      </w:rPr>
      <w:t xml:space="preserve">台州市政府采购电子招标文件                                                       </w:t>
    </w:r>
    <w:r>
      <w:rPr>
        <w:rFonts w:hint="eastAsia"/>
        <w:b/>
        <w:i/>
        <w:color w:val="000000"/>
        <w:spacing w:val="-20"/>
        <w:kern w:val="0"/>
        <w:sz w:val="18"/>
        <w:u w:val="single"/>
      </w:rPr>
      <w:t xml:space="preserve">第 </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rPr>
      <w:t>27</w:t>
    </w:r>
    <w:r>
      <w:rPr>
        <w:b/>
        <w:i/>
        <w:color w:val="000000"/>
        <w:spacing w:val="-20"/>
        <w:kern w:val="0"/>
        <w:sz w:val="18"/>
        <w:u w:val="single"/>
      </w:rPr>
      <w:fldChar w:fldCharType="end"/>
    </w:r>
    <w:r>
      <w:rPr>
        <w:rFonts w:hint="eastAsia"/>
        <w:b/>
        <w:i/>
        <w:color w:val="000000"/>
        <w:spacing w:val="-20"/>
        <w:kern w:val="0"/>
        <w:sz w:val="18"/>
        <w:u w:val="single"/>
      </w:rPr>
      <w:t xml:space="preserve">页共 </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rPr>
      <w:t>65</w:t>
    </w:r>
    <w:r>
      <w:rPr>
        <w:b/>
        <w:i/>
        <w:color w:val="000000"/>
        <w:spacing w:val="-20"/>
        <w:kern w:val="0"/>
        <w:sz w:val="18"/>
        <w:u w:val="single"/>
      </w:rPr>
      <w:fldChar w:fldCharType="end"/>
    </w:r>
    <w:r>
      <w:rPr>
        <w:rFonts w:hint="eastAsia"/>
        <w:b/>
        <w:i/>
        <w:color w:val="000000"/>
        <w:spacing w:val="-20"/>
        <w:kern w:val="0"/>
        <w:sz w:val="18"/>
        <w:u w:val="single"/>
      </w:rPr>
      <w:t>页</w:t>
    </w:r>
  </w:p>
  <w:p w14:paraId="7FDEEB60">
    <w:pPr>
      <w:pStyle w:val="21"/>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C31A8A"/>
    <w:multiLevelType w:val="singleLevel"/>
    <w:tmpl w:val="80C31A8A"/>
    <w:lvl w:ilvl="0" w:tentative="0">
      <w:start w:val="1"/>
      <w:numFmt w:val="decimal"/>
      <w:lvlText w:val="%1."/>
      <w:lvlJc w:val="left"/>
      <w:pPr>
        <w:ind w:left="425" w:hanging="425"/>
      </w:pPr>
      <w:rPr>
        <w:rFonts w:hint="default"/>
      </w:rPr>
    </w:lvl>
  </w:abstractNum>
  <w:abstractNum w:abstractNumId="1">
    <w:nsid w:val="8853CF9C"/>
    <w:multiLevelType w:val="singleLevel"/>
    <w:tmpl w:val="8853CF9C"/>
    <w:lvl w:ilvl="0" w:tentative="0">
      <w:start w:val="1"/>
      <w:numFmt w:val="decimal"/>
      <w:lvlText w:val="%1."/>
      <w:lvlJc w:val="left"/>
      <w:pPr>
        <w:ind w:left="425" w:hanging="425"/>
      </w:pPr>
      <w:rPr>
        <w:rFonts w:hint="default"/>
      </w:rPr>
    </w:lvl>
  </w:abstractNum>
  <w:abstractNum w:abstractNumId="2">
    <w:nsid w:val="8CE7C631"/>
    <w:multiLevelType w:val="singleLevel"/>
    <w:tmpl w:val="8CE7C631"/>
    <w:lvl w:ilvl="0" w:tentative="0">
      <w:start w:val="1"/>
      <w:numFmt w:val="decimal"/>
      <w:lvlText w:val="%1."/>
      <w:lvlJc w:val="left"/>
      <w:pPr>
        <w:ind w:left="425" w:hanging="425"/>
      </w:pPr>
      <w:rPr>
        <w:rFonts w:hint="default"/>
      </w:rPr>
    </w:lvl>
  </w:abstractNum>
  <w:abstractNum w:abstractNumId="3">
    <w:nsid w:val="8E0FD4C8"/>
    <w:multiLevelType w:val="singleLevel"/>
    <w:tmpl w:val="8E0FD4C8"/>
    <w:lvl w:ilvl="0" w:tentative="0">
      <w:start w:val="1"/>
      <w:numFmt w:val="decimal"/>
      <w:lvlText w:val="%1."/>
      <w:lvlJc w:val="left"/>
      <w:pPr>
        <w:ind w:left="425" w:hanging="425"/>
      </w:pPr>
      <w:rPr>
        <w:rFonts w:hint="default"/>
      </w:rPr>
    </w:lvl>
  </w:abstractNum>
  <w:abstractNum w:abstractNumId="4">
    <w:nsid w:val="9619502F"/>
    <w:multiLevelType w:val="singleLevel"/>
    <w:tmpl w:val="9619502F"/>
    <w:lvl w:ilvl="0" w:tentative="0">
      <w:start w:val="1"/>
      <w:numFmt w:val="decimal"/>
      <w:lvlText w:val="%1."/>
      <w:lvlJc w:val="left"/>
      <w:pPr>
        <w:ind w:left="425" w:hanging="425"/>
      </w:pPr>
      <w:rPr>
        <w:rFonts w:hint="default"/>
      </w:rPr>
    </w:lvl>
  </w:abstractNum>
  <w:abstractNum w:abstractNumId="5">
    <w:nsid w:val="98D8B28B"/>
    <w:multiLevelType w:val="singleLevel"/>
    <w:tmpl w:val="98D8B28B"/>
    <w:lvl w:ilvl="0" w:tentative="0">
      <w:start w:val="1"/>
      <w:numFmt w:val="decimal"/>
      <w:lvlText w:val="%1."/>
      <w:lvlJc w:val="left"/>
      <w:pPr>
        <w:ind w:left="425" w:hanging="425"/>
      </w:pPr>
      <w:rPr>
        <w:rFonts w:hint="default"/>
      </w:rPr>
    </w:lvl>
  </w:abstractNum>
  <w:abstractNum w:abstractNumId="6">
    <w:nsid w:val="99E4F34E"/>
    <w:multiLevelType w:val="singleLevel"/>
    <w:tmpl w:val="99E4F34E"/>
    <w:lvl w:ilvl="0" w:tentative="0">
      <w:start w:val="1"/>
      <w:numFmt w:val="decimal"/>
      <w:lvlText w:val="%1."/>
      <w:lvlJc w:val="left"/>
      <w:pPr>
        <w:ind w:left="425" w:hanging="425"/>
      </w:pPr>
      <w:rPr>
        <w:rFonts w:hint="default"/>
      </w:rPr>
    </w:lvl>
  </w:abstractNum>
  <w:abstractNum w:abstractNumId="7">
    <w:nsid w:val="A2BBB554"/>
    <w:multiLevelType w:val="singleLevel"/>
    <w:tmpl w:val="A2BBB554"/>
    <w:lvl w:ilvl="0" w:tentative="0">
      <w:start w:val="1"/>
      <w:numFmt w:val="decimal"/>
      <w:lvlText w:val="%1."/>
      <w:lvlJc w:val="left"/>
      <w:pPr>
        <w:ind w:left="425" w:hanging="425"/>
      </w:pPr>
      <w:rPr>
        <w:rFonts w:hint="default"/>
      </w:rPr>
    </w:lvl>
  </w:abstractNum>
  <w:abstractNum w:abstractNumId="8">
    <w:nsid w:val="A9A84786"/>
    <w:multiLevelType w:val="singleLevel"/>
    <w:tmpl w:val="A9A84786"/>
    <w:lvl w:ilvl="0" w:tentative="0">
      <w:start w:val="1"/>
      <w:numFmt w:val="decimal"/>
      <w:lvlText w:val="%1."/>
      <w:lvlJc w:val="left"/>
      <w:pPr>
        <w:ind w:left="425" w:hanging="425"/>
      </w:pPr>
      <w:rPr>
        <w:rFonts w:hint="default"/>
      </w:rPr>
    </w:lvl>
  </w:abstractNum>
  <w:abstractNum w:abstractNumId="9">
    <w:nsid w:val="ABC7B101"/>
    <w:multiLevelType w:val="singleLevel"/>
    <w:tmpl w:val="ABC7B101"/>
    <w:lvl w:ilvl="0" w:tentative="0">
      <w:start w:val="1"/>
      <w:numFmt w:val="decimal"/>
      <w:lvlText w:val="%1."/>
      <w:lvlJc w:val="left"/>
      <w:pPr>
        <w:ind w:left="425" w:hanging="425"/>
      </w:pPr>
      <w:rPr>
        <w:rFonts w:hint="default"/>
      </w:rPr>
    </w:lvl>
  </w:abstractNum>
  <w:abstractNum w:abstractNumId="10">
    <w:nsid w:val="AE2D8F7B"/>
    <w:multiLevelType w:val="singleLevel"/>
    <w:tmpl w:val="AE2D8F7B"/>
    <w:lvl w:ilvl="0" w:tentative="0">
      <w:start w:val="1"/>
      <w:numFmt w:val="decimal"/>
      <w:pStyle w:val="6"/>
      <w:lvlText w:val="%1."/>
      <w:lvlJc w:val="left"/>
      <w:pPr>
        <w:tabs>
          <w:tab w:val="left" w:pos="360"/>
        </w:tabs>
        <w:ind w:left="360" w:hanging="360"/>
      </w:pPr>
      <w:rPr>
        <w:rFonts w:cs="Times New Roman"/>
      </w:rPr>
    </w:lvl>
  </w:abstractNum>
  <w:abstractNum w:abstractNumId="11">
    <w:nsid w:val="BCB6CC55"/>
    <w:multiLevelType w:val="singleLevel"/>
    <w:tmpl w:val="BCB6CC55"/>
    <w:lvl w:ilvl="0" w:tentative="0">
      <w:start w:val="1"/>
      <w:numFmt w:val="decimal"/>
      <w:suff w:val="nothing"/>
      <w:lvlText w:val="%1、"/>
      <w:lvlJc w:val="left"/>
      <w:rPr>
        <w:rFonts w:hint="default" w:ascii="宋体" w:hAnsi="宋体" w:eastAsia="宋体" w:cs="宋体"/>
        <w:sz w:val="28"/>
        <w:szCs w:val="28"/>
      </w:rPr>
    </w:lvl>
  </w:abstractNum>
  <w:abstractNum w:abstractNumId="12">
    <w:nsid w:val="CAB519FB"/>
    <w:multiLevelType w:val="singleLevel"/>
    <w:tmpl w:val="CAB519FB"/>
    <w:lvl w:ilvl="0" w:tentative="0">
      <w:start w:val="1"/>
      <w:numFmt w:val="decimal"/>
      <w:lvlText w:val="%1."/>
      <w:lvlJc w:val="left"/>
      <w:pPr>
        <w:ind w:left="425" w:hanging="425"/>
      </w:pPr>
      <w:rPr>
        <w:rFonts w:hint="default"/>
      </w:rPr>
    </w:lvl>
  </w:abstractNum>
  <w:abstractNum w:abstractNumId="13">
    <w:nsid w:val="DD70993F"/>
    <w:multiLevelType w:val="singleLevel"/>
    <w:tmpl w:val="DD70993F"/>
    <w:lvl w:ilvl="0" w:tentative="0">
      <w:start w:val="1"/>
      <w:numFmt w:val="decimal"/>
      <w:lvlText w:val="%1."/>
      <w:lvlJc w:val="left"/>
      <w:pPr>
        <w:ind w:left="425" w:hanging="425"/>
      </w:pPr>
      <w:rPr>
        <w:rFonts w:hint="default"/>
      </w:rPr>
    </w:lvl>
  </w:abstractNum>
  <w:abstractNum w:abstractNumId="14">
    <w:nsid w:val="E3370112"/>
    <w:multiLevelType w:val="singleLevel"/>
    <w:tmpl w:val="E3370112"/>
    <w:lvl w:ilvl="0" w:tentative="0">
      <w:start w:val="1"/>
      <w:numFmt w:val="decimal"/>
      <w:lvlText w:val="%1."/>
      <w:lvlJc w:val="left"/>
      <w:pPr>
        <w:ind w:left="425" w:hanging="425"/>
      </w:pPr>
      <w:rPr>
        <w:rFonts w:hint="default"/>
      </w:rPr>
    </w:lvl>
  </w:abstractNum>
  <w:abstractNum w:abstractNumId="15">
    <w:nsid w:val="E581A509"/>
    <w:multiLevelType w:val="singleLevel"/>
    <w:tmpl w:val="E581A509"/>
    <w:lvl w:ilvl="0" w:tentative="0">
      <w:start w:val="1"/>
      <w:numFmt w:val="decimal"/>
      <w:lvlText w:val="%1."/>
      <w:lvlJc w:val="left"/>
      <w:pPr>
        <w:ind w:left="425" w:hanging="425"/>
      </w:pPr>
      <w:rPr>
        <w:rFonts w:hint="default"/>
      </w:rPr>
    </w:lvl>
  </w:abstractNum>
  <w:abstractNum w:abstractNumId="16">
    <w:nsid w:val="E74E1D7B"/>
    <w:multiLevelType w:val="singleLevel"/>
    <w:tmpl w:val="E74E1D7B"/>
    <w:lvl w:ilvl="0" w:tentative="0">
      <w:start w:val="1"/>
      <w:numFmt w:val="decimal"/>
      <w:lvlText w:val="%1."/>
      <w:lvlJc w:val="left"/>
      <w:pPr>
        <w:ind w:left="425" w:hanging="425"/>
      </w:pPr>
      <w:rPr>
        <w:rFonts w:hint="default"/>
      </w:rPr>
    </w:lvl>
  </w:abstractNum>
  <w:abstractNum w:abstractNumId="17">
    <w:nsid w:val="E75255B4"/>
    <w:multiLevelType w:val="singleLevel"/>
    <w:tmpl w:val="E75255B4"/>
    <w:lvl w:ilvl="0" w:tentative="0">
      <w:start w:val="1"/>
      <w:numFmt w:val="decimal"/>
      <w:lvlText w:val="%1."/>
      <w:lvlJc w:val="left"/>
      <w:pPr>
        <w:ind w:left="425" w:hanging="425"/>
      </w:pPr>
      <w:rPr>
        <w:rFonts w:hint="default"/>
      </w:rPr>
    </w:lvl>
  </w:abstractNum>
  <w:abstractNum w:abstractNumId="18">
    <w:nsid w:val="EBDED251"/>
    <w:multiLevelType w:val="singleLevel"/>
    <w:tmpl w:val="EBDED251"/>
    <w:lvl w:ilvl="0" w:tentative="0">
      <w:start w:val="1"/>
      <w:numFmt w:val="decimal"/>
      <w:lvlText w:val="%1."/>
      <w:lvlJc w:val="left"/>
      <w:pPr>
        <w:ind w:left="425" w:hanging="425"/>
      </w:pPr>
      <w:rPr>
        <w:rFonts w:hint="default"/>
      </w:rPr>
    </w:lvl>
  </w:abstractNum>
  <w:abstractNum w:abstractNumId="19">
    <w:nsid w:val="FFD02FF3"/>
    <w:multiLevelType w:val="singleLevel"/>
    <w:tmpl w:val="FFD02FF3"/>
    <w:lvl w:ilvl="0" w:tentative="0">
      <w:start w:val="1"/>
      <w:numFmt w:val="decimal"/>
      <w:lvlText w:val="%1."/>
      <w:lvlJc w:val="left"/>
      <w:pPr>
        <w:ind w:left="425" w:hanging="425"/>
      </w:pPr>
      <w:rPr>
        <w:rFonts w:hint="default"/>
      </w:rPr>
    </w:lvl>
  </w:abstractNum>
  <w:abstractNum w:abstractNumId="20">
    <w:nsid w:val="039488E7"/>
    <w:multiLevelType w:val="singleLevel"/>
    <w:tmpl w:val="039488E7"/>
    <w:lvl w:ilvl="0" w:tentative="0">
      <w:start w:val="1"/>
      <w:numFmt w:val="decimal"/>
      <w:lvlText w:val="%1."/>
      <w:lvlJc w:val="left"/>
      <w:pPr>
        <w:ind w:left="425" w:hanging="425"/>
      </w:pPr>
      <w:rPr>
        <w:rFonts w:hint="default"/>
      </w:rPr>
    </w:lvl>
  </w:abstractNum>
  <w:abstractNum w:abstractNumId="21">
    <w:nsid w:val="0B49D0C1"/>
    <w:multiLevelType w:val="singleLevel"/>
    <w:tmpl w:val="0B49D0C1"/>
    <w:lvl w:ilvl="0" w:tentative="0">
      <w:start w:val="1"/>
      <w:numFmt w:val="decimal"/>
      <w:lvlText w:val="%1."/>
      <w:lvlJc w:val="left"/>
      <w:pPr>
        <w:ind w:left="425" w:hanging="425"/>
      </w:pPr>
      <w:rPr>
        <w:rFonts w:hint="default"/>
      </w:rPr>
    </w:lvl>
  </w:abstractNum>
  <w:abstractNum w:abstractNumId="22">
    <w:nsid w:val="101E5041"/>
    <w:multiLevelType w:val="singleLevel"/>
    <w:tmpl w:val="101E5041"/>
    <w:lvl w:ilvl="0" w:tentative="0">
      <w:start w:val="1"/>
      <w:numFmt w:val="decimal"/>
      <w:lvlText w:val="%1."/>
      <w:lvlJc w:val="left"/>
      <w:pPr>
        <w:ind w:left="425" w:hanging="425"/>
      </w:pPr>
      <w:rPr>
        <w:rFonts w:hint="default"/>
      </w:rPr>
    </w:lvl>
  </w:abstractNum>
  <w:abstractNum w:abstractNumId="23">
    <w:nsid w:val="1631D4DA"/>
    <w:multiLevelType w:val="singleLevel"/>
    <w:tmpl w:val="1631D4DA"/>
    <w:lvl w:ilvl="0" w:tentative="0">
      <w:start w:val="1"/>
      <w:numFmt w:val="decimal"/>
      <w:lvlText w:val="%1."/>
      <w:lvlJc w:val="left"/>
      <w:pPr>
        <w:ind w:left="425" w:hanging="425"/>
      </w:pPr>
      <w:rPr>
        <w:rFonts w:hint="default"/>
      </w:rPr>
    </w:lvl>
  </w:abstractNum>
  <w:abstractNum w:abstractNumId="24">
    <w:nsid w:val="1D7443E7"/>
    <w:multiLevelType w:val="singleLevel"/>
    <w:tmpl w:val="1D7443E7"/>
    <w:lvl w:ilvl="0" w:tentative="0">
      <w:start w:val="1"/>
      <w:numFmt w:val="decimal"/>
      <w:lvlText w:val="%1."/>
      <w:lvlJc w:val="left"/>
      <w:pPr>
        <w:ind w:left="425" w:hanging="425"/>
      </w:pPr>
      <w:rPr>
        <w:rFonts w:hint="default"/>
      </w:rPr>
    </w:lvl>
  </w:abstractNum>
  <w:abstractNum w:abstractNumId="25">
    <w:nsid w:val="24C892F8"/>
    <w:multiLevelType w:val="singleLevel"/>
    <w:tmpl w:val="24C892F8"/>
    <w:lvl w:ilvl="0" w:tentative="0">
      <w:start w:val="1"/>
      <w:numFmt w:val="decimal"/>
      <w:lvlText w:val="%1."/>
      <w:lvlJc w:val="left"/>
      <w:pPr>
        <w:ind w:left="425" w:hanging="425"/>
      </w:pPr>
      <w:rPr>
        <w:rFonts w:hint="default"/>
      </w:rPr>
    </w:lvl>
  </w:abstractNum>
  <w:abstractNum w:abstractNumId="26">
    <w:nsid w:val="4001AAED"/>
    <w:multiLevelType w:val="singleLevel"/>
    <w:tmpl w:val="4001AAED"/>
    <w:lvl w:ilvl="0" w:tentative="0">
      <w:start w:val="1"/>
      <w:numFmt w:val="decimal"/>
      <w:lvlText w:val="%1."/>
      <w:lvlJc w:val="left"/>
      <w:pPr>
        <w:ind w:left="425" w:hanging="425"/>
      </w:pPr>
      <w:rPr>
        <w:rFonts w:hint="default"/>
      </w:rPr>
    </w:lvl>
  </w:abstractNum>
  <w:abstractNum w:abstractNumId="27">
    <w:nsid w:val="49E0FC9E"/>
    <w:multiLevelType w:val="singleLevel"/>
    <w:tmpl w:val="49E0FC9E"/>
    <w:lvl w:ilvl="0" w:tentative="0">
      <w:start w:val="1"/>
      <w:numFmt w:val="decimal"/>
      <w:lvlText w:val="%1."/>
      <w:lvlJc w:val="left"/>
      <w:pPr>
        <w:ind w:left="425" w:hanging="425"/>
      </w:pPr>
      <w:rPr>
        <w:rFonts w:hint="default"/>
      </w:rPr>
    </w:lvl>
  </w:abstractNum>
  <w:abstractNum w:abstractNumId="28">
    <w:nsid w:val="4E4A3117"/>
    <w:multiLevelType w:val="singleLevel"/>
    <w:tmpl w:val="4E4A3117"/>
    <w:lvl w:ilvl="0" w:tentative="0">
      <w:start w:val="1"/>
      <w:numFmt w:val="decimal"/>
      <w:lvlText w:val="%1."/>
      <w:lvlJc w:val="left"/>
      <w:pPr>
        <w:ind w:left="425" w:hanging="425"/>
      </w:pPr>
      <w:rPr>
        <w:rFonts w:hint="default"/>
      </w:rPr>
    </w:lvl>
  </w:abstractNum>
  <w:abstractNum w:abstractNumId="29">
    <w:nsid w:val="50BEECD6"/>
    <w:multiLevelType w:val="singleLevel"/>
    <w:tmpl w:val="50BEECD6"/>
    <w:lvl w:ilvl="0" w:tentative="0">
      <w:start w:val="1"/>
      <w:numFmt w:val="decimal"/>
      <w:lvlText w:val="%1."/>
      <w:lvlJc w:val="left"/>
      <w:pPr>
        <w:ind w:left="425" w:hanging="425"/>
      </w:pPr>
      <w:rPr>
        <w:rFonts w:hint="default"/>
      </w:rPr>
    </w:lvl>
  </w:abstractNum>
  <w:abstractNum w:abstractNumId="30">
    <w:nsid w:val="6034FF60"/>
    <w:multiLevelType w:val="singleLevel"/>
    <w:tmpl w:val="6034FF60"/>
    <w:lvl w:ilvl="0" w:tentative="0">
      <w:start w:val="1"/>
      <w:numFmt w:val="decimal"/>
      <w:lvlText w:val="%1."/>
      <w:lvlJc w:val="left"/>
      <w:pPr>
        <w:ind w:left="425" w:hanging="425"/>
      </w:pPr>
      <w:rPr>
        <w:rFonts w:hint="default"/>
      </w:rPr>
    </w:lvl>
  </w:abstractNum>
  <w:abstractNum w:abstractNumId="31">
    <w:nsid w:val="6FA8BBA3"/>
    <w:multiLevelType w:val="singleLevel"/>
    <w:tmpl w:val="6FA8BBA3"/>
    <w:lvl w:ilvl="0" w:tentative="0">
      <w:start w:val="1"/>
      <w:numFmt w:val="decimal"/>
      <w:lvlText w:val="%1."/>
      <w:lvlJc w:val="left"/>
      <w:pPr>
        <w:ind w:left="425" w:hanging="425"/>
      </w:pPr>
      <w:rPr>
        <w:rFonts w:hint="default"/>
      </w:rPr>
    </w:lvl>
  </w:abstractNum>
  <w:abstractNum w:abstractNumId="32">
    <w:nsid w:val="70C42E76"/>
    <w:multiLevelType w:val="singleLevel"/>
    <w:tmpl w:val="70C42E76"/>
    <w:lvl w:ilvl="0" w:tentative="0">
      <w:start w:val="1"/>
      <w:numFmt w:val="decimal"/>
      <w:lvlText w:val="%1."/>
      <w:lvlJc w:val="left"/>
      <w:pPr>
        <w:ind w:left="425" w:hanging="425"/>
      </w:pPr>
      <w:rPr>
        <w:rFonts w:hint="default"/>
      </w:rPr>
    </w:lvl>
  </w:abstractNum>
  <w:abstractNum w:abstractNumId="33">
    <w:nsid w:val="746BC44D"/>
    <w:multiLevelType w:val="singleLevel"/>
    <w:tmpl w:val="746BC44D"/>
    <w:lvl w:ilvl="0" w:tentative="0">
      <w:start w:val="1"/>
      <w:numFmt w:val="decimal"/>
      <w:lvlText w:val="%1."/>
      <w:lvlJc w:val="left"/>
      <w:pPr>
        <w:ind w:left="425" w:hanging="425"/>
      </w:pPr>
      <w:rPr>
        <w:rFonts w:hint="default"/>
      </w:rPr>
    </w:lvl>
  </w:abstractNum>
  <w:num w:numId="1">
    <w:abstractNumId w:val="10"/>
  </w:num>
  <w:num w:numId="2">
    <w:abstractNumId w:val="11"/>
  </w:num>
  <w:num w:numId="3">
    <w:abstractNumId w:val="28"/>
  </w:num>
  <w:num w:numId="4">
    <w:abstractNumId w:val="19"/>
  </w:num>
  <w:num w:numId="5">
    <w:abstractNumId w:val="5"/>
  </w:num>
  <w:num w:numId="6">
    <w:abstractNumId w:val="2"/>
  </w:num>
  <w:num w:numId="7">
    <w:abstractNumId w:val="32"/>
  </w:num>
  <w:num w:numId="8">
    <w:abstractNumId w:val="12"/>
  </w:num>
  <w:num w:numId="9">
    <w:abstractNumId w:val="29"/>
  </w:num>
  <w:num w:numId="10">
    <w:abstractNumId w:val="24"/>
  </w:num>
  <w:num w:numId="11">
    <w:abstractNumId w:val="14"/>
  </w:num>
  <w:num w:numId="12">
    <w:abstractNumId w:val="4"/>
  </w:num>
  <w:num w:numId="13">
    <w:abstractNumId w:val="17"/>
  </w:num>
  <w:num w:numId="14">
    <w:abstractNumId w:val="13"/>
  </w:num>
  <w:num w:numId="15">
    <w:abstractNumId w:val="9"/>
  </w:num>
  <w:num w:numId="16">
    <w:abstractNumId w:val="16"/>
  </w:num>
  <w:num w:numId="17">
    <w:abstractNumId w:val="22"/>
  </w:num>
  <w:num w:numId="18">
    <w:abstractNumId w:val="25"/>
  </w:num>
  <w:num w:numId="19">
    <w:abstractNumId w:val="21"/>
  </w:num>
  <w:num w:numId="20">
    <w:abstractNumId w:val="31"/>
  </w:num>
  <w:num w:numId="21">
    <w:abstractNumId w:val="20"/>
  </w:num>
  <w:num w:numId="22">
    <w:abstractNumId w:val="15"/>
  </w:num>
  <w:num w:numId="23">
    <w:abstractNumId w:val="27"/>
  </w:num>
  <w:num w:numId="24">
    <w:abstractNumId w:val="0"/>
  </w:num>
  <w:num w:numId="25">
    <w:abstractNumId w:val="26"/>
  </w:num>
  <w:num w:numId="26">
    <w:abstractNumId w:val="6"/>
  </w:num>
  <w:num w:numId="27">
    <w:abstractNumId w:val="1"/>
  </w:num>
  <w:num w:numId="28">
    <w:abstractNumId w:val="33"/>
  </w:num>
  <w:num w:numId="29">
    <w:abstractNumId w:val="7"/>
  </w:num>
  <w:num w:numId="30">
    <w:abstractNumId w:val="18"/>
  </w:num>
  <w:num w:numId="31">
    <w:abstractNumId w:val="8"/>
  </w:num>
  <w:num w:numId="32">
    <w:abstractNumId w:val="3"/>
  </w:num>
  <w:num w:numId="33">
    <w:abstractNumId w:val="23"/>
  </w:num>
  <w:num w:numId="3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c1ZmE4NGIyNWVjMGU1NGQ2MzJlNjA0ZTRmOWQ3NmEifQ=="/>
  </w:docVars>
  <w:rsids>
    <w:rsidRoot w:val="0E970358"/>
    <w:rsid w:val="00016260"/>
    <w:rsid w:val="0002035B"/>
    <w:rsid w:val="000403F7"/>
    <w:rsid w:val="0006294D"/>
    <w:rsid w:val="00062AB3"/>
    <w:rsid w:val="000630DA"/>
    <w:rsid w:val="000654E4"/>
    <w:rsid w:val="00082C5B"/>
    <w:rsid w:val="000A6028"/>
    <w:rsid w:val="000E3D16"/>
    <w:rsid w:val="00107BF6"/>
    <w:rsid w:val="001334F2"/>
    <w:rsid w:val="001358F3"/>
    <w:rsid w:val="00165F2A"/>
    <w:rsid w:val="00180836"/>
    <w:rsid w:val="00201D2F"/>
    <w:rsid w:val="00201D62"/>
    <w:rsid w:val="00203C2F"/>
    <w:rsid w:val="0021318F"/>
    <w:rsid w:val="002226F6"/>
    <w:rsid w:val="002401F4"/>
    <w:rsid w:val="00241352"/>
    <w:rsid w:val="00282BFD"/>
    <w:rsid w:val="00286DC1"/>
    <w:rsid w:val="00290738"/>
    <w:rsid w:val="002A1620"/>
    <w:rsid w:val="003102FB"/>
    <w:rsid w:val="0033011F"/>
    <w:rsid w:val="00332E30"/>
    <w:rsid w:val="00353DAF"/>
    <w:rsid w:val="00394F4B"/>
    <w:rsid w:val="003C020E"/>
    <w:rsid w:val="003C5E00"/>
    <w:rsid w:val="003E6DE1"/>
    <w:rsid w:val="003F595C"/>
    <w:rsid w:val="003F78E0"/>
    <w:rsid w:val="00441FAE"/>
    <w:rsid w:val="00446CEF"/>
    <w:rsid w:val="00491BDF"/>
    <w:rsid w:val="004B4165"/>
    <w:rsid w:val="004E7C86"/>
    <w:rsid w:val="00501A00"/>
    <w:rsid w:val="00531666"/>
    <w:rsid w:val="00542F87"/>
    <w:rsid w:val="00616E31"/>
    <w:rsid w:val="00623B87"/>
    <w:rsid w:val="00636172"/>
    <w:rsid w:val="00646CA0"/>
    <w:rsid w:val="006540F3"/>
    <w:rsid w:val="00655E3C"/>
    <w:rsid w:val="00656AE6"/>
    <w:rsid w:val="00674C42"/>
    <w:rsid w:val="00674CD7"/>
    <w:rsid w:val="006B7696"/>
    <w:rsid w:val="006E05BE"/>
    <w:rsid w:val="006E5A80"/>
    <w:rsid w:val="006F4DFE"/>
    <w:rsid w:val="00702C0D"/>
    <w:rsid w:val="0075349E"/>
    <w:rsid w:val="00754911"/>
    <w:rsid w:val="00783370"/>
    <w:rsid w:val="00793C81"/>
    <w:rsid w:val="007A2629"/>
    <w:rsid w:val="007B32AB"/>
    <w:rsid w:val="007C1005"/>
    <w:rsid w:val="007C340B"/>
    <w:rsid w:val="007F5FAF"/>
    <w:rsid w:val="00802325"/>
    <w:rsid w:val="008154BD"/>
    <w:rsid w:val="00823978"/>
    <w:rsid w:val="00847BE5"/>
    <w:rsid w:val="00874489"/>
    <w:rsid w:val="00874A5B"/>
    <w:rsid w:val="0088066B"/>
    <w:rsid w:val="008A4030"/>
    <w:rsid w:val="008E781F"/>
    <w:rsid w:val="008F0FD2"/>
    <w:rsid w:val="00912983"/>
    <w:rsid w:val="00944004"/>
    <w:rsid w:val="00992C73"/>
    <w:rsid w:val="009B3E22"/>
    <w:rsid w:val="009F3459"/>
    <w:rsid w:val="009F36F6"/>
    <w:rsid w:val="00A12F71"/>
    <w:rsid w:val="00A17880"/>
    <w:rsid w:val="00A2418F"/>
    <w:rsid w:val="00A30B75"/>
    <w:rsid w:val="00A730CA"/>
    <w:rsid w:val="00AD4E26"/>
    <w:rsid w:val="00AE35D2"/>
    <w:rsid w:val="00AF276E"/>
    <w:rsid w:val="00B0420E"/>
    <w:rsid w:val="00B468A8"/>
    <w:rsid w:val="00BB526C"/>
    <w:rsid w:val="00BE0ADF"/>
    <w:rsid w:val="00C44AFB"/>
    <w:rsid w:val="00C51C1B"/>
    <w:rsid w:val="00C52E14"/>
    <w:rsid w:val="00C767D4"/>
    <w:rsid w:val="00CB0437"/>
    <w:rsid w:val="00CC232E"/>
    <w:rsid w:val="00CD1804"/>
    <w:rsid w:val="00CD1B4A"/>
    <w:rsid w:val="00D2218B"/>
    <w:rsid w:val="00D264AC"/>
    <w:rsid w:val="00D5269F"/>
    <w:rsid w:val="00DA25C4"/>
    <w:rsid w:val="00DB2B95"/>
    <w:rsid w:val="00DB6334"/>
    <w:rsid w:val="00DD3977"/>
    <w:rsid w:val="00E319E7"/>
    <w:rsid w:val="00E372BC"/>
    <w:rsid w:val="00EB149D"/>
    <w:rsid w:val="00EC69CC"/>
    <w:rsid w:val="00EF2797"/>
    <w:rsid w:val="00F127FF"/>
    <w:rsid w:val="00F3582E"/>
    <w:rsid w:val="00F64E95"/>
    <w:rsid w:val="00F74D1E"/>
    <w:rsid w:val="00F835F4"/>
    <w:rsid w:val="00F94869"/>
    <w:rsid w:val="00FF3519"/>
    <w:rsid w:val="0162067B"/>
    <w:rsid w:val="01935887"/>
    <w:rsid w:val="01BB35F9"/>
    <w:rsid w:val="01CF0525"/>
    <w:rsid w:val="01E76B4C"/>
    <w:rsid w:val="022F3D89"/>
    <w:rsid w:val="0248373E"/>
    <w:rsid w:val="026B5F45"/>
    <w:rsid w:val="02997B42"/>
    <w:rsid w:val="02E64D83"/>
    <w:rsid w:val="032A758D"/>
    <w:rsid w:val="035E2B6B"/>
    <w:rsid w:val="03887300"/>
    <w:rsid w:val="03B933C5"/>
    <w:rsid w:val="04220E8F"/>
    <w:rsid w:val="047F2580"/>
    <w:rsid w:val="04AE50DC"/>
    <w:rsid w:val="04CC341D"/>
    <w:rsid w:val="05137CD7"/>
    <w:rsid w:val="05F467D4"/>
    <w:rsid w:val="060B26E0"/>
    <w:rsid w:val="060D6019"/>
    <w:rsid w:val="06BD404D"/>
    <w:rsid w:val="07367BC9"/>
    <w:rsid w:val="07A02299"/>
    <w:rsid w:val="07AB7419"/>
    <w:rsid w:val="085C2446"/>
    <w:rsid w:val="086C0E69"/>
    <w:rsid w:val="08C94F2B"/>
    <w:rsid w:val="097A796A"/>
    <w:rsid w:val="09DB1C02"/>
    <w:rsid w:val="0A3D172D"/>
    <w:rsid w:val="0ADB4F19"/>
    <w:rsid w:val="0AFA6BD6"/>
    <w:rsid w:val="0B982374"/>
    <w:rsid w:val="0BC205B8"/>
    <w:rsid w:val="0BF82837"/>
    <w:rsid w:val="0C00559E"/>
    <w:rsid w:val="0C1E2BA0"/>
    <w:rsid w:val="0C20219F"/>
    <w:rsid w:val="0C46043D"/>
    <w:rsid w:val="0C765CB2"/>
    <w:rsid w:val="0CCE3D8B"/>
    <w:rsid w:val="0CE7066A"/>
    <w:rsid w:val="0D026C5D"/>
    <w:rsid w:val="0E4F7C80"/>
    <w:rsid w:val="0E970358"/>
    <w:rsid w:val="0EF06582"/>
    <w:rsid w:val="0F38476A"/>
    <w:rsid w:val="0F7F533D"/>
    <w:rsid w:val="0F851480"/>
    <w:rsid w:val="0FA21B2E"/>
    <w:rsid w:val="10053DFB"/>
    <w:rsid w:val="10392EAE"/>
    <w:rsid w:val="10706EC2"/>
    <w:rsid w:val="109A6009"/>
    <w:rsid w:val="112127F4"/>
    <w:rsid w:val="11230F50"/>
    <w:rsid w:val="11317B11"/>
    <w:rsid w:val="114D620F"/>
    <w:rsid w:val="127549CB"/>
    <w:rsid w:val="12767ED2"/>
    <w:rsid w:val="12807280"/>
    <w:rsid w:val="12C37550"/>
    <w:rsid w:val="131A6B3F"/>
    <w:rsid w:val="13CE2B23"/>
    <w:rsid w:val="13E64BE3"/>
    <w:rsid w:val="13FC1BC3"/>
    <w:rsid w:val="141D64B2"/>
    <w:rsid w:val="1422761D"/>
    <w:rsid w:val="148463E6"/>
    <w:rsid w:val="14D20D9B"/>
    <w:rsid w:val="14F714F9"/>
    <w:rsid w:val="1527076B"/>
    <w:rsid w:val="15A72BED"/>
    <w:rsid w:val="15AE1060"/>
    <w:rsid w:val="15BE1810"/>
    <w:rsid w:val="16082E04"/>
    <w:rsid w:val="1621170E"/>
    <w:rsid w:val="16F20AA9"/>
    <w:rsid w:val="17E12275"/>
    <w:rsid w:val="18297C96"/>
    <w:rsid w:val="18820ED2"/>
    <w:rsid w:val="188B546E"/>
    <w:rsid w:val="189D4520"/>
    <w:rsid w:val="18B91D2B"/>
    <w:rsid w:val="18C40414"/>
    <w:rsid w:val="18E11A7C"/>
    <w:rsid w:val="19051142"/>
    <w:rsid w:val="1A37046F"/>
    <w:rsid w:val="1A6A6D44"/>
    <w:rsid w:val="1A727F64"/>
    <w:rsid w:val="1A744DC0"/>
    <w:rsid w:val="1A817123"/>
    <w:rsid w:val="1AC8084D"/>
    <w:rsid w:val="1B674FFA"/>
    <w:rsid w:val="1B9F5145"/>
    <w:rsid w:val="1BC66472"/>
    <w:rsid w:val="1BED0B6A"/>
    <w:rsid w:val="1C093ECB"/>
    <w:rsid w:val="1C2A1FDB"/>
    <w:rsid w:val="1C8170E0"/>
    <w:rsid w:val="1C925590"/>
    <w:rsid w:val="1C96375A"/>
    <w:rsid w:val="1CE4433A"/>
    <w:rsid w:val="1CEF09F5"/>
    <w:rsid w:val="1D114245"/>
    <w:rsid w:val="1D434A51"/>
    <w:rsid w:val="1D554B87"/>
    <w:rsid w:val="1D955145"/>
    <w:rsid w:val="1DAA4E99"/>
    <w:rsid w:val="1DC530BD"/>
    <w:rsid w:val="1DF513D6"/>
    <w:rsid w:val="1E3E4D04"/>
    <w:rsid w:val="1E58234F"/>
    <w:rsid w:val="1EB000C3"/>
    <w:rsid w:val="1EE84AA8"/>
    <w:rsid w:val="1EEA12FF"/>
    <w:rsid w:val="1F031196"/>
    <w:rsid w:val="1F1B5C10"/>
    <w:rsid w:val="1F525822"/>
    <w:rsid w:val="1FA321C4"/>
    <w:rsid w:val="1FBC7140"/>
    <w:rsid w:val="20340911"/>
    <w:rsid w:val="205B0BA4"/>
    <w:rsid w:val="20BF728C"/>
    <w:rsid w:val="20C17471"/>
    <w:rsid w:val="212B2D67"/>
    <w:rsid w:val="213E1548"/>
    <w:rsid w:val="21B14797"/>
    <w:rsid w:val="2259413E"/>
    <w:rsid w:val="227E71A5"/>
    <w:rsid w:val="228447E5"/>
    <w:rsid w:val="23424F53"/>
    <w:rsid w:val="23586C07"/>
    <w:rsid w:val="236E14E2"/>
    <w:rsid w:val="23931399"/>
    <w:rsid w:val="2432505E"/>
    <w:rsid w:val="244D0366"/>
    <w:rsid w:val="24585E27"/>
    <w:rsid w:val="246456B0"/>
    <w:rsid w:val="250B1C22"/>
    <w:rsid w:val="252E28FE"/>
    <w:rsid w:val="258E7B0C"/>
    <w:rsid w:val="25E54514"/>
    <w:rsid w:val="25EC42FB"/>
    <w:rsid w:val="26345C82"/>
    <w:rsid w:val="268A132E"/>
    <w:rsid w:val="269668A6"/>
    <w:rsid w:val="26995AE5"/>
    <w:rsid w:val="26B51612"/>
    <w:rsid w:val="270C4AA5"/>
    <w:rsid w:val="270F224B"/>
    <w:rsid w:val="27352109"/>
    <w:rsid w:val="27381BA3"/>
    <w:rsid w:val="27675BE3"/>
    <w:rsid w:val="27803CF8"/>
    <w:rsid w:val="27FF33CF"/>
    <w:rsid w:val="28076A74"/>
    <w:rsid w:val="281C3EDC"/>
    <w:rsid w:val="283B0257"/>
    <w:rsid w:val="283B2A21"/>
    <w:rsid w:val="28AE2099"/>
    <w:rsid w:val="28EE5691"/>
    <w:rsid w:val="29803A90"/>
    <w:rsid w:val="29D148D0"/>
    <w:rsid w:val="29E30E59"/>
    <w:rsid w:val="2A3E177C"/>
    <w:rsid w:val="2A3F4BF5"/>
    <w:rsid w:val="2A420242"/>
    <w:rsid w:val="2A816A46"/>
    <w:rsid w:val="2AC803DC"/>
    <w:rsid w:val="2AF71430"/>
    <w:rsid w:val="2AFB4FC0"/>
    <w:rsid w:val="2B38078E"/>
    <w:rsid w:val="2B520C88"/>
    <w:rsid w:val="2B5E554F"/>
    <w:rsid w:val="2C011CA6"/>
    <w:rsid w:val="2C074D0B"/>
    <w:rsid w:val="2CBA0A59"/>
    <w:rsid w:val="2D046180"/>
    <w:rsid w:val="2D0E4908"/>
    <w:rsid w:val="2D450775"/>
    <w:rsid w:val="2D9B645B"/>
    <w:rsid w:val="2DDE6B41"/>
    <w:rsid w:val="2E8133A9"/>
    <w:rsid w:val="2E831505"/>
    <w:rsid w:val="2EF74CE9"/>
    <w:rsid w:val="2F095FB3"/>
    <w:rsid w:val="2F402F53"/>
    <w:rsid w:val="2FC040E2"/>
    <w:rsid w:val="2FEE50B1"/>
    <w:rsid w:val="30143D85"/>
    <w:rsid w:val="301E14DD"/>
    <w:rsid w:val="3071362F"/>
    <w:rsid w:val="31237398"/>
    <w:rsid w:val="31752B09"/>
    <w:rsid w:val="31A87135"/>
    <w:rsid w:val="31E65503"/>
    <w:rsid w:val="32F55181"/>
    <w:rsid w:val="3361798A"/>
    <w:rsid w:val="341548E3"/>
    <w:rsid w:val="343B0120"/>
    <w:rsid w:val="34776C5D"/>
    <w:rsid w:val="34E33A10"/>
    <w:rsid w:val="35571045"/>
    <w:rsid w:val="35671120"/>
    <w:rsid w:val="359B739A"/>
    <w:rsid w:val="35A2480D"/>
    <w:rsid w:val="35FD044B"/>
    <w:rsid w:val="360971EA"/>
    <w:rsid w:val="363C3B54"/>
    <w:rsid w:val="36623E0E"/>
    <w:rsid w:val="36CC4020"/>
    <w:rsid w:val="37712A39"/>
    <w:rsid w:val="37802EB3"/>
    <w:rsid w:val="38496946"/>
    <w:rsid w:val="388E0DA1"/>
    <w:rsid w:val="38983E4E"/>
    <w:rsid w:val="397462A5"/>
    <w:rsid w:val="3A0146B6"/>
    <w:rsid w:val="3A1B4D6A"/>
    <w:rsid w:val="3A5B7869"/>
    <w:rsid w:val="3AE50133"/>
    <w:rsid w:val="3B345EA5"/>
    <w:rsid w:val="3B7641EF"/>
    <w:rsid w:val="3B907037"/>
    <w:rsid w:val="3C17152E"/>
    <w:rsid w:val="3D1275D3"/>
    <w:rsid w:val="3D96448A"/>
    <w:rsid w:val="3DA90D54"/>
    <w:rsid w:val="3DB531EC"/>
    <w:rsid w:val="3DBB71E5"/>
    <w:rsid w:val="3E1201FF"/>
    <w:rsid w:val="3E4F2DCA"/>
    <w:rsid w:val="3E7729A8"/>
    <w:rsid w:val="3EA4532B"/>
    <w:rsid w:val="3F6A5E19"/>
    <w:rsid w:val="3F77220A"/>
    <w:rsid w:val="3FED78DC"/>
    <w:rsid w:val="408E5559"/>
    <w:rsid w:val="40D37C93"/>
    <w:rsid w:val="40D83598"/>
    <w:rsid w:val="41450014"/>
    <w:rsid w:val="415538AB"/>
    <w:rsid w:val="41701A43"/>
    <w:rsid w:val="41FF0180"/>
    <w:rsid w:val="42415557"/>
    <w:rsid w:val="42A472AC"/>
    <w:rsid w:val="42A96C58"/>
    <w:rsid w:val="42C65079"/>
    <w:rsid w:val="43036342"/>
    <w:rsid w:val="431C0EEF"/>
    <w:rsid w:val="43346686"/>
    <w:rsid w:val="43855031"/>
    <w:rsid w:val="43D33A76"/>
    <w:rsid w:val="43D911A2"/>
    <w:rsid w:val="4428362B"/>
    <w:rsid w:val="447B737A"/>
    <w:rsid w:val="4493250C"/>
    <w:rsid w:val="44957494"/>
    <w:rsid w:val="44DA182C"/>
    <w:rsid w:val="44E23928"/>
    <w:rsid w:val="4512447A"/>
    <w:rsid w:val="45233669"/>
    <w:rsid w:val="45460D36"/>
    <w:rsid w:val="4563730C"/>
    <w:rsid w:val="456B496E"/>
    <w:rsid w:val="45A50118"/>
    <w:rsid w:val="45DA6384"/>
    <w:rsid w:val="4651547F"/>
    <w:rsid w:val="46EE4BDB"/>
    <w:rsid w:val="472F3AEF"/>
    <w:rsid w:val="47A74EC0"/>
    <w:rsid w:val="485D476D"/>
    <w:rsid w:val="48694FA0"/>
    <w:rsid w:val="488E768B"/>
    <w:rsid w:val="48936506"/>
    <w:rsid w:val="48DF5182"/>
    <w:rsid w:val="48F41BA0"/>
    <w:rsid w:val="49103B05"/>
    <w:rsid w:val="49691876"/>
    <w:rsid w:val="497F6965"/>
    <w:rsid w:val="49A8192A"/>
    <w:rsid w:val="49F41D5E"/>
    <w:rsid w:val="49FB248F"/>
    <w:rsid w:val="4A6358C8"/>
    <w:rsid w:val="4AA43BF0"/>
    <w:rsid w:val="4AA82D78"/>
    <w:rsid w:val="4ACE02BB"/>
    <w:rsid w:val="4B093BA7"/>
    <w:rsid w:val="4B0F02D7"/>
    <w:rsid w:val="4B1972CC"/>
    <w:rsid w:val="4B1E31F7"/>
    <w:rsid w:val="4B55797D"/>
    <w:rsid w:val="4B7B0985"/>
    <w:rsid w:val="4BC1596D"/>
    <w:rsid w:val="4BCB3573"/>
    <w:rsid w:val="4CA846B1"/>
    <w:rsid w:val="4CE75373"/>
    <w:rsid w:val="4D3016DE"/>
    <w:rsid w:val="4D52234C"/>
    <w:rsid w:val="4D5934CA"/>
    <w:rsid w:val="4DB64580"/>
    <w:rsid w:val="4DBA747C"/>
    <w:rsid w:val="4E8578F7"/>
    <w:rsid w:val="4ED24992"/>
    <w:rsid w:val="4EFC0CFC"/>
    <w:rsid w:val="4F1B7F9F"/>
    <w:rsid w:val="4F643C80"/>
    <w:rsid w:val="50477D3F"/>
    <w:rsid w:val="506F7733"/>
    <w:rsid w:val="50C963FC"/>
    <w:rsid w:val="51133C0E"/>
    <w:rsid w:val="51776BB3"/>
    <w:rsid w:val="521D5543"/>
    <w:rsid w:val="524457F9"/>
    <w:rsid w:val="531A6E76"/>
    <w:rsid w:val="53591FD4"/>
    <w:rsid w:val="537A3277"/>
    <w:rsid w:val="53E65C00"/>
    <w:rsid w:val="549E627F"/>
    <w:rsid w:val="54DA14BE"/>
    <w:rsid w:val="55106ABC"/>
    <w:rsid w:val="55341E11"/>
    <w:rsid w:val="553A4203"/>
    <w:rsid w:val="563848A4"/>
    <w:rsid w:val="566D4B95"/>
    <w:rsid w:val="56981066"/>
    <w:rsid w:val="56DC1295"/>
    <w:rsid w:val="56EE365E"/>
    <w:rsid w:val="572656D4"/>
    <w:rsid w:val="573B58FC"/>
    <w:rsid w:val="577A076D"/>
    <w:rsid w:val="578671EF"/>
    <w:rsid w:val="578D0B51"/>
    <w:rsid w:val="57A674E7"/>
    <w:rsid w:val="57DC5CF4"/>
    <w:rsid w:val="57E45422"/>
    <w:rsid w:val="59080873"/>
    <w:rsid w:val="59234CED"/>
    <w:rsid w:val="592A5F58"/>
    <w:rsid w:val="59837876"/>
    <w:rsid w:val="59AD06A4"/>
    <w:rsid w:val="5A4D586D"/>
    <w:rsid w:val="5A56726E"/>
    <w:rsid w:val="5A6249B0"/>
    <w:rsid w:val="5A9E1939"/>
    <w:rsid w:val="5AD20FEA"/>
    <w:rsid w:val="5AF72695"/>
    <w:rsid w:val="5B3C1575"/>
    <w:rsid w:val="5B534421"/>
    <w:rsid w:val="5B6B4F9B"/>
    <w:rsid w:val="5B8754F4"/>
    <w:rsid w:val="5C995E78"/>
    <w:rsid w:val="5CAD763C"/>
    <w:rsid w:val="5D3A69D3"/>
    <w:rsid w:val="5D775FB8"/>
    <w:rsid w:val="5DBB3FB7"/>
    <w:rsid w:val="5DD621D8"/>
    <w:rsid w:val="5E3A0E23"/>
    <w:rsid w:val="5E3A2E3F"/>
    <w:rsid w:val="5EE84C68"/>
    <w:rsid w:val="5FA62A45"/>
    <w:rsid w:val="5FA703FC"/>
    <w:rsid w:val="602463B0"/>
    <w:rsid w:val="6026592A"/>
    <w:rsid w:val="602C4CF9"/>
    <w:rsid w:val="60E07B05"/>
    <w:rsid w:val="61161505"/>
    <w:rsid w:val="61E75867"/>
    <w:rsid w:val="621D5BA4"/>
    <w:rsid w:val="627739AE"/>
    <w:rsid w:val="62B27E07"/>
    <w:rsid w:val="62C50D2D"/>
    <w:rsid w:val="63197EAF"/>
    <w:rsid w:val="635B6748"/>
    <w:rsid w:val="638D4169"/>
    <w:rsid w:val="63947A95"/>
    <w:rsid w:val="63C91A2B"/>
    <w:rsid w:val="63F60A31"/>
    <w:rsid w:val="64281C7B"/>
    <w:rsid w:val="644A7E43"/>
    <w:rsid w:val="64C84453"/>
    <w:rsid w:val="64D94186"/>
    <w:rsid w:val="656E5279"/>
    <w:rsid w:val="65AA5AF0"/>
    <w:rsid w:val="66754F1F"/>
    <w:rsid w:val="669358D0"/>
    <w:rsid w:val="6718370C"/>
    <w:rsid w:val="671C6EB1"/>
    <w:rsid w:val="67B05ABC"/>
    <w:rsid w:val="67B167D1"/>
    <w:rsid w:val="67DB0789"/>
    <w:rsid w:val="680779EE"/>
    <w:rsid w:val="685F1C50"/>
    <w:rsid w:val="68925D1C"/>
    <w:rsid w:val="68D20B8D"/>
    <w:rsid w:val="69813DDD"/>
    <w:rsid w:val="699022E9"/>
    <w:rsid w:val="69DC1B4A"/>
    <w:rsid w:val="6A531C45"/>
    <w:rsid w:val="6A714498"/>
    <w:rsid w:val="6AB97AD1"/>
    <w:rsid w:val="6ABB5F80"/>
    <w:rsid w:val="6ADF5030"/>
    <w:rsid w:val="6B0B3BC7"/>
    <w:rsid w:val="6B511AB7"/>
    <w:rsid w:val="6BC179FF"/>
    <w:rsid w:val="6BF84F47"/>
    <w:rsid w:val="6C26034B"/>
    <w:rsid w:val="6C8E6D3B"/>
    <w:rsid w:val="6CB01564"/>
    <w:rsid w:val="6CC13BE1"/>
    <w:rsid w:val="6DCC7B1B"/>
    <w:rsid w:val="6E970129"/>
    <w:rsid w:val="6F1658B8"/>
    <w:rsid w:val="6F814935"/>
    <w:rsid w:val="70500E79"/>
    <w:rsid w:val="70F729E3"/>
    <w:rsid w:val="711B0B8A"/>
    <w:rsid w:val="711F327D"/>
    <w:rsid w:val="714A76D4"/>
    <w:rsid w:val="715B1526"/>
    <w:rsid w:val="725014B0"/>
    <w:rsid w:val="727151E7"/>
    <w:rsid w:val="72977757"/>
    <w:rsid w:val="730C7BC8"/>
    <w:rsid w:val="73344DC7"/>
    <w:rsid w:val="733F0D8F"/>
    <w:rsid w:val="73A111F6"/>
    <w:rsid w:val="745919C6"/>
    <w:rsid w:val="74702A9A"/>
    <w:rsid w:val="74AE7F7A"/>
    <w:rsid w:val="74BA7437"/>
    <w:rsid w:val="74C046C2"/>
    <w:rsid w:val="750B780B"/>
    <w:rsid w:val="75241FEA"/>
    <w:rsid w:val="75445CB6"/>
    <w:rsid w:val="75745308"/>
    <w:rsid w:val="75F12EBC"/>
    <w:rsid w:val="76047155"/>
    <w:rsid w:val="760D388B"/>
    <w:rsid w:val="761C2BBB"/>
    <w:rsid w:val="7671701C"/>
    <w:rsid w:val="767E61E2"/>
    <w:rsid w:val="76E64746"/>
    <w:rsid w:val="77087B85"/>
    <w:rsid w:val="776A1DE8"/>
    <w:rsid w:val="77AA6501"/>
    <w:rsid w:val="780D2FE5"/>
    <w:rsid w:val="78232A2D"/>
    <w:rsid w:val="785D00CA"/>
    <w:rsid w:val="79362E73"/>
    <w:rsid w:val="799D73A3"/>
    <w:rsid w:val="7A403646"/>
    <w:rsid w:val="7B3369D6"/>
    <w:rsid w:val="7B440279"/>
    <w:rsid w:val="7C097088"/>
    <w:rsid w:val="7C1D7794"/>
    <w:rsid w:val="7C8434BE"/>
    <w:rsid w:val="7C881BD3"/>
    <w:rsid w:val="7D2A21A8"/>
    <w:rsid w:val="7D6E784A"/>
    <w:rsid w:val="7DDD6CEA"/>
    <w:rsid w:val="7DED0920"/>
    <w:rsid w:val="7E3A10B9"/>
    <w:rsid w:val="7E636E14"/>
    <w:rsid w:val="7E912529"/>
    <w:rsid w:val="7EF94B31"/>
    <w:rsid w:val="7F1D62E0"/>
    <w:rsid w:val="7FB33F82"/>
    <w:rsid w:val="7FD976B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semiHidden="0"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0" w:semiHidden="0" w:name="toc 1" w:locked="1"/>
    <w:lsdException w:qFormat="1" w:unhideWhenUsed="0" w:uiPriority="99" w:semiHidden="0" w:name="toc 2"/>
    <w:lsdException w:uiPriority="39" w:name="toc 3" w:locked="1"/>
    <w:lsdException w:uiPriority="39" w:name="toc 4" w:locked="1"/>
    <w:lsdException w:uiPriority="39" w:name="toc 5" w:locked="1"/>
    <w:lsdException w:qFormat="1" w:unhideWhenUsed="0" w:uiPriority="99" w:semiHidden="0" w:name="toc 6" w:locked="1"/>
    <w:lsdException w:uiPriority="39" w:name="toc 7" w:locked="1"/>
    <w:lsdException w:uiPriority="39" w:name="toc 8" w:locked="1"/>
    <w:lsdException w:uiPriority="39" w:name="toc 9" w:locked="1"/>
    <w:lsdException w:qFormat="1" w:unhideWhenUsed="0" w:uiPriority="99" w:semiHidden="0" w:name="Normal Indent"/>
    <w:lsdException w:qFormat="1" w:unhideWhenUsed="0" w:uiPriority="99" w:semiHidden="0"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qFormat="1" w:unhideWhenUsed="0" w:uiPriority="0" w:semiHidden="0" w:name="envelope return" w:locked="1"/>
    <w:lsdException w:qFormat="1" w:unhideWhenUsed="0" w:uiPriority="99" w:semiHidden="0" w:name="footnote reference" w:locked="1"/>
    <w:lsdException w:qFormat="1" w:unhideWhenUsed="0" w:uiPriority="99" w:semiHidden="0" w:name="annotation reference"/>
    <w:lsdException w:uiPriority="99" w:name="line number" w:locked="1"/>
    <w:lsdException w:qFormat="1" w:unhideWhenUsed="0" w:uiPriority="0" w:semiHidden="0"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qFormat="1" w:unhideWhenUsed="0" w:uiPriority="99" w:semiHidden="0" w:name="List Number"/>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qFormat="1" w:unhideWhenUsed="0" w:uiPriority="99" w:semiHidden="0" w:name="Body Text First Indent" w:locked="1"/>
    <w:lsdException w:qFormat="1" w:unhideWhenUsed="0" w:uiPriority="0" w:semiHidden="0" w:name="Body Text First Indent 2" w:locked="1"/>
    <w:lsdException w:uiPriority="99" w:name="Note Heading" w:locked="1"/>
    <w:lsdException w:uiPriority="99" w:name="Body Text 2" w:locked="1"/>
    <w:lsdException w:uiPriority="99" w:name="Body Text 3" w:locked="1"/>
    <w:lsdException w:qFormat="1" w:unhideWhenUsed="0" w:uiPriority="0" w:semiHidden="0" w:name="Body Text Indent 2" w:locked="1"/>
    <w:lsdException w:uiPriority="99" w:name="Body Text Indent 3" w:locked="1"/>
    <w:lsdException w:qFormat="1" w:unhideWhenUsed="0" w:uiPriority="99" w:semiHidden="0" w:name="Block Text" w:locked="1"/>
    <w:lsdException w:qFormat="1" w:uiPriority="0" w:semiHidden="0" w:name="Hyperlink" w:locked="1"/>
    <w:lsdException w:uiPriority="99" w:name="FollowedHyperlink" w:locked="1"/>
    <w:lsdException w:qFormat="1" w:unhideWhenUsed="0" w:uiPriority="0" w:semiHidden="0" w:name="Strong" w:locked="1"/>
    <w:lsdException w:qFormat="1" w:unhideWhenUsed="0" w:uiPriority="20" w:semiHidden="0" w:name="Emphasis" w:locked="1"/>
    <w:lsdException w:qFormat="1"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0" w:semiHidden="0" w:name="Table Grid" w:locked="1"/>
    <w:lsdException w:uiPriority="99" w:name="Table Theme" w:locked="1"/>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3"/>
    <w:autoRedefine/>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41"/>
    <w:autoRedefine/>
    <w:qFormat/>
    <w:uiPriority w:val="99"/>
    <w:pPr>
      <w:keepNext/>
      <w:keepLines/>
      <w:spacing w:before="260" w:after="260" w:line="416" w:lineRule="auto"/>
      <w:outlineLvl w:val="1"/>
    </w:pPr>
    <w:rPr>
      <w:rFonts w:ascii="Calibri Light" w:hAnsi="Calibri Light"/>
      <w:b/>
      <w:bCs/>
      <w:sz w:val="32"/>
      <w:szCs w:val="32"/>
    </w:rPr>
  </w:style>
  <w:style w:type="paragraph" w:styleId="4">
    <w:name w:val="heading 3"/>
    <w:basedOn w:val="1"/>
    <w:next w:val="1"/>
    <w:link w:val="47"/>
    <w:autoRedefine/>
    <w:qFormat/>
    <w:uiPriority w:val="99"/>
    <w:pPr>
      <w:keepNext/>
      <w:keepLines/>
      <w:spacing w:before="260" w:after="260" w:line="416" w:lineRule="auto"/>
      <w:outlineLvl w:val="2"/>
    </w:pPr>
    <w:rPr>
      <w:b/>
      <w:bCs/>
      <w:sz w:val="32"/>
      <w:szCs w:val="32"/>
    </w:rPr>
  </w:style>
  <w:style w:type="paragraph" w:styleId="5">
    <w:name w:val="heading 4"/>
    <w:basedOn w:val="1"/>
    <w:next w:val="1"/>
    <w:link w:val="77"/>
    <w:autoRedefine/>
    <w:unhideWhenUsed/>
    <w:qFormat/>
    <w:locked/>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6">
    <w:name w:val="List Number"/>
    <w:basedOn w:val="1"/>
    <w:autoRedefine/>
    <w:qFormat/>
    <w:uiPriority w:val="99"/>
    <w:pPr>
      <w:numPr>
        <w:ilvl w:val="0"/>
        <w:numId w:val="1"/>
      </w:numPr>
    </w:pPr>
  </w:style>
  <w:style w:type="paragraph" w:styleId="7">
    <w:name w:val="Normal Indent"/>
    <w:basedOn w:val="1"/>
    <w:next w:val="8"/>
    <w:autoRedefine/>
    <w:qFormat/>
    <w:uiPriority w:val="99"/>
    <w:pPr>
      <w:ind w:firstLine="420"/>
    </w:pPr>
    <w:rPr>
      <w:szCs w:val="20"/>
    </w:rPr>
  </w:style>
  <w:style w:type="paragraph" w:styleId="8">
    <w:name w:val="toc 2"/>
    <w:basedOn w:val="1"/>
    <w:next w:val="1"/>
    <w:autoRedefine/>
    <w:qFormat/>
    <w:uiPriority w:val="99"/>
    <w:pPr>
      <w:ind w:left="420" w:leftChars="200"/>
    </w:pPr>
  </w:style>
  <w:style w:type="paragraph" w:styleId="9">
    <w:name w:val="Document Map"/>
    <w:basedOn w:val="1"/>
    <w:semiHidden/>
    <w:unhideWhenUsed/>
    <w:qFormat/>
    <w:locked/>
    <w:uiPriority w:val="99"/>
    <w:rPr>
      <w:rFonts w:ascii="Abel" w:hAnsi="Abel"/>
      <w:sz w:val="26"/>
      <w:szCs w:val="26"/>
    </w:rPr>
  </w:style>
  <w:style w:type="paragraph" w:styleId="10">
    <w:name w:val="annotation text"/>
    <w:basedOn w:val="1"/>
    <w:link w:val="43"/>
    <w:autoRedefine/>
    <w:qFormat/>
    <w:uiPriority w:val="99"/>
    <w:pPr>
      <w:jc w:val="left"/>
    </w:pPr>
  </w:style>
  <w:style w:type="paragraph" w:styleId="11">
    <w:name w:val="Body Text"/>
    <w:basedOn w:val="1"/>
    <w:link w:val="44"/>
    <w:autoRedefine/>
    <w:qFormat/>
    <w:uiPriority w:val="99"/>
    <w:pPr>
      <w:spacing w:line="360" w:lineRule="exact"/>
    </w:pPr>
    <w:rPr>
      <w:sz w:val="24"/>
    </w:rPr>
  </w:style>
  <w:style w:type="paragraph" w:styleId="12">
    <w:name w:val="Body Text Indent"/>
    <w:basedOn w:val="1"/>
    <w:next w:val="1"/>
    <w:link w:val="51"/>
    <w:autoRedefine/>
    <w:qFormat/>
    <w:uiPriority w:val="99"/>
    <w:pPr>
      <w:spacing w:after="120"/>
      <w:ind w:left="420" w:leftChars="200"/>
    </w:pPr>
  </w:style>
  <w:style w:type="paragraph" w:styleId="13">
    <w:name w:val="Block Text"/>
    <w:basedOn w:val="1"/>
    <w:autoRedefine/>
    <w:qFormat/>
    <w:locked/>
    <w:uiPriority w:val="99"/>
    <w:pPr>
      <w:adjustRightInd w:val="0"/>
      <w:spacing w:line="300" w:lineRule="auto"/>
      <w:ind w:left="958" w:right="-120" w:rightChars="-120"/>
      <w:jc w:val="left"/>
    </w:pPr>
    <w:rPr>
      <w:rFonts w:ascii="宋体" w:hAnsi="宋体"/>
      <w:sz w:val="28"/>
    </w:rPr>
  </w:style>
  <w:style w:type="paragraph" w:styleId="14">
    <w:name w:val="Plain Text"/>
    <w:basedOn w:val="1"/>
    <w:link w:val="52"/>
    <w:autoRedefine/>
    <w:qFormat/>
    <w:uiPriority w:val="99"/>
    <w:rPr>
      <w:rFonts w:ascii="宋体" w:hAnsi="Courier New"/>
    </w:rPr>
  </w:style>
  <w:style w:type="paragraph" w:styleId="15">
    <w:name w:val="Date"/>
    <w:basedOn w:val="1"/>
    <w:next w:val="1"/>
    <w:link w:val="48"/>
    <w:autoRedefine/>
    <w:qFormat/>
    <w:uiPriority w:val="99"/>
    <w:pPr>
      <w:ind w:left="2500" w:leftChars="2500"/>
    </w:pPr>
    <w:rPr>
      <w:rFonts w:ascii="Calibri" w:hAnsi="Calibri" w:eastAsia="楷体_GB2312"/>
      <w:sz w:val="32"/>
      <w:szCs w:val="22"/>
    </w:rPr>
  </w:style>
  <w:style w:type="paragraph" w:styleId="16">
    <w:name w:val="Body Text Indent 2"/>
    <w:basedOn w:val="1"/>
    <w:next w:val="17"/>
    <w:autoRedefine/>
    <w:qFormat/>
    <w:locked/>
    <w:uiPriority w:val="0"/>
    <w:pPr>
      <w:spacing w:after="120" w:line="480" w:lineRule="auto"/>
      <w:ind w:left="420" w:firstLine="3584"/>
    </w:pPr>
    <w:rPr>
      <w:rFonts w:ascii="Calibri" w:hAnsi="Calibri"/>
    </w:rPr>
  </w:style>
  <w:style w:type="paragraph" w:styleId="17">
    <w:name w:val="toc 1"/>
    <w:basedOn w:val="1"/>
    <w:next w:val="1"/>
    <w:autoRedefine/>
    <w:qFormat/>
    <w:locked/>
    <w:uiPriority w:val="0"/>
    <w:pPr>
      <w:ind w:firstLine="3584"/>
    </w:pPr>
    <w:rPr>
      <w:rFonts w:ascii="Calibri" w:hAnsi="Calibri"/>
    </w:rPr>
  </w:style>
  <w:style w:type="paragraph" w:styleId="18">
    <w:name w:val="Balloon Text"/>
    <w:basedOn w:val="1"/>
    <w:link w:val="49"/>
    <w:autoRedefine/>
    <w:qFormat/>
    <w:uiPriority w:val="99"/>
    <w:rPr>
      <w:sz w:val="18"/>
      <w:szCs w:val="18"/>
    </w:rPr>
  </w:style>
  <w:style w:type="paragraph" w:styleId="19">
    <w:name w:val="footer"/>
    <w:basedOn w:val="1"/>
    <w:link w:val="55"/>
    <w:autoRedefine/>
    <w:qFormat/>
    <w:uiPriority w:val="99"/>
    <w:pPr>
      <w:tabs>
        <w:tab w:val="center" w:pos="4153"/>
        <w:tab w:val="right" w:pos="8306"/>
      </w:tabs>
      <w:snapToGrid w:val="0"/>
      <w:jc w:val="left"/>
    </w:pPr>
    <w:rPr>
      <w:sz w:val="18"/>
    </w:rPr>
  </w:style>
  <w:style w:type="paragraph" w:styleId="20">
    <w:name w:val="envelope return"/>
    <w:basedOn w:val="1"/>
    <w:autoRedefine/>
    <w:qFormat/>
    <w:locked/>
    <w:uiPriority w:val="0"/>
    <w:pPr>
      <w:snapToGrid w:val="0"/>
    </w:pPr>
    <w:rPr>
      <w:rFonts w:ascii="Arial" w:hAnsi="Arial"/>
    </w:rPr>
  </w:style>
  <w:style w:type="paragraph" w:styleId="21">
    <w:name w:val="header"/>
    <w:basedOn w:val="1"/>
    <w:next w:val="16"/>
    <w:link w:val="46"/>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2">
    <w:name w:val="footnote text"/>
    <w:basedOn w:val="1"/>
    <w:autoRedefine/>
    <w:qFormat/>
    <w:locked/>
    <w:uiPriority w:val="99"/>
    <w:pPr>
      <w:snapToGrid w:val="0"/>
      <w:jc w:val="left"/>
    </w:pPr>
    <w:rPr>
      <w:sz w:val="18"/>
    </w:rPr>
  </w:style>
  <w:style w:type="paragraph" w:styleId="23">
    <w:name w:val="toc 6"/>
    <w:basedOn w:val="1"/>
    <w:next w:val="1"/>
    <w:autoRedefine/>
    <w:qFormat/>
    <w:locked/>
    <w:uiPriority w:val="99"/>
    <w:pPr>
      <w:widowControl/>
      <w:ind w:left="1000"/>
      <w:jc w:val="left"/>
    </w:pPr>
    <w:rPr>
      <w:kern w:val="0"/>
      <w:sz w:val="18"/>
      <w:szCs w:val="20"/>
    </w:rPr>
  </w:style>
  <w:style w:type="paragraph" w:styleId="24">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25">
    <w:name w:val="Title"/>
    <w:basedOn w:val="1"/>
    <w:next w:val="1"/>
    <w:autoRedefine/>
    <w:qFormat/>
    <w:locked/>
    <w:uiPriority w:val="0"/>
    <w:pPr>
      <w:widowControl/>
      <w:overflowPunct w:val="0"/>
      <w:autoSpaceDE w:val="0"/>
      <w:autoSpaceDN w:val="0"/>
      <w:adjustRightInd w:val="0"/>
      <w:spacing w:line="420" w:lineRule="exact"/>
      <w:jc w:val="center"/>
      <w:textAlignment w:val="baseline"/>
    </w:pPr>
    <w:rPr>
      <w:rFonts w:ascii="Calibri" w:hAnsi="Calibri" w:eastAsia="黑体"/>
      <w:b/>
      <w:kern w:val="0"/>
      <w:sz w:val="28"/>
      <w:szCs w:val="20"/>
      <w:lang w:val="en-GB"/>
    </w:rPr>
  </w:style>
  <w:style w:type="paragraph" w:styleId="26">
    <w:name w:val="annotation subject"/>
    <w:basedOn w:val="10"/>
    <w:next w:val="10"/>
    <w:link w:val="42"/>
    <w:autoRedefine/>
    <w:qFormat/>
    <w:uiPriority w:val="99"/>
    <w:rPr>
      <w:b/>
      <w:bCs/>
    </w:rPr>
  </w:style>
  <w:style w:type="paragraph" w:styleId="27">
    <w:name w:val="Body Text First Indent"/>
    <w:basedOn w:val="11"/>
    <w:autoRedefine/>
    <w:qFormat/>
    <w:locked/>
    <w:uiPriority w:val="99"/>
    <w:pPr>
      <w:ind w:firstLine="420"/>
    </w:pPr>
    <w:rPr>
      <w:sz w:val="21"/>
    </w:rPr>
  </w:style>
  <w:style w:type="paragraph" w:styleId="28">
    <w:name w:val="Body Text First Indent 2"/>
    <w:basedOn w:val="12"/>
    <w:autoRedefine/>
    <w:qFormat/>
    <w:locked/>
    <w:uiPriority w:val="0"/>
    <w:pPr>
      <w:ind w:firstLine="420"/>
    </w:pPr>
  </w:style>
  <w:style w:type="table" w:styleId="30">
    <w:name w:val="Table Grid"/>
    <w:basedOn w:val="29"/>
    <w:autoRedefine/>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autoRedefine/>
    <w:qFormat/>
    <w:locked/>
    <w:uiPriority w:val="0"/>
    <w:rPr>
      <w:b/>
    </w:rPr>
  </w:style>
  <w:style w:type="character" w:styleId="33">
    <w:name w:val="page number"/>
    <w:basedOn w:val="31"/>
    <w:autoRedefine/>
    <w:qFormat/>
    <w:locked/>
    <w:uiPriority w:val="0"/>
  </w:style>
  <w:style w:type="character" w:styleId="34">
    <w:name w:val="Hyperlink"/>
    <w:basedOn w:val="31"/>
    <w:autoRedefine/>
    <w:unhideWhenUsed/>
    <w:qFormat/>
    <w:locked/>
    <w:uiPriority w:val="0"/>
    <w:rPr>
      <w:color w:val="0000FF"/>
      <w:u w:val="single"/>
    </w:rPr>
  </w:style>
  <w:style w:type="character" w:styleId="35">
    <w:name w:val="annotation reference"/>
    <w:basedOn w:val="31"/>
    <w:autoRedefine/>
    <w:qFormat/>
    <w:uiPriority w:val="99"/>
    <w:rPr>
      <w:rFonts w:cs="Times New Roman"/>
      <w:sz w:val="21"/>
      <w:szCs w:val="21"/>
    </w:rPr>
  </w:style>
  <w:style w:type="character" w:styleId="36">
    <w:name w:val="footnote reference"/>
    <w:basedOn w:val="31"/>
    <w:autoRedefine/>
    <w:qFormat/>
    <w:locked/>
    <w:uiPriority w:val="99"/>
    <w:rPr>
      <w:vertAlign w:val="superscript"/>
    </w:rPr>
  </w:style>
  <w:style w:type="character" w:customStyle="1" w:styleId="37">
    <w:name w:val="NormalCharacter"/>
    <w:autoRedefine/>
    <w:qFormat/>
    <w:uiPriority w:val="0"/>
    <w:rPr>
      <w:rFonts w:ascii="Calibri" w:hAnsi="Calibri"/>
      <w:kern w:val="2"/>
      <w:sz w:val="21"/>
      <w:szCs w:val="24"/>
      <w:lang w:val="en-US" w:eastAsia="zh-CN" w:bidi="ar-SA"/>
    </w:rPr>
  </w:style>
  <w:style w:type="paragraph" w:customStyle="1" w:styleId="38">
    <w:name w:val="BodyText1I2"/>
    <w:basedOn w:val="39"/>
    <w:qFormat/>
    <w:uiPriority w:val="0"/>
    <w:pPr>
      <w:spacing w:after="120" w:line="240" w:lineRule="auto"/>
      <w:ind w:left="200" w:leftChars="200" w:firstLine="200"/>
    </w:pPr>
    <w:rPr>
      <w:rFonts w:ascii="Calibri" w:hAnsi="Calibri"/>
      <w:sz w:val="21"/>
      <w:szCs w:val="22"/>
    </w:rPr>
  </w:style>
  <w:style w:type="paragraph" w:customStyle="1" w:styleId="39">
    <w:name w:val="BodyTextIndent"/>
    <w:basedOn w:val="1"/>
    <w:qFormat/>
    <w:uiPriority w:val="0"/>
    <w:pPr>
      <w:spacing w:line="480" w:lineRule="exact"/>
      <w:ind w:firstLine="480" w:firstLineChars="200"/>
    </w:pPr>
    <w:rPr>
      <w:rFonts w:ascii="宋体" w:hAnsi="宋体"/>
      <w:sz w:val="24"/>
    </w:rPr>
  </w:style>
  <w:style w:type="paragraph" w:customStyle="1" w:styleId="40">
    <w:name w:val="正文（首行缩进2字符）"/>
    <w:basedOn w:val="1"/>
    <w:autoRedefine/>
    <w:qFormat/>
    <w:uiPriority w:val="0"/>
    <w:pPr>
      <w:spacing w:line="360" w:lineRule="auto"/>
      <w:ind w:firstLine="420" w:firstLineChars="200"/>
    </w:pPr>
    <w:rPr>
      <w:szCs w:val="21"/>
    </w:rPr>
  </w:style>
  <w:style w:type="character" w:customStyle="1" w:styleId="41">
    <w:name w:val="标题 2 字符"/>
    <w:basedOn w:val="31"/>
    <w:link w:val="3"/>
    <w:autoRedefine/>
    <w:semiHidden/>
    <w:qFormat/>
    <w:locked/>
    <w:uiPriority w:val="99"/>
    <w:rPr>
      <w:rFonts w:ascii="Cambria" w:hAnsi="Cambria" w:eastAsia="宋体" w:cs="Times New Roman"/>
      <w:b/>
      <w:bCs/>
      <w:sz w:val="32"/>
      <w:szCs w:val="32"/>
    </w:rPr>
  </w:style>
  <w:style w:type="character" w:customStyle="1" w:styleId="42">
    <w:name w:val="批注主题 字符"/>
    <w:basedOn w:val="43"/>
    <w:link w:val="26"/>
    <w:autoRedefine/>
    <w:qFormat/>
    <w:locked/>
    <w:uiPriority w:val="99"/>
    <w:rPr>
      <w:rFonts w:ascii="Times New Roman" w:hAnsi="Times New Roman" w:eastAsia="宋体" w:cs="Times New Roman"/>
      <w:b/>
      <w:bCs/>
      <w:kern w:val="2"/>
      <w:sz w:val="24"/>
      <w:szCs w:val="24"/>
    </w:rPr>
  </w:style>
  <w:style w:type="character" w:customStyle="1" w:styleId="43">
    <w:name w:val="批注文字 字符"/>
    <w:basedOn w:val="31"/>
    <w:link w:val="10"/>
    <w:autoRedefine/>
    <w:qFormat/>
    <w:locked/>
    <w:uiPriority w:val="99"/>
    <w:rPr>
      <w:rFonts w:ascii="Times New Roman" w:hAnsi="Times New Roman" w:eastAsia="宋体" w:cs="Times New Roman"/>
      <w:kern w:val="2"/>
      <w:sz w:val="24"/>
      <w:szCs w:val="24"/>
    </w:rPr>
  </w:style>
  <w:style w:type="character" w:customStyle="1" w:styleId="44">
    <w:name w:val="正文文本 字符"/>
    <w:basedOn w:val="31"/>
    <w:link w:val="11"/>
    <w:autoRedefine/>
    <w:semiHidden/>
    <w:qFormat/>
    <w:locked/>
    <w:uiPriority w:val="99"/>
    <w:rPr>
      <w:rFonts w:cs="Times New Roman"/>
      <w:sz w:val="24"/>
      <w:szCs w:val="24"/>
    </w:rPr>
  </w:style>
  <w:style w:type="character" w:customStyle="1" w:styleId="45">
    <w:name w:val="font01"/>
    <w:autoRedefine/>
    <w:qFormat/>
    <w:uiPriority w:val="0"/>
    <w:rPr>
      <w:rFonts w:hint="eastAsia" w:ascii="宋体" w:hAnsi="宋体" w:eastAsia="宋体" w:cs="宋体"/>
      <w:color w:val="000000"/>
      <w:sz w:val="24"/>
      <w:szCs w:val="24"/>
      <w:u w:val="none"/>
    </w:rPr>
  </w:style>
  <w:style w:type="character" w:customStyle="1" w:styleId="46">
    <w:name w:val="页眉 字符"/>
    <w:basedOn w:val="31"/>
    <w:link w:val="21"/>
    <w:autoRedefine/>
    <w:semiHidden/>
    <w:qFormat/>
    <w:locked/>
    <w:uiPriority w:val="99"/>
    <w:rPr>
      <w:rFonts w:cs="Times New Roman"/>
      <w:sz w:val="18"/>
      <w:szCs w:val="18"/>
    </w:rPr>
  </w:style>
  <w:style w:type="character" w:customStyle="1" w:styleId="47">
    <w:name w:val="标题 3 字符"/>
    <w:basedOn w:val="31"/>
    <w:link w:val="4"/>
    <w:autoRedefine/>
    <w:semiHidden/>
    <w:qFormat/>
    <w:locked/>
    <w:uiPriority w:val="99"/>
    <w:rPr>
      <w:rFonts w:cs="Times New Roman"/>
      <w:b/>
      <w:bCs/>
      <w:sz w:val="32"/>
      <w:szCs w:val="32"/>
    </w:rPr>
  </w:style>
  <w:style w:type="character" w:customStyle="1" w:styleId="48">
    <w:name w:val="日期 字符"/>
    <w:basedOn w:val="31"/>
    <w:link w:val="15"/>
    <w:autoRedefine/>
    <w:semiHidden/>
    <w:qFormat/>
    <w:locked/>
    <w:uiPriority w:val="99"/>
    <w:rPr>
      <w:rFonts w:cs="Times New Roman"/>
      <w:sz w:val="24"/>
      <w:szCs w:val="24"/>
    </w:rPr>
  </w:style>
  <w:style w:type="character" w:customStyle="1" w:styleId="49">
    <w:name w:val="批注框文本 字符"/>
    <w:basedOn w:val="31"/>
    <w:link w:val="18"/>
    <w:autoRedefine/>
    <w:qFormat/>
    <w:locked/>
    <w:uiPriority w:val="99"/>
    <w:rPr>
      <w:rFonts w:ascii="Times New Roman" w:hAnsi="Times New Roman" w:eastAsia="宋体" w:cs="Times New Roman"/>
      <w:kern w:val="2"/>
      <w:sz w:val="18"/>
      <w:szCs w:val="18"/>
    </w:rPr>
  </w:style>
  <w:style w:type="character" w:customStyle="1" w:styleId="50">
    <w:name w:val="font31"/>
    <w:basedOn w:val="31"/>
    <w:autoRedefine/>
    <w:qFormat/>
    <w:uiPriority w:val="0"/>
    <w:rPr>
      <w:rFonts w:hint="eastAsia" w:ascii="宋体" w:hAnsi="宋体" w:eastAsia="宋体" w:cs="宋体"/>
      <w:color w:val="000000"/>
      <w:sz w:val="24"/>
      <w:szCs w:val="24"/>
      <w:u w:val="none"/>
    </w:rPr>
  </w:style>
  <w:style w:type="character" w:customStyle="1" w:styleId="51">
    <w:name w:val="正文文本缩进 字符"/>
    <w:basedOn w:val="31"/>
    <w:link w:val="12"/>
    <w:autoRedefine/>
    <w:qFormat/>
    <w:locked/>
    <w:uiPriority w:val="99"/>
    <w:rPr>
      <w:rFonts w:cs="Times New Roman"/>
      <w:kern w:val="2"/>
      <w:sz w:val="24"/>
      <w:szCs w:val="24"/>
    </w:rPr>
  </w:style>
  <w:style w:type="character" w:customStyle="1" w:styleId="52">
    <w:name w:val="纯文本 字符"/>
    <w:basedOn w:val="31"/>
    <w:link w:val="14"/>
    <w:autoRedefine/>
    <w:semiHidden/>
    <w:qFormat/>
    <w:locked/>
    <w:uiPriority w:val="99"/>
    <w:rPr>
      <w:rFonts w:ascii="宋体" w:hAnsi="Courier New" w:cs="Courier New"/>
      <w:sz w:val="21"/>
      <w:szCs w:val="21"/>
    </w:rPr>
  </w:style>
  <w:style w:type="character" w:customStyle="1" w:styleId="53">
    <w:name w:val="标题 1 字符"/>
    <w:basedOn w:val="31"/>
    <w:link w:val="2"/>
    <w:autoRedefine/>
    <w:qFormat/>
    <w:locked/>
    <w:uiPriority w:val="99"/>
    <w:rPr>
      <w:rFonts w:ascii="Times New Roman" w:hAnsi="Times New Roman" w:cs="Times New Roman"/>
      <w:b/>
      <w:bCs/>
      <w:kern w:val="44"/>
      <w:sz w:val="44"/>
      <w:szCs w:val="44"/>
    </w:rPr>
  </w:style>
  <w:style w:type="character" w:customStyle="1" w:styleId="54">
    <w:name w:val="font11"/>
    <w:basedOn w:val="31"/>
    <w:autoRedefine/>
    <w:qFormat/>
    <w:uiPriority w:val="0"/>
    <w:rPr>
      <w:rFonts w:hint="default" w:ascii="Times New Roman" w:hAnsi="Times New Roman" w:cs="Times New Roman"/>
      <w:color w:val="000000"/>
      <w:sz w:val="24"/>
      <w:szCs w:val="24"/>
      <w:u w:val="none"/>
    </w:rPr>
  </w:style>
  <w:style w:type="character" w:customStyle="1" w:styleId="55">
    <w:name w:val="页脚 字符"/>
    <w:basedOn w:val="31"/>
    <w:link w:val="19"/>
    <w:autoRedefine/>
    <w:semiHidden/>
    <w:qFormat/>
    <w:locked/>
    <w:uiPriority w:val="99"/>
    <w:rPr>
      <w:rFonts w:cs="Times New Roman"/>
      <w:sz w:val="18"/>
      <w:szCs w:val="18"/>
    </w:rPr>
  </w:style>
  <w:style w:type="paragraph" w:customStyle="1" w:styleId="56">
    <w:name w:val="正文_14"/>
    <w:autoRedefine/>
    <w:qFormat/>
    <w:uiPriority w:val="99"/>
    <w:rPr>
      <w:rFonts w:ascii="Times New Roman" w:hAnsi="Times New Roman" w:eastAsia="宋体" w:cs="Times New Roman"/>
      <w:sz w:val="21"/>
      <w:szCs w:val="22"/>
      <w:lang w:val="en-US" w:eastAsia="zh-CN" w:bidi="ar-SA"/>
    </w:rPr>
  </w:style>
  <w:style w:type="paragraph" w:customStyle="1" w:styleId="57">
    <w:name w:val="正文_6"/>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正文_3_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纯文本_3"/>
    <w:basedOn w:val="60"/>
    <w:autoRedefine/>
    <w:qFormat/>
    <w:uiPriority w:val="99"/>
    <w:pPr>
      <w:widowControl/>
      <w:jc w:val="left"/>
    </w:pPr>
    <w:rPr>
      <w:rFonts w:ascii="宋体" w:hAnsi="Courier New"/>
      <w:szCs w:val="21"/>
    </w:rPr>
  </w:style>
  <w:style w:type="paragraph" w:customStyle="1" w:styleId="60">
    <w:name w:val="正文_1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正文_5"/>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Normal_15"/>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63">
    <w:name w:val="列出段落1"/>
    <w:basedOn w:val="1"/>
    <w:autoRedefine/>
    <w:qFormat/>
    <w:uiPriority w:val="99"/>
    <w:pPr>
      <w:ind w:firstLine="420" w:firstLineChars="200"/>
    </w:pPr>
    <w:rPr>
      <w:rFonts w:ascii="Calibri" w:hAnsi="Calibri"/>
      <w:kern w:val="0"/>
      <w:szCs w:val="20"/>
    </w:rPr>
  </w:style>
  <w:style w:type="paragraph" w:customStyle="1" w:styleId="64">
    <w:name w:val="zw"/>
    <w:basedOn w:val="1"/>
    <w:autoRedefine/>
    <w:qFormat/>
    <w:uiPriority w:val="99"/>
    <w:pPr>
      <w:widowControl/>
      <w:spacing w:before="30"/>
      <w:ind w:left="100" w:right="100"/>
    </w:pPr>
    <w:rPr>
      <w:rFonts w:ascii="方正书宋简体" w:hAnsi="宋体" w:eastAsia="方正书宋简体"/>
      <w:color w:val="000000"/>
      <w:kern w:val="0"/>
      <w:szCs w:val="21"/>
    </w:rPr>
  </w:style>
  <w:style w:type="paragraph" w:customStyle="1" w:styleId="65">
    <w:name w:val="无间隔11"/>
    <w:autoRedefine/>
    <w:qFormat/>
    <w:uiPriority w:val="99"/>
    <w:pPr>
      <w:adjustRightInd w:val="0"/>
      <w:snapToGrid w:val="0"/>
    </w:pPr>
    <w:rPr>
      <w:rFonts w:ascii="Tahoma" w:hAnsi="Tahoma" w:eastAsia="微软雅黑" w:cs="Times New Roman"/>
      <w:sz w:val="22"/>
      <w:szCs w:val="22"/>
      <w:lang w:val="en-US" w:eastAsia="zh-CN" w:bidi="ar-SA"/>
    </w:rPr>
  </w:style>
  <w:style w:type="paragraph" w:customStyle="1" w:styleId="66">
    <w:name w:val="正文2"/>
    <w:basedOn w:val="1"/>
    <w:autoRedefine/>
    <w:qFormat/>
    <w:uiPriority w:val="0"/>
    <w:pPr>
      <w:spacing w:before="156" w:line="360" w:lineRule="auto"/>
      <w:ind w:firstLine="510" w:firstLineChars="200"/>
    </w:pPr>
    <w:rPr>
      <w:sz w:val="24"/>
      <w:szCs w:val="20"/>
    </w:rPr>
  </w:style>
  <w:style w:type="paragraph" w:customStyle="1" w:styleId="67">
    <w:name w:val="正文_4"/>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8">
    <w:name w:val="正文_17"/>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9">
    <w:name w:val="页眉与页脚"/>
    <w:autoRedefine/>
    <w:qFormat/>
    <w:uiPriority w:val="99"/>
    <w:pPr>
      <w:tabs>
        <w:tab w:val="right" w:pos="9020"/>
      </w:tabs>
    </w:pPr>
    <w:rPr>
      <w:rFonts w:ascii="Helvetica" w:hAnsi="Helvetica" w:eastAsia="宋体" w:cs="Arial Unicode MS"/>
      <w:color w:val="000000"/>
      <w:sz w:val="24"/>
      <w:szCs w:val="24"/>
      <w:lang w:val="en-US" w:eastAsia="zh-CN" w:bidi="ar-SA"/>
    </w:rPr>
  </w:style>
  <w:style w:type="paragraph" w:customStyle="1" w:styleId="70">
    <w:name w:val="列表段落1"/>
    <w:basedOn w:val="1"/>
    <w:autoRedefine/>
    <w:qFormat/>
    <w:uiPriority w:val="99"/>
    <w:pPr>
      <w:ind w:firstLine="420" w:firstLineChars="200"/>
    </w:pPr>
    <w:rPr>
      <w:rFonts w:ascii="Calibri" w:hAnsi="Calibri"/>
      <w:szCs w:val="22"/>
    </w:rPr>
  </w:style>
  <w:style w:type="paragraph" w:customStyle="1" w:styleId="71">
    <w:name w:val="reader-word-layer"/>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72">
    <w:name w:val="纯文本_0_1"/>
    <w:basedOn w:val="1"/>
    <w:autoRedefine/>
    <w:qFormat/>
    <w:uiPriority w:val="99"/>
    <w:pPr>
      <w:widowControl/>
      <w:jc w:val="left"/>
    </w:pPr>
    <w:rPr>
      <w:rFonts w:ascii="宋体" w:hAnsi="Courier New"/>
      <w:szCs w:val="21"/>
    </w:rPr>
  </w:style>
  <w:style w:type="paragraph" w:customStyle="1" w:styleId="73">
    <w:name w:val="表格文字"/>
    <w:basedOn w:val="1"/>
    <w:next w:val="11"/>
    <w:autoRedefine/>
    <w:qFormat/>
    <w:uiPriority w:val="99"/>
    <w:pPr>
      <w:adjustRightInd w:val="0"/>
      <w:spacing w:line="420" w:lineRule="atLeast"/>
      <w:jc w:val="left"/>
      <w:textAlignment w:val="baseline"/>
    </w:pPr>
    <w:rPr>
      <w:kern w:val="0"/>
    </w:rPr>
  </w:style>
  <w:style w:type="paragraph" w:customStyle="1" w:styleId="74">
    <w:name w:val="无间隔1"/>
    <w:autoRedefine/>
    <w:qFormat/>
    <w:uiPriority w:val="99"/>
    <w:pPr>
      <w:adjustRightInd w:val="0"/>
      <w:snapToGrid w:val="0"/>
    </w:pPr>
    <w:rPr>
      <w:rFonts w:ascii="Tahoma" w:hAnsi="Tahoma" w:eastAsia="微软雅黑" w:cs="Times New Roman"/>
      <w:sz w:val="22"/>
      <w:szCs w:val="22"/>
      <w:lang w:val="en-US" w:eastAsia="zh-CN" w:bidi="ar-SA"/>
    </w:rPr>
  </w:style>
  <w:style w:type="paragraph" w:customStyle="1" w:styleId="75">
    <w:name w:val="正文 A"/>
    <w:autoRedefine/>
    <w:qFormat/>
    <w:uiPriority w:val="99"/>
    <w:pPr>
      <w:widowControl w:val="0"/>
      <w:jc w:val="both"/>
    </w:pPr>
    <w:rPr>
      <w:rFonts w:ascii="Calibri" w:hAnsi="Calibri" w:eastAsia="宋体" w:cs="Calibri"/>
      <w:color w:val="000000"/>
      <w:kern w:val="2"/>
      <w:sz w:val="21"/>
      <w:szCs w:val="21"/>
      <w:lang w:val="en-US" w:eastAsia="zh-CN" w:bidi="ar-SA"/>
    </w:rPr>
  </w:style>
  <w:style w:type="paragraph" w:customStyle="1" w:styleId="76">
    <w:name w:val="正文_2_0"/>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77">
    <w:name w:val="标题 4 字符"/>
    <w:basedOn w:val="31"/>
    <w:link w:val="5"/>
    <w:autoRedefine/>
    <w:qFormat/>
    <w:uiPriority w:val="9"/>
    <w:rPr>
      <w:rFonts w:asciiTheme="majorHAnsi" w:hAnsiTheme="majorHAnsi" w:eastAsiaTheme="majorEastAsia" w:cstheme="majorBidi"/>
      <w:b/>
      <w:bCs/>
      <w:kern w:val="2"/>
      <w:sz w:val="28"/>
      <w:szCs w:val="28"/>
    </w:rPr>
  </w:style>
  <w:style w:type="paragraph" w:styleId="78">
    <w:name w:val="No Spacing"/>
    <w:autoRedefine/>
    <w:qFormat/>
    <w:uiPriority w:val="0"/>
    <w:pPr>
      <w:widowControl w:val="0"/>
      <w:spacing w:beforeLines="50"/>
      <w:jc w:val="both"/>
    </w:pPr>
    <w:rPr>
      <w:rFonts w:ascii="Calibri" w:hAnsi="Calibri" w:eastAsia="Times New Roman" w:cs="Times New Roman"/>
      <w:kern w:val="2"/>
      <w:sz w:val="21"/>
      <w:szCs w:val="22"/>
      <w:lang w:val="en-US" w:eastAsia="zh-CN" w:bidi="ar-SA"/>
    </w:rPr>
  </w:style>
  <w:style w:type="paragraph" w:customStyle="1" w:styleId="79">
    <w:name w:val="Table Paragraph"/>
    <w:basedOn w:val="1"/>
    <w:autoRedefine/>
    <w:qFormat/>
    <w:uiPriority w:val="1"/>
  </w:style>
  <w:style w:type="paragraph" w:styleId="80">
    <w:name w:val="List Paragraph"/>
    <w:basedOn w:val="1"/>
    <w:autoRedefine/>
    <w:qFormat/>
    <w:uiPriority w:val="34"/>
    <w:pPr>
      <w:ind w:firstLine="420" w:firstLineChars="200"/>
    </w:pPr>
  </w:style>
  <w:style w:type="paragraph" w:customStyle="1" w:styleId="81">
    <w:name w:val="Default"/>
    <w:autoRedefine/>
    <w:qFormat/>
    <w:uiPriority w:val="0"/>
    <w:pPr>
      <w:widowControl w:val="0"/>
      <w:autoSpaceDE w:val="0"/>
      <w:autoSpaceDN w:val="0"/>
      <w:adjustRightInd w:val="0"/>
    </w:pPr>
    <w:rPr>
      <w:rFonts w:ascii="仿宋_GB2312" w:hAnsi="仿宋_GB2312" w:eastAsia="宋体" w:cs="仿宋_GB2312"/>
      <w:color w:val="000000"/>
      <w:sz w:val="24"/>
      <w:szCs w:val="24"/>
      <w:lang w:val="en-US" w:eastAsia="zh-CN" w:bidi="ar-SA"/>
    </w:rPr>
  </w:style>
  <w:style w:type="table" w:customStyle="1" w:styleId="82">
    <w:name w:val="网格型13"/>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3">
    <w:name w:val="网格型12"/>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4">
    <w:name w:val="网格型17"/>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5">
    <w:name w:val="网格型4"/>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6">
    <w:name w:val="网格型7"/>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7">
    <w:name w:val="网格型8"/>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8">
    <w:name w:val="网格型91"/>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9">
    <w:name w:val="网格型15"/>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0">
    <w:name w:val="网格型16"/>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
    <w:name w:val="网格型51"/>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
    <w:name w:val="网格型1"/>
    <w:basedOn w:val="2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
    <w:name w:val="txt"/>
    <w:basedOn w:val="1"/>
    <w:qFormat/>
    <w:uiPriority w:val="0"/>
    <w:pPr>
      <w:widowControl/>
      <w:spacing w:before="100" w:beforeAutospacing="1" w:after="100" w:afterAutospacing="1"/>
      <w:jc w:val="left"/>
    </w:pPr>
    <w:rPr>
      <w:rFonts w:ascii="宋体" w:hAnsi="宋体" w:cs="宋体"/>
      <w:kern w:val="0"/>
      <w:sz w:val="24"/>
    </w:rPr>
  </w:style>
  <w:style w:type="paragraph" w:customStyle="1" w:styleId="94">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95">
    <w:name w:val="p0"/>
    <w:basedOn w:val="1"/>
    <w:qFormat/>
    <w:uiPriority w:val="0"/>
    <w:pPr>
      <w:widowControl/>
      <w:spacing w:before="100" w:beforeAutospacing="1" w:after="100" w:afterAutospacing="1"/>
      <w:jc w:val="left"/>
    </w:pPr>
    <w:rPr>
      <w:rFonts w:ascii="宋体" w:hAnsi="宋体" w:cs="宋体"/>
      <w:kern w:val="0"/>
      <w:sz w:val="24"/>
    </w:rPr>
  </w:style>
  <w:style w:type="character" w:customStyle="1" w:styleId="96">
    <w:name w:val="font21"/>
    <w:basedOn w:val="31"/>
    <w:qFormat/>
    <w:uiPriority w:val="0"/>
    <w:rPr>
      <w:rFonts w:hint="eastAsia" w:ascii="宋体" w:hAnsi="宋体" w:eastAsia="宋体" w:cs="宋体"/>
      <w:color w:val="000000"/>
      <w:sz w:val="24"/>
      <w:szCs w:val="24"/>
      <w:u w:val="none"/>
    </w:rPr>
  </w:style>
  <w:style w:type="paragraph" w:customStyle="1" w:styleId="97">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Sky123.Org</Company>
  <Pages>89</Pages>
  <Words>19295</Words>
  <Characters>20852</Characters>
  <Lines>361</Lines>
  <Paragraphs>101</Paragraphs>
  <TotalTime>29</TotalTime>
  <ScaleCrop>false</ScaleCrop>
  <LinksUpToDate>false</LinksUpToDate>
  <CharactersWithSpaces>20898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2024-12-24T08:51:00Z</dcterms:created>
  <dc:creator>S-mile</dc:creator>
  <cp:lastModifiedBy>陆喵了个白。</cp:lastModifiedBy>
  <dcterms:modified xsi:type="dcterms:W3CDTF">2025-04-21T02:42:25Z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6B3AF1AAF6214FEBB9D2B5E67F571C40_13</vt:lpwstr>
  </property>
  <property fmtid="{D5CDD505-2E9C-101B-9397-08002B2CF9AE}" pid="4" name="KSOTemplateDocerSaveRecord">
    <vt:lpwstr>eyJoZGlkIjoiNTM2ZTQxNTQzNmMwZTE5YjQyNjM0N2NiOGE4ZmZiNGIiLCJ1c2VySWQiOiIzMzg4NDkwNTkifQ==</vt:lpwstr>
  </property>
</Properties>
</file>