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hint="eastAsia" w:ascii="微软雅黑" w:hAnsi="微软雅黑" w:eastAsia="微软雅黑" w:cs="微软雅黑"/>
          <w:b/>
          <w:sz w:val="36"/>
          <w:szCs w:val="36"/>
          <w:highlight w:val="none"/>
          <w:lang w:val="en-US" w:eastAsia="zh-CN"/>
        </w:rPr>
      </w:pPr>
      <w:r>
        <w:rPr>
          <w:rFonts w:hint="eastAsia" w:ascii="微软雅黑" w:hAnsi="微软雅黑" w:eastAsia="微软雅黑" w:cs="微软雅黑"/>
          <w:b/>
          <w:sz w:val="36"/>
          <w:szCs w:val="36"/>
          <w:highlight w:val="none"/>
          <w:lang w:val="en-US" w:eastAsia="zh-CN"/>
        </w:rPr>
        <w:t>衢州动力电池和储能研究院</w:t>
      </w:r>
    </w:p>
    <w:p>
      <w:pPr>
        <w:adjustRightInd w:val="0"/>
        <w:snapToGrid w:val="0"/>
        <w:spacing w:line="300" w:lineRule="auto"/>
        <w:jc w:val="center"/>
        <w:rPr>
          <w:rFonts w:hint="eastAsia" w:ascii="微软雅黑" w:hAnsi="微软雅黑" w:eastAsia="微软雅黑" w:cs="微软雅黑"/>
          <w:b/>
          <w:sz w:val="36"/>
          <w:szCs w:val="36"/>
          <w:highlight w:val="none"/>
        </w:rPr>
      </w:pPr>
      <w:r>
        <w:rPr>
          <w:rFonts w:hint="eastAsia" w:ascii="微软雅黑" w:hAnsi="微软雅黑" w:eastAsia="微软雅黑" w:cs="微软雅黑"/>
          <w:b/>
          <w:sz w:val="36"/>
          <w:szCs w:val="36"/>
          <w:highlight w:val="none"/>
          <w:lang w:val="en-US" w:eastAsia="zh-CN"/>
        </w:rPr>
        <w:t>高能比硫化物全固态电池自动孵化线</w:t>
      </w:r>
    </w:p>
    <w:p>
      <w:pPr>
        <w:outlineLvl w:val="9"/>
        <w:rPr>
          <w:highlight w:val="none"/>
        </w:rPr>
      </w:pPr>
      <w:r>
        <w:rPr>
          <w:rFonts w:hint="eastAsia" w:ascii="微软雅黑" w:hAnsi="微软雅黑" w:eastAsia="微软雅黑" w:cs="微软雅黑"/>
          <w:b/>
          <w:highlight w:val="none"/>
        </w:rPr>
        <w:drawing>
          <wp:inline distT="0" distB="0" distL="114300" distR="114300">
            <wp:extent cx="5658485" cy="932815"/>
            <wp:effectExtent l="0" t="0" r="18415" b="635"/>
            <wp:docPr id="7" name="图片 7" descr="微信图片_20211120124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11120124212"/>
                    <pic:cNvPicPr>
                      <a:picLocks noChangeAspect="1"/>
                    </pic:cNvPicPr>
                  </pic:nvPicPr>
                  <pic:blipFill>
                    <a:blip r:embed="rId9"/>
                    <a:stretch>
                      <a:fillRect/>
                    </a:stretch>
                  </pic:blipFill>
                  <pic:spPr>
                    <a:xfrm>
                      <a:off x="0" y="0"/>
                      <a:ext cx="5658485" cy="932815"/>
                    </a:xfrm>
                    <a:prstGeom prst="rect">
                      <a:avLst/>
                    </a:prstGeom>
                    <a:noFill/>
                    <a:ln>
                      <a:noFill/>
                    </a:ln>
                  </pic:spPr>
                </pic:pic>
              </a:graphicData>
            </a:graphic>
          </wp:inline>
        </w:drawing>
      </w:r>
    </w:p>
    <w:p>
      <w:pPr>
        <w:adjustRightInd w:val="0"/>
        <w:snapToGrid w:val="0"/>
        <w:spacing w:line="300" w:lineRule="auto"/>
        <w:jc w:val="center"/>
        <w:rPr>
          <w:rFonts w:hint="eastAsia" w:ascii="微软雅黑" w:hAnsi="微软雅黑" w:eastAsia="微软雅黑" w:cs="微软雅黑"/>
          <w:b/>
          <w:szCs w:val="21"/>
          <w:highlight w:val="none"/>
        </w:rPr>
      </w:pPr>
    </w:p>
    <w:p>
      <w:pPr>
        <w:adjustRightInd w:val="0"/>
        <w:snapToGrid w:val="0"/>
        <w:spacing w:line="300" w:lineRule="auto"/>
        <w:jc w:val="center"/>
        <w:rPr>
          <w:rFonts w:hint="eastAsia" w:ascii="微软雅黑" w:hAnsi="微软雅黑" w:eastAsia="微软雅黑" w:cs="微软雅黑"/>
          <w:b/>
          <w:sz w:val="30"/>
          <w:szCs w:val="30"/>
          <w:highlight w:val="none"/>
        </w:rPr>
      </w:pPr>
    </w:p>
    <w:p>
      <w:pPr>
        <w:adjustRightInd w:val="0"/>
        <w:snapToGrid w:val="0"/>
        <w:spacing w:line="300" w:lineRule="auto"/>
        <w:jc w:val="center"/>
        <w:rPr>
          <w:rFonts w:hint="eastAsia" w:ascii="微软雅黑" w:hAnsi="微软雅黑" w:eastAsia="微软雅黑" w:cs="微软雅黑"/>
          <w:b/>
          <w:sz w:val="72"/>
          <w:szCs w:val="72"/>
          <w:highlight w:val="none"/>
        </w:rPr>
      </w:pPr>
      <w:r>
        <w:rPr>
          <w:rFonts w:hint="eastAsia" w:ascii="微软雅黑" w:hAnsi="微软雅黑" w:eastAsia="微软雅黑" w:cs="微软雅黑"/>
          <w:b/>
          <w:sz w:val="72"/>
          <w:szCs w:val="72"/>
          <w:highlight w:val="none"/>
        </w:rPr>
        <w:t>公开招标文件</w:t>
      </w:r>
    </w:p>
    <w:p>
      <w:pPr>
        <w:rPr>
          <w:rFonts w:hint="eastAsia"/>
          <w:highlight w:val="none"/>
        </w:rPr>
      </w:pPr>
    </w:p>
    <w:p>
      <w:pPr>
        <w:pStyle w:val="18"/>
        <w:rPr>
          <w:rFonts w:hint="eastAsia"/>
          <w:highlight w:val="none"/>
        </w:rPr>
      </w:pPr>
    </w:p>
    <w:p>
      <w:pPr>
        <w:adjustRightInd w:val="0"/>
        <w:snapToGrid w:val="0"/>
        <w:spacing w:line="300" w:lineRule="auto"/>
        <w:ind w:firstLine="1050" w:firstLineChars="500"/>
        <w:rPr>
          <w:rFonts w:hint="eastAsia" w:ascii="微软雅黑" w:hAnsi="微软雅黑" w:eastAsia="微软雅黑" w:cs="微软雅黑"/>
          <w:szCs w:val="21"/>
          <w:highlight w:val="none"/>
        </w:rPr>
      </w:pPr>
    </w:p>
    <w:p>
      <w:pPr>
        <w:adjustRightInd w:val="0"/>
        <w:snapToGrid w:val="0"/>
        <w:spacing w:line="300" w:lineRule="auto"/>
        <w:rPr>
          <w:rFonts w:hint="eastAsia" w:ascii="微软雅黑" w:hAnsi="微软雅黑" w:eastAsia="微软雅黑" w:cs="微软雅黑"/>
          <w:b/>
          <w:sz w:val="30"/>
          <w:szCs w:val="30"/>
          <w:highlight w:val="none"/>
        </w:rPr>
      </w:pPr>
    </w:p>
    <w:p>
      <w:pPr>
        <w:adjustRightInd w:val="0"/>
        <w:snapToGrid w:val="0"/>
        <w:spacing w:line="300" w:lineRule="auto"/>
        <w:jc w:val="center"/>
        <w:rPr>
          <w:rFonts w:hint="eastAsia" w:ascii="微软雅黑" w:hAnsi="微软雅黑" w:eastAsia="微软雅黑" w:cs="微软雅黑"/>
          <w:b/>
          <w:sz w:val="30"/>
          <w:szCs w:val="30"/>
          <w:highlight w:val="none"/>
        </w:rPr>
      </w:pPr>
      <w:r>
        <w:rPr>
          <w:rFonts w:hint="eastAsia" w:ascii="微软雅黑" w:hAnsi="微软雅黑" w:eastAsia="微软雅黑" w:cs="微软雅黑"/>
          <w:b/>
          <w:sz w:val="30"/>
          <w:szCs w:val="30"/>
          <w:highlight w:val="none"/>
        </w:rPr>
        <w:t>采购方式：公开招标</w:t>
      </w:r>
    </w:p>
    <w:p>
      <w:pPr>
        <w:adjustRightInd w:val="0"/>
        <w:snapToGrid w:val="0"/>
        <w:spacing w:line="300" w:lineRule="auto"/>
        <w:jc w:val="center"/>
        <w:rPr>
          <w:rFonts w:hint="eastAsia" w:ascii="微软雅黑" w:hAnsi="微软雅黑" w:eastAsia="微软雅黑" w:cs="微软雅黑"/>
          <w:b/>
          <w:sz w:val="30"/>
          <w:szCs w:val="30"/>
          <w:highlight w:val="none"/>
          <w:lang w:eastAsia="zh-CN"/>
        </w:rPr>
      </w:pPr>
      <w:r>
        <w:rPr>
          <w:rFonts w:hint="eastAsia" w:ascii="微软雅黑" w:hAnsi="微软雅黑" w:eastAsia="微软雅黑" w:cs="微软雅黑"/>
          <w:b/>
          <w:sz w:val="30"/>
          <w:szCs w:val="30"/>
          <w:highlight w:val="none"/>
        </w:rPr>
        <w:t>项目编号：DLDC-2024-GKZB00015</w:t>
      </w:r>
    </w:p>
    <w:p>
      <w:pPr>
        <w:adjustRightInd w:val="0"/>
        <w:snapToGrid w:val="0"/>
        <w:spacing w:line="300" w:lineRule="auto"/>
        <w:jc w:val="center"/>
        <w:rPr>
          <w:rFonts w:hint="eastAsia" w:ascii="微软雅黑" w:hAnsi="微软雅黑" w:eastAsia="微软雅黑" w:cs="微软雅黑"/>
          <w:b/>
          <w:sz w:val="30"/>
          <w:szCs w:val="30"/>
          <w:highlight w:val="none"/>
          <w:lang w:eastAsia="zh-CN"/>
        </w:rPr>
      </w:pPr>
      <w:r>
        <w:rPr>
          <w:rFonts w:hint="eastAsia" w:ascii="微软雅黑" w:hAnsi="微软雅黑" w:eastAsia="微软雅黑" w:cs="微软雅黑"/>
          <w:b/>
          <w:sz w:val="30"/>
          <w:szCs w:val="30"/>
          <w:highlight w:val="none"/>
        </w:rPr>
        <w:t>采购人：</w:t>
      </w:r>
      <w:r>
        <w:rPr>
          <w:rFonts w:hint="eastAsia" w:ascii="微软雅黑" w:hAnsi="微软雅黑" w:eastAsia="微软雅黑" w:cs="微软雅黑"/>
          <w:b/>
          <w:sz w:val="30"/>
          <w:szCs w:val="30"/>
          <w:highlight w:val="none"/>
          <w:lang w:eastAsia="zh-CN"/>
        </w:rPr>
        <w:t>衢州动力电池和储能研究院</w:t>
      </w:r>
    </w:p>
    <w:p>
      <w:pPr>
        <w:adjustRightInd w:val="0"/>
        <w:snapToGrid w:val="0"/>
        <w:spacing w:line="300" w:lineRule="auto"/>
        <w:jc w:val="center"/>
        <w:rPr>
          <w:rFonts w:hint="eastAsia" w:ascii="微软雅黑" w:hAnsi="微软雅黑" w:eastAsia="微软雅黑" w:cs="微软雅黑"/>
          <w:b/>
          <w:sz w:val="30"/>
          <w:szCs w:val="30"/>
          <w:highlight w:val="none"/>
        </w:rPr>
      </w:pPr>
      <w:r>
        <w:rPr>
          <w:rFonts w:hint="eastAsia" w:ascii="微软雅黑" w:hAnsi="微软雅黑" w:eastAsia="微软雅黑" w:cs="微软雅黑"/>
          <w:b/>
          <w:sz w:val="30"/>
          <w:szCs w:val="30"/>
          <w:highlight w:val="none"/>
        </w:rPr>
        <w:t>采购代理机构：</w:t>
      </w:r>
      <w:r>
        <w:rPr>
          <w:rFonts w:hint="eastAsia" w:ascii="微软雅黑" w:hAnsi="微软雅黑" w:eastAsia="微软雅黑" w:cs="微软雅黑"/>
          <w:b/>
          <w:sz w:val="30"/>
          <w:szCs w:val="30"/>
          <w:highlight w:val="none"/>
          <w:lang w:eastAsia="zh-CN"/>
        </w:rPr>
        <w:t>浙江五石中正工程咨询有限公司</w:t>
      </w:r>
      <w:r>
        <w:rPr>
          <w:rFonts w:hint="eastAsia" w:ascii="微软雅黑" w:hAnsi="微软雅黑" w:eastAsia="微软雅黑" w:cs="微软雅黑"/>
          <w:b/>
          <w:sz w:val="30"/>
          <w:szCs w:val="30"/>
          <w:highlight w:val="none"/>
        </w:rPr>
        <w:t>（盖章）</w:t>
      </w:r>
    </w:p>
    <w:p>
      <w:pPr>
        <w:pStyle w:val="18"/>
        <w:jc w:val="center"/>
        <w:rPr>
          <w:rFonts w:hint="eastAsia" w:ascii="仿宋" w:hAnsi="仿宋" w:eastAsia="仿宋" w:cs="仿宋"/>
          <w:sz w:val="30"/>
          <w:highlight w:val="none"/>
        </w:rPr>
      </w:pPr>
      <w:r>
        <w:rPr>
          <w:rFonts w:hint="eastAsia" w:ascii="微软雅黑" w:hAnsi="微软雅黑" w:eastAsia="微软雅黑" w:cs="微软雅黑"/>
          <w:b/>
          <w:sz w:val="30"/>
          <w:szCs w:val="30"/>
          <w:highlight w:val="none"/>
        </w:rPr>
        <w:t>日期：二〇二</w:t>
      </w:r>
      <w:r>
        <w:rPr>
          <w:rFonts w:hint="eastAsia" w:ascii="微软雅黑" w:hAnsi="微软雅黑" w:eastAsia="微软雅黑" w:cs="微软雅黑"/>
          <w:b/>
          <w:sz w:val="30"/>
          <w:szCs w:val="30"/>
          <w:highlight w:val="none"/>
          <w:lang w:eastAsia="zh-CN"/>
        </w:rPr>
        <w:t>四</w:t>
      </w:r>
      <w:r>
        <w:rPr>
          <w:rFonts w:hint="eastAsia" w:ascii="微软雅黑" w:hAnsi="微软雅黑" w:eastAsia="微软雅黑" w:cs="微软雅黑"/>
          <w:b/>
          <w:sz w:val="30"/>
          <w:szCs w:val="30"/>
          <w:highlight w:val="none"/>
        </w:rPr>
        <w:t>年</w:t>
      </w:r>
      <w:r>
        <w:rPr>
          <w:rFonts w:hint="eastAsia" w:ascii="微软雅黑" w:hAnsi="微软雅黑" w:eastAsia="微软雅黑" w:cs="微软雅黑"/>
          <w:b/>
          <w:sz w:val="30"/>
          <w:szCs w:val="30"/>
          <w:highlight w:val="none"/>
          <w:lang w:val="en-US" w:eastAsia="zh-CN"/>
        </w:rPr>
        <w:t>八</w:t>
      </w:r>
      <w:r>
        <w:rPr>
          <w:rFonts w:hint="eastAsia" w:ascii="微软雅黑" w:hAnsi="微软雅黑" w:eastAsia="微软雅黑" w:cs="微软雅黑"/>
          <w:b/>
          <w:sz w:val="30"/>
          <w:szCs w:val="30"/>
          <w:highlight w:val="none"/>
        </w:rPr>
        <w:t>月</w:t>
      </w:r>
    </w:p>
    <w:p>
      <w:pPr>
        <w:rPr>
          <w:rFonts w:ascii="仿宋" w:hAnsi="仿宋" w:eastAsia="仿宋" w:cs="仿宋"/>
          <w:b/>
          <w:snapToGrid w:val="0"/>
          <w:kern w:val="0"/>
          <w:sz w:val="36"/>
          <w:szCs w:val="28"/>
          <w:highlight w:val="none"/>
        </w:rPr>
      </w:pPr>
      <w:r>
        <w:rPr>
          <w:rFonts w:ascii="仿宋" w:hAnsi="仿宋" w:eastAsia="仿宋" w:cs="仿宋"/>
          <w:b/>
          <w:snapToGrid w:val="0"/>
          <w:kern w:val="0"/>
          <w:sz w:val="36"/>
          <w:szCs w:val="28"/>
          <w:highlight w:val="none"/>
        </w:rPr>
        <w:br w:type="page"/>
      </w:r>
    </w:p>
    <w:p>
      <w:pPr>
        <w:adjustRightInd w:val="0"/>
        <w:snapToGrid w:val="0"/>
        <w:spacing w:line="360" w:lineRule="auto"/>
        <w:jc w:val="center"/>
        <w:rPr>
          <w:rFonts w:ascii="仿宋" w:hAnsi="仿宋" w:eastAsia="仿宋" w:cs="仿宋"/>
          <w:b/>
          <w:snapToGrid w:val="0"/>
          <w:kern w:val="0"/>
          <w:sz w:val="36"/>
          <w:szCs w:val="28"/>
          <w:highlight w:val="none"/>
        </w:rPr>
      </w:pPr>
    </w:p>
    <w:p>
      <w:pPr>
        <w:adjustRightInd w:val="0"/>
        <w:snapToGrid w:val="0"/>
        <w:spacing w:line="360" w:lineRule="auto"/>
        <w:jc w:val="center"/>
        <w:rPr>
          <w:rFonts w:ascii="仿宋" w:hAnsi="仿宋" w:eastAsia="仿宋" w:cs="宋体"/>
          <w:b/>
          <w:snapToGrid w:val="0"/>
          <w:kern w:val="0"/>
          <w:sz w:val="44"/>
          <w:szCs w:val="44"/>
          <w:highlight w:val="none"/>
        </w:rPr>
      </w:pPr>
      <w:r>
        <w:rPr>
          <w:rFonts w:hint="eastAsia" w:ascii="仿宋" w:hAnsi="仿宋" w:eastAsia="仿宋" w:cs="宋体"/>
          <w:b/>
          <w:snapToGrid w:val="0"/>
          <w:kern w:val="0"/>
          <w:sz w:val="44"/>
          <w:szCs w:val="44"/>
          <w:highlight w:val="none"/>
        </w:rPr>
        <w:t xml:space="preserve">目  </w:t>
      </w:r>
      <w:bookmarkStart w:id="101" w:name="_GoBack"/>
      <w:bookmarkEnd w:id="101"/>
      <w:r>
        <w:rPr>
          <w:rFonts w:hint="eastAsia" w:ascii="仿宋" w:hAnsi="仿宋" w:eastAsia="仿宋" w:cs="宋体"/>
          <w:b/>
          <w:snapToGrid w:val="0"/>
          <w:kern w:val="0"/>
          <w:sz w:val="44"/>
          <w:szCs w:val="44"/>
          <w:highlight w:val="none"/>
        </w:rPr>
        <w:t xml:space="preserve">  录</w:t>
      </w:r>
    </w:p>
    <w:p>
      <w:pPr>
        <w:pStyle w:val="32"/>
        <w:tabs>
          <w:tab w:val="right" w:leader="dot" w:pos="9071"/>
          <w:tab w:val="clear" w:pos="8720"/>
        </w:tabs>
        <w:spacing w:line="360" w:lineRule="auto"/>
        <w:rPr>
          <w:rFonts w:hint="default" w:ascii="Times New Roman" w:hAnsi="Times New Roman" w:cs="Times New Roman"/>
          <w:sz w:val="32"/>
          <w:szCs w:val="32"/>
          <w:highlight w:val="none"/>
        </w:rPr>
      </w:pPr>
      <w:r>
        <w:rPr>
          <w:rFonts w:hint="default" w:ascii="Times New Roman" w:hAnsi="Times New Roman" w:eastAsia="仿宋" w:cs="Times New Roman"/>
          <w:sz w:val="32"/>
          <w:szCs w:val="32"/>
          <w:highlight w:val="none"/>
        </w:rPr>
        <w:fldChar w:fldCharType="begin"/>
      </w:r>
      <w:r>
        <w:rPr>
          <w:rFonts w:hint="default" w:ascii="Times New Roman" w:hAnsi="Times New Roman" w:eastAsia="仿宋" w:cs="Times New Roman"/>
          <w:sz w:val="32"/>
          <w:szCs w:val="32"/>
          <w:highlight w:val="none"/>
        </w:rPr>
        <w:instrText xml:space="preserve">TOC \o "1-3" \h \u </w:instrText>
      </w:r>
      <w:r>
        <w:rPr>
          <w:rFonts w:hint="default" w:ascii="Times New Roman" w:hAnsi="Times New Roman" w:eastAsia="仿宋" w:cs="Times New Roman"/>
          <w:sz w:val="32"/>
          <w:szCs w:val="32"/>
          <w:highlight w:val="none"/>
        </w:rPr>
        <w:fldChar w:fldCharType="separate"/>
      </w:r>
      <w:r>
        <w:rPr>
          <w:rFonts w:hint="default" w:ascii="Times New Roman" w:hAnsi="Times New Roman" w:eastAsia="仿宋" w:cs="Times New Roman"/>
          <w:sz w:val="32"/>
          <w:szCs w:val="32"/>
          <w:highlight w:val="none"/>
        </w:rPr>
        <w:fldChar w:fldCharType="begin"/>
      </w:r>
      <w:r>
        <w:rPr>
          <w:rFonts w:hint="default" w:ascii="Times New Roman" w:hAnsi="Times New Roman" w:eastAsia="仿宋" w:cs="Times New Roman"/>
          <w:sz w:val="32"/>
          <w:szCs w:val="32"/>
          <w:highlight w:val="none"/>
        </w:rPr>
        <w:instrText xml:space="preserve"> HYPERLINK \l _Toc16866 </w:instrText>
      </w:r>
      <w:r>
        <w:rPr>
          <w:rFonts w:hint="default" w:ascii="Times New Roman" w:hAnsi="Times New Roman" w:eastAsia="仿宋" w:cs="Times New Roman"/>
          <w:sz w:val="32"/>
          <w:szCs w:val="32"/>
          <w:highlight w:val="none"/>
        </w:rPr>
        <w:fldChar w:fldCharType="separate"/>
      </w:r>
      <w:r>
        <w:rPr>
          <w:rFonts w:hint="default" w:ascii="Times New Roman" w:hAnsi="Times New Roman" w:eastAsia="仿宋" w:cs="Times New Roman"/>
          <w:snapToGrid w:val="0"/>
          <w:kern w:val="0"/>
          <w:sz w:val="32"/>
          <w:szCs w:val="32"/>
          <w:highlight w:val="none"/>
        </w:rPr>
        <w:t>第一部分  公开招标公告</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_Toc16866 \h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3</w:t>
      </w:r>
      <w:r>
        <w:rPr>
          <w:rFonts w:hint="default" w:ascii="Times New Roman" w:hAnsi="Times New Roman" w:cs="Times New Roman"/>
          <w:sz w:val="32"/>
          <w:szCs w:val="32"/>
          <w:highlight w:val="none"/>
        </w:rPr>
        <w:fldChar w:fldCharType="end"/>
      </w:r>
      <w:r>
        <w:rPr>
          <w:rFonts w:hint="default" w:ascii="Times New Roman" w:hAnsi="Times New Roman" w:eastAsia="仿宋" w:cs="Times New Roman"/>
          <w:sz w:val="32"/>
          <w:szCs w:val="32"/>
          <w:highlight w:val="none"/>
        </w:rPr>
        <w:fldChar w:fldCharType="end"/>
      </w:r>
    </w:p>
    <w:p>
      <w:pPr>
        <w:pStyle w:val="32"/>
        <w:tabs>
          <w:tab w:val="right" w:leader="dot" w:pos="9071"/>
          <w:tab w:val="clear" w:pos="8720"/>
        </w:tabs>
        <w:spacing w:line="360" w:lineRule="auto"/>
        <w:rPr>
          <w:rFonts w:hint="default" w:ascii="Times New Roman" w:hAnsi="Times New Roman" w:cs="Times New Roman"/>
          <w:sz w:val="32"/>
          <w:szCs w:val="32"/>
          <w:highlight w:val="none"/>
        </w:rPr>
      </w:pPr>
      <w:r>
        <w:rPr>
          <w:rFonts w:hint="default" w:ascii="Times New Roman" w:hAnsi="Times New Roman" w:eastAsia="仿宋" w:cs="Times New Roman"/>
          <w:sz w:val="32"/>
          <w:szCs w:val="32"/>
          <w:highlight w:val="none"/>
        </w:rPr>
        <w:fldChar w:fldCharType="begin"/>
      </w:r>
      <w:r>
        <w:rPr>
          <w:rFonts w:hint="default" w:ascii="Times New Roman" w:hAnsi="Times New Roman" w:eastAsia="仿宋" w:cs="Times New Roman"/>
          <w:sz w:val="32"/>
          <w:szCs w:val="32"/>
          <w:highlight w:val="none"/>
        </w:rPr>
        <w:instrText xml:space="preserve"> HYPERLINK \l _Toc31624 </w:instrText>
      </w:r>
      <w:r>
        <w:rPr>
          <w:rFonts w:hint="default" w:ascii="Times New Roman" w:hAnsi="Times New Roman" w:eastAsia="仿宋" w:cs="Times New Roman"/>
          <w:sz w:val="32"/>
          <w:szCs w:val="32"/>
          <w:highlight w:val="none"/>
        </w:rPr>
        <w:fldChar w:fldCharType="separate"/>
      </w:r>
      <w:r>
        <w:rPr>
          <w:rFonts w:hint="default" w:ascii="Times New Roman" w:hAnsi="Times New Roman" w:eastAsia="仿宋" w:cs="Times New Roman"/>
          <w:snapToGrid w:val="0"/>
          <w:kern w:val="0"/>
          <w:sz w:val="32"/>
          <w:szCs w:val="32"/>
          <w:highlight w:val="none"/>
        </w:rPr>
        <w:t>前 附 表</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_Toc31624 \h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6</w:t>
      </w:r>
      <w:r>
        <w:rPr>
          <w:rFonts w:hint="default" w:ascii="Times New Roman" w:hAnsi="Times New Roman" w:cs="Times New Roman"/>
          <w:sz w:val="32"/>
          <w:szCs w:val="32"/>
          <w:highlight w:val="none"/>
        </w:rPr>
        <w:fldChar w:fldCharType="end"/>
      </w:r>
      <w:r>
        <w:rPr>
          <w:rFonts w:hint="default" w:ascii="Times New Roman" w:hAnsi="Times New Roman" w:eastAsia="仿宋" w:cs="Times New Roman"/>
          <w:sz w:val="32"/>
          <w:szCs w:val="32"/>
          <w:highlight w:val="none"/>
        </w:rPr>
        <w:fldChar w:fldCharType="end"/>
      </w:r>
    </w:p>
    <w:p>
      <w:pPr>
        <w:pStyle w:val="32"/>
        <w:tabs>
          <w:tab w:val="right" w:leader="dot" w:pos="9071"/>
          <w:tab w:val="clear" w:pos="8720"/>
        </w:tabs>
        <w:spacing w:line="360" w:lineRule="auto"/>
        <w:rPr>
          <w:rFonts w:hint="default" w:ascii="Times New Roman" w:hAnsi="Times New Roman" w:cs="Times New Roman"/>
          <w:sz w:val="32"/>
          <w:szCs w:val="32"/>
          <w:highlight w:val="none"/>
        </w:rPr>
      </w:pPr>
      <w:r>
        <w:rPr>
          <w:rFonts w:hint="default" w:ascii="Times New Roman" w:hAnsi="Times New Roman" w:eastAsia="仿宋" w:cs="Times New Roman"/>
          <w:sz w:val="32"/>
          <w:szCs w:val="32"/>
          <w:highlight w:val="none"/>
        </w:rPr>
        <w:fldChar w:fldCharType="begin"/>
      </w:r>
      <w:r>
        <w:rPr>
          <w:rFonts w:hint="default" w:ascii="Times New Roman" w:hAnsi="Times New Roman" w:eastAsia="仿宋" w:cs="Times New Roman"/>
          <w:sz w:val="32"/>
          <w:szCs w:val="32"/>
          <w:highlight w:val="none"/>
        </w:rPr>
        <w:instrText xml:space="preserve"> HYPERLINK \l _Toc9667 </w:instrText>
      </w:r>
      <w:r>
        <w:rPr>
          <w:rFonts w:hint="default" w:ascii="Times New Roman" w:hAnsi="Times New Roman" w:eastAsia="仿宋" w:cs="Times New Roman"/>
          <w:sz w:val="32"/>
          <w:szCs w:val="32"/>
          <w:highlight w:val="none"/>
        </w:rPr>
        <w:fldChar w:fldCharType="separate"/>
      </w:r>
      <w:r>
        <w:rPr>
          <w:rFonts w:hint="default" w:ascii="Times New Roman" w:hAnsi="Times New Roman" w:eastAsia="仿宋" w:cs="Times New Roman"/>
          <w:snapToGrid w:val="0"/>
          <w:kern w:val="0"/>
          <w:sz w:val="32"/>
          <w:szCs w:val="32"/>
          <w:highlight w:val="none"/>
        </w:rPr>
        <w:t>第二部分  投标须知</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_Toc9667 \h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10</w:t>
      </w:r>
      <w:r>
        <w:rPr>
          <w:rFonts w:hint="default" w:ascii="Times New Roman" w:hAnsi="Times New Roman" w:cs="Times New Roman"/>
          <w:sz w:val="32"/>
          <w:szCs w:val="32"/>
          <w:highlight w:val="none"/>
        </w:rPr>
        <w:fldChar w:fldCharType="end"/>
      </w:r>
      <w:r>
        <w:rPr>
          <w:rFonts w:hint="default" w:ascii="Times New Roman" w:hAnsi="Times New Roman" w:eastAsia="仿宋" w:cs="Times New Roman"/>
          <w:sz w:val="32"/>
          <w:szCs w:val="32"/>
          <w:highlight w:val="none"/>
        </w:rPr>
        <w:fldChar w:fldCharType="end"/>
      </w:r>
    </w:p>
    <w:p>
      <w:pPr>
        <w:pStyle w:val="39"/>
        <w:tabs>
          <w:tab w:val="right" w:leader="dot" w:pos="9071"/>
          <w:tab w:val="clear" w:pos="8720"/>
        </w:tabs>
        <w:spacing w:line="360" w:lineRule="auto"/>
        <w:ind w:firstLine="640" w:firstLineChars="200"/>
        <w:rPr>
          <w:rFonts w:hint="default" w:ascii="Times New Roman" w:hAnsi="Times New Roman" w:cs="Times New Roman"/>
          <w:sz w:val="32"/>
          <w:szCs w:val="32"/>
          <w:highlight w:val="none"/>
        </w:rPr>
      </w:pPr>
      <w:r>
        <w:rPr>
          <w:rFonts w:hint="default" w:ascii="Times New Roman" w:hAnsi="Times New Roman" w:eastAsia="仿宋" w:cs="Times New Roman"/>
          <w:sz w:val="32"/>
          <w:szCs w:val="32"/>
          <w:highlight w:val="none"/>
        </w:rPr>
        <w:fldChar w:fldCharType="begin"/>
      </w:r>
      <w:r>
        <w:rPr>
          <w:rFonts w:hint="default" w:ascii="Times New Roman" w:hAnsi="Times New Roman" w:eastAsia="仿宋" w:cs="Times New Roman"/>
          <w:sz w:val="32"/>
          <w:szCs w:val="32"/>
          <w:highlight w:val="none"/>
        </w:rPr>
        <w:instrText xml:space="preserve"> HYPERLINK \l _Toc6200 </w:instrText>
      </w:r>
      <w:r>
        <w:rPr>
          <w:rFonts w:hint="default" w:ascii="Times New Roman" w:hAnsi="Times New Roman" w:eastAsia="仿宋" w:cs="Times New Roman"/>
          <w:sz w:val="32"/>
          <w:szCs w:val="32"/>
          <w:highlight w:val="none"/>
        </w:rPr>
        <w:fldChar w:fldCharType="separate"/>
      </w:r>
      <w:r>
        <w:rPr>
          <w:rFonts w:hint="default" w:ascii="Times New Roman" w:hAnsi="Times New Roman" w:eastAsia="仿宋" w:cs="Times New Roman"/>
          <w:snapToGrid w:val="0"/>
          <w:kern w:val="0"/>
          <w:sz w:val="32"/>
          <w:szCs w:val="32"/>
          <w:highlight w:val="none"/>
        </w:rPr>
        <w:t>一、总则</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_Toc6200 \h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10</w:t>
      </w:r>
      <w:r>
        <w:rPr>
          <w:rFonts w:hint="default" w:ascii="Times New Roman" w:hAnsi="Times New Roman" w:cs="Times New Roman"/>
          <w:sz w:val="32"/>
          <w:szCs w:val="32"/>
          <w:highlight w:val="none"/>
        </w:rPr>
        <w:fldChar w:fldCharType="end"/>
      </w:r>
      <w:r>
        <w:rPr>
          <w:rFonts w:hint="default" w:ascii="Times New Roman" w:hAnsi="Times New Roman" w:eastAsia="仿宋" w:cs="Times New Roman"/>
          <w:sz w:val="32"/>
          <w:szCs w:val="32"/>
          <w:highlight w:val="none"/>
        </w:rPr>
        <w:fldChar w:fldCharType="end"/>
      </w:r>
    </w:p>
    <w:p>
      <w:pPr>
        <w:pStyle w:val="39"/>
        <w:tabs>
          <w:tab w:val="right" w:leader="dot" w:pos="9071"/>
          <w:tab w:val="clear" w:pos="8720"/>
        </w:tabs>
        <w:spacing w:line="360" w:lineRule="auto"/>
        <w:ind w:firstLine="640" w:firstLineChars="200"/>
        <w:rPr>
          <w:rFonts w:hint="default" w:ascii="Times New Roman" w:hAnsi="Times New Roman" w:cs="Times New Roman"/>
          <w:sz w:val="32"/>
          <w:szCs w:val="32"/>
          <w:highlight w:val="none"/>
        </w:rPr>
      </w:pPr>
      <w:r>
        <w:rPr>
          <w:rFonts w:hint="default" w:ascii="Times New Roman" w:hAnsi="Times New Roman" w:eastAsia="仿宋" w:cs="Times New Roman"/>
          <w:sz w:val="32"/>
          <w:szCs w:val="32"/>
          <w:highlight w:val="none"/>
        </w:rPr>
        <w:fldChar w:fldCharType="begin"/>
      </w:r>
      <w:r>
        <w:rPr>
          <w:rFonts w:hint="default" w:ascii="Times New Roman" w:hAnsi="Times New Roman" w:eastAsia="仿宋" w:cs="Times New Roman"/>
          <w:sz w:val="32"/>
          <w:szCs w:val="32"/>
          <w:highlight w:val="none"/>
        </w:rPr>
        <w:instrText xml:space="preserve"> HYPERLINK \l _Toc18776 </w:instrText>
      </w:r>
      <w:r>
        <w:rPr>
          <w:rFonts w:hint="default" w:ascii="Times New Roman" w:hAnsi="Times New Roman" w:eastAsia="仿宋" w:cs="Times New Roman"/>
          <w:sz w:val="32"/>
          <w:szCs w:val="32"/>
          <w:highlight w:val="none"/>
        </w:rPr>
        <w:fldChar w:fldCharType="separate"/>
      </w:r>
      <w:r>
        <w:rPr>
          <w:rFonts w:hint="default" w:ascii="Times New Roman" w:hAnsi="Times New Roman" w:eastAsia="仿宋" w:cs="Times New Roman"/>
          <w:snapToGrid w:val="0"/>
          <w:kern w:val="0"/>
          <w:sz w:val="32"/>
          <w:szCs w:val="32"/>
          <w:highlight w:val="none"/>
        </w:rPr>
        <w:t>二、招标文件</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_Toc18776 \h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10</w:t>
      </w:r>
      <w:r>
        <w:rPr>
          <w:rFonts w:hint="default" w:ascii="Times New Roman" w:hAnsi="Times New Roman" w:cs="Times New Roman"/>
          <w:sz w:val="32"/>
          <w:szCs w:val="32"/>
          <w:highlight w:val="none"/>
        </w:rPr>
        <w:fldChar w:fldCharType="end"/>
      </w:r>
      <w:r>
        <w:rPr>
          <w:rFonts w:hint="default" w:ascii="Times New Roman" w:hAnsi="Times New Roman" w:eastAsia="仿宋" w:cs="Times New Roman"/>
          <w:sz w:val="32"/>
          <w:szCs w:val="32"/>
          <w:highlight w:val="none"/>
        </w:rPr>
        <w:fldChar w:fldCharType="end"/>
      </w:r>
    </w:p>
    <w:p>
      <w:pPr>
        <w:pStyle w:val="39"/>
        <w:tabs>
          <w:tab w:val="right" w:leader="dot" w:pos="9071"/>
          <w:tab w:val="clear" w:pos="8720"/>
        </w:tabs>
        <w:spacing w:line="360" w:lineRule="auto"/>
        <w:ind w:firstLine="640" w:firstLineChars="200"/>
        <w:rPr>
          <w:rFonts w:hint="default" w:ascii="Times New Roman" w:hAnsi="Times New Roman" w:cs="Times New Roman"/>
          <w:sz w:val="32"/>
          <w:szCs w:val="32"/>
          <w:highlight w:val="none"/>
        </w:rPr>
      </w:pPr>
      <w:r>
        <w:rPr>
          <w:rFonts w:hint="default" w:ascii="Times New Roman" w:hAnsi="Times New Roman" w:eastAsia="仿宋" w:cs="Times New Roman"/>
          <w:sz w:val="32"/>
          <w:szCs w:val="32"/>
          <w:highlight w:val="none"/>
        </w:rPr>
        <w:fldChar w:fldCharType="begin"/>
      </w:r>
      <w:r>
        <w:rPr>
          <w:rFonts w:hint="default" w:ascii="Times New Roman" w:hAnsi="Times New Roman" w:eastAsia="仿宋" w:cs="Times New Roman"/>
          <w:sz w:val="32"/>
          <w:szCs w:val="32"/>
          <w:highlight w:val="none"/>
        </w:rPr>
        <w:instrText xml:space="preserve"> HYPERLINK \l _Toc18609 </w:instrText>
      </w:r>
      <w:r>
        <w:rPr>
          <w:rFonts w:hint="default" w:ascii="Times New Roman" w:hAnsi="Times New Roman" w:eastAsia="仿宋" w:cs="Times New Roman"/>
          <w:sz w:val="32"/>
          <w:szCs w:val="32"/>
          <w:highlight w:val="none"/>
        </w:rPr>
        <w:fldChar w:fldCharType="separate"/>
      </w:r>
      <w:r>
        <w:rPr>
          <w:rFonts w:hint="default" w:ascii="Times New Roman" w:hAnsi="Times New Roman" w:eastAsia="仿宋" w:cs="Times New Roman"/>
          <w:snapToGrid w:val="0"/>
          <w:kern w:val="0"/>
          <w:sz w:val="32"/>
          <w:szCs w:val="32"/>
          <w:highlight w:val="none"/>
        </w:rPr>
        <w:t>三、投标文件的编制</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_Toc18609 \h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12</w:t>
      </w:r>
      <w:r>
        <w:rPr>
          <w:rFonts w:hint="default" w:ascii="Times New Roman" w:hAnsi="Times New Roman" w:cs="Times New Roman"/>
          <w:sz w:val="32"/>
          <w:szCs w:val="32"/>
          <w:highlight w:val="none"/>
        </w:rPr>
        <w:fldChar w:fldCharType="end"/>
      </w:r>
      <w:r>
        <w:rPr>
          <w:rFonts w:hint="default" w:ascii="Times New Roman" w:hAnsi="Times New Roman" w:eastAsia="仿宋" w:cs="Times New Roman"/>
          <w:sz w:val="32"/>
          <w:szCs w:val="32"/>
          <w:highlight w:val="none"/>
        </w:rPr>
        <w:fldChar w:fldCharType="end"/>
      </w:r>
    </w:p>
    <w:p>
      <w:pPr>
        <w:pStyle w:val="39"/>
        <w:tabs>
          <w:tab w:val="right" w:leader="dot" w:pos="9071"/>
          <w:tab w:val="clear" w:pos="8720"/>
        </w:tabs>
        <w:spacing w:line="360" w:lineRule="auto"/>
        <w:ind w:firstLine="640" w:firstLineChars="200"/>
        <w:rPr>
          <w:rFonts w:hint="default" w:ascii="Times New Roman" w:hAnsi="Times New Roman" w:cs="Times New Roman"/>
          <w:sz w:val="32"/>
          <w:szCs w:val="32"/>
          <w:highlight w:val="none"/>
        </w:rPr>
      </w:pPr>
      <w:r>
        <w:rPr>
          <w:rFonts w:hint="default" w:ascii="Times New Roman" w:hAnsi="Times New Roman" w:eastAsia="仿宋" w:cs="Times New Roman"/>
          <w:sz w:val="32"/>
          <w:szCs w:val="32"/>
          <w:highlight w:val="none"/>
        </w:rPr>
        <w:fldChar w:fldCharType="begin"/>
      </w:r>
      <w:r>
        <w:rPr>
          <w:rFonts w:hint="default" w:ascii="Times New Roman" w:hAnsi="Times New Roman" w:eastAsia="仿宋" w:cs="Times New Roman"/>
          <w:sz w:val="32"/>
          <w:szCs w:val="32"/>
          <w:highlight w:val="none"/>
        </w:rPr>
        <w:instrText xml:space="preserve"> HYPERLINK \l _Toc19949 </w:instrText>
      </w:r>
      <w:r>
        <w:rPr>
          <w:rFonts w:hint="default" w:ascii="Times New Roman" w:hAnsi="Times New Roman" w:eastAsia="仿宋" w:cs="Times New Roman"/>
          <w:sz w:val="32"/>
          <w:szCs w:val="32"/>
          <w:highlight w:val="none"/>
        </w:rPr>
        <w:fldChar w:fldCharType="separate"/>
      </w:r>
      <w:r>
        <w:rPr>
          <w:rFonts w:hint="default" w:ascii="Times New Roman" w:hAnsi="Times New Roman" w:eastAsia="仿宋" w:cs="Times New Roman"/>
          <w:snapToGrid w:val="0"/>
          <w:kern w:val="0"/>
          <w:sz w:val="32"/>
          <w:szCs w:val="32"/>
          <w:highlight w:val="none"/>
        </w:rPr>
        <w:t>四、投标文件的递交</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_Toc19949 \h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13</w:t>
      </w:r>
      <w:r>
        <w:rPr>
          <w:rFonts w:hint="default" w:ascii="Times New Roman" w:hAnsi="Times New Roman" w:cs="Times New Roman"/>
          <w:sz w:val="32"/>
          <w:szCs w:val="32"/>
          <w:highlight w:val="none"/>
        </w:rPr>
        <w:fldChar w:fldCharType="end"/>
      </w:r>
      <w:r>
        <w:rPr>
          <w:rFonts w:hint="default" w:ascii="Times New Roman" w:hAnsi="Times New Roman" w:eastAsia="仿宋" w:cs="Times New Roman"/>
          <w:sz w:val="32"/>
          <w:szCs w:val="32"/>
          <w:highlight w:val="none"/>
        </w:rPr>
        <w:fldChar w:fldCharType="end"/>
      </w:r>
    </w:p>
    <w:p>
      <w:pPr>
        <w:pStyle w:val="39"/>
        <w:tabs>
          <w:tab w:val="right" w:leader="dot" w:pos="9071"/>
          <w:tab w:val="clear" w:pos="8720"/>
        </w:tabs>
        <w:spacing w:line="360" w:lineRule="auto"/>
        <w:ind w:firstLine="640" w:firstLineChars="200"/>
        <w:rPr>
          <w:rFonts w:hint="default" w:ascii="Times New Roman" w:hAnsi="Times New Roman" w:cs="Times New Roman"/>
          <w:sz w:val="32"/>
          <w:szCs w:val="32"/>
          <w:highlight w:val="none"/>
        </w:rPr>
      </w:pPr>
      <w:r>
        <w:rPr>
          <w:rFonts w:hint="default" w:ascii="Times New Roman" w:hAnsi="Times New Roman" w:eastAsia="仿宋" w:cs="Times New Roman"/>
          <w:sz w:val="32"/>
          <w:szCs w:val="32"/>
          <w:highlight w:val="none"/>
        </w:rPr>
        <w:fldChar w:fldCharType="begin"/>
      </w:r>
      <w:r>
        <w:rPr>
          <w:rFonts w:hint="default" w:ascii="Times New Roman" w:hAnsi="Times New Roman" w:eastAsia="仿宋" w:cs="Times New Roman"/>
          <w:sz w:val="32"/>
          <w:szCs w:val="32"/>
          <w:highlight w:val="none"/>
        </w:rPr>
        <w:instrText xml:space="preserve"> HYPERLINK \l _Toc16912 </w:instrText>
      </w:r>
      <w:r>
        <w:rPr>
          <w:rFonts w:hint="default" w:ascii="Times New Roman" w:hAnsi="Times New Roman" w:eastAsia="仿宋" w:cs="Times New Roman"/>
          <w:sz w:val="32"/>
          <w:szCs w:val="32"/>
          <w:highlight w:val="none"/>
        </w:rPr>
        <w:fldChar w:fldCharType="separate"/>
      </w:r>
      <w:r>
        <w:rPr>
          <w:rFonts w:hint="default" w:ascii="Times New Roman" w:hAnsi="Times New Roman" w:eastAsia="仿宋" w:cs="Times New Roman"/>
          <w:snapToGrid w:val="0"/>
          <w:kern w:val="0"/>
          <w:sz w:val="32"/>
          <w:szCs w:val="32"/>
          <w:highlight w:val="none"/>
        </w:rPr>
        <w:t>五、开标与评标</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_Toc16912 \h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15</w:t>
      </w:r>
      <w:r>
        <w:rPr>
          <w:rFonts w:hint="default" w:ascii="Times New Roman" w:hAnsi="Times New Roman" w:cs="Times New Roman"/>
          <w:sz w:val="32"/>
          <w:szCs w:val="32"/>
          <w:highlight w:val="none"/>
        </w:rPr>
        <w:fldChar w:fldCharType="end"/>
      </w:r>
      <w:r>
        <w:rPr>
          <w:rFonts w:hint="default" w:ascii="Times New Roman" w:hAnsi="Times New Roman" w:eastAsia="仿宋" w:cs="Times New Roman"/>
          <w:sz w:val="32"/>
          <w:szCs w:val="32"/>
          <w:highlight w:val="none"/>
        </w:rPr>
        <w:fldChar w:fldCharType="end"/>
      </w:r>
    </w:p>
    <w:p>
      <w:pPr>
        <w:pStyle w:val="39"/>
        <w:tabs>
          <w:tab w:val="right" w:leader="dot" w:pos="9071"/>
          <w:tab w:val="clear" w:pos="8720"/>
        </w:tabs>
        <w:spacing w:line="360" w:lineRule="auto"/>
        <w:ind w:firstLine="640" w:firstLineChars="200"/>
        <w:rPr>
          <w:rFonts w:hint="default" w:ascii="Times New Roman" w:hAnsi="Times New Roman" w:cs="Times New Roman"/>
          <w:sz w:val="32"/>
          <w:szCs w:val="32"/>
          <w:highlight w:val="none"/>
        </w:rPr>
      </w:pPr>
      <w:r>
        <w:rPr>
          <w:rFonts w:hint="default" w:ascii="Times New Roman" w:hAnsi="Times New Roman" w:eastAsia="仿宋" w:cs="Times New Roman"/>
          <w:sz w:val="32"/>
          <w:szCs w:val="32"/>
          <w:highlight w:val="none"/>
        </w:rPr>
        <w:fldChar w:fldCharType="begin"/>
      </w:r>
      <w:r>
        <w:rPr>
          <w:rFonts w:hint="default" w:ascii="Times New Roman" w:hAnsi="Times New Roman" w:eastAsia="仿宋" w:cs="Times New Roman"/>
          <w:sz w:val="32"/>
          <w:szCs w:val="32"/>
          <w:highlight w:val="none"/>
        </w:rPr>
        <w:instrText xml:space="preserve"> HYPERLINK \l _Toc28941 </w:instrText>
      </w:r>
      <w:r>
        <w:rPr>
          <w:rFonts w:hint="default" w:ascii="Times New Roman" w:hAnsi="Times New Roman" w:eastAsia="仿宋" w:cs="Times New Roman"/>
          <w:sz w:val="32"/>
          <w:szCs w:val="32"/>
          <w:highlight w:val="none"/>
        </w:rPr>
        <w:fldChar w:fldCharType="separate"/>
      </w:r>
      <w:r>
        <w:rPr>
          <w:rFonts w:hint="default" w:ascii="Times New Roman" w:hAnsi="Times New Roman" w:eastAsia="仿宋" w:cs="Times New Roman"/>
          <w:snapToGrid w:val="0"/>
          <w:kern w:val="0"/>
          <w:sz w:val="32"/>
          <w:szCs w:val="32"/>
          <w:highlight w:val="none"/>
        </w:rPr>
        <w:t>六、确定中标人及授予合同</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_Toc28941 \h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17</w:t>
      </w:r>
      <w:r>
        <w:rPr>
          <w:rFonts w:hint="default" w:ascii="Times New Roman" w:hAnsi="Times New Roman" w:cs="Times New Roman"/>
          <w:sz w:val="32"/>
          <w:szCs w:val="32"/>
          <w:highlight w:val="none"/>
        </w:rPr>
        <w:fldChar w:fldCharType="end"/>
      </w:r>
      <w:r>
        <w:rPr>
          <w:rFonts w:hint="default" w:ascii="Times New Roman" w:hAnsi="Times New Roman" w:eastAsia="仿宋" w:cs="Times New Roman"/>
          <w:sz w:val="32"/>
          <w:szCs w:val="32"/>
          <w:highlight w:val="none"/>
        </w:rPr>
        <w:fldChar w:fldCharType="end"/>
      </w:r>
    </w:p>
    <w:p>
      <w:pPr>
        <w:pStyle w:val="32"/>
        <w:tabs>
          <w:tab w:val="right" w:leader="dot" w:pos="9071"/>
          <w:tab w:val="clear" w:pos="8720"/>
        </w:tabs>
        <w:spacing w:line="360" w:lineRule="auto"/>
        <w:rPr>
          <w:rFonts w:hint="default" w:ascii="Times New Roman" w:hAnsi="Times New Roman" w:cs="Times New Roman"/>
          <w:sz w:val="32"/>
          <w:szCs w:val="32"/>
          <w:highlight w:val="none"/>
        </w:rPr>
      </w:pPr>
      <w:r>
        <w:rPr>
          <w:rFonts w:hint="default" w:ascii="Times New Roman" w:hAnsi="Times New Roman" w:eastAsia="仿宋" w:cs="Times New Roman"/>
          <w:sz w:val="32"/>
          <w:szCs w:val="32"/>
          <w:highlight w:val="none"/>
        </w:rPr>
        <w:fldChar w:fldCharType="begin"/>
      </w:r>
      <w:r>
        <w:rPr>
          <w:rFonts w:hint="default" w:ascii="Times New Roman" w:hAnsi="Times New Roman" w:eastAsia="仿宋" w:cs="Times New Roman"/>
          <w:sz w:val="32"/>
          <w:szCs w:val="32"/>
          <w:highlight w:val="none"/>
        </w:rPr>
        <w:instrText xml:space="preserve"> HYPERLINK \l _Toc15639 </w:instrText>
      </w:r>
      <w:r>
        <w:rPr>
          <w:rFonts w:hint="default" w:ascii="Times New Roman" w:hAnsi="Times New Roman" w:eastAsia="仿宋" w:cs="Times New Roman"/>
          <w:sz w:val="32"/>
          <w:szCs w:val="32"/>
          <w:highlight w:val="none"/>
        </w:rPr>
        <w:fldChar w:fldCharType="separate"/>
      </w:r>
      <w:r>
        <w:rPr>
          <w:rFonts w:hint="default" w:ascii="Times New Roman" w:hAnsi="Times New Roman" w:eastAsia="仿宋" w:cs="Times New Roman"/>
          <w:snapToGrid w:val="0"/>
          <w:kern w:val="0"/>
          <w:sz w:val="32"/>
          <w:szCs w:val="32"/>
          <w:highlight w:val="none"/>
        </w:rPr>
        <w:t>第三部分  项目技术规范和服务要求</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_Toc15639 \h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20</w:t>
      </w:r>
      <w:r>
        <w:rPr>
          <w:rFonts w:hint="default" w:ascii="Times New Roman" w:hAnsi="Times New Roman" w:cs="Times New Roman"/>
          <w:sz w:val="32"/>
          <w:szCs w:val="32"/>
          <w:highlight w:val="none"/>
        </w:rPr>
        <w:fldChar w:fldCharType="end"/>
      </w:r>
      <w:r>
        <w:rPr>
          <w:rFonts w:hint="default" w:ascii="Times New Roman" w:hAnsi="Times New Roman" w:eastAsia="仿宋" w:cs="Times New Roman"/>
          <w:sz w:val="32"/>
          <w:szCs w:val="32"/>
          <w:highlight w:val="none"/>
        </w:rPr>
        <w:fldChar w:fldCharType="end"/>
      </w:r>
    </w:p>
    <w:p>
      <w:pPr>
        <w:pStyle w:val="32"/>
        <w:tabs>
          <w:tab w:val="right" w:leader="dot" w:pos="9071"/>
          <w:tab w:val="clear" w:pos="8720"/>
        </w:tabs>
        <w:spacing w:line="360" w:lineRule="auto"/>
        <w:rPr>
          <w:rFonts w:hint="default" w:ascii="Times New Roman" w:hAnsi="Times New Roman" w:cs="Times New Roman"/>
          <w:sz w:val="32"/>
          <w:szCs w:val="32"/>
          <w:highlight w:val="none"/>
        </w:rPr>
      </w:pPr>
      <w:r>
        <w:rPr>
          <w:rFonts w:hint="default" w:ascii="Times New Roman" w:hAnsi="Times New Roman" w:eastAsia="仿宋" w:cs="Times New Roman"/>
          <w:sz w:val="32"/>
          <w:szCs w:val="32"/>
          <w:highlight w:val="none"/>
        </w:rPr>
        <w:fldChar w:fldCharType="begin"/>
      </w:r>
      <w:r>
        <w:rPr>
          <w:rFonts w:hint="default" w:ascii="Times New Roman" w:hAnsi="Times New Roman" w:eastAsia="仿宋" w:cs="Times New Roman"/>
          <w:sz w:val="32"/>
          <w:szCs w:val="32"/>
          <w:highlight w:val="none"/>
        </w:rPr>
        <w:instrText xml:space="preserve"> HYPERLINK \l _Toc6521 </w:instrText>
      </w:r>
      <w:r>
        <w:rPr>
          <w:rFonts w:hint="default" w:ascii="Times New Roman" w:hAnsi="Times New Roman" w:eastAsia="仿宋" w:cs="Times New Roman"/>
          <w:sz w:val="32"/>
          <w:szCs w:val="32"/>
          <w:highlight w:val="none"/>
        </w:rPr>
        <w:fldChar w:fldCharType="separate"/>
      </w:r>
      <w:r>
        <w:rPr>
          <w:rFonts w:hint="default" w:ascii="Times New Roman" w:hAnsi="Times New Roman" w:eastAsia="仿宋" w:cs="Times New Roman"/>
          <w:snapToGrid w:val="0"/>
          <w:kern w:val="0"/>
          <w:sz w:val="32"/>
          <w:szCs w:val="32"/>
          <w:highlight w:val="none"/>
        </w:rPr>
        <w:t>第四部分  采购合同的一般和特殊条款</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_Toc6521 \h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47</w:t>
      </w:r>
      <w:r>
        <w:rPr>
          <w:rFonts w:hint="default" w:ascii="Times New Roman" w:hAnsi="Times New Roman" w:cs="Times New Roman"/>
          <w:sz w:val="32"/>
          <w:szCs w:val="32"/>
          <w:highlight w:val="none"/>
        </w:rPr>
        <w:fldChar w:fldCharType="end"/>
      </w:r>
      <w:r>
        <w:rPr>
          <w:rFonts w:hint="default" w:ascii="Times New Roman" w:hAnsi="Times New Roman" w:eastAsia="仿宋" w:cs="Times New Roman"/>
          <w:sz w:val="32"/>
          <w:szCs w:val="32"/>
          <w:highlight w:val="none"/>
        </w:rPr>
        <w:fldChar w:fldCharType="end"/>
      </w:r>
    </w:p>
    <w:p>
      <w:pPr>
        <w:pStyle w:val="32"/>
        <w:tabs>
          <w:tab w:val="right" w:leader="dot" w:pos="9071"/>
          <w:tab w:val="clear" w:pos="8720"/>
        </w:tabs>
        <w:spacing w:line="360" w:lineRule="auto"/>
        <w:rPr>
          <w:rFonts w:hint="default" w:ascii="Times New Roman" w:hAnsi="Times New Roman" w:cs="Times New Roman"/>
          <w:sz w:val="32"/>
          <w:szCs w:val="32"/>
          <w:highlight w:val="none"/>
        </w:rPr>
      </w:pPr>
      <w:r>
        <w:rPr>
          <w:rFonts w:hint="default" w:ascii="Times New Roman" w:hAnsi="Times New Roman" w:eastAsia="仿宋" w:cs="Times New Roman"/>
          <w:sz w:val="32"/>
          <w:szCs w:val="32"/>
          <w:highlight w:val="none"/>
        </w:rPr>
        <w:fldChar w:fldCharType="begin"/>
      </w:r>
      <w:r>
        <w:rPr>
          <w:rFonts w:hint="default" w:ascii="Times New Roman" w:hAnsi="Times New Roman" w:eastAsia="仿宋" w:cs="Times New Roman"/>
          <w:sz w:val="32"/>
          <w:szCs w:val="32"/>
          <w:highlight w:val="none"/>
        </w:rPr>
        <w:instrText xml:space="preserve"> HYPERLINK \l _Toc24310 </w:instrText>
      </w:r>
      <w:r>
        <w:rPr>
          <w:rFonts w:hint="default" w:ascii="Times New Roman" w:hAnsi="Times New Roman" w:eastAsia="仿宋" w:cs="Times New Roman"/>
          <w:sz w:val="32"/>
          <w:szCs w:val="32"/>
          <w:highlight w:val="none"/>
        </w:rPr>
        <w:fldChar w:fldCharType="separate"/>
      </w:r>
      <w:r>
        <w:rPr>
          <w:rFonts w:hint="default" w:ascii="Times New Roman" w:hAnsi="Times New Roman" w:eastAsia="仿宋" w:cs="Times New Roman"/>
          <w:snapToGrid w:val="0"/>
          <w:kern w:val="0"/>
          <w:sz w:val="32"/>
          <w:szCs w:val="32"/>
          <w:highlight w:val="none"/>
        </w:rPr>
        <w:t>第五部分  评标办法（综合评分法）</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_Toc24310 \h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59</w:t>
      </w:r>
      <w:r>
        <w:rPr>
          <w:rFonts w:hint="default" w:ascii="Times New Roman" w:hAnsi="Times New Roman" w:cs="Times New Roman"/>
          <w:sz w:val="32"/>
          <w:szCs w:val="32"/>
          <w:highlight w:val="none"/>
        </w:rPr>
        <w:fldChar w:fldCharType="end"/>
      </w:r>
      <w:r>
        <w:rPr>
          <w:rFonts w:hint="default" w:ascii="Times New Roman" w:hAnsi="Times New Roman" w:eastAsia="仿宋" w:cs="Times New Roman"/>
          <w:sz w:val="32"/>
          <w:szCs w:val="32"/>
          <w:highlight w:val="none"/>
        </w:rPr>
        <w:fldChar w:fldCharType="end"/>
      </w:r>
    </w:p>
    <w:p>
      <w:pPr>
        <w:pStyle w:val="32"/>
        <w:tabs>
          <w:tab w:val="right" w:leader="dot" w:pos="9071"/>
          <w:tab w:val="clear" w:pos="8720"/>
        </w:tabs>
        <w:spacing w:line="360" w:lineRule="auto"/>
        <w:rPr>
          <w:rFonts w:hint="default" w:ascii="Times New Roman" w:hAnsi="Times New Roman" w:cs="Times New Roman"/>
          <w:sz w:val="32"/>
          <w:szCs w:val="32"/>
          <w:highlight w:val="none"/>
        </w:rPr>
      </w:pPr>
      <w:r>
        <w:rPr>
          <w:rFonts w:hint="default" w:ascii="Times New Roman" w:hAnsi="Times New Roman" w:eastAsia="仿宋" w:cs="Times New Roman"/>
          <w:sz w:val="32"/>
          <w:szCs w:val="32"/>
          <w:highlight w:val="none"/>
        </w:rPr>
        <w:fldChar w:fldCharType="begin"/>
      </w:r>
      <w:r>
        <w:rPr>
          <w:rFonts w:hint="default" w:ascii="Times New Roman" w:hAnsi="Times New Roman" w:eastAsia="仿宋" w:cs="Times New Roman"/>
          <w:sz w:val="32"/>
          <w:szCs w:val="32"/>
          <w:highlight w:val="none"/>
        </w:rPr>
        <w:instrText xml:space="preserve"> HYPERLINK \l _Toc4561 </w:instrText>
      </w:r>
      <w:r>
        <w:rPr>
          <w:rFonts w:hint="default" w:ascii="Times New Roman" w:hAnsi="Times New Roman" w:eastAsia="仿宋" w:cs="Times New Roman"/>
          <w:sz w:val="32"/>
          <w:szCs w:val="32"/>
          <w:highlight w:val="none"/>
        </w:rPr>
        <w:fldChar w:fldCharType="separate"/>
      </w:r>
      <w:r>
        <w:rPr>
          <w:rFonts w:hint="default" w:ascii="Times New Roman" w:hAnsi="Times New Roman" w:eastAsia="仿宋" w:cs="Times New Roman"/>
          <w:snapToGrid w:val="0"/>
          <w:kern w:val="0"/>
          <w:sz w:val="32"/>
          <w:szCs w:val="32"/>
          <w:highlight w:val="none"/>
        </w:rPr>
        <w:t>第六部分  投标文件格式</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_Toc4561 \h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65</w:t>
      </w:r>
      <w:r>
        <w:rPr>
          <w:rFonts w:hint="default" w:ascii="Times New Roman" w:hAnsi="Times New Roman" w:cs="Times New Roman"/>
          <w:sz w:val="32"/>
          <w:szCs w:val="32"/>
          <w:highlight w:val="none"/>
        </w:rPr>
        <w:fldChar w:fldCharType="end"/>
      </w:r>
      <w:r>
        <w:rPr>
          <w:rFonts w:hint="default" w:ascii="Times New Roman" w:hAnsi="Times New Roman" w:eastAsia="仿宋" w:cs="Times New Roman"/>
          <w:sz w:val="32"/>
          <w:szCs w:val="32"/>
          <w:highlight w:val="none"/>
        </w:rPr>
        <w:fldChar w:fldCharType="end"/>
      </w:r>
    </w:p>
    <w:p>
      <w:pPr>
        <w:pStyle w:val="5"/>
        <w:spacing w:line="360" w:lineRule="auto"/>
        <w:ind w:firstLine="0"/>
        <w:rPr>
          <w:rFonts w:ascii="仿宋" w:hAnsi="仿宋" w:eastAsia="仿宋" w:cs="仿宋"/>
          <w:highlight w:val="none"/>
        </w:rPr>
      </w:pPr>
      <w:r>
        <w:rPr>
          <w:rFonts w:hint="default" w:ascii="Times New Roman" w:hAnsi="Times New Roman" w:eastAsia="仿宋" w:cs="Times New Roman"/>
          <w:sz w:val="32"/>
          <w:szCs w:val="32"/>
          <w:highlight w:val="none"/>
        </w:rPr>
        <w:fldChar w:fldCharType="end"/>
      </w:r>
    </w:p>
    <w:p>
      <w:pPr>
        <w:adjustRightInd w:val="0"/>
        <w:snapToGrid w:val="0"/>
        <w:spacing w:line="360" w:lineRule="auto"/>
        <w:jc w:val="center"/>
        <w:rPr>
          <w:rFonts w:ascii="仿宋" w:hAnsi="仿宋" w:eastAsia="仿宋" w:cs="仿宋"/>
          <w:snapToGrid w:val="0"/>
          <w:kern w:val="0"/>
          <w:sz w:val="24"/>
          <w:highlight w:val="none"/>
        </w:rPr>
        <w:sectPr>
          <w:footerReference r:id="rId5" w:type="first"/>
          <w:footerReference r:id="rId3" w:type="default"/>
          <w:footerReference r:id="rId4" w:type="even"/>
          <w:type w:val="continuous"/>
          <w:pgSz w:w="11906" w:h="16838"/>
          <w:pgMar w:top="1417" w:right="1417" w:bottom="1276" w:left="1418" w:header="851" w:footer="782" w:gutter="0"/>
          <w:pgBorders>
            <w:top w:val="none" w:sz="0" w:space="0"/>
            <w:left w:val="none" w:sz="0" w:space="0"/>
            <w:bottom w:val="none" w:sz="0" w:space="0"/>
            <w:right w:val="none" w:sz="0" w:space="0"/>
          </w:pgBorders>
          <w:pgNumType w:start="1"/>
          <w:cols w:space="720" w:num="1"/>
          <w:docGrid w:linePitch="312" w:charSpace="0"/>
        </w:sectPr>
      </w:pPr>
    </w:p>
    <w:p>
      <w:pPr>
        <w:adjustRightInd w:val="0"/>
        <w:snapToGrid w:val="0"/>
        <w:spacing w:line="360" w:lineRule="auto"/>
        <w:jc w:val="center"/>
        <w:outlineLvl w:val="0"/>
        <w:rPr>
          <w:rFonts w:ascii="仿宋" w:hAnsi="仿宋" w:eastAsia="仿宋" w:cs="仿宋"/>
          <w:b/>
          <w:snapToGrid w:val="0"/>
          <w:kern w:val="0"/>
          <w:sz w:val="30"/>
          <w:szCs w:val="30"/>
          <w:highlight w:val="none"/>
        </w:rPr>
      </w:pPr>
      <w:bookmarkStart w:id="0" w:name="_Toc5624543"/>
      <w:bookmarkStart w:id="1" w:name="_Toc16866"/>
      <w:r>
        <w:rPr>
          <w:rFonts w:hint="eastAsia" w:ascii="仿宋" w:hAnsi="仿宋" w:eastAsia="仿宋" w:cs="仿宋"/>
          <w:b/>
          <w:snapToGrid w:val="0"/>
          <w:kern w:val="0"/>
          <w:sz w:val="30"/>
          <w:szCs w:val="30"/>
          <w:highlight w:val="none"/>
        </w:rPr>
        <w:t>第一部分  公开招标公告</w:t>
      </w:r>
      <w:bookmarkEnd w:id="0"/>
      <w:bookmarkEnd w:id="1"/>
    </w:p>
    <w:p>
      <w:pPr>
        <w:adjustRightInd w:val="0"/>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浙江五石中正工程咨询有限公司受</w:t>
      </w:r>
      <w:r>
        <w:rPr>
          <w:rFonts w:hint="eastAsia" w:ascii="仿宋" w:hAnsi="仿宋" w:eastAsia="仿宋" w:cs="仿宋"/>
          <w:kern w:val="0"/>
          <w:sz w:val="24"/>
          <w:highlight w:val="none"/>
          <w:lang w:eastAsia="zh-CN"/>
        </w:rPr>
        <w:t>衢州动力电池和储能研究院</w:t>
      </w:r>
      <w:r>
        <w:rPr>
          <w:rFonts w:hint="eastAsia" w:ascii="仿宋" w:hAnsi="仿宋" w:eastAsia="仿宋" w:cs="仿宋"/>
          <w:kern w:val="0"/>
          <w:sz w:val="24"/>
          <w:highlight w:val="none"/>
        </w:rPr>
        <w:t>委托，就</w:t>
      </w:r>
      <w:r>
        <w:rPr>
          <w:rFonts w:hint="eastAsia" w:ascii="仿宋" w:hAnsi="仿宋" w:eastAsia="仿宋" w:cs="仿宋"/>
          <w:kern w:val="0"/>
          <w:sz w:val="24"/>
          <w:highlight w:val="none"/>
          <w:lang w:eastAsia="zh-CN"/>
        </w:rPr>
        <w:t>衢州动力电池和储能研究院高能比硫化物全固态电池自动孵化线</w:t>
      </w:r>
      <w:r>
        <w:rPr>
          <w:rFonts w:hint="eastAsia" w:ascii="仿宋" w:hAnsi="仿宋" w:eastAsia="仿宋" w:cs="仿宋"/>
          <w:kern w:val="0"/>
          <w:sz w:val="24"/>
          <w:highlight w:val="none"/>
        </w:rPr>
        <w:t xml:space="preserve">进行公开招标采购，欢迎国内合格的供应商前来投标。 </w:t>
      </w:r>
    </w:p>
    <w:p>
      <w:pPr>
        <w:pStyle w:val="43"/>
        <w:shd w:val="clear" w:color="auto" w:fill="FFFFFF"/>
        <w:snapToGrid w:val="0"/>
        <w:spacing w:before="0" w:beforeAutospacing="0" w:after="0" w:afterAutospacing="0" w:line="360" w:lineRule="auto"/>
        <w:rPr>
          <w:rStyle w:val="53"/>
          <w:rFonts w:hint="eastAsia" w:ascii="仿宋" w:hAnsi="仿宋" w:eastAsia="仿宋" w:cs="仿宋"/>
          <w:sz w:val="24"/>
          <w:szCs w:val="24"/>
          <w:highlight w:val="none"/>
          <w:lang w:eastAsia="zh-CN"/>
        </w:rPr>
      </w:pPr>
      <w:r>
        <w:rPr>
          <w:rStyle w:val="53"/>
          <w:rFonts w:hint="eastAsia" w:ascii="仿宋" w:hAnsi="仿宋" w:eastAsia="仿宋" w:cs="仿宋"/>
          <w:sz w:val="24"/>
          <w:szCs w:val="24"/>
          <w:highlight w:val="none"/>
        </w:rPr>
        <w:t>一、招标项目名称：</w:t>
      </w:r>
      <w:r>
        <w:rPr>
          <w:rStyle w:val="53"/>
          <w:rFonts w:hint="eastAsia" w:ascii="仿宋" w:hAnsi="仿宋" w:eastAsia="仿宋" w:cs="仿宋"/>
          <w:b w:val="0"/>
          <w:bCs/>
          <w:sz w:val="24"/>
          <w:szCs w:val="24"/>
          <w:highlight w:val="none"/>
          <w:u w:val="single"/>
          <w:lang w:eastAsia="zh-CN"/>
        </w:rPr>
        <w:t>衢州动力电池和储能研究院高能比硫化物全固态电池自动孵化线</w:t>
      </w:r>
    </w:p>
    <w:p>
      <w:pPr>
        <w:pStyle w:val="43"/>
        <w:shd w:val="clear" w:color="auto" w:fill="FFFFFF"/>
        <w:snapToGrid w:val="0"/>
        <w:spacing w:before="0" w:beforeAutospacing="0" w:after="0" w:afterAutospacing="0" w:line="360" w:lineRule="auto"/>
        <w:rPr>
          <w:rStyle w:val="53"/>
          <w:rFonts w:hint="default" w:ascii="仿宋" w:hAnsi="仿宋" w:eastAsia="仿宋" w:cs="仿宋"/>
          <w:sz w:val="24"/>
          <w:szCs w:val="24"/>
          <w:highlight w:val="none"/>
          <w:lang w:val="en-US" w:eastAsia="zh-CN"/>
        </w:rPr>
      </w:pPr>
      <w:r>
        <w:rPr>
          <w:rStyle w:val="53"/>
          <w:rFonts w:hint="eastAsia" w:ascii="仿宋" w:hAnsi="仿宋" w:eastAsia="仿宋" w:cs="仿宋"/>
          <w:sz w:val="24"/>
          <w:szCs w:val="24"/>
          <w:highlight w:val="none"/>
        </w:rPr>
        <w:t>二、招标项目编号：</w:t>
      </w:r>
      <w:r>
        <w:rPr>
          <w:rStyle w:val="53"/>
          <w:rFonts w:hint="eastAsia" w:ascii="仿宋" w:hAnsi="仿宋" w:eastAsia="仿宋" w:cs="仿宋"/>
          <w:b w:val="0"/>
          <w:bCs/>
          <w:sz w:val="24"/>
          <w:szCs w:val="24"/>
          <w:highlight w:val="none"/>
          <w:u w:val="single"/>
          <w:lang w:val="en-US" w:eastAsia="zh-CN"/>
        </w:rPr>
        <w:t xml:space="preserve"> DLDC-2024-GKZB00015</w:t>
      </w:r>
    </w:p>
    <w:p>
      <w:pPr>
        <w:pStyle w:val="43"/>
        <w:shd w:val="clear" w:color="auto" w:fill="FFFFFF"/>
        <w:snapToGrid w:val="0"/>
        <w:spacing w:before="0" w:beforeAutospacing="0" w:after="0" w:afterAutospacing="0" w:line="360" w:lineRule="auto"/>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三、采购组织类型：</w:t>
      </w:r>
      <w:r>
        <w:rPr>
          <w:rStyle w:val="53"/>
          <w:rFonts w:hint="eastAsia" w:ascii="仿宋" w:hAnsi="仿宋" w:eastAsia="仿宋" w:cs="仿宋"/>
          <w:b w:val="0"/>
          <w:bCs/>
          <w:sz w:val="24"/>
          <w:szCs w:val="24"/>
          <w:highlight w:val="none"/>
          <w:u w:val="single"/>
        </w:rPr>
        <w:t>委托代理</w:t>
      </w:r>
    </w:p>
    <w:p>
      <w:pPr>
        <w:pStyle w:val="43"/>
        <w:shd w:val="clear" w:color="auto" w:fill="FFFFFF"/>
        <w:snapToGrid w:val="0"/>
        <w:spacing w:before="0" w:beforeAutospacing="0" w:after="0" w:afterAutospacing="0" w:line="360" w:lineRule="auto"/>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四、招标项目概况：</w:t>
      </w:r>
    </w:p>
    <w:p>
      <w:pPr>
        <w:pStyle w:val="43"/>
        <w:shd w:val="clear" w:color="auto" w:fill="FFFFFF"/>
        <w:snapToGrid w:val="0"/>
        <w:spacing w:before="0" w:beforeAutospacing="0" w:after="0" w:afterAutospacing="0" w:line="360" w:lineRule="auto"/>
        <w:ind w:firstLine="240" w:firstLineChars="100"/>
        <w:rPr>
          <w:rStyle w:val="53"/>
          <w:rFonts w:hint="default" w:ascii="仿宋" w:hAnsi="仿宋" w:eastAsia="仿宋" w:cs="仿宋"/>
          <w:b w:val="0"/>
          <w:bCs/>
          <w:sz w:val="24"/>
          <w:szCs w:val="24"/>
          <w:highlight w:val="none"/>
          <w:lang w:val="en-US" w:eastAsia="zh-CN"/>
        </w:rPr>
      </w:pPr>
      <w:r>
        <w:rPr>
          <w:rStyle w:val="53"/>
          <w:rFonts w:hint="eastAsia" w:ascii="仿宋" w:hAnsi="仿宋" w:eastAsia="仿宋" w:cs="仿宋"/>
          <w:b w:val="0"/>
          <w:bCs/>
          <w:sz w:val="24"/>
          <w:szCs w:val="24"/>
          <w:highlight w:val="none"/>
          <w:lang w:val="en-US" w:eastAsia="zh-CN"/>
        </w:rPr>
        <w:t>1.采购需求</w:t>
      </w:r>
    </w:p>
    <w:tbl>
      <w:tblPr>
        <w:tblStyle w:val="48"/>
        <w:tblW w:w="8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2699"/>
        <w:gridCol w:w="3065"/>
        <w:gridCol w:w="1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noWrap w:val="0"/>
            <w:vAlign w:val="center"/>
          </w:tcPr>
          <w:p>
            <w:pPr>
              <w:spacing w:line="360" w:lineRule="auto"/>
              <w:jc w:val="center"/>
              <w:rPr>
                <w:rFonts w:hint="eastAsia" w:ascii="仿宋" w:hAnsi="仿宋" w:eastAsia="仿宋" w:cs="仿宋_GB2312"/>
                <w:snapToGrid w:val="0"/>
                <w:kern w:val="28"/>
                <w:sz w:val="24"/>
                <w:szCs w:val="20"/>
                <w:highlight w:val="none"/>
              </w:rPr>
            </w:pPr>
            <w:r>
              <w:rPr>
                <w:rFonts w:hint="eastAsia" w:ascii="仿宋" w:hAnsi="仿宋" w:eastAsia="仿宋" w:cs="仿宋_GB2312"/>
                <w:snapToGrid w:val="0"/>
                <w:kern w:val="28"/>
                <w:sz w:val="24"/>
                <w:szCs w:val="20"/>
                <w:highlight w:val="none"/>
              </w:rPr>
              <w:t>序号</w:t>
            </w:r>
          </w:p>
        </w:tc>
        <w:tc>
          <w:tcPr>
            <w:tcW w:w="2699" w:type="dxa"/>
            <w:noWrap w:val="0"/>
            <w:vAlign w:val="center"/>
          </w:tcPr>
          <w:p>
            <w:pPr>
              <w:spacing w:line="360" w:lineRule="auto"/>
              <w:jc w:val="center"/>
              <w:rPr>
                <w:rFonts w:hint="eastAsia" w:ascii="仿宋" w:hAnsi="仿宋" w:eastAsia="仿宋" w:cs="仿宋_GB2312"/>
                <w:snapToGrid w:val="0"/>
                <w:kern w:val="28"/>
                <w:sz w:val="24"/>
                <w:szCs w:val="20"/>
                <w:highlight w:val="none"/>
              </w:rPr>
            </w:pPr>
            <w:r>
              <w:rPr>
                <w:rFonts w:hint="eastAsia" w:ascii="仿宋" w:hAnsi="仿宋" w:eastAsia="仿宋" w:cs="仿宋_GB2312"/>
                <w:snapToGrid w:val="0"/>
                <w:kern w:val="28"/>
                <w:sz w:val="24"/>
                <w:szCs w:val="20"/>
                <w:highlight w:val="none"/>
              </w:rPr>
              <w:t>名称</w:t>
            </w:r>
          </w:p>
        </w:tc>
        <w:tc>
          <w:tcPr>
            <w:tcW w:w="3065" w:type="dxa"/>
            <w:noWrap w:val="0"/>
            <w:vAlign w:val="center"/>
          </w:tcPr>
          <w:p>
            <w:pPr>
              <w:spacing w:line="360" w:lineRule="auto"/>
              <w:jc w:val="center"/>
              <w:rPr>
                <w:rFonts w:hint="eastAsia" w:ascii="仿宋" w:hAnsi="仿宋" w:eastAsia="仿宋" w:cs="仿宋_GB2312"/>
                <w:snapToGrid w:val="0"/>
                <w:kern w:val="28"/>
                <w:sz w:val="24"/>
                <w:szCs w:val="20"/>
                <w:highlight w:val="none"/>
              </w:rPr>
            </w:pPr>
            <w:r>
              <w:rPr>
                <w:rFonts w:hint="eastAsia" w:ascii="仿宋" w:hAnsi="仿宋" w:eastAsia="仿宋" w:cs="仿宋_GB2312"/>
                <w:snapToGrid w:val="0"/>
                <w:kern w:val="28"/>
                <w:sz w:val="24"/>
                <w:szCs w:val="20"/>
                <w:highlight w:val="none"/>
              </w:rPr>
              <w:t>简要规格描述或标项基本概况介绍</w:t>
            </w:r>
          </w:p>
        </w:tc>
        <w:tc>
          <w:tcPr>
            <w:tcW w:w="1839" w:type="dxa"/>
            <w:noWrap w:val="0"/>
            <w:vAlign w:val="center"/>
          </w:tcPr>
          <w:p>
            <w:pPr>
              <w:spacing w:line="360" w:lineRule="auto"/>
              <w:jc w:val="center"/>
              <w:rPr>
                <w:rFonts w:hint="eastAsia" w:ascii="仿宋" w:hAnsi="仿宋" w:eastAsia="仿宋" w:cs="仿宋_GB2312"/>
                <w:snapToGrid w:val="0"/>
                <w:kern w:val="28"/>
                <w:sz w:val="24"/>
                <w:szCs w:val="20"/>
                <w:highlight w:val="none"/>
                <w:lang w:val="en-US" w:eastAsia="zh-CN"/>
              </w:rPr>
            </w:pPr>
            <w:r>
              <w:rPr>
                <w:rFonts w:hint="eastAsia" w:ascii="仿宋" w:hAnsi="仿宋" w:eastAsia="仿宋" w:cs="仿宋_GB2312"/>
                <w:snapToGrid w:val="0"/>
                <w:kern w:val="28"/>
                <w:sz w:val="24"/>
                <w:szCs w:val="20"/>
                <w:highlight w:val="none"/>
                <w:lang w:val="en-US" w:eastAsia="zh-CN"/>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noWrap w:val="0"/>
            <w:vAlign w:val="center"/>
          </w:tcPr>
          <w:p>
            <w:pPr>
              <w:spacing w:line="360" w:lineRule="auto"/>
              <w:jc w:val="center"/>
              <w:rPr>
                <w:rFonts w:hint="eastAsia" w:ascii="仿宋" w:hAnsi="仿宋" w:eastAsia="仿宋" w:cs="仿宋_GB2312"/>
                <w:snapToGrid w:val="0"/>
                <w:kern w:val="28"/>
                <w:sz w:val="24"/>
                <w:szCs w:val="20"/>
                <w:highlight w:val="none"/>
              </w:rPr>
            </w:pPr>
            <w:r>
              <w:rPr>
                <w:rFonts w:hint="eastAsia" w:ascii="仿宋" w:hAnsi="仿宋" w:eastAsia="仿宋" w:cs="仿宋_GB2312"/>
                <w:snapToGrid w:val="0"/>
                <w:kern w:val="28"/>
                <w:sz w:val="24"/>
                <w:szCs w:val="20"/>
                <w:highlight w:val="none"/>
              </w:rPr>
              <w:t>一</w:t>
            </w:r>
          </w:p>
        </w:tc>
        <w:tc>
          <w:tcPr>
            <w:tcW w:w="2699" w:type="dxa"/>
            <w:noWrap w:val="0"/>
            <w:vAlign w:val="center"/>
          </w:tcPr>
          <w:p>
            <w:pPr>
              <w:spacing w:line="360" w:lineRule="auto"/>
              <w:jc w:val="center"/>
              <w:rPr>
                <w:rFonts w:hint="eastAsia" w:ascii="仿宋" w:hAnsi="仿宋" w:eastAsia="仿宋" w:cs="仿宋_GB2312"/>
                <w:snapToGrid w:val="0"/>
                <w:kern w:val="28"/>
                <w:sz w:val="24"/>
                <w:szCs w:val="20"/>
                <w:highlight w:val="none"/>
                <w:lang w:eastAsia="zh-CN"/>
              </w:rPr>
            </w:pPr>
            <w:r>
              <w:rPr>
                <w:rFonts w:hint="eastAsia" w:ascii="仿宋" w:hAnsi="仿宋" w:eastAsia="仿宋" w:cs="仿宋_GB2312"/>
                <w:snapToGrid w:val="0"/>
                <w:kern w:val="28"/>
                <w:sz w:val="24"/>
                <w:szCs w:val="20"/>
                <w:highlight w:val="none"/>
                <w:lang w:eastAsia="zh-CN"/>
              </w:rPr>
              <w:t>衢州动力电池和储能研究院高能比硫化物全固态电池自动孵化线</w:t>
            </w:r>
          </w:p>
        </w:tc>
        <w:tc>
          <w:tcPr>
            <w:tcW w:w="3065" w:type="dxa"/>
            <w:noWrap w:val="0"/>
            <w:vAlign w:val="center"/>
          </w:tcPr>
          <w:p>
            <w:pPr>
              <w:spacing w:line="360" w:lineRule="auto"/>
              <w:ind w:firstLine="480"/>
              <w:jc w:val="center"/>
              <w:rPr>
                <w:rFonts w:hint="default" w:ascii="仿宋" w:hAnsi="仿宋" w:eastAsia="仿宋" w:cs="仿宋_GB2312"/>
                <w:snapToGrid w:val="0"/>
                <w:kern w:val="28"/>
                <w:sz w:val="24"/>
                <w:szCs w:val="20"/>
                <w:highlight w:val="none"/>
                <w:lang w:val="en-US" w:eastAsia="zh-CN"/>
              </w:rPr>
            </w:pPr>
            <w:r>
              <w:rPr>
                <w:rFonts w:hint="eastAsia" w:ascii="仿宋" w:hAnsi="仿宋" w:eastAsia="仿宋" w:cs="仿宋_GB2312"/>
                <w:snapToGrid w:val="0"/>
                <w:kern w:val="28"/>
                <w:sz w:val="24"/>
                <w:szCs w:val="20"/>
                <w:highlight w:val="none"/>
              </w:rPr>
              <w:t>目前需</w:t>
            </w:r>
            <w:r>
              <w:rPr>
                <w:rFonts w:hint="eastAsia" w:ascii="仿宋" w:hAnsi="仿宋" w:eastAsia="仿宋" w:cs="仿宋_GB2312"/>
                <w:snapToGrid w:val="0"/>
                <w:kern w:val="28"/>
                <w:sz w:val="24"/>
                <w:szCs w:val="20"/>
                <w:highlight w:val="none"/>
                <w:lang w:val="en-US" w:eastAsia="zh-CN"/>
              </w:rPr>
              <w:t>采购1条</w:t>
            </w:r>
            <w:r>
              <w:rPr>
                <w:rFonts w:hint="eastAsia" w:ascii="仿宋" w:hAnsi="仿宋" w:eastAsia="仿宋" w:cs="仿宋_GB2312"/>
                <w:snapToGrid w:val="0"/>
                <w:kern w:val="28"/>
                <w:sz w:val="24"/>
                <w:szCs w:val="20"/>
                <w:highlight w:val="none"/>
                <w:lang w:eastAsia="zh-CN"/>
              </w:rPr>
              <w:t>高能比硫化物全固态电池自动孵化线</w:t>
            </w:r>
            <w:r>
              <w:rPr>
                <w:rFonts w:hint="eastAsia" w:ascii="仿宋" w:hAnsi="仿宋" w:eastAsia="仿宋" w:cs="仿宋_GB2312"/>
                <w:snapToGrid w:val="0"/>
                <w:kern w:val="28"/>
                <w:sz w:val="24"/>
                <w:szCs w:val="20"/>
                <w:highlight w:val="none"/>
                <w:lang w:val="en-US" w:eastAsia="zh-CN"/>
              </w:rPr>
              <w:t>，详见招标文件</w:t>
            </w:r>
          </w:p>
        </w:tc>
        <w:tc>
          <w:tcPr>
            <w:tcW w:w="1839" w:type="dxa"/>
            <w:noWrap w:val="0"/>
            <w:vAlign w:val="center"/>
          </w:tcPr>
          <w:p>
            <w:pPr>
              <w:spacing w:line="360" w:lineRule="auto"/>
              <w:jc w:val="center"/>
              <w:rPr>
                <w:rFonts w:hint="default" w:ascii="仿宋" w:hAnsi="仿宋" w:eastAsia="仿宋" w:cs="仿宋_GB2312"/>
                <w:snapToGrid w:val="0"/>
                <w:kern w:val="28"/>
                <w:sz w:val="24"/>
                <w:szCs w:val="20"/>
                <w:highlight w:val="none"/>
                <w:lang w:val="en-US" w:eastAsia="zh-CN"/>
              </w:rPr>
            </w:pPr>
            <w:r>
              <w:rPr>
                <w:rFonts w:hint="eastAsia" w:ascii="仿宋" w:hAnsi="仿宋" w:eastAsia="仿宋" w:cs="仿宋_GB2312"/>
                <w:snapToGrid w:val="0"/>
                <w:kern w:val="28"/>
                <w:sz w:val="24"/>
                <w:szCs w:val="20"/>
                <w:highlight w:val="none"/>
                <w:lang w:val="en-US" w:eastAsia="zh-CN"/>
              </w:rPr>
              <w:t>789.3万元</w:t>
            </w:r>
          </w:p>
        </w:tc>
      </w:tr>
    </w:tbl>
    <w:p>
      <w:pPr>
        <w:spacing w:line="360" w:lineRule="auto"/>
        <w:ind w:firstLine="480" w:firstLineChars="200"/>
        <w:rPr>
          <w:rFonts w:hint="eastAsia" w:ascii="仿宋" w:hAnsi="仿宋" w:eastAsia="仿宋"/>
          <w:b w:val="0"/>
          <w:bCs/>
          <w:sz w:val="24"/>
          <w:highlight w:val="none"/>
          <w:lang w:eastAsia="zh-CN"/>
        </w:rPr>
      </w:pPr>
      <w:r>
        <w:rPr>
          <w:rFonts w:hint="eastAsia" w:ascii="仿宋" w:hAnsi="仿宋" w:eastAsia="仿宋"/>
          <w:b w:val="0"/>
          <w:bCs/>
          <w:sz w:val="24"/>
          <w:highlight w:val="none"/>
          <w:lang w:val="en-US" w:eastAsia="zh-CN"/>
        </w:rPr>
        <w:t>2.</w:t>
      </w:r>
      <w:r>
        <w:rPr>
          <w:rFonts w:hint="eastAsia" w:ascii="仿宋" w:hAnsi="仿宋" w:eastAsia="仿宋"/>
          <w:b w:val="0"/>
          <w:bCs/>
          <w:sz w:val="24"/>
          <w:highlight w:val="none"/>
          <w:lang w:eastAsia="zh-CN"/>
        </w:rPr>
        <w:t>合</w:t>
      </w:r>
      <w:r>
        <w:rPr>
          <w:rFonts w:hint="eastAsia" w:ascii="仿宋" w:hAnsi="仿宋" w:eastAsia="仿宋"/>
          <w:b w:val="0"/>
          <w:bCs/>
          <w:sz w:val="24"/>
          <w:highlight w:val="none"/>
        </w:rPr>
        <w:t>同履行期限：合同签订后</w:t>
      </w:r>
      <w:r>
        <w:rPr>
          <w:rFonts w:hint="eastAsia" w:ascii="仿宋" w:hAnsi="仿宋" w:eastAsia="仿宋"/>
          <w:b w:val="0"/>
          <w:bCs/>
          <w:sz w:val="24"/>
          <w:highlight w:val="none"/>
          <w:lang w:val="en-US" w:eastAsia="zh-CN"/>
        </w:rPr>
        <w:t>120日历天</w:t>
      </w:r>
      <w:r>
        <w:rPr>
          <w:rFonts w:hint="eastAsia" w:ascii="仿宋" w:hAnsi="仿宋" w:eastAsia="仿宋"/>
          <w:b w:val="0"/>
          <w:bCs/>
          <w:sz w:val="24"/>
          <w:highlight w:val="none"/>
        </w:rPr>
        <w:t>内完成供货、安装和调试并通过采购人验收</w:t>
      </w:r>
      <w:r>
        <w:rPr>
          <w:rFonts w:hint="eastAsia" w:ascii="仿宋" w:hAnsi="仿宋" w:eastAsia="仿宋"/>
          <w:b w:val="0"/>
          <w:bCs/>
          <w:sz w:val="24"/>
          <w:highlight w:val="none"/>
          <w:lang w:eastAsia="zh-CN"/>
        </w:rPr>
        <w:t>。</w:t>
      </w:r>
    </w:p>
    <w:p>
      <w:pPr>
        <w:spacing w:line="360" w:lineRule="auto"/>
        <w:ind w:firstLine="480" w:firstLineChars="200"/>
        <w:rPr>
          <w:rFonts w:ascii="仿宋" w:hAnsi="仿宋" w:eastAsia="仿宋" w:cs="仿宋"/>
          <w:b w:val="0"/>
          <w:bCs/>
          <w:kern w:val="0"/>
          <w:sz w:val="24"/>
          <w:highlight w:val="none"/>
        </w:rPr>
      </w:pPr>
      <w:r>
        <w:rPr>
          <w:rFonts w:hint="eastAsia" w:ascii="仿宋" w:hAnsi="仿宋" w:eastAsia="仿宋"/>
          <w:b w:val="0"/>
          <w:bCs/>
          <w:sz w:val="24"/>
          <w:highlight w:val="none"/>
          <w:lang w:val="en-US" w:eastAsia="zh-CN"/>
        </w:rPr>
        <w:t>3.</w:t>
      </w:r>
      <w:r>
        <w:rPr>
          <w:rFonts w:hint="eastAsia" w:ascii="仿宋" w:hAnsi="仿宋" w:eastAsia="仿宋"/>
          <w:b w:val="0"/>
          <w:bCs/>
          <w:sz w:val="24"/>
          <w:highlight w:val="none"/>
        </w:rPr>
        <w:t>本项目接受联合体投标：</w:t>
      </w:r>
      <w:r>
        <w:rPr>
          <w:rFonts w:hint="eastAsia" w:ascii="仿宋" w:hAnsi="仿宋" w:eastAsia="仿宋" w:cs="仿宋"/>
          <w:b w:val="0"/>
          <w:bCs/>
          <w:kern w:val="0"/>
          <w:sz w:val="24"/>
          <w:highlight w:val="none"/>
        </w:rPr>
        <w:sym w:font="Wingdings" w:char="00FE"/>
      </w:r>
      <w:r>
        <w:rPr>
          <w:rFonts w:hint="eastAsia" w:ascii="仿宋" w:hAnsi="仿宋" w:eastAsia="仿宋"/>
          <w:b w:val="0"/>
          <w:bCs/>
          <w:sz w:val="24"/>
          <w:highlight w:val="none"/>
        </w:rPr>
        <w:t xml:space="preserve">是 </w:t>
      </w:r>
      <w:r>
        <w:rPr>
          <w:rFonts w:ascii="仿宋" w:hAnsi="仿宋" w:eastAsia="仿宋"/>
          <w:b w:val="0"/>
          <w:bCs/>
          <w:sz w:val="24"/>
          <w:highlight w:val="none"/>
        </w:rPr>
        <w:t xml:space="preserve">   </w:t>
      </w:r>
      <w:r>
        <w:rPr>
          <w:rFonts w:ascii="Segoe UI Symbol" w:hAnsi="Segoe UI Symbol" w:eastAsia="仿宋" w:cs="Segoe UI Symbol"/>
          <w:b w:val="0"/>
          <w:bCs/>
          <w:sz w:val="24"/>
          <w:highlight w:val="none"/>
        </w:rPr>
        <w:t>☐</w:t>
      </w:r>
      <w:r>
        <w:rPr>
          <w:rFonts w:hint="eastAsia" w:ascii="仿宋" w:hAnsi="仿宋" w:eastAsia="仿宋"/>
          <w:b w:val="0"/>
          <w:bCs/>
          <w:sz w:val="24"/>
          <w:highlight w:val="none"/>
        </w:rPr>
        <w:t>否。</w:t>
      </w:r>
    </w:p>
    <w:p>
      <w:pPr>
        <w:pStyle w:val="43"/>
        <w:snapToGrid w:val="0"/>
        <w:spacing w:before="0" w:beforeAutospacing="0" w:after="0" w:afterAutospacing="0" w:line="360" w:lineRule="auto"/>
        <w:rPr>
          <w:rFonts w:ascii="仿宋" w:hAnsi="仿宋" w:eastAsia="仿宋" w:cs="仿宋"/>
          <w:sz w:val="24"/>
          <w:szCs w:val="24"/>
          <w:highlight w:val="none"/>
        </w:rPr>
      </w:pPr>
      <w:r>
        <w:rPr>
          <w:rStyle w:val="53"/>
          <w:rFonts w:hint="eastAsia" w:ascii="仿宋" w:hAnsi="仿宋" w:eastAsia="仿宋" w:cs="仿宋"/>
          <w:sz w:val="24"/>
          <w:szCs w:val="24"/>
          <w:highlight w:val="none"/>
          <w:lang w:val="en-US" w:eastAsia="zh-CN"/>
        </w:rPr>
        <w:t>五</w:t>
      </w:r>
      <w:r>
        <w:rPr>
          <w:rStyle w:val="53"/>
          <w:rFonts w:hint="eastAsia" w:ascii="仿宋" w:hAnsi="仿宋" w:eastAsia="仿宋" w:cs="仿宋"/>
          <w:sz w:val="24"/>
          <w:szCs w:val="24"/>
          <w:highlight w:val="none"/>
          <w:lang w:eastAsia="zh-CN"/>
        </w:rPr>
        <w:t>、</w:t>
      </w:r>
      <w:r>
        <w:rPr>
          <w:rStyle w:val="53"/>
          <w:rFonts w:hint="eastAsia" w:ascii="仿宋" w:hAnsi="仿宋" w:eastAsia="仿宋" w:cs="仿宋"/>
          <w:sz w:val="24"/>
          <w:szCs w:val="24"/>
          <w:highlight w:val="none"/>
        </w:rPr>
        <w:t>投标供应商资格要求：</w:t>
      </w:r>
    </w:p>
    <w:p>
      <w:pPr>
        <w:pStyle w:val="43"/>
        <w:snapToGrid w:val="0"/>
        <w:spacing w:before="0" w:beforeAutospacing="0" w:after="0" w:afterAutospacing="0" w:line="360" w:lineRule="auto"/>
        <w:ind w:firstLine="480" w:firstLineChars="200"/>
        <w:rPr>
          <w:rFonts w:hint="eastAsia" w:ascii="仿宋" w:hAnsi="仿宋" w:eastAsia="仿宋" w:cs="宋体"/>
          <w:sz w:val="24"/>
          <w:szCs w:val="24"/>
          <w:highlight w:val="none"/>
        </w:rPr>
      </w:pPr>
      <w:r>
        <w:rPr>
          <w:rFonts w:hint="eastAsia" w:ascii="仿宋" w:hAnsi="仿宋" w:eastAsia="仿宋" w:cs="宋体"/>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43"/>
        <w:snapToGrid w:val="0"/>
        <w:spacing w:before="0" w:beforeAutospacing="0" w:after="0" w:afterAutospacing="0" w:line="360" w:lineRule="auto"/>
        <w:ind w:firstLine="480" w:firstLineChars="200"/>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rPr>
        <w:t xml:space="preserve">2.以联合体形式投标的，提供联合协议(本项目不接受联合体投标或者投标人不以联合体形式投标的，则不需要提供) </w:t>
      </w:r>
      <w:r>
        <w:rPr>
          <w:rFonts w:hint="eastAsia" w:ascii="仿宋" w:hAnsi="仿宋" w:eastAsia="仿宋" w:cs="宋体"/>
          <w:sz w:val="24"/>
          <w:szCs w:val="24"/>
          <w:highlight w:val="none"/>
          <w:lang w:eastAsia="zh-CN"/>
        </w:rPr>
        <w:t>；</w:t>
      </w:r>
    </w:p>
    <w:p>
      <w:pPr>
        <w:pStyle w:val="43"/>
        <w:snapToGrid w:val="0"/>
        <w:spacing w:before="0" w:beforeAutospacing="0" w:after="0" w:afterAutospacing="0" w:line="360" w:lineRule="auto"/>
        <w:ind w:firstLine="480" w:firstLineChars="200"/>
        <w:rPr>
          <w:rFonts w:hint="eastAsia" w:ascii="仿宋" w:hAnsi="仿宋" w:eastAsia="仿宋" w:cs="宋体"/>
          <w:sz w:val="24"/>
          <w:szCs w:val="24"/>
          <w:highlight w:val="none"/>
        </w:rPr>
      </w:pPr>
      <w:r>
        <w:rPr>
          <w:rFonts w:hint="eastAsia" w:ascii="仿宋" w:hAnsi="仿宋" w:eastAsia="仿宋" w:cs="宋体"/>
          <w:sz w:val="24"/>
          <w:szCs w:val="24"/>
          <w:highlight w:val="none"/>
        </w:rPr>
        <w:t>3.落实政府采购政策需满足的资格要求：无</w:t>
      </w:r>
    </w:p>
    <w:p>
      <w:pPr>
        <w:pStyle w:val="43"/>
        <w:snapToGrid w:val="0"/>
        <w:spacing w:before="0" w:beforeAutospacing="0" w:after="0" w:afterAutospacing="0" w:line="360" w:lineRule="auto"/>
        <w:ind w:firstLine="480" w:firstLineChars="200"/>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rPr>
        <w:t>4.本项目的特定资格要求</w:t>
      </w:r>
      <w:r>
        <w:rPr>
          <w:rFonts w:hint="eastAsia" w:ascii="仿宋" w:hAnsi="仿宋" w:eastAsia="仿宋" w:cs="宋体"/>
          <w:sz w:val="24"/>
          <w:szCs w:val="24"/>
          <w:highlight w:val="none"/>
          <w:lang w:eastAsia="zh-CN"/>
        </w:rPr>
        <w:t>：</w:t>
      </w:r>
      <w:r>
        <w:rPr>
          <w:rFonts w:hint="eastAsia" w:ascii="仿宋" w:hAnsi="仿宋" w:eastAsia="仿宋" w:cs="宋体"/>
          <w:sz w:val="24"/>
          <w:szCs w:val="24"/>
          <w:highlight w:val="none"/>
        </w:rPr>
        <w:t>无</w:t>
      </w:r>
    </w:p>
    <w:p>
      <w:pPr>
        <w:pStyle w:val="43"/>
        <w:snapToGrid w:val="0"/>
        <w:spacing w:before="0" w:beforeAutospacing="0" w:after="0" w:afterAutospacing="0" w:line="360" w:lineRule="auto"/>
        <w:ind w:firstLine="480" w:firstLineChars="200"/>
        <w:rPr>
          <w:rFonts w:hint="eastAsia" w:ascii="仿宋" w:hAnsi="仿宋" w:eastAsia="仿宋" w:cs="宋体"/>
          <w:sz w:val="24"/>
          <w:szCs w:val="24"/>
          <w:highlight w:val="none"/>
        </w:rPr>
      </w:pPr>
      <w:r>
        <w:rPr>
          <w:rFonts w:hint="eastAsia" w:ascii="仿宋" w:hAnsi="仿宋" w:eastAsia="仿宋" w:cs="宋体"/>
          <w:sz w:val="24"/>
          <w:szCs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Style w:val="43"/>
        <w:snapToGrid w:val="0"/>
        <w:spacing w:before="0" w:beforeAutospacing="0" w:after="0" w:afterAutospacing="0" w:line="360" w:lineRule="auto"/>
        <w:rPr>
          <w:rFonts w:ascii="仿宋" w:hAnsi="仿宋" w:eastAsia="仿宋" w:cs="仿宋"/>
          <w:sz w:val="24"/>
          <w:szCs w:val="24"/>
          <w:highlight w:val="none"/>
        </w:rPr>
      </w:pPr>
      <w:r>
        <w:rPr>
          <w:rStyle w:val="53"/>
          <w:rFonts w:hint="eastAsia" w:ascii="仿宋" w:hAnsi="仿宋" w:eastAsia="仿宋" w:cs="仿宋"/>
          <w:sz w:val="24"/>
          <w:szCs w:val="24"/>
          <w:highlight w:val="none"/>
          <w:lang w:val="en-US" w:eastAsia="zh-CN"/>
        </w:rPr>
        <w:t>六</w:t>
      </w:r>
      <w:r>
        <w:rPr>
          <w:rStyle w:val="53"/>
          <w:rFonts w:hint="eastAsia" w:ascii="仿宋" w:hAnsi="仿宋" w:eastAsia="仿宋" w:cs="仿宋"/>
          <w:sz w:val="24"/>
          <w:szCs w:val="24"/>
          <w:highlight w:val="none"/>
          <w:lang w:eastAsia="zh-CN"/>
        </w:rPr>
        <w:t>、</w:t>
      </w:r>
      <w:r>
        <w:rPr>
          <w:rStyle w:val="53"/>
          <w:rFonts w:hint="eastAsia" w:ascii="仿宋" w:hAnsi="仿宋" w:eastAsia="仿宋" w:cs="仿宋"/>
          <w:sz w:val="24"/>
          <w:szCs w:val="24"/>
          <w:highlight w:val="none"/>
        </w:rPr>
        <w:t>招标文件的获取时间及地址等:</w:t>
      </w:r>
    </w:p>
    <w:p>
      <w:pPr>
        <w:pStyle w:val="43"/>
        <w:snapToGrid w:val="0"/>
        <w:spacing w:before="0" w:beforeAutospacing="0" w:after="0" w:afterAutospacing="0" w:line="360" w:lineRule="auto"/>
        <w:ind w:firstLine="540"/>
        <w:rPr>
          <w:rFonts w:ascii="仿宋" w:hAnsi="仿宋" w:eastAsia="仿宋" w:cs="宋体"/>
          <w:sz w:val="24"/>
          <w:szCs w:val="24"/>
          <w:highlight w:val="none"/>
        </w:rPr>
      </w:pPr>
      <w:r>
        <w:rPr>
          <w:rFonts w:hint="eastAsia" w:ascii="仿宋" w:hAnsi="仿宋" w:eastAsia="仿宋" w:cs="宋体"/>
          <w:sz w:val="24"/>
          <w:szCs w:val="24"/>
          <w:highlight w:val="none"/>
        </w:rPr>
        <w:t>1、获取时间：</w:t>
      </w:r>
      <w:r>
        <w:rPr>
          <w:rFonts w:ascii="仿宋" w:hAnsi="仿宋" w:eastAsia="仿宋" w:cs="宋体"/>
          <w:color w:val="auto"/>
          <w:sz w:val="24"/>
          <w:szCs w:val="24"/>
          <w:highlight w:val="none"/>
        </w:rPr>
        <w:t>202</w:t>
      </w:r>
      <w:r>
        <w:rPr>
          <w:rFonts w:hint="eastAsia" w:ascii="仿宋" w:hAnsi="仿宋" w:eastAsia="仿宋" w:cs="宋体"/>
          <w:color w:val="auto"/>
          <w:sz w:val="24"/>
          <w:szCs w:val="24"/>
          <w:highlight w:val="none"/>
          <w:lang w:val="en-US" w:eastAsia="zh-CN"/>
        </w:rPr>
        <w:t>4</w:t>
      </w:r>
      <w:r>
        <w:rPr>
          <w:rFonts w:hint="eastAsia" w:ascii="仿宋" w:hAnsi="仿宋" w:eastAsia="仿宋" w:cs="宋体"/>
          <w:color w:val="auto"/>
          <w:sz w:val="24"/>
          <w:szCs w:val="24"/>
          <w:highlight w:val="none"/>
        </w:rPr>
        <w:t>年</w:t>
      </w:r>
      <w:r>
        <w:rPr>
          <w:rFonts w:hint="eastAsia" w:ascii="仿宋" w:hAnsi="仿宋" w:eastAsia="仿宋" w:cs="宋体"/>
          <w:color w:val="auto"/>
          <w:sz w:val="24"/>
          <w:szCs w:val="24"/>
          <w:highlight w:val="none"/>
          <w:lang w:val="en-US" w:eastAsia="zh-CN"/>
        </w:rPr>
        <w:t>08</w:t>
      </w:r>
      <w:r>
        <w:rPr>
          <w:rFonts w:hint="eastAsia" w:ascii="仿宋" w:hAnsi="仿宋" w:eastAsia="仿宋" w:cs="宋体"/>
          <w:color w:val="auto"/>
          <w:sz w:val="24"/>
          <w:szCs w:val="24"/>
          <w:highlight w:val="none"/>
        </w:rPr>
        <w:t>月</w:t>
      </w:r>
      <w:r>
        <w:rPr>
          <w:rFonts w:hint="eastAsia" w:ascii="仿宋" w:hAnsi="仿宋" w:eastAsia="仿宋" w:cs="宋体"/>
          <w:color w:val="auto"/>
          <w:sz w:val="24"/>
          <w:szCs w:val="24"/>
          <w:highlight w:val="none"/>
          <w:lang w:val="en-US" w:eastAsia="zh-CN"/>
        </w:rPr>
        <w:t>06</w:t>
      </w:r>
      <w:r>
        <w:rPr>
          <w:rFonts w:hint="eastAsia" w:ascii="仿宋" w:hAnsi="仿宋" w:eastAsia="仿宋" w:cs="宋体"/>
          <w:color w:val="auto"/>
          <w:sz w:val="24"/>
          <w:szCs w:val="24"/>
          <w:highlight w:val="none"/>
        </w:rPr>
        <w:t>日至2</w:t>
      </w:r>
      <w:r>
        <w:rPr>
          <w:rFonts w:ascii="仿宋" w:hAnsi="仿宋" w:eastAsia="仿宋" w:cs="宋体"/>
          <w:color w:val="auto"/>
          <w:sz w:val="24"/>
          <w:szCs w:val="24"/>
          <w:highlight w:val="none"/>
        </w:rPr>
        <w:t>02</w:t>
      </w:r>
      <w:r>
        <w:rPr>
          <w:rFonts w:hint="eastAsia" w:ascii="仿宋" w:hAnsi="仿宋" w:eastAsia="仿宋" w:cs="宋体"/>
          <w:color w:val="auto"/>
          <w:sz w:val="24"/>
          <w:szCs w:val="24"/>
          <w:highlight w:val="none"/>
          <w:lang w:val="en-US" w:eastAsia="zh-CN"/>
        </w:rPr>
        <w:t>4</w:t>
      </w:r>
      <w:r>
        <w:rPr>
          <w:rFonts w:hint="eastAsia" w:ascii="仿宋" w:hAnsi="仿宋" w:eastAsia="仿宋" w:cs="宋体"/>
          <w:color w:val="auto"/>
          <w:sz w:val="24"/>
          <w:szCs w:val="24"/>
          <w:highlight w:val="none"/>
        </w:rPr>
        <w:t>年</w:t>
      </w:r>
      <w:r>
        <w:rPr>
          <w:rFonts w:hint="eastAsia" w:ascii="仿宋" w:hAnsi="仿宋" w:eastAsia="仿宋" w:cs="宋体"/>
          <w:color w:val="auto"/>
          <w:sz w:val="24"/>
          <w:szCs w:val="24"/>
          <w:highlight w:val="none"/>
          <w:lang w:val="en-US" w:eastAsia="zh-CN"/>
        </w:rPr>
        <w:t>8</w:t>
      </w:r>
      <w:r>
        <w:rPr>
          <w:rFonts w:hint="eastAsia" w:ascii="仿宋" w:hAnsi="仿宋" w:eastAsia="仿宋" w:cs="宋体"/>
          <w:color w:val="auto"/>
          <w:sz w:val="24"/>
          <w:szCs w:val="24"/>
          <w:highlight w:val="none"/>
        </w:rPr>
        <w:t>月</w:t>
      </w:r>
      <w:r>
        <w:rPr>
          <w:rFonts w:hint="eastAsia" w:ascii="仿宋" w:hAnsi="仿宋" w:eastAsia="仿宋" w:cs="宋体"/>
          <w:color w:val="auto"/>
          <w:sz w:val="24"/>
          <w:szCs w:val="24"/>
          <w:highlight w:val="none"/>
          <w:lang w:val="en-US" w:eastAsia="zh-CN"/>
        </w:rPr>
        <w:t>15</w:t>
      </w:r>
      <w:r>
        <w:rPr>
          <w:rFonts w:hint="eastAsia" w:ascii="仿宋" w:hAnsi="仿宋" w:eastAsia="仿宋" w:cs="宋体"/>
          <w:color w:val="auto"/>
          <w:sz w:val="24"/>
          <w:szCs w:val="24"/>
          <w:highlight w:val="none"/>
        </w:rPr>
        <w:t>日</w:t>
      </w:r>
      <w:r>
        <w:rPr>
          <w:rFonts w:hint="eastAsia" w:ascii="仿宋" w:hAnsi="仿宋" w:eastAsia="仿宋" w:cs="宋体"/>
          <w:sz w:val="24"/>
          <w:szCs w:val="24"/>
          <w:highlight w:val="none"/>
        </w:rPr>
        <w:t>(双休日及法定节假日除外)。上午：09:00-11:30，下午：13:</w:t>
      </w:r>
      <w:r>
        <w:rPr>
          <w:rFonts w:ascii="仿宋" w:hAnsi="仿宋" w:eastAsia="仿宋" w:cs="宋体"/>
          <w:sz w:val="24"/>
          <w:szCs w:val="24"/>
          <w:highlight w:val="none"/>
        </w:rPr>
        <w:t>3</w:t>
      </w:r>
      <w:r>
        <w:rPr>
          <w:rFonts w:hint="eastAsia" w:ascii="仿宋" w:hAnsi="仿宋" w:eastAsia="仿宋" w:cs="宋体"/>
          <w:sz w:val="24"/>
          <w:szCs w:val="24"/>
          <w:highlight w:val="none"/>
        </w:rPr>
        <w:t>0-17:00。</w:t>
      </w:r>
    </w:p>
    <w:p>
      <w:pPr>
        <w:pStyle w:val="25"/>
        <w:spacing w:line="360" w:lineRule="auto"/>
        <w:ind w:firstLine="470" w:firstLineChars="196"/>
        <w:rPr>
          <w:rFonts w:ascii="仿宋" w:hAnsi="仿宋" w:eastAsia="仿宋" w:cs="仿宋"/>
          <w:bCs/>
          <w:kern w:val="0"/>
          <w:sz w:val="24"/>
          <w:szCs w:val="24"/>
          <w:highlight w:val="none"/>
        </w:rPr>
      </w:pPr>
      <w:r>
        <w:rPr>
          <w:rFonts w:hint="eastAsia" w:ascii="仿宋" w:hAnsi="仿宋" w:eastAsia="仿宋" w:cs="宋体"/>
          <w:sz w:val="24"/>
          <w:szCs w:val="24"/>
          <w:highlight w:val="none"/>
        </w:rPr>
        <w:t>2、获取地址：</w:t>
      </w:r>
      <w:r>
        <w:rPr>
          <w:rFonts w:hint="eastAsia" w:ascii="仿宋" w:hAnsi="仿宋" w:eastAsia="仿宋" w:cs="仿宋"/>
          <w:sz w:val="24"/>
          <w:szCs w:val="24"/>
          <w:highlight w:val="none"/>
        </w:rPr>
        <w:t>杭州市拱墅区白石巷318号中国杭州人力资源服务产业园北楼</w:t>
      </w:r>
      <w:r>
        <w:rPr>
          <w:rFonts w:ascii="仿宋" w:hAnsi="仿宋" w:eastAsia="仿宋" w:cs="仿宋"/>
          <w:sz w:val="24"/>
          <w:szCs w:val="24"/>
          <w:highlight w:val="none"/>
        </w:rPr>
        <w:t>512</w:t>
      </w:r>
      <w:r>
        <w:rPr>
          <w:rFonts w:hint="eastAsia" w:ascii="仿宋" w:hAnsi="仿宋" w:eastAsia="仿宋" w:cs="仿宋"/>
          <w:bCs/>
          <w:kern w:val="0"/>
          <w:sz w:val="24"/>
          <w:szCs w:val="24"/>
          <w:highlight w:val="none"/>
        </w:rPr>
        <w:t>室。</w:t>
      </w:r>
    </w:p>
    <w:p>
      <w:pPr>
        <w:pStyle w:val="25"/>
        <w:spacing w:line="360" w:lineRule="auto"/>
        <w:ind w:firstLine="470" w:firstLineChars="196"/>
        <w:rPr>
          <w:rFonts w:ascii="仿宋" w:hAnsi="仿宋" w:eastAsia="仿宋" w:cs="仿宋"/>
          <w:bCs/>
          <w:kern w:val="0"/>
          <w:sz w:val="24"/>
          <w:szCs w:val="24"/>
          <w:highlight w:val="none"/>
        </w:rPr>
      </w:pPr>
      <w:r>
        <w:rPr>
          <w:rFonts w:hint="eastAsia" w:ascii="仿宋" w:hAnsi="仿宋" w:eastAsia="仿宋" w:cs="仿宋"/>
          <w:bCs/>
          <w:kern w:val="0"/>
          <w:sz w:val="24"/>
          <w:szCs w:val="24"/>
          <w:highlight w:val="none"/>
        </w:rPr>
        <w:t>3、标书售价：每本500元整（售后不退）。</w:t>
      </w:r>
    </w:p>
    <w:p>
      <w:pPr>
        <w:spacing w:line="360" w:lineRule="auto"/>
        <w:ind w:firstLine="480" w:firstLineChars="200"/>
        <w:rPr>
          <w:rFonts w:ascii="仿宋" w:hAnsi="仿宋" w:eastAsia="仿宋" w:cs="仿宋"/>
          <w:bCs/>
          <w:kern w:val="0"/>
          <w:sz w:val="24"/>
          <w:highlight w:val="none"/>
        </w:rPr>
      </w:pPr>
      <w:r>
        <w:rPr>
          <w:rFonts w:hint="eastAsia" w:ascii="仿宋" w:hAnsi="仿宋" w:eastAsia="仿宋" w:cs="仿宋"/>
          <w:bCs/>
          <w:kern w:val="0"/>
          <w:sz w:val="24"/>
          <w:highlight w:val="none"/>
        </w:rPr>
        <w:t>4、获取方式：现场报名</w:t>
      </w:r>
    </w:p>
    <w:p>
      <w:pPr>
        <w:pStyle w:val="5"/>
        <w:spacing w:line="360" w:lineRule="auto"/>
        <w:ind w:firstLine="470" w:firstLineChars="196"/>
        <w:rPr>
          <w:rFonts w:ascii="仿宋" w:hAnsi="仿宋" w:eastAsia="仿宋" w:cs="仿宋"/>
          <w:bCs/>
          <w:sz w:val="24"/>
          <w:szCs w:val="24"/>
          <w:highlight w:val="none"/>
        </w:rPr>
      </w:pPr>
      <w:r>
        <w:rPr>
          <w:rFonts w:hint="eastAsia" w:ascii="仿宋" w:hAnsi="仿宋" w:eastAsia="仿宋" w:cs="仿宋"/>
          <w:bCs/>
          <w:sz w:val="24"/>
          <w:szCs w:val="24"/>
          <w:highlight w:val="none"/>
        </w:rPr>
        <w:t>5、获取招标文件时须提交的资料：企业法人营业执照或事业法人登记证书复印件、法人授权委托书原件、投标商报名登记表等（均需加盖公章）。</w:t>
      </w:r>
    </w:p>
    <w:p>
      <w:pPr>
        <w:pStyle w:val="25"/>
        <w:spacing w:before="120" w:line="360" w:lineRule="auto"/>
        <w:rPr>
          <w:rFonts w:ascii="仿宋" w:hAnsi="仿宋" w:eastAsia="仿宋" w:cs="仿宋"/>
          <w:sz w:val="24"/>
          <w:szCs w:val="24"/>
          <w:highlight w:val="none"/>
        </w:rPr>
      </w:pPr>
      <w:bookmarkStart w:id="2" w:name="_Toc5624544"/>
      <w:r>
        <w:rPr>
          <w:rStyle w:val="53"/>
          <w:rFonts w:hint="eastAsia" w:ascii="仿宋" w:hAnsi="仿宋" w:eastAsia="仿宋" w:cs="宋体"/>
          <w:sz w:val="24"/>
          <w:szCs w:val="24"/>
          <w:highlight w:val="none"/>
          <w:lang w:val="en-US" w:eastAsia="zh-CN"/>
        </w:rPr>
        <w:t>七</w:t>
      </w:r>
      <w:r>
        <w:rPr>
          <w:rStyle w:val="53"/>
          <w:rFonts w:hint="eastAsia" w:ascii="仿宋" w:hAnsi="仿宋" w:eastAsia="仿宋" w:cs="宋体"/>
          <w:sz w:val="24"/>
          <w:szCs w:val="24"/>
          <w:highlight w:val="none"/>
        </w:rPr>
        <w:t>．</w:t>
      </w:r>
      <w:r>
        <w:rPr>
          <w:rFonts w:hint="eastAsia" w:ascii="仿宋" w:hAnsi="仿宋" w:eastAsia="仿宋" w:cs="仿宋"/>
          <w:b/>
          <w:sz w:val="24"/>
          <w:szCs w:val="24"/>
          <w:highlight w:val="none"/>
        </w:rPr>
        <w:t>投标截止时间与地点：</w:t>
      </w:r>
      <w:r>
        <w:rPr>
          <w:rFonts w:hint="eastAsia" w:ascii="仿宋" w:hAnsi="仿宋" w:eastAsia="仿宋" w:cs="仿宋"/>
          <w:sz w:val="24"/>
          <w:szCs w:val="24"/>
          <w:highlight w:val="none"/>
        </w:rPr>
        <w:t>202</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27</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时</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0分，地点：</w:t>
      </w:r>
      <w:r>
        <w:rPr>
          <w:rFonts w:hint="eastAsia" w:ascii="仿宋" w:hAnsi="仿宋" w:eastAsia="仿宋" w:cs="仿宋"/>
          <w:color w:val="auto"/>
          <w:sz w:val="24"/>
          <w:szCs w:val="24"/>
          <w:highlight w:val="none"/>
        </w:rPr>
        <w:t>杭州市拱墅区</w:t>
      </w:r>
      <w:r>
        <w:rPr>
          <w:rFonts w:hint="eastAsia" w:ascii="仿宋" w:hAnsi="仿宋" w:eastAsia="仿宋" w:cs="仿宋"/>
          <w:color w:val="auto"/>
          <w:sz w:val="24"/>
          <w:szCs w:val="24"/>
          <w:highlight w:val="none"/>
          <w:lang w:eastAsia="zh-CN"/>
        </w:rPr>
        <w:t>白石巷</w:t>
      </w:r>
      <w:r>
        <w:rPr>
          <w:rFonts w:hint="eastAsia" w:ascii="仿宋" w:hAnsi="仿宋" w:eastAsia="仿宋" w:cs="仿宋"/>
          <w:color w:val="auto"/>
          <w:sz w:val="24"/>
          <w:szCs w:val="24"/>
          <w:highlight w:val="none"/>
        </w:rPr>
        <w:t>318号中国（杭州）人力资源服务产业园北楼514室</w:t>
      </w:r>
      <w:r>
        <w:rPr>
          <w:rFonts w:hint="eastAsia" w:ascii="仿宋" w:hAnsi="仿宋" w:eastAsia="仿宋" w:cs="仿宋"/>
          <w:sz w:val="24"/>
          <w:szCs w:val="24"/>
          <w:highlight w:val="none"/>
          <w:lang w:eastAsia="zh-CN"/>
        </w:rPr>
        <w:t>。</w:t>
      </w:r>
    </w:p>
    <w:p>
      <w:pPr>
        <w:pStyle w:val="25"/>
        <w:spacing w:before="120" w:line="360" w:lineRule="auto"/>
        <w:rPr>
          <w:rFonts w:hint="eastAsia" w:ascii="仿宋" w:hAnsi="仿宋" w:eastAsia="仿宋" w:cs="仿宋"/>
          <w:sz w:val="24"/>
          <w:szCs w:val="24"/>
          <w:highlight w:val="none"/>
        </w:rPr>
      </w:pPr>
      <w:r>
        <w:rPr>
          <w:rFonts w:hint="eastAsia" w:ascii="仿宋" w:hAnsi="仿宋" w:eastAsia="仿宋" w:cs="仿宋"/>
          <w:b/>
          <w:sz w:val="24"/>
          <w:szCs w:val="24"/>
          <w:highlight w:val="none"/>
          <w:lang w:val="en-US" w:eastAsia="zh-CN"/>
        </w:rPr>
        <w:t>八</w:t>
      </w:r>
      <w:r>
        <w:rPr>
          <w:rFonts w:hint="eastAsia" w:ascii="仿宋" w:hAnsi="仿宋" w:eastAsia="仿宋" w:cs="仿宋"/>
          <w:b/>
          <w:sz w:val="24"/>
          <w:szCs w:val="24"/>
          <w:highlight w:val="none"/>
        </w:rPr>
        <w:t>、开标时间与地点：</w:t>
      </w:r>
      <w:r>
        <w:rPr>
          <w:rFonts w:hint="eastAsia" w:ascii="仿宋" w:hAnsi="仿宋" w:eastAsia="仿宋" w:cs="仿宋"/>
          <w:sz w:val="24"/>
          <w:szCs w:val="24"/>
          <w:highlight w:val="none"/>
        </w:rPr>
        <w:t>202</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27</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时</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0分，地点：</w:t>
      </w:r>
      <w:r>
        <w:rPr>
          <w:rFonts w:hint="eastAsia" w:ascii="仿宋" w:hAnsi="仿宋" w:eastAsia="仿宋" w:cs="仿宋"/>
          <w:color w:val="auto"/>
          <w:sz w:val="24"/>
          <w:szCs w:val="24"/>
          <w:highlight w:val="none"/>
        </w:rPr>
        <w:t>杭州市拱墅区</w:t>
      </w:r>
      <w:r>
        <w:rPr>
          <w:rFonts w:hint="eastAsia" w:ascii="仿宋" w:hAnsi="仿宋" w:eastAsia="仿宋" w:cs="仿宋"/>
          <w:color w:val="auto"/>
          <w:sz w:val="24"/>
          <w:szCs w:val="24"/>
          <w:highlight w:val="none"/>
          <w:lang w:eastAsia="zh-CN"/>
        </w:rPr>
        <w:t>白石巷</w:t>
      </w:r>
      <w:r>
        <w:rPr>
          <w:rFonts w:hint="eastAsia" w:ascii="仿宋" w:hAnsi="仿宋" w:eastAsia="仿宋" w:cs="仿宋"/>
          <w:color w:val="auto"/>
          <w:sz w:val="24"/>
          <w:szCs w:val="24"/>
          <w:highlight w:val="none"/>
        </w:rPr>
        <w:t>318号中国（杭州）人力资源服务产业园北楼514室</w:t>
      </w:r>
      <w:r>
        <w:rPr>
          <w:rFonts w:hint="eastAsia" w:ascii="仿宋" w:hAnsi="仿宋" w:eastAsia="仿宋" w:cs="仿宋"/>
          <w:sz w:val="24"/>
          <w:szCs w:val="24"/>
          <w:highlight w:val="none"/>
          <w:lang w:eastAsia="zh-CN"/>
        </w:rPr>
        <w:t>。</w:t>
      </w:r>
    </w:p>
    <w:p>
      <w:pPr>
        <w:pStyle w:val="25"/>
        <w:spacing w:before="120" w:line="360" w:lineRule="auto"/>
        <w:rPr>
          <w:rFonts w:hint="eastAsia" w:ascii="仿宋" w:hAnsi="仿宋" w:eastAsia="仿宋" w:cs="仿宋"/>
          <w:sz w:val="24"/>
          <w:szCs w:val="24"/>
          <w:highlight w:val="none"/>
          <w:lang w:eastAsia="zh-CN"/>
        </w:rPr>
      </w:pPr>
      <w:r>
        <w:rPr>
          <w:rFonts w:hint="eastAsia" w:ascii="仿宋" w:hAnsi="仿宋" w:eastAsia="仿宋" w:cs="仿宋"/>
          <w:b/>
          <w:sz w:val="24"/>
          <w:szCs w:val="24"/>
          <w:highlight w:val="none"/>
          <w:lang w:val="en-US" w:eastAsia="zh-CN"/>
        </w:rPr>
        <w:t>九</w:t>
      </w:r>
      <w:r>
        <w:rPr>
          <w:rFonts w:hint="eastAsia" w:ascii="仿宋" w:hAnsi="仿宋" w:eastAsia="仿宋" w:cs="仿宋"/>
          <w:b/>
          <w:sz w:val="24"/>
          <w:szCs w:val="24"/>
          <w:highlight w:val="none"/>
        </w:rPr>
        <w:t>、公告期限：</w:t>
      </w:r>
      <w:r>
        <w:rPr>
          <w:rFonts w:hint="eastAsia" w:ascii="仿宋" w:hAnsi="仿宋" w:eastAsia="仿宋" w:cs="仿宋"/>
          <w:sz w:val="24"/>
          <w:szCs w:val="24"/>
          <w:highlight w:val="none"/>
        </w:rPr>
        <w:t>5个工作日</w:t>
      </w:r>
      <w:r>
        <w:rPr>
          <w:rFonts w:hint="eastAsia" w:ascii="仿宋" w:hAnsi="仿宋" w:eastAsia="仿宋" w:cs="仿宋"/>
          <w:sz w:val="24"/>
          <w:szCs w:val="24"/>
          <w:highlight w:val="none"/>
          <w:lang w:eastAsia="zh-CN"/>
        </w:rPr>
        <w:t>。</w:t>
      </w:r>
    </w:p>
    <w:p>
      <w:pPr>
        <w:pStyle w:val="25"/>
        <w:spacing w:before="120" w:line="360" w:lineRule="auto"/>
        <w:rPr>
          <w:rFonts w:ascii="仿宋" w:hAnsi="仿宋" w:eastAsia="仿宋" w:cs="仿宋"/>
          <w:sz w:val="24"/>
          <w:szCs w:val="24"/>
          <w:highlight w:val="none"/>
        </w:rPr>
      </w:pPr>
      <w:r>
        <w:rPr>
          <w:rStyle w:val="53"/>
          <w:rFonts w:hint="eastAsia" w:ascii="仿宋" w:hAnsi="仿宋" w:eastAsia="仿宋" w:cs="宋体"/>
          <w:sz w:val="24"/>
          <w:szCs w:val="24"/>
          <w:highlight w:val="none"/>
          <w:lang w:val="en-US" w:eastAsia="zh-CN"/>
        </w:rPr>
        <w:t>十</w:t>
      </w:r>
      <w:r>
        <w:rPr>
          <w:rStyle w:val="53"/>
          <w:rFonts w:hint="eastAsia" w:ascii="仿宋" w:hAnsi="仿宋" w:eastAsia="仿宋" w:cs="宋体"/>
          <w:sz w:val="24"/>
          <w:szCs w:val="24"/>
          <w:highlight w:val="none"/>
        </w:rPr>
        <w:t>、其他事项：</w:t>
      </w:r>
    </w:p>
    <w:p>
      <w:pPr>
        <w:pStyle w:val="5"/>
        <w:spacing w:line="360" w:lineRule="auto"/>
        <w:ind w:firstLine="434" w:firstLineChars="181"/>
        <w:rPr>
          <w:rFonts w:ascii="仿宋" w:hAnsi="仿宋" w:eastAsia="仿宋" w:cs="仿宋"/>
          <w:sz w:val="24"/>
          <w:szCs w:val="24"/>
          <w:highlight w:val="none"/>
        </w:rPr>
      </w:pPr>
      <w:r>
        <w:rPr>
          <w:rFonts w:hint="eastAsia" w:ascii="仿宋" w:hAnsi="仿宋" w:eastAsia="仿宋" w:cs="仿宋"/>
          <w:sz w:val="24"/>
          <w:szCs w:val="24"/>
          <w:highlight w:val="none"/>
        </w:rPr>
        <w:t>供应商如认为招标公告信息使自身的合法权益受到损害的，应于自招标公告发布之日起五个工作日内以书面形式向采购代理机构提出质疑；供应商如认为招标文件使自身的合法权益受到损害的，应于自获取招标文件之日起七个工作日内以书面形式向采购代理机构提出质疑（招标文件领取截止时间之后获取的，应于自招标文件领取截止时间之日起七个工作日内以书面形式向采购代理机构提出）；供应商如认为采购过程和中标结果使自身的合法权益受到损害的，应于自预中标结果公告之日起五个工作日内以书面形式向采购代理机构提出质疑。</w:t>
      </w:r>
    </w:p>
    <w:p>
      <w:pPr>
        <w:widowControl/>
        <w:snapToGrid w:val="0"/>
        <w:spacing w:line="336" w:lineRule="auto"/>
        <w:jc w:val="left"/>
        <w:rPr>
          <w:rFonts w:ascii="仿宋" w:hAnsi="仿宋" w:eastAsia="仿宋" w:cs="宋体"/>
          <w:b/>
          <w:bCs/>
          <w:kern w:val="0"/>
          <w:sz w:val="24"/>
          <w:highlight w:val="none"/>
        </w:rPr>
      </w:pPr>
      <w:r>
        <w:rPr>
          <w:rFonts w:hint="eastAsia" w:ascii="仿宋" w:hAnsi="仿宋" w:eastAsia="仿宋" w:cs="宋体"/>
          <w:b/>
          <w:bCs/>
          <w:kern w:val="0"/>
          <w:sz w:val="24"/>
          <w:highlight w:val="none"/>
          <w:lang w:val="en-US" w:eastAsia="zh-CN"/>
        </w:rPr>
        <w:t>十一</w:t>
      </w:r>
      <w:r>
        <w:rPr>
          <w:rFonts w:hint="eastAsia" w:ascii="仿宋" w:hAnsi="仿宋" w:eastAsia="仿宋" w:cs="宋体"/>
          <w:b/>
          <w:bCs/>
          <w:kern w:val="0"/>
          <w:sz w:val="24"/>
          <w:highlight w:val="none"/>
        </w:rPr>
        <w:t>、联系方式：</w:t>
      </w:r>
    </w:p>
    <w:p>
      <w:pPr>
        <w:pStyle w:val="25"/>
        <w:snapToGrid w:val="0"/>
        <w:spacing w:line="360" w:lineRule="auto"/>
        <w:rPr>
          <w:rFonts w:ascii="仿宋" w:hAnsi="仿宋" w:eastAsia="仿宋" w:cs="仿宋"/>
          <w:bCs/>
          <w:kern w:val="28"/>
          <w:sz w:val="24"/>
          <w:szCs w:val="24"/>
          <w:highlight w:val="none"/>
        </w:rPr>
      </w:pPr>
      <w:r>
        <w:rPr>
          <w:rFonts w:hint="eastAsia" w:ascii="仿宋" w:hAnsi="仿宋" w:eastAsia="仿宋" w:cs="宋体"/>
          <w:kern w:val="0"/>
          <w:sz w:val="24"/>
          <w:highlight w:val="none"/>
        </w:rPr>
        <w:t>1、</w:t>
      </w:r>
      <w:r>
        <w:rPr>
          <w:rFonts w:hint="eastAsia" w:ascii="仿宋" w:hAnsi="仿宋" w:eastAsia="仿宋" w:cs="仿宋"/>
          <w:bCs/>
          <w:kern w:val="28"/>
          <w:sz w:val="24"/>
          <w:szCs w:val="24"/>
          <w:highlight w:val="none"/>
        </w:rPr>
        <w:t>采购代理机构：浙江五石中正工程咨询有限公司</w:t>
      </w:r>
    </w:p>
    <w:p>
      <w:pPr>
        <w:pStyle w:val="25"/>
        <w:snapToGrid w:val="0"/>
        <w:spacing w:line="360" w:lineRule="auto"/>
        <w:rPr>
          <w:rFonts w:hint="eastAsia" w:ascii="仿宋" w:hAnsi="仿宋" w:eastAsia="仿宋" w:cs="仿宋"/>
          <w:bCs/>
          <w:kern w:val="28"/>
          <w:sz w:val="24"/>
          <w:szCs w:val="24"/>
          <w:highlight w:val="none"/>
          <w:lang w:eastAsia="zh-CN"/>
        </w:rPr>
      </w:pPr>
      <w:r>
        <w:rPr>
          <w:rFonts w:hint="eastAsia" w:ascii="仿宋" w:hAnsi="仿宋" w:eastAsia="仿宋" w:cs="仿宋"/>
          <w:bCs/>
          <w:kern w:val="28"/>
          <w:sz w:val="24"/>
          <w:szCs w:val="24"/>
          <w:highlight w:val="none"/>
        </w:rPr>
        <w:t>联系人：</w:t>
      </w:r>
      <w:r>
        <w:rPr>
          <w:rFonts w:hint="eastAsia" w:ascii="仿宋" w:hAnsi="仿宋" w:eastAsia="仿宋" w:cs="仿宋"/>
          <w:bCs/>
          <w:kern w:val="28"/>
          <w:sz w:val="24"/>
          <w:szCs w:val="24"/>
          <w:highlight w:val="none"/>
          <w:lang w:eastAsia="zh-CN"/>
        </w:rPr>
        <w:t>高琳、</w:t>
      </w:r>
      <w:r>
        <w:rPr>
          <w:rFonts w:hint="eastAsia" w:ascii="仿宋" w:hAnsi="仿宋" w:eastAsia="仿宋" w:cs="仿宋"/>
          <w:bCs/>
          <w:kern w:val="28"/>
          <w:sz w:val="24"/>
          <w:szCs w:val="24"/>
          <w:highlight w:val="none"/>
          <w:lang w:val="en-US" w:eastAsia="zh-CN"/>
        </w:rPr>
        <w:t>王剑强</w:t>
      </w:r>
    </w:p>
    <w:p>
      <w:pPr>
        <w:pStyle w:val="25"/>
        <w:snapToGrid w:val="0"/>
        <w:spacing w:line="360" w:lineRule="auto"/>
        <w:rPr>
          <w:rFonts w:hint="default" w:ascii="仿宋" w:hAnsi="仿宋" w:eastAsia="仿宋" w:cs="仿宋"/>
          <w:bCs/>
          <w:kern w:val="28"/>
          <w:sz w:val="24"/>
          <w:szCs w:val="24"/>
          <w:highlight w:val="none"/>
          <w:lang w:val="en-US" w:eastAsia="zh-CN"/>
        </w:rPr>
      </w:pPr>
      <w:r>
        <w:rPr>
          <w:rFonts w:hint="eastAsia" w:ascii="仿宋" w:hAnsi="仿宋" w:eastAsia="仿宋" w:cs="仿宋"/>
          <w:bCs/>
          <w:kern w:val="28"/>
          <w:sz w:val="24"/>
          <w:szCs w:val="24"/>
          <w:highlight w:val="none"/>
        </w:rPr>
        <w:t>联系电话：</w:t>
      </w:r>
      <w:r>
        <w:rPr>
          <w:rFonts w:hint="eastAsia" w:ascii="仿宋" w:hAnsi="仿宋" w:eastAsia="仿宋" w:cs="仿宋"/>
          <w:bCs/>
          <w:kern w:val="28"/>
          <w:sz w:val="24"/>
          <w:szCs w:val="24"/>
          <w:highlight w:val="none"/>
          <w:lang w:val="en-US" w:eastAsia="zh-CN"/>
        </w:rPr>
        <w:t>0571-85334203、13588304654</w:t>
      </w:r>
    </w:p>
    <w:p>
      <w:pPr>
        <w:pStyle w:val="25"/>
        <w:snapToGrid w:val="0"/>
        <w:spacing w:line="360" w:lineRule="auto"/>
        <w:rPr>
          <w:rFonts w:ascii="仿宋" w:hAnsi="仿宋" w:eastAsia="仿宋" w:cs="仿宋"/>
          <w:bCs/>
          <w:kern w:val="28"/>
          <w:sz w:val="24"/>
          <w:szCs w:val="24"/>
          <w:highlight w:val="none"/>
        </w:rPr>
      </w:pPr>
      <w:r>
        <w:rPr>
          <w:rFonts w:hint="eastAsia" w:ascii="仿宋" w:hAnsi="仿宋" w:eastAsia="仿宋" w:cs="仿宋"/>
          <w:bCs/>
          <w:kern w:val="28"/>
          <w:sz w:val="24"/>
          <w:szCs w:val="24"/>
          <w:highlight w:val="none"/>
        </w:rPr>
        <w:t>传 真：0571-85342190</w:t>
      </w:r>
    </w:p>
    <w:p>
      <w:pPr>
        <w:pStyle w:val="25"/>
        <w:snapToGrid w:val="0"/>
        <w:spacing w:line="360" w:lineRule="auto"/>
        <w:rPr>
          <w:rFonts w:ascii="仿宋" w:hAnsi="仿宋" w:eastAsia="仿宋" w:cs="仿宋"/>
          <w:bCs/>
          <w:kern w:val="28"/>
          <w:sz w:val="24"/>
          <w:szCs w:val="24"/>
          <w:highlight w:val="none"/>
        </w:rPr>
      </w:pPr>
      <w:r>
        <w:rPr>
          <w:rFonts w:hint="eastAsia" w:ascii="仿宋" w:hAnsi="仿宋" w:eastAsia="仿宋" w:cs="仿宋"/>
          <w:bCs/>
          <w:kern w:val="28"/>
          <w:sz w:val="24"/>
          <w:szCs w:val="24"/>
          <w:highlight w:val="none"/>
        </w:rPr>
        <w:t>质疑联系人：</w:t>
      </w:r>
      <w:r>
        <w:rPr>
          <w:rFonts w:hint="eastAsia" w:ascii="仿宋" w:hAnsi="仿宋" w:eastAsia="仿宋" w:cs="仿宋"/>
          <w:bCs/>
          <w:kern w:val="28"/>
          <w:sz w:val="24"/>
          <w:szCs w:val="24"/>
          <w:highlight w:val="none"/>
          <w:lang w:eastAsia="zh-CN"/>
        </w:rPr>
        <w:t>罗秦</w:t>
      </w:r>
      <w:r>
        <w:rPr>
          <w:rFonts w:hint="eastAsia" w:ascii="仿宋" w:hAnsi="仿宋" w:eastAsia="仿宋" w:cs="仿宋"/>
          <w:bCs/>
          <w:kern w:val="28"/>
          <w:sz w:val="24"/>
          <w:szCs w:val="24"/>
          <w:highlight w:val="none"/>
        </w:rPr>
        <w:t xml:space="preserve"> </w:t>
      </w:r>
      <w:r>
        <w:rPr>
          <w:rFonts w:ascii="仿宋" w:hAnsi="仿宋" w:eastAsia="仿宋" w:cs="仿宋"/>
          <w:bCs/>
          <w:kern w:val="28"/>
          <w:sz w:val="24"/>
          <w:szCs w:val="24"/>
          <w:highlight w:val="none"/>
        </w:rPr>
        <w:t xml:space="preserve">     </w:t>
      </w:r>
    </w:p>
    <w:p>
      <w:pPr>
        <w:pStyle w:val="25"/>
        <w:snapToGrid w:val="0"/>
        <w:spacing w:line="360" w:lineRule="auto"/>
        <w:rPr>
          <w:rFonts w:ascii="仿宋" w:hAnsi="仿宋" w:eastAsia="仿宋" w:cs="仿宋"/>
          <w:bCs/>
          <w:kern w:val="28"/>
          <w:sz w:val="24"/>
          <w:szCs w:val="24"/>
          <w:highlight w:val="none"/>
        </w:rPr>
      </w:pPr>
      <w:r>
        <w:rPr>
          <w:rFonts w:hint="eastAsia" w:ascii="仿宋" w:hAnsi="仿宋" w:eastAsia="仿宋" w:cs="仿宋"/>
          <w:bCs/>
          <w:kern w:val="28"/>
          <w:sz w:val="24"/>
          <w:szCs w:val="24"/>
          <w:highlight w:val="none"/>
        </w:rPr>
        <w:t>质疑联系电话：13957144873</w:t>
      </w:r>
    </w:p>
    <w:p>
      <w:pPr>
        <w:pStyle w:val="25"/>
        <w:snapToGrid w:val="0"/>
        <w:spacing w:line="360" w:lineRule="auto"/>
        <w:rPr>
          <w:rFonts w:ascii="仿宋" w:hAnsi="仿宋" w:eastAsia="仿宋" w:cs="宋体"/>
          <w:kern w:val="0"/>
          <w:sz w:val="24"/>
          <w:szCs w:val="24"/>
          <w:highlight w:val="none"/>
        </w:rPr>
      </w:pPr>
      <w:r>
        <w:rPr>
          <w:rFonts w:hint="eastAsia" w:ascii="仿宋" w:hAnsi="仿宋" w:eastAsia="仿宋" w:cs="宋体"/>
          <w:kern w:val="0"/>
          <w:sz w:val="24"/>
          <w:szCs w:val="24"/>
          <w:highlight w:val="none"/>
        </w:rPr>
        <w:t>地点：杭州市拱墅区白石巷318号中国杭州人力资源服务产业园北楼</w:t>
      </w:r>
      <w:r>
        <w:rPr>
          <w:rFonts w:ascii="仿宋" w:hAnsi="仿宋" w:eastAsia="仿宋" w:cs="宋体"/>
          <w:kern w:val="0"/>
          <w:sz w:val="24"/>
          <w:szCs w:val="24"/>
          <w:highlight w:val="none"/>
        </w:rPr>
        <w:t>5</w:t>
      </w:r>
      <w:r>
        <w:rPr>
          <w:rFonts w:hint="eastAsia" w:ascii="仿宋" w:hAnsi="仿宋" w:eastAsia="仿宋" w:cs="宋体"/>
          <w:kern w:val="0"/>
          <w:sz w:val="24"/>
          <w:szCs w:val="24"/>
          <w:highlight w:val="none"/>
        </w:rPr>
        <w:t>1</w:t>
      </w:r>
      <w:r>
        <w:rPr>
          <w:rFonts w:ascii="仿宋" w:hAnsi="仿宋" w:eastAsia="仿宋" w:cs="宋体"/>
          <w:kern w:val="0"/>
          <w:sz w:val="24"/>
          <w:szCs w:val="24"/>
          <w:highlight w:val="none"/>
        </w:rPr>
        <w:t>2</w:t>
      </w:r>
      <w:r>
        <w:rPr>
          <w:rFonts w:hint="eastAsia" w:ascii="仿宋" w:hAnsi="仿宋" w:eastAsia="仿宋" w:cs="宋体"/>
          <w:kern w:val="0"/>
          <w:sz w:val="24"/>
          <w:szCs w:val="24"/>
          <w:highlight w:val="none"/>
        </w:rPr>
        <w:t>室</w:t>
      </w:r>
    </w:p>
    <w:p>
      <w:pPr>
        <w:widowControl/>
        <w:snapToGrid w:val="0"/>
        <w:spacing w:line="336" w:lineRule="auto"/>
        <w:jc w:val="left"/>
        <w:rPr>
          <w:rFonts w:hint="eastAsia" w:ascii="仿宋" w:hAnsi="仿宋" w:eastAsia="仿宋" w:cs="宋体"/>
          <w:kern w:val="0"/>
          <w:sz w:val="24"/>
          <w:highlight w:val="none"/>
          <w:lang w:eastAsia="zh-CN"/>
        </w:rPr>
      </w:pPr>
      <w:r>
        <w:rPr>
          <w:rFonts w:hint="eastAsia" w:ascii="仿宋" w:hAnsi="仿宋" w:eastAsia="仿宋" w:cs="宋体"/>
          <w:kern w:val="0"/>
          <w:sz w:val="24"/>
          <w:highlight w:val="none"/>
        </w:rPr>
        <w:t>2、采购人名称：</w:t>
      </w:r>
      <w:r>
        <w:rPr>
          <w:rFonts w:hint="eastAsia" w:ascii="仿宋" w:hAnsi="仿宋" w:eastAsia="仿宋" w:cs="宋体"/>
          <w:kern w:val="0"/>
          <w:sz w:val="24"/>
          <w:highlight w:val="none"/>
          <w:lang w:eastAsia="zh-CN"/>
        </w:rPr>
        <w:t>衢州动力电池和储能研究院</w:t>
      </w:r>
    </w:p>
    <w:p>
      <w:pPr>
        <w:widowControl/>
        <w:snapToGrid w:val="0"/>
        <w:spacing w:line="336" w:lineRule="auto"/>
        <w:jc w:val="left"/>
        <w:rPr>
          <w:rFonts w:ascii="仿宋" w:hAnsi="仿宋" w:eastAsia="仿宋" w:cs="宋体"/>
          <w:kern w:val="0"/>
          <w:sz w:val="24"/>
          <w:highlight w:val="none"/>
        </w:rPr>
      </w:pPr>
      <w:r>
        <w:rPr>
          <w:rFonts w:hint="eastAsia" w:ascii="仿宋" w:hAnsi="仿宋" w:eastAsia="仿宋" w:cs="宋体"/>
          <w:kern w:val="0"/>
          <w:sz w:val="24"/>
          <w:highlight w:val="none"/>
        </w:rPr>
        <w:t>联系人：</w:t>
      </w:r>
      <w:r>
        <w:rPr>
          <w:rFonts w:hint="eastAsia" w:ascii="仿宋" w:hAnsi="仿宋" w:eastAsia="仿宋" w:cs="宋体"/>
          <w:kern w:val="0"/>
          <w:sz w:val="24"/>
          <w:highlight w:val="none"/>
          <w:lang w:eastAsia="zh-CN"/>
        </w:rPr>
        <w:t>马</w:t>
      </w:r>
      <w:r>
        <w:rPr>
          <w:rFonts w:hint="eastAsia" w:ascii="仿宋" w:hAnsi="仿宋" w:eastAsia="仿宋" w:cs="宋体"/>
          <w:kern w:val="0"/>
          <w:sz w:val="24"/>
          <w:highlight w:val="none"/>
        </w:rPr>
        <w:t>老师</w:t>
      </w:r>
    </w:p>
    <w:p>
      <w:pPr>
        <w:widowControl/>
        <w:snapToGrid w:val="0"/>
        <w:spacing w:line="336" w:lineRule="auto"/>
        <w:jc w:val="left"/>
        <w:rPr>
          <w:rFonts w:hint="default" w:ascii="仿宋" w:hAnsi="仿宋" w:eastAsia="仿宋" w:cs="宋体"/>
          <w:kern w:val="0"/>
          <w:sz w:val="24"/>
          <w:highlight w:val="none"/>
          <w:lang w:val="en-US" w:eastAsia="zh-CN"/>
        </w:rPr>
      </w:pPr>
      <w:r>
        <w:rPr>
          <w:rFonts w:hint="eastAsia" w:ascii="仿宋" w:hAnsi="仿宋" w:eastAsia="仿宋" w:cs="宋体"/>
          <w:kern w:val="0"/>
          <w:sz w:val="24"/>
          <w:highlight w:val="none"/>
        </w:rPr>
        <w:t>联系电话：</w:t>
      </w:r>
      <w:r>
        <w:rPr>
          <w:rFonts w:hint="eastAsia" w:cs="宋体"/>
          <w:color w:val="000000"/>
          <w:highlight w:val="none"/>
          <w:lang w:eastAsia="zh-CN"/>
        </w:rPr>
        <w:t xml:space="preserve">13206593230 </w:t>
      </w:r>
    </w:p>
    <w:p>
      <w:pPr>
        <w:widowControl/>
        <w:snapToGrid w:val="0"/>
        <w:spacing w:line="336" w:lineRule="auto"/>
        <w:jc w:val="left"/>
        <w:rPr>
          <w:rFonts w:ascii="仿宋" w:hAnsi="仿宋" w:eastAsia="仿宋" w:cs="宋体"/>
          <w:kern w:val="0"/>
          <w:sz w:val="24"/>
          <w:highlight w:val="none"/>
        </w:rPr>
      </w:pPr>
      <w:r>
        <w:rPr>
          <w:rFonts w:hint="eastAsia" w:ascii="仿宋" w:hAnsi="仿宋" w:eastAsia="仿宋" w:cs="宋体"/>
          <w:kern w:val="0"/>
          <w:sz w:val="24"/>
          <w:highlight w:val="none"/>
        </w:rPr>
        <w:t>地址：</w:t>
      </w:r>
      <w:r>
        <w:rPr>
          <w:rFonts w:hint="eastAsia" w:ascii="仿宋" w:hAnsi="仿宋" w:eastAsia="仿宋" w:cs="仿宋"/>
          <w:bCs/>
          <w:kern w:val="28"/>
          <w:sz w:val="24"/>
          <w:szCs w:val="24"/>
          <w:highlight w:val="none"/>
          <w:lang w:val="en-US" w:eastAsia="zh-CN" w:bidi="ar-SA"/>
        </w:rPr>
        <w:t xml:space="preserve">衢州柯城区浙大路99号浙江大学衢州研究院常山港院区创新楼 </w:t>
      </w:r>
      <w:r>
        <w:rPr>
          <w:rFonts w:hint="eastAsia" w:ascii="仿宋" w:hAnsi="仿宋" w:eastAsia="仿宋" w:cs="仿宋"/>
          <w:bCs/>
          <w:kern w:val="28"/>
          <w:sz w:val="24"/>
          <w:szCs w:val="24"/>
          <w:highlight w:val="none"/>
          <w:lang w:val="en-US" w:eastAsia="zh-CN" w:bidi="ar-SA"/>
        </w:rPr>
        <w:sym w:font="Wingdings 2" w:char="0052"/>
      </w:r>
    </w:p>
    <w:p>
      <w:pPr>
        <w:pStyle w:val="18"/>
        <w:rPr>
          <w:rFonts w:ascii="仿宋" w:hAnsi="仿宋" w:eastAsia="仿宋"/>
          <w:highlight w:val="none"/>
        </w:rPr>
      </w:pPr>
    </w:p>
    <w:p>
      <w:pPr>
        <w:widowControl/>
        <w:snapToGrid w:val="0"/>
        <w:spacing w:line="336" w:lineRule="auto"/>
        <w:jc w:val="right"/>
        <w:rPr>
          <w:rFonts w:hint="eastAsia" w:ascii="仿宋" w:hAnsi="仿宋" w:eastAsia="仿宋" w:cs="宋体"/>
          <w:kern w:val="0"/>
          <w:sz w:val="24"/>
          <w:highlight w:val="none"/>
          <w:lang w:eastAsia="zh-CN"/>
        </w:rPr>
      </w:pPr>
      <w:r>
        <w:rPr>
          <w:rFonts w:hint="eastAsia" w:ascii="仿宋" w:hAnsi="仿宋" w:eastAsia="仿宋" w:cs="宋体"/>
          <w:kern w:val="0"/>
          <w:sz w:val="24"/>
          <w:highlight w:val="none"/>
          <w:lang w:eastAsia="zh-CN"/>
        </w:rPr>
        <w:t>衢州动力电池和储能研究院</w:t>
      </w:r>
    </w:p>
    <w:p>
      <w:pPr>
        <w:spacing w:line="360" w:lineRule="auto"/>
        <w:ind w:firstLine="200"/>
        <w:jc w:val="right"/>
        <w:rPr>
          <w:rFonts w:ascii="仿宋" w:hAnsi="仿宋" w:eastAsia="仿宋" w:cs="仿宋"/>
          <w:sz w:val="24"/>
          <w:highlight w:val="none"/>
        </w:rPr>
      </w:pPr>
      <w:r>
        <w:rPr>
          <w:rFonts w:hint="eastAsia" w:ascii="仿宋" w:hAnsi="仿宋" w:eastAsia="仿宋" w:cs="仿宋"/>
          <w:sz w:val="24"/>
          <w:highlight w:val="none"/>
        </w:rPr>
        <w:t>浙江五石中正工程咨询有限公司</w:t>
      </w:r>
    </w:p>
    <w:p>
      <w:pPr>
        <w:widowControl/>
        <w:jc w:val="right"/>
        <w:rPr>
          <w:rFonts w:ascii="仿宋" w:hAnsi="仿宋" w:eastAsia="仿宋" w:cs="仿宋"/>
          <w:b/>
          <w:snapToGrid w:val="0"/>
          <w:kern w:val="0"/>
          <w:sz w:val="30"/>
          <w:szCs w:val="30"/>
          <w:highlight w:val="none"/>
        </w:rPr>
      </w:pPr>
      <w:r>
        <w:rPr>
          <w:rFonts w:hint="eastAsia" w:ascii="仿宋" w:hAnsi="仿宋" w:eastAsia="仿宋" w:cs="仿宋"/>
          <w:sz w:val="24"/>
          <w:highlight w:val="none"/>
        </w:rPr>
        <w:t>二0二</w:t>
      </w:r>
      <w:r>
        <w:rPr>
          <w:rFonts w:hint="eastAsia" w:ascii="仿宋" w:hAnsi="仿宋" w:eastAsia="仿宋" w:cs="仿宋"/>
          <w:sz w:val="24"/>
          <w:highlight w:val="none"/>
          <w:lang w:eastAsia="zh-CN"/>
        </w:rPr>
        <w:t>四</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六</w:t>
      </w:r>
      <w:r>
        <w:rPr>
          <w:rFonts w:hint="eastAsia" w:ascii="仿宋" w:hAnsi="仿宋" w:eastAsia="仿宋" w:cs="仿宋"/>
          <w:sz w:val="24"/>
          <w:highlight w:val="none"/>
          <w:lang w:eastAsia="zh-CN"/>
        </w:rPr>
        <w:t>日</w:t>
      </w:r>
      <w:r>
        <w:rPr>
          <w:rFonts w:hint="eastAsia" w:ascii="仿宋" w:hAnsi="仿宋" w:eastAsia="仿宋" w:cs="仿宋"/>
          <w:b/>
          <w:snapToGrid w:val="0"/>
          <w:kern w:val="0"/>
          <w:sz w:val="30"/>
          <w:szCs w:val="30"/>
          <w:highlight w:val="none"/>
        </w:rPr>
        <w:br w:type="page"/>
      </w:r>
    </w:p>
    <w:p>
      <w:pPr>
        <w:adjustRightInd w:val="0"/>
        <w:snapToGrid w:val="0"/>
        <w:spacing w:line="360" w:lineRule="auto"/>
        <w:jc w:val="center"/>
        <w:outlineLvl w:val="0"/>
        <w:rPr>
          <w:rFonts w:ascii="仿宋" w:hAnsi="仿宋" w:eastAsia="仿宋" w:cs="仿宋"/>
          <w:b/>
          <w:snapToGrid w:val="0"/>
          <w:kern w:val="0"/>
          <w:sz w:val="30"/>
          <w:szCs w:val="30"/>
          <w:highlight w:val="none"/>
        </w:rPr>
      </w:pPr>
      <w:bookmarkStart w:id="3" w:name="_Toc31624"/>
      <w:r>
        <w:rPr>
          <w:rFonts w:hint="eastAsia" w:ascii="仿宋" w:hAnsi="仿宋" w:eastAsia="仿宋" w:cs="仿宋"/>
          <w:b/>
          <w:snapToGrid w:val="0"/>
          <w:kern w:val="0"/>
          <w:sz w:val="30"/>
          <w:szCs w:val="30"/>
          <w:highlight w:val="none"/>
        </w:rPr>
        <w:t>前 附 表</w:t>
      </w:r>
      <w:bookmarkEnd w:id="2"/>
      <w:bookmarkEnd w:id="3"/>
    </w:p>
    <w:tbl>
      <w:tblPr>
        <w:tblStyle w:val="48"/>
        <w:tblW w:w="940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1"/>
        <w:gridCol w:w="1952"/>
        <w:gridCol w:w="66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10" w:hRule="atLeast"/>
          <w:tblHeader/>
          <w:jc w:val="center"/>
        </w:trPr>
        <w:tc>
          <w:tcPr>
            <w:tcW w:w="781" w:type="dxa"/>
            <w:vAlign w:val="center"/>
          </w:tcPr>
          <w:p>
            <w:pPr>
              <w:adjustRightInd w:val="0"/>
              <w:snapToGrid w:val="0"/>
              <w:jc w:val="center"/>
              <w:rPr>
                <w:rFonts w:ascii="仿宋" w:hAnsi="仿宋" w:eastAsia="仿宋" w:cs="仿宋"/>
                <w:b/>
                <w:bCs/>
                <w:snapToGrid w:val="0"/>
                <w:kern w:val="0"/>
                <w:sz w:val="24"/>
                <w:highlight w:val="none"/>
              </w:rPr>
            </w:pPr>
            <w:r>
              <w:rPr>
                <w:rFonts w:hint="eastAsia" w:ascii="仿宋" w:hAnsi="仿宋" w:eastAsia="仿宋" w:cs="仿宋"/>
                <w:b/>
                <w:bCs/>
                <w:snapToGrid w:val="0"/>
                <w:kern w:val="0"/>
                <w:sz w:val="24"/>
                <w:highlight w:val="none"/>
              </w:rPr>
              <w:t>序号</w:t>
            </w:r>
          </w:p>
        </w:tc>
        <w:tc>
          <w:tcPr>
            <w:tcW w:w="1952" w:type="dxa"/>
            <w:vAlign w:val="center"/>
          </w:tcPr>
          <w:p>
            <w:pPr>
              <w:adjustRightInd w:val="0"/>
              <w:snapToGrid w:val="0"/>
              <w:jc w:val="center"/>
              <w:rPr>
                <w:rFonts w:ascii="仿宋" w:hAnsi="仿宋" w:eastAsia="仿宋" w:cs="仿宋"/>
                <w:b/>
                <w:bCs/>
                <w:snapToGrid w:val="0"/>
                <w:kern w:val="0"/>
                <w:sz w:val="24"/>
                <w:highlight w:val="none"/>
              </w:rPr>
            </w:pPr>
            <w:r>
              <w:rPr>
                <w:rFonts w:hint="eastAsia" w:ascii="仿宋" w:hAnsi="仿宋" w:eastAsia="仿宋" w:cs="仿宋"/>
                <w:b/>
                <w:bCs/>
                <w:snapToGrid w:val="0"/>
                <w:kern w:val="0"/>
                <w:sz w:val="24"/>
                <w:highlight w:val="none"/>
              </w:rPr>
              <w:t>项   目</w:t>
            </w:r>
          </w:p>
        </w:tc>
        <w:tc>
          <w:tcPr>
            <w:tcW w:w="6670" w:type="dxa"/>
            <w:vAlign w:val="center"/>
          </w:tcPr>
          <w:p>
            <w:pPr>
              <w:adjustRightInd w:val="0"/>
              <w:snapToGrid w:val="0"/>
              <w:jc w:val="center"/>
              <w:rPr>
                <w:rFonts w:ascii="仿宋" w:hAnsi="仿宋" w:eastAsia="仿宋" w:cs="仿宋"/>
                <w:b/>
                <w:bCs/>
                <w:snapToGrid w:val="0"/>
                <w:kern w:val="0"/>
                <w:sz w:val="24"/>
                <w:highlight w:val="none"/>
              </w:rPr>
            </w:pPr>
            <w:r>
              <w:rPr>
                <w:rFonts w:hint="eastAsia" w:ascii="仿宋" w:hAnsi="仿宋" w:eastAsia="仿宋" w:cs="仿宋"/>
                <w:b/>
                <w:bCs/>
                <w:snapToGrid w:val="0"/>
                <w:kern w:val="0"/>
                <w:sz w:val="24"/>
                <w:highlight w:val="none"/>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781" w:type="dxa"/>
            <w:vAlign w:val="center"/>
          </w:tcPr>
          <w:p>
            <w:pPr>
              <w:adjustRightInd w:val="0"/>
              <w:snapToGrid w:val="0"/>
              <w:spacing w:line="360" w:lineRule="auto"/>
              <w:jc w:val="center"/>
              <w:rPr>
                <w:rFonts w:ascii="仿宋" w:hAnsi="仿宋" w:eastAsia="仿宋" w:cs="仿宋"/>
                <w:snapToGrid w:val="0"/>
                <w:kern w:val="0"/>
                <w:sz w:val="24"/>
                <w:highlight w:val="none"/>
              </w:rPr>
            </w:pPr>
            <w:r>
              <w:rPr>
                <w:rFonts w:hint="eastAsia" w:ascii="仿宋" w:hAnsi="仿宋" w:eastAsia="仿宋" w:cs="仿宋"/>
                <w:snapToGrid w:val="0"/>
                <w:kern w:val="0"/>
                <w:sz w:val="24"/>
                <w:highlight w:val="none"/>
              </w:rPr>
              <w:t>1</w:t>
            </w:r>
          </w:p>
        </w:tc>
        <w:tc>
          <w:tcPr>
            <w:tcW w:w="1952" w:type="dxa"/>
            <w:vAlign w:val="center"/>
          </w:tcPr>
          <w:p>
            <w:pPr>
              <w:adjustRightInd w:val="0"/>
              <w:snapToGrid w:val="0"/>
              <w:spacing w:line="360" w:lineRule="auto"/>
              <w:rPr>
                <w:rFonts w:ascii="仿宋" w:hAnsi="仿宋" w:eastAsia="仿宋" w:cs="仿宋"/>
                <w:snapToGrid w:val="0"/>
                <w:kern w:val="0"/>
                <w:sz w:val="24"/>
                <w:highlight w:val="none"/>
              </w:rPr>
            </w:pPr>
            <w:r>
              <w:rPr>
                <w:rFonts w:hint="eastAsia" w:ascii="仿宋" w:hAnsi="仿宋" w:eastAsia="仿宋" w:cs="仿宋"/>
                <w:snapToGrid w:val="0"/>
                <w:kern w:val="0"/>
                <w:sz w:val="24"/>
                <w:highlight w:val="none"/>
              </w:rPr>
              <w:t>项目名称</w:t>
            </w:r>
          </w:p>
        </w:tc>
        <w:tc>
          <w:tcPr>
            <w:tcW w:w="6670" w:type="dxa"/>
            <w:vAlign w:val="center"/>
          </w:tcPr>
          <w:p>
            <w:pPr>
              <w:adjustRightInd w:val="0"/>
              <w:snapToGrid w:val="0"/>
              <w:spacing w:line="360" w:lineRule="auto"/>
              <w:rPr>
                <w:rFonts w:ascii="仿宋" w:hAnsi="仿宋" w:eastAsia="仿宋" w:cs="仿宋"/>
                <w:snapToGrid w:val="0"/>
                <w:kern w:val="0"/>
                <w:sz w:val="24"/>
                <w:highlight w:val="none"/>
              </w:rPr>
            </w:pPr>
            <w:r>
              <w:rPr>
                <w:rFonts w:hint="eastAsia" w:ascii="仿宋" w:hAnsi="仿宋" w:eastAsia="仿宋" w:cs="仿宋"/>
                <w:sz w:val="24"/>
                <w:highlight w:val="none"/>
                <w:lang w:eastAsia="zh-CN"/>
              </w:rPr>
              <w:t>衢州动力电池和储能研究院高能比硫化物全固态电池自动孵化线</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781" w:type="dxa"/>
            <w:vAlign w:val="center"/>
          </w:tcPr>
          <w:p>
            <w:pPr>
              <w:adjustRightInd w:val="0"/>
              <w:snapToGrid w:val="0"/>
              <w:spacing w:line="360" w:lineRule="auto"/>
              <w:jc w:val="center"/>
              <w:rPr>
                <w:rFonts w:ascii="仿宋" w:hAnsi="仿宋" w:eastAsia="仿宋" w:cs="仿宋"/>
                <w:snapToGrid w:val="0"/>
                <w:kern w:val="0"/>
                <w:sz w:val="24"/>
                <w:highlight w:val="none"/>
              </w:rPr>
            </w:pPr>
            <w:r>
              <w:rPr>
                <w:rFonts w:hint="eastAsia" w:ascii="仿宋" w:hAnsi="仿宋" w:eastAsia="仿宋" w:cs="仿宋"/>
                <w:snapToGrid w:val="0"/>
                <w:kern w:val="0"/>
                <w:sz w:val="24"/>
                <w:highlight w:val="none"/>
              </w:rPr>
              <w:t>2</w:t>
            </w:r>
          </w:p>
        </w:tc>
        <w:tc>
          <w:tcPr>
            <w:tcW w:w="1952" w:type="dxa"/>
            <w:vAlign w:val="center"/>
          </w:tcPr>
          <w:p>
            <w:pPr>
              <w:adjustRightInd w:val="0"/>
              <w:snapToGrid w:val="0"/>
              <w:spacing w:line="360" w:lineRule="auto"/>
              <w:rPr>
                <w:rFonts w:ascii="仿宋" w:hAnsi="仿宋" w:eastAsia="仿宋" w:cs="仿宋"/>
                <w:snapToGrid w:val="0"/>
                <w:kern w:val="0"/>
                <w:sz w:val="24"/>
                <w:highlight w:val="none"/>
              </w:rPr>
            </w:pPr>
            <w:r>
              <w:rPr>
                <w:rFonts w:hint="eastAsia" w:ascii="仿宋" w:hAnsi="仿宋" w:eastAsia="仿宋" w:cs="仿宋"/>
                <w:snapToGrid w:val="0"/>
                <w:kern w:val="0"/>
                <w:sz w:val="24"/>
                <w:highlight w:val="none"/>
              </w:rPr>
              <w:t>实施地点</w:t>
            </w:r>
          </w:p>
        </w:tc>
        <w:tc>
          <w:tcPr>
            <w:tcW w:w="6670" w:type="dxa"/>
            <w:vAlign w:val="center"/>
          </w:tcPr>
          <w:p>
            <w:pPr>
              <w:adjustRightInd w:val="0"/>
              <w:snapToGrid w:val="0"/>
              <w:spacing w:line="360" w:lineRule="auto"/>
              <w:rPr>
                <w:rFonts w:ascii="仿宋" w:hAnsi="仿宋" w:eastAsia="仿宋" w:cs="仿宋"/>
                <w:snapToGrid w:val="0"/>
                <w:kern w:val="0"/>
                <w:sz w:val="24"/>
                <w:highlight w:val="none"/>
              </w:rPr>
            </w:pPr>
            <w:r>
              <w:rPr>
                <w:rFonts w:hint="eastAsia" w:ascii="仿宋" w:hAnsi="仿宋" w:eastAsia="仿宋" w:cs="仿宋"/>
                <w:snapToGrid w:val="0"/>
                <w:kern w:val="0"/>
                <w:sz w:val="24"/>
                <w:highlight w:val="none"/>
                <w:lang w:eastAsia="zh-CN"/>
              </w:rPr>
              <w:t>衢州动力电池和储能研究院</w:t>
            </w:r>
            <w:r>
              <w:rPr>
                <w:rFonts w:hint="eastAsia" w:ascii="仿宋" w:hAnsi="仿宋" w:eastAsia="仿宋" w:cs="仿宋"/>
                <w:snapToGrid w:val="0"/>
                <w:kern w:val="0"/>
                <w:sz w:val="24"/>
                <w:highlight w:val="none"/>
              </w:rPr>
              <w:t>指定地点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781" w:type="dxa"/>
            <w:vAlign w:val="center"/>
          </w:tcPr>
          <w:p>
            <w:pPr>
              <w:adjustRightInd w:val="0"/>
              <w:snapToGrid w:val="0"/>
              <w:spacing w:line="360" w:lineRule="auto"/>
              <w:jc w:val="center"/>
              <w:rPr>
                <w:rFonts w:ascii="仿宋" w:hAnsi="仿宋" w:eastAsia="仿宋" w:cs="仿宋"/>
                <w:snapToGrid w:val="0"/>
                <w:kern w:val="0"/>
                <w:sz w:val="24"/>
                <w:highlight w:val="none"/>
              </w:rPr>
            </w:pPr>
            <w:r>
              <w:rPr>
                <w:rFonts w:hint="eastAsia" w:ascii="仿宋" w:hAnsi="仿宋" w:eastAsia="仿宋" w:cs="仿宋"/>
                <w:snapToGrid w:val="0"/>
                <w:kern w:val="0"/>
                <w:sz w:val="24"/>
                <w:highlight w:val="none"/>
              </w:rPr>
              <w:t>3</w:t>
            </w:r>
          </w:p>
        </w:tc>
        <w:tc>
          <w:tcPr>
            <w:tcW w:w="1952" w:type="dxa"/>
            <w:vAlign w:val="center"/>
          </w:tcPr>
          <w:p>
            <w:pPr>
              <w:adjustRightInd w:val="0"/>
              <w:snapToGrid w:val="0"/>
              <w:spacing w:line="360" w:lineRule="auto"/>
              <w:rPr>
                <w:rFonts w:ascii="仿宋" w:hAnsi="仿宋" w:eastAsia="仿宋" w:cs="仿宋"/>
                <w:snapToGrid w:val="0"/>
                <w:kern w:val="0"/>
                <w:sz w:val="24"/>
                <w:highlight w:val="none"/>
              </w:rPr>
            </w:pPr>
            <w:r>
              <w:rPr>
                <w:rFonts w:hint="eastAsia" w:ascii="仿宋" w:hAnsi="仿宋" w:eastAsia="仿宋" w:cs="仿宋"/>
                <w:snapToGrid w:val="0"/>
                <w:kern w:val="0"/>
                <w:sz w:val="24"/>
                <w:highlight w:val="none"/>
              </w:rPr>
              <w:t>招标编号</w:t>
            </w:r>
          </w:p>
        </w:tc>
        <w:tc>
          <w:tcPr>
            <w:tcW w:w="6670" w:type="dxa"/>
            <w:vAlign w:val="center"/>
          </w:tcPr>
          <w:p>
            <w:pPr>
              <w:adjustRightInd w:val="0"/>
              <w:snapToGrid w:val="0"/>
              <w:spacing w:line="360" w:lineRule="auto"/>
              <w:rPr>
                <w:rFonts w:hint="default" w:ascii="仿宋" w:hAnsi="仿宋" w:eastAsia="仿宋" w:cs="仿宋"/>
                <w:snapToGrid w:val="0"/>
                <w:kern w:val="0"/>
                <w:sz w:val="24"/>
                <w:highlight w:val="none"/>
                <w:lang w:val="en-US" w:eastAsia="zh-CN"/>
              </w:rPr>
            </w:pPr>
            <w:r>
              <w:rPr>
                <w:rFonts w:hint="eastAsia" w:ascii="仿宋" w:hAnsi="仿宋" w:eastAsia="仿宋" w:cs="仿宋"/>
                <w:snapToGrid w:val="0"/>
                <w:kern w:val="0"/>
                <w:sz w:val="24"/>
                <w:highlight w:val="none"/>
                <w:lang w:val="en-US" w:eastAsia="zh-CN"/>
              </w:rPr>
              <w:t>DLDC-2024-GKZB00015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781" w:type="dxa"/>
            <w:vAlign w:val="center"/>
          </w:tcPr>
          <w:p>
            <w:pPr>
              <w:adjustRightInd w:val="0"/>
              <w:snapToGrid w:val="0"/>
              <w:spacing w:line="360" w:lineRule="auto"/>
              <w:jc w:val="center"/>
              <w:rPr>
                <w:rFonts w:ascii="仿宋" w:hAnsi="仿宋" w:eastAsia="仿宋" w:cs="仿宋"/>
                <w:snapToGrid w:val="0"/>
                <w:kern w:val="0"/>
                <w:sz w:val="24"/>
                <w:highlight w:val="none"/>
              </w:rPr>
            </w:pPr>
            <w:r>
              <w:rPr>
                <w:rFonts w:hint="eastAsia" w:ascii="仿宋" w:hAnsi="仿宋" w:eastAsia="仿宋" w:cs="仿宋"/>
                <w:snapToGrid w:val="0"/>
                <w:kern w:val="0"/>
                <w:sz w:val="24"/>
                <w:highlight w:val="none"/>
              </w:rPr>
              <w:t>4</w:t>
            </w:r>
          </w:p>
        </w:tc>
        <w:tc>
          <w:tcPr>
            <w:tcW w:w="1952" w:type="dxa"/>
            <w:vAlign w:val="center"/>
          </w:tcPr>
          <w:p>
            <w:pPr>
              <w:adjustRightInd w:val="0"/>
              <w:snapToGrid w:val="0"/>
              <w:spacing w:line="360" w:lineRule="auto"/>
              <w:rPr>
                <w:rFonts w:ascii="仿宋" w:hAnsi="仿宋" w:eastAsia="仿宋" w:cs="仿宋"/>
                <w:snapToGrid w:val="0"/>
                <w:kern w:val="0"/>
                <w:sz w:val="24"/>
                <w:highlight w:val="none"/>
              </w:rPr>
            </w:pPr>
            <w:r>
              <w:rPr>
                <w:rFonts w:hint="eastAsia" w:ascii="仿宋" w:hAnsi="仿宋" w:eastAsia="仿宋" w:cs="仿宋"/>
                <w:snapToGrid w:val="0"/>
                <w:kern w:val="0"/>
                <w:sz w:val="24"/>
                <w:highlight w:val="none"/>
              </w:rPr>
              <w:t>采购方式</w:t>
            </w:r>
          </w:p>
        </w:tc>
        <w:tc>
          <w:tcPr>
            <w:tcW w:w="6670" w:type="dxa"/>
            <w:vAlign w:val="center"/>
          </w:tcPr>
          <w:p>
            <w:pPr>
              <w:adjustRightInd w:val="0"/>
              <w:snapToGrid w:val="0"/>
              <w:spacing w:line="360" w:lineRule="auto"/>
              <w:rPr>
                <w:rFonts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公开招标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781" w:type="dxa"/>
            <w:vAlign w:val="center"/>
          </w:tcPr>
          <w:p>
            <w:pPr>
              <w:adjustRightInd w:val="0"/>
              <w:snapToGrid w:val="0"/>
              <w:spacing w:line="360" w:lineRule="auto"/>
              <w:jc w:val="center"/>
              <w:rPr>
                <w:rFonts w:ascii="仿宋" w:hAnsi="仿宋" w:eastAsia="仿宋" w:cs="仿宋"/>
                <w:snapToGrid w:val="0"/>
                <w:kern w:val="0"/>
                <w:sz w:val="24"/>
                <w:highlight w:val="none"/>
              </w:rPr>
            </w:pPr>
            <w:r>
              <w:rPr>
                <w:rFonts w:hint="eastAsia" w:ascii="仿宋" w:hAnsi="仿宋" w:eastAsia="仿宋" w:cs="仿宋"/>
                <w:snapToGrid w:val="0"/>
                <w:kern w:val="0"/>
                <w:sz w:val="24"/>
                <w:highlight w:val="none"/>
              </w:rPr>
              <w:t>5</w:t>
            </w:r>
          </w:p>
        </w:tc>
        <w:tc>
          <w:tcPr>
            <w:tcW w:w="1952" w:type="dxa"/>
            <w:vAlign w:val="center"/>
          </w:tcPr>
          <w:p>
            <w:pPr>
              <w:adjustRightInd w:val="0"/>
              <w:snapToGrid w:val="0"/>
              <w:spacing w:line="360" w:lineRule="auto"/>
              <w:rPr>
                <w:rFonts w:ascii="仿宋" w:hAnsi="仿宋" w:eastAsia="仿宋" w:cs="仿宋"/>
                <w:snapToGrid w:val="0"/>
                <w:kern w:val="0"/>
                <w:sz w:val="24"/>
                <w:highlight w:val="none"/>
              </w:rPr>
            </w:pPr>
            <w:r>
              <w:rPr>
                <w:rFonts w:hint="eastAsia" w:ascii="仿宋" w:hAnsi="仿宋" w:eastAsia="仿宋" w:cs="仿宋"/>
                <w:snapToGrid w:val="0"/>
                <w:kern w:val="0"/>
                <w:sz w:val="24"/>
                <w:highlight w:val="none"/>
              </w:rPr>
              <w:t>采购内容</w:t>
            </w:r>
          </w:p>
        </w:tc>
        <w:tc>
          <w:tcPr>
            <w:tcW w:w="6670" w:type="dxa"/>
            <w:vAlign w:val="center"/>
          </w:tcPr>
          <w:p>
            <w:pPr>
              <w:adjustRightInd w:val="0"/>
              <w:snapToGrid w:val="0"/>
              <w:spacing w:line="360" w:lineRule="auto"/>
              <w:rPr>
                <w:rFonts w:ascii="仿宋" w:hAnsi="仿宋" w:eastAsia="仿宋" w:cs="仿宋"/>
                <w:sz w:val="24"/>
                <w:highlight w:val="none"/>
              </w:rPr>
            </w:pPr>
            <w:r>
              <w:rPr>
                <w:rFonts w:hint="eastAsia" w:ascii="仿宋" w:hAnsi="仿宋" w:eastAsia="仿宋" w:cs="仿宋_GB2312"/>
                <w:snapToGrid w:val="0"/>
                <w:kern w:val="28"/>
                <w:sz w:val="24"/>
                <w:szCs w:val="20"/>
                <w:highlight w:val="none"/>
              </w:rPr>
              <w:t>目前需</w:t>
            </w:r>
            <w:r>
              <w:rPr>
                <w:rFonts w:hint="eastAsia" w:ascii="仿宋" w:hAnsi="仿宋" w:eastAsia="仿宋" w:cs="仿宋_GB2312"/>
                <w:snapToGrid w:val="0"/>
                <w:kern w:val="28"/>
                <w:sz w:val="24"/>
                <w:szCs w:val="20"/>
                <w:highlight w:val="none"/>
                <w:lang w:val="en-US" w:eastAsia="zh-CN"/>
              </w:rPr>
              <w:t>采购1条高能比硫化物全固态电池自动孵化线，详见招标文件第三部分。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781" w:type="dxa"/>
            <w:vAlign w:val="center"/>
          </w:tcPr>
          <w:p>
            <w:pPr>
              <w:adjustRightInd w:val="0"/>
              <w:snapToGrid w:val="0"/>
              <w:spacing w:line="360" w:lineRule="auto"/>
              <w:jc w:val="center"/>
              <w:rPr>
                <w:rFonts w:ascii="仿宋" w:hAnsi="仿宋" w:eastAsia="仿宋" w:cs="仿宋"/>
                <w:snapToGrid w:val="0"/>
                <w:kern w:val="0"/>
                <w:sz w:val="24"/>
                <w:highlight w:val="none"/>
              </w:rPr>
            </w:pPr>
            <w:r>
              <w:rPr>
                <w:rFonts w:hint="eastAsia" w:ascii="仿宋" w:hAnsi="仿宋" w:eastAsia="仿宋" w:cs="仿宋"/>
                <w:snapToGrid w:val="0"/>
                <w:kern w:val="0"/>
                <w:sz w:val="24"/>
                <w:highlight w:val="none"/>
              </w:rPr>
              <w:t>6</w:t>
            </w:r>
          </w:p>
        </w:tc>
        <w:tc>
          <w:tcPr>
            <w:tcW w:w="1952" w:type="dxa"/>
            <w:vAlign w:val="center"/>
          </w:tcPr>
          <w:p>
            <w:pPr>
              <w:adjustRightInd w:val="0"/>
              <w:snapToGrid w:val="0"/>
              <w:spacing w:line="360" w:lineRule="auto"/>
              <w:rPr>
                <w:rFonts w:ascii="仿宋" w:hAnsi="仿宋" w:eastAsia="仿宋" w:cs="仿宋"/>
                <w:snapToGrid w:val="0"/>
                <w:kern w:val="0"/>
                <w:sz w:val="24"/>
                <w:highlight w:val="none"/>
              </w:rPr>
            </w:pPr>
            <w:r>
              <w:rPr>
                <w:rFonts w:hint="eastAsia" w:ascii="仿宋" w:hAnsi="仿宋" w:eastAsia="仿宋" w:cs="仿宋"/>
                <w:snapToGrid w:val="0"/>
                <w:kern w:val="0"/>
                <w:sz w:val="24"/>
                <w:highlight w:val="none"/>
              </w:rPr>
              <w:t>服务期</w:t>
            </w:r>
          </w:p>
        </w:tc>
        <w:tc>
          <w:tcPr>
            <w:tcW w:w="6670" w:type="dxa"/>
            <w:vAlign w:val="center"/>
          </w:tcPr>
          <w:p>
            <w:pPr>
              <w:adjustRightInd w:val="0"/>
              <w:snapToGrid w:val="0"/>
              <w:spacing w:line="360" w:lineRule="auto"/>
              <w:rPr>
                <w:rFonts w:hint="eastAsia" w:ascii="仿宋" w:hAnsi="仿宋" w:eastAsia="仿宋" w:cs="仿宋"/>
                <w:snapToGrid w:val="0"/>
                <w:kern w:val="0"/>
                <w:sz w:val="24"/>
                <w:highlight w:val="none"/>
                <w:lang w:val="en-US" w:eastAsia="zh-CN"/>
              </w:rPr>
            </w:pPr>
            <w:r>
              <w:rPr>
                <w:rFonts w:hint="eastAsia" w:ascii="仿宋" w:hAnsi="仿宋" w:eastAsia="仿宋"/>
                <w:b w:val="0"/>
                <w:bCs/>
                <w:sz w:val="24"/>
                <w:highlight w:val="none"/>
              </w:rPr>
              <w:t>合同签订后</w:t>
            </w:r>
            <w:r>
              <w:rPr>
                <w:rFonts w:hint="eastAsia" w:ascii="仿宋" w:hAnsi="仿宋" w:eastAsia="仿宋"/>
                <w:b w:val="0"/>
                <w:bCs/>
                <w:sz w:val="24"/>
                <w:highlight w:val="none"/>
                <w:lang w:val="en-US" w:eastAsia="zh-CN"/>
              </w:rPr>
              <w:t>120日历天</w:t>
            </w:r>
            <w:r>
              <w:rPr>
                <w:rFonts w:hint="eastAsia" w:ascii="仿宋" w:hAnsi="仿宋" w:eastAsia="仿宋"/>
                <w:b w:val="0"/>
                <w:bCs/>
                <w:sz w:val="24"/>
                <w:highlight w:val="none"/>
              </w:rPr>
              <w:t>内完成供货、安装和调试并通过采购人验收</w:t>
            </w:r>
            <w:r>
              <w:rPr>
                <w:rFonts w:hint="eastAsia" w:ascii="仿宋" w:hAnsi="仿宋" w:eastAsia="仿宋"/>
                <w:b w:val="0"/>
                <w:bCs/>
                <w:sz w:val="24"/>
                <w:highlight w:val="none"/>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3" w:hRule="atLeast"/>
          <w:jc w:val="center"/>
        </w:trPr>
        <w:tc>
          <w:tcPr>
            <w:tcW w:w="781" w:type="dxa"/>
            <w:vAlign w:val="center"/>
          </w:tcPr>
          <w:p>
            <w:pPr>
              <w:adjustRightInd w:val="0"/>
              <w:snapToGrid w:val="0"/>
              <w:spacing w:line="360" w:lineRule="auto"/>
              <w:jc w:val="center"/>
              <w:rPr>
                <w:rFonts w:hint="eastAsia" w:ascii="仿宋" w:hAnsi="仿宋" w:eastAsia="仿宋" w:cs="仿宋"/>
                <w:snapToGrid w:val="0"/>
                <w:kern w:val="0"/>
                <w:sz w:val="24"/>
                <w:highlight w:val="none"/>
                <w:lang w:eastAsia="zh-CN"/>
              </w:rPr>
            </w:pPr>
            <w:r>
              <w:rPr>
                <w:rFonts w:hint="eastAsia" w:ascii="仿宋" w:hAnsi="仿宋" w:eastAsia="仿宋" w:cs="仿宋"/>
                <w:snapToGrid w:val="0"/>
                <w:kern w:val="0"/>
                <w:sz w:val="24"/>
                <w:highlight w:val="none"/>
                <w:lang w:val="en-US" w:eastAsia="zh-CN"/>
              </w:rPr>
              <w:t>7</w:t>
            </w:r>
          </w:p>
        </w:tc>
        <w:tc>
          <w:tcPr>
            <w:tcW w:w="1952" w:type="dxa"/>
            <w:vAlign w:val="center"/>
          </w:tcPr>
          <w:p>
            <w:pPr>
              <w:adjustRightInd w:val="0"/>
              <w:snapToGrid w:val="0"/>
              <w:spacing w:line="360" w:lineRule="auto"/>
              <w:jc w:val="left"/>
              <w:rPr>
                <w:rFonts w:ascii="仿宋" w:hAnsi="仿宋" w:eastAsia="仿宋" w:cs="仿宋"/>
                <w:snapToGrid w:val="0"/>
                <w:kern w:val="0"/>
                <w:sz w:val="24"/>
                <w:highlight w:val="none"/>
              </w:rPr>
            </w:pPr>
            <w:r>
              <w:rPr>
                <w:rFonts w:hint="eastAsia" w:ascii="仿宋" w:hAnsi="仿宋" w:eastAsia="仿宋" w:cs="仿宋"/>
                <w:snapToGrid w:val="0"/>
                <w:kern w:val="0"/>
                <w:sz w:val="24"/>
                <w:highlight w:val="none"/>
              </w:rPr>
              <w:t>资格审查方式</w:t>
            </w:r>
          </w:p>
        </w:tc>
        <w:tc>
          <w:tcPr>
            <w:tcW w:w="6670" w:type="dxa"/>
            <w:vAlign w:val="center"/>
          </w:tcPr>
          <w:p>
            <w:pPr>
              <w:adjustRightInd w:val="0"/>
              <w:snapToGrid w:val="0"/>
              <w:spacing w:line="360" w:lineRule="auto"/>
              <w:rPr>
                <w:rFonts w:ascii="仿宋" w:hAnsi="仿宋" w:eastAsia="仿宋" w:cs="仿宋"/>
                <w:snapToGrid w:val="0"/>
                <w:kern w:val="0"/>
                <w:sz w:val="24"/>
                <w:highlight w:val="none"/>
              </w:rPr>
            </w:pPr>
            <w:r>
              <w:rPr>
                <w:rFonts w:hint="eastAsia" w:ascii="仿宋" w:hAnsi="仿宋" w:eastAsia="仿宋" w:cs="仿宋"/>
                <w:snapToGrid w:val="0"/>
                <w:kern w:val="0"/>
                <w:sz w:val="24"/>
                <w:highlight w:val="none"/>
              </w:rPr>
              <w:t>资格审查是指在开标后由</w:t>
            </w:r>
            <w:r>
              <w:rPr>
                <w:rFonts w:hint="eastAsia" w:ascii="仿宋" w:hAnsi="仿宋" w:eastAsia="仿宋" w:cs="仿宋"/>
                <w:snapToGrid w:val="0"/>
                <w:kern w:val="0"/>
                <w:sz w:val="24"/>
                <w:highlight w:val="none"/>
                <w:lang w:eastAsia="zh-CN"/>
              </w:rPr>
              <w:t>采购人</w:t>
            </w:r>
            <w:r>
              <w:rPr>
                <w:rFonts w:hint="eastAsia" w:ascii="仿宋" w:hAnsi="仿宋" w:eastAsia="仿宋" w:cs="仿宋"/>
                <w:snapToGrid w:val="0"/>
                <w:kern w:val="0"/>
                <w:sz w:val="24"/>
                <w:highlight w:val="none"/>
              </w:rPr>
              <w:t>/采购代理机构根据招标文件的规定对供应商进行的资格审查。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62" w:hRule="atLeast"/>
          <w:jc w:val="center"/>
        </w:trPr>
        <w:tc>
          <w:tcPr>
            <w:tcW w:w="781" w:type="dxa"/>
            <w:vAlign w:val="center"/>
          </w:tcPr>
          <w:p>
            <w:pPr>
              <w:adjustRightInd w:val="0"/>
              <w:snapToGrid w:val="0"/>
              <w:spacing w:line="360" w:lineRule="auto"/>
              <w:jc w:val="center"/>
              <w:rPr>
                <w:rFonts w:hint="eastAsia" w:ascii="仿宋" w:hAnsi="仿宋" w:eastAsia="仿宋" w:cs="仿宋"/>
                <w:snapToGrid w:val="0"/>
                <w:kern w:val="0"/>
                <w:sz w:val="24"/>
                <w:highlight w:val="none"/>
                <w:lang w:eastAsia="zh-CN"/>
              </w:rPr>
            </w:pPr>
            <w:r>
              <w:rPr>
                <w:rFonts w:hint="eastAsia" w:ascii="仿宋" w:hAnsi="仿宋" w:eastAsia="仿宋" w:cs="宋体"/>
                <w:snapToGrid w:val="0"/>
                <w:kern w:val="0"/>
                <w:sz w:val="24"/>
                <w:highlight w:val="none"/>
                <w:lang w:val="en-US" w:eastAsia="zh-CN"/>
              </w:rPr>
              <w:t>8</w:t>
            </w:r>
          </w:p>
        </w:tc>
        <w:tc>
          <w:tcPr>
            <w:tcW w:w="1952" w:type="dxa"/>
            <w:vAlign w:val="center"/>
          </w:tcPr>
          <w:p>
            <w:pPr>
              <w:adjustRightInd w:val="0"/>
              <w:snapToGrid w:val="0"/>
              <w:spacing w:line="360" w:lineRule="auto"/>
              <w:rPr>
                <w:rFonts w:ascii="仿宋" w:hAnsi="仿宋" w:eastAsia="仿宋" w:cs="仿宋"/>
                <w:snapToGrid w:val="0"/>
                <w:kern w:val="0"/>
                <w:sz w:val="24"/>
                <w:highlight w:val="none"/>
              </w:rPr>
            </w:pPr>
            <w:r>
              <w:rPr>
                <w:rFonts w:hint="eastAsia" w:ascii="仿宋" w:hAnsi="仿宋" w:eastAsia="仿宋" w:cs="宋体"/>
                <w:snapToGrid w:val="0"/>
                <w:kern w:val="0"/>
                <w:sz w:val="24"/>
                <w:highlight w:val="none"/>
              </w:rPr>
              <w:t>招标答疑</w:t>
            </w:r>
          </w:p>
        </w:tc>
        <w:tc>
          <w:tcPr>
            <w:tcW w:w="6670" w:type="dxa"/>
            <w:vAlign w:val="center"/>
          </w:tcPr>
          <w:p>
            <w:pPr>
              <w:spacing w:line="360" w:lineRule="auto"/>
              <w:rPr>
                <w:rFonts w:ascii="仿宋" w:hAnsi="仿宋" w:eastAsia="仿宋" w:cs="仿宋"/>
                <w:snapToGrid w:val="0"/>
                <w:kern w:val="0"/>
                <w:sz w:val="24"/>
                <w:highlight w:val="none"/>
              </w:rPr>
            </w:pPr>
            <w:r>
              <w:rPr>
                <w:rFonts w:hint="eastAsia" w:ascii="仿宋" w:hAnsi="仿宋" w:eastAsia="仿宋" w:cs="宋体"/>
                <w:snapToGrid w:val="0"/>
                <w:kern w:val="0"/>
                <w:sz w:val="24"/>
                <w:highlight w:val="none"/>
              </w:rPr>
              <w:t>供应商如认为招标文件表述不清晰、存在歧视性或者倾向性或者其他违法内容的，应于获取招标文件后七个工作日内，将要求答疑的问题发电子邮件至hzwszb@163.com（电子邮件与书面文件有不一致的，一律以书面文件为准）。截止期后的疑问将不予受理、答复。答疑回复内容是招标文件的组成部份，并将以书面形式送达所有已获取招标文件的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781" w:type="dxa"/>
            <w:vAlign w:val="center"/>
          </w:tcPr>
          <w:p>
            <w:pPr>
              <w:adjustRightInd w:val="0"/>
              <w:snapToGrid w:val="0"/>
              <w:spacing w:line="360" w:lineRule="auto"/>
              <w:jc w:val="center"/>
              <w:rPr>
                <w:rFonts w:hint="eastAsia" w:ascii="仿宋" w:hAnsi="仿宋" w:eastAsia="仿宋" w:cs="仿宋"/>
                <w:snapToGrid w:val="0"/>
                <w:kern w:val="0"/>
                <w:sz w:val="24"/>
                <w:highlight w:val="none"/>
                <w:lang w:eastAsia="zh-CN"/>
              </w:rPr>
            </w:pPr>
            <w:r>
              <w:rPr>
                <w:rFonts w:hint="eastAsia" w:ascii="仿宋" w:hAnsi="仿宋" w:eastAsia="仿宋" w:cs="宋体"/>
                <w:snapToGrid w:val="0"/>
                <w:kern w:val="0"/>
                <w:sz w:val="24"/>
                <w:highlight w:val="none"/>
                <w:lang w:val="en-US" w:eastAsia="zh-CN"/>
              </w:rPr>
              <w:t>9</w:t>
            </w:r>
          </w:p>
        </w:tc>
        <w:tc>
          <w:tcPr>
            <w:tcW w:w="1952" w:type="dxa"/>
            <w:vAlign w:val="center"/>
          </w:tcPr>
          <w:p>
            <w:pPr>
              <w:adjustRightInd w:val="0"/>
              <w:snapToGrid w:val="0"/>
              <w:spacing w:line="360" w:lineRule="auto"/>
              <w:rPr>
                <w:rFonts w:ascii="仿宋" w:hAnsi="仿宋" w:eastAsia="仿宋" w:cs="仿宋"/>
                <w:snapToGrid w:val="0"/>
                <w:kern w:val="0"/>
                <w:sz w:val="24"/>
                <w:highlight w:val="none"/>
              </w:rPr>
            </w:pPr>
            <w:r>
              <w:rPr>
                <w:rFonts w:hint="eastAsia" w:ascii="仿宋" w:hAnsi="仿宋" w:eastAsia="仿宋" w:cs="宋体"/>
                <w:b/>
                <w:snapToGrid w:val="0"/>
                <w:kern w:val="0"/>
                <w:sz w:val="24"/>
                <w:highlight w:val="none"/>
              </w:rPr>
              <w:t>▲</w:t>
            </w:r>
            <w:r>
              <w:rPr>
                <w:rFonts w:hint="eastAsia" w:ascii="仿宋" w:hAnsi="仿宋" w:eastAsia="仿宋" w:cs="宋体"/>
                <w:snapToGrid w:val="0"/>
                <w:kern w:val="0"/>
                <w:sz w:val="24"/>
                <w:highlight w:val="none"/>
              </w:rPr>
              <w:t>投标文件份数</w:t>
            </w:r>
          </w:p>
        </w:tc>
        <w:tc>
          <w:tcPr>
            <w:tcW w:w="6670" w:type="dxa"/>
            <w:vAlign w:val="center"/>
          </w:tcPr>
          <w:p>
            <w:pPr>
              <w:adjustRightInd w:val="0"/>
              <w:snapToGrid w:val="0"/>
              <w:spacing w:line="360" w:lineRule="auto"/>
              <w:rPr>
                <w:rFonts w:ascii="仿宋" w:hAnsi="仿宋" w:eastAsia="仿宋" w:cs="仿宋"/>
                <w:snapToGrid w:val="0"/>
                <w:kern w:val="0"/>
                <w:sz w:val="24"/>
                <w:highlight w:val="none"/>
              </w:rPr>
            </w:pPr>
            <w:r>
              <w:rPr>
                <w:rFonts w:hint="eastAsia" w:ascii="仿宋" w:hAnsi="仿宋" w:eastAsia="仿宋" w:cs="仿宋"/>
                <w:b/>
                <w:sz w:val="24"/>
                <w:highlight w:val="none"/>
              </w:rPr>
              <w:t>投标文件份数：</w:t>
            </w:r>
            <w:r>
              <w:rPr>
                <w:rFonts w:hint="eastAsia" w:ascii="仿宋" w:hAnsi="仿宋" w:eastAsia="仿宋" w:cs="仿宋"/>
                <w:sz w:val="24"/>
                <w:highlight w:val="none"/>
              </w:rPr>
              <w:t>资格文件正本1份,副本</w:t>
            </w:r>
            <w:r>
              <w:rPr>
                <w:rFonts w:hint="eastAsia" w:ascii="仿宋" w:hAnsi="仿宋" w:eastAsia="仿宋" w:cs="仿宋"/>
                <w:kern w:val="0"/>
                <w:sz w:val="24"/>
                <w:highlight w:val="none"/>
                <w:u w:val="single"/>
                <w:lang w:val="en-US" w:eastAsia="zh-CN"/>
              </w:rPr>
              <w:t>4</w:t>
            </w:r>
            <w:r>
              <w:rPr>
                <w:rFonts w:hint="eastAsia" w:ascii="仿宋" w:hAnsi="仿宋" w:eastAsia="仿宋" w:cs="仿宋"/>
                <w:sz w:val="24"/>
                <w:highlight w:val="none"/>
              </w:rPr>
              <w:t>份；报价文件正本1份，副本</w:t>
            </w:r>
            <w:r>
              <w:rPr>
                <w:rFonts w:hint="eastAsia" w:ascii="仿宋" w:hAnsi="仿宋" w:eastAsia="仿宋" w:cs="仿宋"/>
                <w:kern w:val="0"/>
                <w:sz w:val="24"/>
                <w:highlight w:val="none"/>
                <w:u w:val="single"/>
                <w:lang w:val="en-US" w:eastAsia="zh-CN"/>
              </w:rPr>
              <w:t>4</w:t>
            </w:r>
            <w:r>
              <w:rPr>
                <w:rFonts w:hint="eastAsia" w:ascii="仿宋" w:hAnsi="仿宋" w:eastAsia="仿宋" w:cs="仿宋"/>
                <w:sz w:val="24"/>
                <w:highlight w:val="none"/>
              </w:rPr>
              <w:t>份；商务技术文件正本1份，副本</w:t>
            </w:r>
            <w:r>
              <w:rPr>
                <w:rFonts w:hint="eastAsia" w:ascii="仿宋" w:hAnsi="仿宋" w:eastAsia="仿宋" w:cs="仿宋"/>
                <w:kern w:val="0"/>
                <w:sz w:val="24"/>
                <w:highlight w:val="none"/>
                <w:u w:val="single"/>
                <w:lang w:val="en-US" w:eastAsia="zh-CN"/>
              </w:rPr>
              <w:t>4</w:t>
            </w:r>
            <w:r>
              <w:rPr>
                <w:rFonts w:hint="eastAsia" w:ascii="仿宋" w:hAnsi="仿宋" w:eastAsia="仿宋" w:cs="仿宋"/>
                <w:sz w:val="24"/>
                <w:highlight w:val="none"/>
              </w:rPr>
              <w:t>份。投标文件采用A4幅面，</w:t>
            </w:r>
            <w:r>
              <w:rPr>
                <w:rFonts w:hint="eastAsia" w:ascii="仿宋" w:hAnsi="仿宋" w:eastAsia="仿宋" w:cs="仿宋"/>
                <w:sz w:val="24"/>
                <w:highlight w:val="none"/>
                <w:lang w:eastAsia="zh-CN"/>
              </w:rPr>
              <w:t>图表可采用</w:t>
            </w:r>
            <w:r>
              <w:rPr>
                <w:rFonts w:hint="eastAsia" w:ascii="仿宋" w:hAnsi="仿宋" w:eastAsia="仿宋" w:cs="仿宋"/>
                <w:sz w:val="24"/>
                <w:highlight w:val="none"/>
                <w:lang w:val="en-US" w:eastAsia="zh-CN"/>
              </w:rPr>
              <w:t>A3幅面，</w:t>
            </w:r>
            <w:r>
              <w:rPr>
                <w:rFonts w:hint="eastAsia" w:ascii="仿宋" w:hAnsi="仿宋" w:eastAsia="仿宋" w:cs="仿宋"/>
                <w:sz w:val="24"/>
                <w:highlight w:val="none"/>
              </w:rPr>
              <w:t>必须按顺序统一编目编码以胶装方式装订成册</w:t>
            </w:r>
            <w:r>
              <w:rPr>
                <w:rFonts w:hint="eastAsia" w:ascii="仿宋" w:hAnsi="仿宋" w:eastAsia="仿宋" w:cs="仿宋"/>
                <w:sz w:val="24"/>
                <w:highlight w:val="none"/>
                <w:lang w:eastAsia="zh-CN"/>
              </w:rPr>
              <w:t>，</w:t>
            </w:r>
            <w:r>
              <w:rPr>
                <w:rFonts w:hint="eastAsia" w:ascii="仿宋" w:hAnsi="仿宋" w:eastAsia="仿宋" w:cs="仿宋"/>
                <w:sz w:val="24"/>
                <w:highlight w:val="none"/>
              </w:rPr>
              <w:t>不得采用活页或可拆卸的装订，否则其投标将被拒绝。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4" w:hRule="atLeast"/>
          <w:jc w:val="center"/>
        </w:trPr>
        <w:tc>
          <w:tcPr>
            <w:tcW w:w="781" w:type="dxa"/>
            <w:vAlign w:val="center"/>
          </w:tcPr>
          <w:p>
            <w:pPr>
              <w:adjustRightInd w:val="0"/>
              <w:snapToGrid w:val="0"/>
              <w:spacing w:line="360" w:lineRule="auto"/>
              <w:jc w:val="center"/>
              <w:rPr>
                <w:rFonts w:hint="eastAsia" w:ascii="仿宋" w:hAnsi="仿宋" w:eastAsia="仿宋" w:cs="仿宋"/>
                <w:snapToGrid w:val="0"/>
                <w:kern w:val="0"/>
                <w:sz w:val="24"/>
                <w:highlight w:val="none"/>
                <w:lang w:eastAsia="zh-CN"/>
              </w:rPr>
            </w:pPr>
            <w:r>
              <w:rPr>
                <w:rFonts w:hint="eastAsia" w:ascii="仿宋" w:hAnsi="仿宋" w:eastAsia="仿宋" w:cs="宋体"/>
                <w:snapToGrid w:val="0"/>
                <w:kern w:val="0"/>
                <w:sz w:val="24"/>
                <w:highlight w:val="none"/>
              </w:rPr>
              <w:t>1</w:t>
            </w:r>
            <w:r>
              <w:rPr>
                <w:rFonts w:hint="eastAsia" w:ascii="仿宋" w:hAnsi="仿宋" w:eastAsia="仿宋" w:cs="宋体"/>
                <w:snapToGrid w:val="0"/>
                <w:kern w:val="0"/>
                <w:sz w:val="24"/>
                <w:highlight w:val="none"/>
                <w:lang w:val="en-US" w:eastAsia="zh-CN"/>
              </w:rPr>
              <w:t>0</w:t>
            </w:r>
          </w:p>
        </w:tc>
        <w:tc>
          <w:tcPr>
            <w:tcW w:w="1952" w:type="dxa"/>
            <w:vAlign w:val="center"/>
          </w:tcPr>
          <w:p>
            <w:pPr>
              <w:adjustRightInd w:val="0"/>
              <w:snapToGrid w:val="0"/>
              <w:spacing w:line="360" w:lineRule="auto"/>
              <w:rPr>
                <w:rFonts w:ascii="仿宋" w:hAnsi="仿宋" w:eastAsia="仿宋" w:cs="仿宋"/>
                <w:snapToGrid w:val="0"/>
                <w:kern w:val="0"/>
                <w:sz w:val="24"/>
                <w:highlight w:val="none"/>
              </w:rPr>
            </w:pPr>
            <w:r>
              <w:rPr>
                <w:rFonts w:hint="eastAsia" w:ascii="仿宋" w:hAnsi="仿宋" w:eastAsia="仿宋" w:cs="宋体"/>
                <w:snapToGrid w:val="0"/>
                <w:kern w:val="0"/>
                <w:sz w:val="24"/>
                <w:highlight w:val="none"/>
              </w:rPr>
              <w:t>评标办法</w:t>
            </w:r>
          </w:p>
        </w:tc>
        <w:tc>
          <w:tcPr>
            <w:tcW w:w="6670" w:type="dxa"/>
            <w:vAlign w:val="center"/>
          </w:tcPr>
          <w:p>
            <w:pPr>
              <w:adjustRightInd w:val="0"/>
              <w:snapToGrid w:val="0"/>
              <w:spacing w:line="360" w:lineRule="auto"/>
              <w:rPr>
                <w:rFonts w:ascii="仿宋" w:hAnsi="仿宋" w:eastAsia="仿宋" w:cs="仿宋"/>
                <w:highlight w:val="none"/>
              </w:rPr>
            </w:pPr>
            <w:r>
              <w:rPr>
                <w:rFonts w:hint="eastAsia" w:ascii="仿宋" w:hAnsi="仿宋" w:eastAsia="仿宋" w:cs="宋体"/>
                <w:snapToGrid w:val="0"/>
                <w:kern w:val="0"/>
                <w:sz w:val="24"/>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6" w:hRule="atLeast"/>
          <w:jc w:val="center"/>
        </w:trPr>
        <w:tc>
          <w:tcPr>
            <w:tcW w:w="781" w:type="dxa"/>
            <w:vAlign w:val="center"/>
          </w:tcPr>
          <w:p>
            <w:pPr>
              <w:adjustRightInd w:val="0"/>
              <w:snapToGrid w:val="0"/>
              <w:spacing w:line="360" w:lineRule="auto"/>
              <w:jc w:val="center"/>
              <w:rPr>
                <w:rFonts w:hint="eastAsia" w:ascii="仿宋" w:hAnsi="仿宋" w:eastAsia="仿宋" w:cs="仿宋"/>
                <w:snapToGrid w:val="0"/>
                <w:kern w:val="0"/>
                <w:sz w:val="24"/>
                <w:highlight w:val="none"/>
                <w:lang w:eastAsia="zh-CN"/>
              </w:rPr>
            </w:pPr>
            <w:r>
              <w:rPr>
                <w:rFonts w:hint="eastAsia" w:ascii="仿宋" w:hAnsi="仿宋" w:eastAsia="仿宋" w:cs="宋体"/>
                <w:snapToGrid w:val="0"/>
                <w:kern w:val="0"/>
                <w:sz w:val="24"/>
                <w:highlight w:val="none"/>
              </w:rPr>
              <w:t>1</w:t>
            </w:r>
            <w:r>
              <w:rPr>
                <w:rFonts w:hint="eastAsia" w:ascii="仿宋" w:hAnsi="仿宋" w:eastAsia="仿宋" w:cs="宋体"/>
                <w:snapToGrid w:val="0"/>
                <w:kern w:val="0"/>
                <w:sz w:val="24"/>
                <w:highlight w:val="none"/>
                <w:lang w:val="en-US" w:eastAsia="zh-CN"/>
              </w:rPr>
              <w:t>1</w:t>
            </w:r>
          </w:p>
        </w:tc>
        <w:tc>
          <w:tcPr>
            <w:tcW w:w="1952" w:type="dxa"/>
            <w:vAlign w:val="center"/>
          </w:tcPr>
          <w:p>
            <w:pPr>
              <w:adjustRightInd w:val="0"/>
              <w:snapToGrid w:val="0"/>
              <w:spacing w:line="360" w:lineRule="auto"/>
              <w:rPr>
                <w:rFonts w:ascii="仿宋" w:hAnsi="仿宋" w:eastAsia="仿宋" w:cs="仿宋"/>
                <w:snapToGrid w:val="0"/>
                <w:kern w:val="0"/>
                <w:sz w:val="24"/>
                <w:highlight w:val="none"/>
              </w:rPr>
            </w:pPr>
            <w:r>
              <w:rPr>
                <w:rFonts w:hint="eastAsia" w:ascii="仿宋" w:hAnsi="仿宋" w:eastAsia="仿宋" w:cs="宋体"/>
                <w:snapToGrid w:val="0"/>
                <w:kern w:val="0"/>
                <w:sz w:val="24"/>
                <w:highlight w:val="none"/>
              </w:rPr>
              <w:t>投标文件递交地址及截止时间</w:t>
            </w:r>
          </w:p>
        </w:tc>
        <w:tc>
          <w:tcPr>
            <w:tcW w:w="6670" w:type="dxa"/>
            <w:vAlign w:val="center"/>
          </w:tcPr>
          <w:p>
            <w:pPr>
              <w:pStyle w:val="25"/>
              <w:spacing w:before="120" w:line="360" w:lineRule="auto"/>
              <w:rPr>
                <w:rFonts w:ascii="仿宋" w:hAnsi="仿宋" w:eastAsia="仿宋" w:cs="仿宋"/>
                <w:sz w:val="24"/>
                <w:szCs w:val="24"/>
                <w:highlight w:val="none"/>
              </w:rPr>
            </w:pPr>
            <w:r>
              <w:rPr>
                <w:rFonts w:hint="eastAsia" w:ascii="仿宋" w:hAnsi="仿宋" w:eastAsia="仿宋" w:cs="仿宋"/>
                <w:sz w:val="24"/>
                <w:szCs w:val="24"/>
                <w:highlight w:val="none"/>
              </w:rPr>
              <w:t>截止时间：202</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27</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时</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0分，</w:t>
            </w:r>
          </w:p>
          <w:p>
            <w:pPr>
              <w:pStyle w:val="25"/>
              <w:spacing w:before="120" w:line="360" w:lineRule="auto"/>
              <w:rPr>
                <w:rFonts w:ascii="仿宋" w:hAnsi="仿宋" w:eastAsia="仿宋" w:cs="仿宋"/>
                <w:snapToGrid w:val="0"/>
                <w:kern w:val="0"/>
                <w:sz w:val="24"/>
                <w:highlight w:val="none"/>
              </w:rPr>
            </w:pPr>
            <w:r>
              <w:rPr>
                <w:rFonts w:hint="eastAsia" w:ascii="仿宋" w:hAnsi="仿宋" w:eastAsia="仿宋" w:cs="仿宋"/>
                <w:sz w:val="24"/>
                <w:szCs w:val="24"/>
                <w:highlight w:val="none"/>
              </w:rPr>
              <w:t>地点：</w:t>
            </w:r>
            <w:r>
              <w:rPr>
                <w:rFonts w:hint="eastAsia" w:ascii="仿宋" w:hAnsi="仿宋" w:eastAsia="仿宋" w:cs="仿宋"/>
                <w:color w:val="auto"/>
                <w:sz w:val="24"/>
                <w:szCs w:val="24"/>
                <w:highlight w:val="none"/>
              </w:rPr>
              <w:t>杭州市拱墅区</w:t>
            </w:r>
            <w:r>
              <w:rPr>
                <w:rFonts w:hint="eastAsia" w:ascii="仿宋" w:hAnsi="仿宋" w:eastAsia="仿宋" w:cs="仿宋"/>
                <w:color w:val="auto"/>
                <w:sz w:val="24"/>
                <w:szCs w:val="24"/>
                <w:highlight w:val="none"/>
                <w:lang w:eastAsia="zh-CN"/>
              </w:rPr>
              <w:t>白石巷</w:t>
            </w:r>
            <w:r>
              <w:rPr>
                <w:rFonts w:hint="eastAsia" w:ascii="仿宋" w:hAnsi="仿宋" w:eastAsia="仿宋" w:cs="仿宋"/>
                <w:color w:val="auto"/>
                <w:sz w:val="24"/>
                <w:szCs w:val="24"/>
                <w:highlight w:val="none"/>
              </w:rPr>
              <w:t>318号中国（杭州）人力资源服务产业园北楼514室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5" w:hRule="atLeast"/>
          <w:jc w:val="center"/>
        </w:trPr>
        <w:tc>
          <w:tcPr>
            <w:tcW w:w="781" w:type="dxa"/>
            <w:vAlign w:val="center"/>
          </w:tcPr>
          <w:p>
            <w:pPr>
              <w:adjustRightInd w:val="0"/>
              <w:snapToGrid w:val="0"/>
              <w:spacing w:line="360" w:lineRule="auto"/>
              <w:jc w:val="center"/>
              <w:rPr>
                <w:rFonts w:hint="default" w:ascii="仿宋" w:hAnsi="仿宋" w:eastAsia="仿宋" w:cs="仿宋"/>
                <w:snapToGrid w:val="0"/>
                <w:kern w:val="0"/>
                <w:sz w:val="24"/>
                <w:highlight w:val="none"/>
                <w:lang w:val="en-US" w:eastAsia="zh-CN"/>
              </w:rPr>
            </w:pPr>
            <w:r>
              <w:rPr>
                <w:rFonts w:hint="eastAsia" w:ascii="仿宋" w:hAnsi="仿宋" w:eastAsia="仿宋" w:cs="宋体"/>
                <w:snapToGrid w:val="0"/>
                <w:kern w:val="0"/>
                <w:sz w:val="24"/>
                <w:highlight w:val="none"/>
                <w:lang w:val="en-US" w:eastAsia="zh-CN"/>
              </w:rPr>
              <w:t>12</w:t>
            </w:r>
          </w:p>
        </w:tc>
        <w:tc>
          <w:tcPr>
            <w:tcW w:w="1952" w:type="dxa"/>
            <w:vAlign w:val="center"/>
          </w:tcPr>
          <w:p>
            <w:pPr>
              <w:adjustRightInd w:val="0"/>
              <w:snapToGrid w:val="0"/>
              <w:spacing w:line="360" w:lineRule="auto"/>
              <w:rPr>
                <w:rFonts w:ascii="仿宋" w:hAnsi="仿宋" w:eastAsia="仿宋" w:cs="仿宋"/>
                <w:snapToGrid w:val="0"/>
                <w:kern w:val="0"/>
                <w:sz w:val="24"/>
                <w:highlight w:val="none"/>
              </w:rPr>
            </w:pPr>
            <w:r>
              <w:rPr>
                <w:rFonts w:hint="eastAsia" w:ascii="仿宋" w:hAnsi="仿宋" w:eastAsia="仿宋" w:cs="宋体"/>
                <w:snapToGrid w:val="0"/>
                <w:kern w:val="0"/>
                <w:sz w:val="24"/>
                <w:highlight w:val="none"/>
              </w:rPr>
              <w:t>开标时间及地点</w:t>
            </w:r>
          </w:p>
        </w:tc>
        <w:tc>
          <w:tcPr>
            <w:tcW w:w="6670" w:type="dxa"/>
            <w:vAlign w:val="center"/>
          </w:tcPr>
          <w:p>
            <w:pPr>
              <w:pStyle w:val="25"/>
              <w:spacing w:before="120" w:line="360" w:lineRule="auto"/>
              <w:rPr>
                <w:rFonts w:ascii="仿宋" w:hAnsi="仿宋" w:eastAsia="仿宋" w:cs="仿宋"/>
                <w:sz w:val="24"/>
                <w:szCs w:val="24"/>
                <w:highlight w:val="none"/>
              </w:rPr>
            </w:pPr>
            <w:r>
              <w:rPr>
                <w:rFonts w:hint="eastAsia" w:ascii="仿宋" w:hAnsi="仿宋" w:eastAsia="仿宋" w:cs="仿宋"/>
                <w:sz w:val="24"/>
                <w:szCs w:val="24"/>
                <w:highlight w:val="none"/>
              </w:rPr>
              <w:t>开标时间：202</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27</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时</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0分，</w:t>
            </w:r>
          </w:p>
          <w:p>
            <w:pPr>
              <w:pStyle w:val="25"/>
              <w:spacing w:before="120" w:line="360" w:lineRule="auto"/>
              <w:rPr>
                <w:rFonts w:ascii="仿宋" w:hAnsi="仿宋" w:eastAsia="仿宋" w:cs="仿宋"/>
                <w:b/>
                <w:highlight w:val="none"/>
              </w:rPr>
            </w:pPr>
            <w:r>
              <w:rPr>
                <w:rFonts w:hint="eastAsia" w:ascii="仿宋" w:hAnsi="仿宋" w:eastAsia="仿宋" w:cs="仿宋"/>
                <w:sz w:val="24"/>
                <w:szCs w:val="24"/>
                <w:highlight w:val="none"/>
              </w:rPr>
              <w:t>开标地点：</w:t>
            </w:r>
            <w:r>
              <w:rPr>
                <w:rFonts w:hint="eastAsia" w:ascii="仿宋" w:hAnsi="仿宋" w:eastAsia="仿宋" w:cs="仿宋"/>
                <w:color w:val="auto"/>
                <w:sz w:val="24"/>
                <w:szCs w:val="24"/>
                <w:highlight w:val="none"/>
              </w:rPr>
              <w:t>杭州市拱墅区</w:t>
            </w:r>
            <w:r>
              <w:rPr>
                <w:rFonts w:hint="eastAsia" w:ascii="仿宋" w:hAnsi="仿宋" w:eastAsia="仿宋" w:cs="仿宋"/>
                <w:color w:val="auto"/>
                <w:sz w:val="24"/>
                <w:szCs w:val="24"/>
                <w:highlight w:val="none"/>
                <w:lang w:eastAsia="zh-CN"/>
              </w:rPr>
              <w:t>白石巷</w:t>
            </w:r>
            <w:r>
              <w:rPr>
                <w:rFonts w:hint="eastAsia" w:ascii="仿宋" w:hAnsi="仿宋" w:eastAsia="仿宋" w:cs="仿宋"/>
                <w:color w:val="auto"/>
                <w:sz w:val="24"/>
                <w:szCs w:val="24"/>
                <w:highlight w:val="none"/>
              </w:rPr>
              <w:t>318号中国（杭州）人力资源服务产业园北楼514室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2" w:hRule="atLeast"/>
          <w:jc w:val="center"/>
        </w:trPr>
        <w:tc>
          <w:tcPr>
            <w:tcW w:w="781" w:type="dxa"/>
            <w:vAlign w:val="center"/>
          </w:tcPr>
          <w:p>
            <w:pPr>
              <w:adjustRightInd w:val="0"/>
              <w:snapToGrid w:val="0"/>
              <w:spacing w:line="360" w:lineRule="auto"/>
              <w:jc w:val="center"/>
              <w:rPr>
                <w:rFonts w:hint="default" w:ascii="仿宋" w:hAnsi="仿宋" w:eastAsia="仿宋" w:cs="仿宋"/>
                <w:snapToGrid w:val="0"/>
                <w:kern w:val="0"/>
                <w:sz w:val="24"/>
                <w:highlight w:val="none"/>
                <w:lang w:val="en-US" w:eastAsia="zh-CN"/>
              </w:rPr>
            </w:pPr>
            <w:r>
              <w:rPr>
                <w:rFonts w:hint="eastAsia" w:ascii="仿宋" w:hAnsi="仿宋" w:eastAsia="仿宋" w:cs="宋体"/>
                <w:snapToGrid w:val="0"/>
                <w:kern w:val="0"/>
                <w:sz w:val="24"/>
                <w:highlight w:val="none"/>
                <w:lang w:val="en-US" w:eastAsia="zh-CN"/>
              </w:rPr>
              <w:t>13</w:t>
            </w:r>
          </w:p>
        </w:tc>
        <w:tc>
          <w:tcPr>
            <w:tcW w:w="1952" w:type="dxa"/>
            <w:vAlign w:val="center"/>
          </w:tcPr>
          <w:p>
            <w:pPr>
              <w:adjustRightInd w:val="0"/>
              <w:snapToGrid w:val="0"/>
              <w:spacing w:line="360" w:lineRule="auto"/>
              <w:rPr>
                <w:rFonts w:ascii="仿宋" w:hAnsi="仿宋" w:eastAsia="仿宋" w:cs="仿宋"/>
                <w:snapToGrid w:val="0"/>
                <w:kern w:val="0"/>
                <w:sz w:val="24"/>
                <w:highlight w:val="none"/>
              </w:rPr>
            </w:pPr>
            <w:r>
              <w:rPr>
                <w:rFonts w:hint="eastAsia" w:ascii="仿宋" w:hAnsi="仿宋" w:eastAsia="仿宋" w:cs="宋体"/>
                <w:snapToGrid w:val="0"/>
                <w:kern w:val="0"/>
                <w:sz w:val="24"/>
                <w:highlight w:val="none"/>
              </w:rPr>
              <w:t>投标有效期</w:t>
            </w:r>
          </w:p>
        </w:tc>
        <w:tc>
          <w:tcPr>
            <w:tcW w:w="6670" w:type="dxa"/>
            <w:vAlign w:val="center"/>
          </w:tcPr>
          <w:p>
            <w:pPr>
              <w:adjustRightInd w:val="0"/>
              <w:snapToGrid w:val="0"/>
              <w:spacing w:line="360" w:lineRule="auto"/>
              <w:rPr>
                <w:rFonts w:ascii="仿宋" w:hAnsi="仿宋" w:eastAsia="仿宋" w:cs="仿宋"/>
                <w:b/>
                <w:highlight w:val="none"/>
              </w:rPr>
            </w:pPr>
            <w:r>
              <w:rPr>
                <w:rFonts w:hint="eastAsia" w:ascii="仿宋" w:hAnsi="仿宋" w:eastAsia="仿宋" w:cs="宋体"/>
                <w:snapToGrid w:val="0"/>
                <w:kern w:val="0"/>
                <w:sz w:val="24"/>
                <w:highlight w:val="none"/>
              </w:rPr>
              <w:t>投标截止日后90日历天内有效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2" w:hRule="atLeast"/>
          <w:jc w:val="center"/>
        </w:trPr>
        <w:tc>
          <w:tcPr>
            <w:tcW w:w="781" w:type="dxa"/>
            <w:vAlign w:val="center"/>
          </w:tcPr>
          <w:p>
            <w:pPr>
              <w:adjustRightInd w:val="0"/>
              <w:snapToGrid w:val="0"/>
              <w:spacing w:line="360" w:lineRule="auto"/>
              <w:jc w:val="center"/>
              <w:rPr>
                <w:rFonts w:hint="default" w:ascii="仿宋" w:hAnsi="仿宋" w:eastAsia="仿宋" w:cs="宋体"/>
                <w:snapToGrid w:val="0"/>
                <w:kern w:val="0"/>
                <w:sz w:val="24"/>
                <w:highlight w:val="none"/>
                <w:lang w:val="en-US" w:eastAsia="zh-CN"/>
              </w:rPr>
            </w:pPr>
            <w:r>
              <w:rPr>
                <w:rFonts w:hint="eastAsia" w:ascii="仿宋" w:hAnsi="仿宋" w:eastAsia="仿宋" w:cs="宋体"/>
                <w:snapToGrid w:val="0"/>
                <w:kern w:val="0"/>
                <w:sz w:val="24"/>
                <w:highlight w:val="none"/>
                <w:lang w:val="en-US" w:eastAsia="zh-CN"/>
              </w:rPr>
              <w:t>14</w:t>
            </w:r>
          </w:p>
        </w:tc>
        <w:tc>
          <w:tcPr>
            <w:tcW w:w="1952" w:type="dxa"/>
            <w:vAlign w:val="center"/>
          </w:tcPr>
          <w:p>
            <w:pPr>
              <w:adjustRightInd w:val="0"/>
              <w:snapToGrid w:val="0"/>
              <w:spacing w:line="360" w:lineRule="auto"/>
              <w:jc w:val="center"/>
              <w:rPr>
                <w:rFonts w:hint="eastAsia" w:ascii="仿宋" w:hAnsi="仿宋" w:eastAsia="仿宋" w:cs="宋体"/>
                <w:snapToGrid w:val="0"/>
                <w:kern w:val="0"/>
                <w:sz w:val="24"/>
                <w:highlight w:val="none"/>
                <w:lang w:val="en-US" w:eastAsia="zh-CN"/>
              </w:rPr>
            </w:pPr>
            <w:r>
              <w:rPr>
                <w:rFonts w:hint="eastAsia" w:ascii="仿宋" w:hAnsi="仿宋" w:eastAsia="仿宋" w:cs="宋体"/>
                <w:snapToGrid w:val="0"/>
                <w:kern w:val="0"/>
                <w:sz w:val="24"/>
                <w:highlight w:val="none"/>
                <w:lang w:val="en-US" w:eastAsia="zh-CN"/>
              </w:rPr>
              <w:t>项目属性与核心产品</w:t>
            </w:r>
          </w:p>
        </w:tc>
        <w:tc>
          <w:tcPr>
            <w:tcW w:w="6670" w:type="dxa"/>
            <w:vAlign w:val="center"/>
          </w:tcPr>
          <w:p>
            <w:pPr>
              <w:adjustRightInd w:val="0"/>
              <w:snapToGrid w:val="0"/>
              <w:spacing w:line="360" w:lineRule="auto"/>
              <w:jc w:val="center"/>
              <w:rPr>
                <w:rFonts w:hint="eastAsia" w:ascii="仿宋" w:hAnsi="仿宋" w:eastAsia="仿宋" w:cs="宋体"/>
                <w:snapToGrid w:val="0"/>
                <w:kern w:val="0"/>
                <w:sz w:val="24"/>
                <w:highlight w:val="none"/>
                <w:lang w:val="en-US" w:eastAsia="zh-CN"/>
              </w:rPr>
            </w:pPr>
            <w:r>
              <w:rPr>
                <w:rFonts w:hint="eastAsia" w:ascii="仿宋" w:hAnsi="仿宋" w:eastAsia="仿宋" w:cs="宋体"/>
                <w:snapToGrid w:val="0"/>
                <w:kern w:val="0"/>
                <w:sz w:val="24"/>
                <w:highlight w:val="none"/>
                <w:lang w:val="en-US" w:eastAsia="zh-CN"/>
              </w:rPr>
              <w:t>货物类，单一产品为：</w:t>
            </w:r>
            <w:r>
              <w:rPr>
                <w:rFonts w:hint="eastAsia" w:ascii="仿宋" w:hAnsi="仿宋" w:eastAsia="仿宋" w:cs="宋体"/>
                <w:snapToGrid w:val="0"/>
                <w:kern w:val="0"/>
                <w:sz w:val="24"/>
                <w:highlight w:val="none"/>
                <w:u w:val="single"/>
                <w:lang w:eastAsia="zh-CN"/>
              </w:rPr>
              <w:t>高能比硫化物全固态电池自动孵化线</w:t>
            </w:r>
            <w:r>
              <w:rPr>
                <w:rFonts w:hint="eastAsia" w:ascii="仿宋" w:hAnsi="仿宋" w:eastAsia="仿宋" w:cs="宋体"/>
                <w:snapToGrid w:val="0"/>
                <w:kern w:val="0"/>
                <w:sz w:val="24"/>
                <w:highlight w:val="none"/>
                <w:lang w:val="en-US" w:eastAsia="zh-CN"/>
              </w:rPr>
              <w:t>。</w:t>
            </w:r>
          </w:p>
          <w:p>
            <w:pPr>
              <w:adjustRightInd w:val="0"/>
              <w:snapToGrid w:val="0"/>
              <w:spacing w:line="360" w:lineRule="auto"/>
              <w:jc w:val="center"/>
              <w:rPr>
                <w:rFonts w:hint="eastAsia" w:ascii="仿宋" w:hAnsi="仿宋" w:eastAsia="仿宋" w:cs="宋体"/>
                <w:snapToGrid w:val="0"/>
                <w:kern w:val="0"/>
                <w:sz w:val="24"/>
                <w:highlight w:val="none"/>
                <w:lang w:val="en-US"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2" w:hRule="atLeast"/>
          <w:jc w:val="center"/>
        </w:trPr>
        <w:tc>
          <w:tcPr>
            <w:tcW w:w="781" w:type="dxa"/>
            <w:vAlign w:val="center"/>
          </w:tcPr>
          <w:p>
            <w:pPr>
              <w:adjustRightInd w:val="0"/>
              <w:snapToGrid w:val="0"/>
              <w:spacing w:line="360" w:lineRule="auto"/>
              <w:jc w:val="center"/>
              <w:rPr>
                <w:rFonts w:hint="default" w:ascii="仿宋" w:hAnsi="仿宋" w:eastAsia="仿宋" w:cs="仿宋"/>
                <w:snapToGrid w:val="0"/>
                <w:kern w:val="0"/>
                <w:sz w:val="24"/>
                <w:highlight w:val="none"/>
                <w:lang w:val="en-US" w:eastAsia="zh-CN"/>
              </w:rPr>
            </w:pPr>
            <w:r>
              <w:rPr>
                <w:rFonts w:hint="eastAsia" w:ascii="仿宋" w:hAnsi="仿宋" w:eastAsia="仿宋" w:cs="宋体"/>
                <w:snapToGrid w:val="0"/>
                <w:kern w:val="0"/>
                <w:sz w:val="24"/>
                <w:highlight w:val="none"/>
                <w:lang w:val="en-US" w:eastAsia="zh-CN"/>
              </w:rPr>
              <w:t>15</w:t>
            </w:r>
          </w:p>
        </w:tc>
        <w:tc>
          <w:tcPr>
            <w:tcW w:w="1952" w:type="dxa"/>
            <w:vAlign w:val="center"/>
          </w:tcPr>
          <w:p>
            <w:pPr>
              <w:adjustRightInd w:val="0"/>
              <w:snapToGrid w:val="0"/>
              <w:spacing w:line="360" w:lineRule="auto"/>
              <w:jc w:val="left"/>
              <w:rPr>
                <w:rFonts w:hint="eastAsia" w:ascii="仿宋" w:hAnsi="仿宋" w:eastAsia="仿宋" w:cs="宋体"/>
                <w:snapToGrid w:val="0"/>
                <w:kern w:val="0"/>
                <w:sz w:val="24"/>
                <w:highlight w:val="none"/>
              </w:rPr>
            </w:pPr>
            <w:r>
              <w:rPr>
                <w:rFonts w:hint="eastAsia" w:ascii="仿宋" w:hAnsi="仿宋" w:eastAsia="仿宋" w:cs="宋体"/>
                <w:snapToGrid w:val="0"/>
                <w:kern w:val="0"/>
                <w:sz w:val="24"/>
                <w:highlight w:val="none"/>
              </w:rPr>
              <w:t>采购标的及其对应的中小企业划分标准所属行业</w:t>
            </w:r>
          </w:p>
        </w:tc>
        <w:tc>
          <w:tcPr>
            <w:tcW w:w="6670" w:type="dxa"/>
            <w:vAlign w:val="center"/>
          </w:tcPr>
          <w:p>
            <w:pPr>
              <w:adjustRightInd w:val="0"/>
              <w:snapToGrid w:val="0"/>
              <w:spacing w:line="360" w:lineRule="auto"/>
              <w:jc w:val="left"/>
              <w:rPr>
                <w:rFonts w:hint="eastAsia" w:ascii="仿宋" w:hAnsi="仿宋" w:eastAsia="仿宋" w:cs="宋体"/>
                <w:snapToGrid w:val="0"/>
                <w:kern w:val="0"/>
                <w:sz w:val="24"/>
                <w:highlight w:val="none"/>
                <w:lang w:eastAsia="zh-CN"/>
              </w:rPr>
            </w:pPr>
            <w:r>
              <w:rPr>
                <w:rFonts w:hint="eastAsia" w:ascii="仿宋" w:hAnsi="仿宋" w:eastAsia="仿宋" w:cs="宋体"/>
                <w:snapToGrid w:val="0"/>
                <w:kern w:val="0"/>
                <w:sz w:val="24"/>
                <w:highlight w:val="none"/>
              </w:rPr>
              <w:t>（1）标的：</w:t>
            </w:r>
            <w:r>
              <w:rPr>
                <w:rFonts w:hint="eastAsia" w:ascii="仿宋" w:hAnsi="仿宋" w:eastAsia="仿宋" w:cs="宋体"/>
                <w:snapToGrid w:val="0"/>
                <w:kern w:val="0"/>
                <w:sz w:val="24"/>
                <w:highlight w:val="none"/>
                <w:u w:val="single"/>
                <w:lang w:eastAsia="zh-CN"/>
              </w:rPr>
              <w:t>高能比硫化物全固态电池自动孵化线</w:t>
            </w:r>
            <w:r>
              <w:rPr>
                <w:rFonts w:hint="eastAsia" w:ascii="仿宋" w:hAnsi="仿宋" w:eastAsia="仿宋" w:cs="宋体"/>
                <w:snapToGrid w:val="0"/>
                <w:kern w:val="0"/>
                <w:sz w:val="24"/>
                <w:highlight w:val="none"/>
              </w:rPr>
              <w:t>，属于</w:t>
            </w:r>
            <w:r>
              <w:rPr>
                <w:rFonts w:hint="eastAsia" w:ascii="仿宋" w:hAnsi="仿宋" w:eastAsia="仿宋" w:cs="宋体"/>
                <w:snapToGrid w:val="0"/>
                <w:kern w:val="0"/>
                <w:sz w:val="24"/>
                <w:highlight w:val="none"/>
                <w:u w:val="single"/>
                <w:lang w:val="en-US"/>
              </w:rPr>
              <w:t>（</w:t>
            </w:r>
            <w:r>
              <w:rPr>
                <w:rFonts w:hint="eastAsia" w:ascii="仿宋" w:hAnsi="仿宋" w:eastAsia="仿宋" w:cs="宋体"/>
                <w:snapToGrid w:val="0"/>
                <w:kern w:val="0"/>
                <w:sz w:val="24"/>
                <w:highlight w:val="none"/>
                <w:u w:val="single"/>
                <w:lang w:val="en-US" w:eastAsia="zh-CN"/>
              </w:rPr>
              <w:t>二</w:t>
            </w:r>
            <w:r>
              <w:rPr>
                <w:rFonts w:hint="eastAsia" w:ascii="仿宋" w:hAnsi="仿宋" w:eastAsia="仿宋" w:cs="宋体"/>
                <w:snapToGrid w:val="0"/>
                <w:kern w:val="0"/>
                <w:sz w:val="24"/>
                <w:highlight w:val="none"/>
                <w:u w:val="single"/>
                <w:lang w:val="en-US"/>
              </w:rPr>
              <w:t>）</w:t>
            </w:r>
            <w:r>
              <w:rPr>
                <w:rFonts w:hint="eastAsia" w:ascii="仿宋" w:hAnsi="仿宋" w:eastAsia="仿宋" w:cs="宋体"/>
                <w:snapToGrid w:val="0"/>
                <w:kern w:val="0"/>
                <w:sz w:val="24"/>
                <w:highlight w:val="none"/>
                <w:u w:val="single"/>
                <w:lang w:val="en-US" w:eastAsia="zh-CN"/>
              </w:rPr>
              <w:t>工业</w:t>
            </w:r>
            <w:r>
              <w:rPr>
                <w:rFonts w:hint="eastAsia" w:ascii="仿宋" w:hAnsi="仿宋" w:eastAsia="仿宋" w:cs="宋体"/>
                <w:snapToGrid w:val="0"/>
                <w:kern w:val="0"/>
                <w:sz w:val="24"/>
                <w:highlight w:val="none"/>
                <w:lang w:val="en-US"/>
              </w:rPr>
              <w:t>行</w:t>
            </w:r>
            <w:r>
              <w:rPr>
                <w:rFonts w:hint="eastAsia" w:ascii="仿宋" w:hAnsi="仿宋" w:eastAsia="仿宋" w:cs="宋体"/>
                <w:snapToGrid w:val="0"/>
                <w:kern w:val="0"/>
                <w:sz w:val="24"/>
                <w:highlight w:val="none"/>
              </w:rPr>
              <w:t>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2" w:hRule="atLeast"/>
          <w:jc w:val="center"/>
        </w:trPr>
        <w:tc>
          <w:tcPr>
            <w:tcW w:w="781" w:type="dxa"/>
            <w:vAlign w:val="center"/>
          </w:tcPr>
          <w:p>
            <w:pPr>
              <w:adjustRightInd w:val="0"/>
              <w:snapToGrid w:val="0"/>
              <w:spacing w:line="360" w:lineRule="auto"/>
              <w:jc w:val="center"/>
              <w:rPr>
                <w:rFonts w:hint="default" w:ascii="仿宋" w:hAnsi="仿宋" w:eastAsia="仿宋" w:cs="宋体"/>
                <w:snapToGrid w:val="0"/>
                <w:kern w:val="0"/>
                <w:sz w:val="24"/>
                <w:highlight w:val="none"/>
                <w:lang w:val="en-US" w:eastAsia="zh-CN"/>
              </w:rPr>
            </w:pPr>
            <w:r>
              <w:rPr>
                <w:rFonts w:hint="eastAsia" w:ascii="仿宋" w:hAnsi="仿宋" w:eastAsia="仿宋" w:cs="宋体"/>
                <w:snapToGrid w:val="0"/>
                <w:kern w:val="0"/>
                <w:sz w:val="24"/>
                <w:highlight w:val="none"/>
                <w:lang w:val="en-US" w:eastAsia="zh-CN"/>
              </w:rPr>
              <w:t>16</w:t>
            </w:r>
          </w:p>
        </w:tc>
        <w:tc>
          <w:tcPr>
            <w:tcW w:w="1952" w:type="dxa"/>
            <w:vAlign w:val="center"/>
          </w:tcPr>
          <w:p>
            <w:pPr>
              <w:adjustRightInd w:val="0"/>
              <w:snapToGrid w:val="0"/>
              <w:spacing w:line="360" w:lineRule="auto"/>
              <w:jc w:val="center"/>
              <w:rPr>
                <w:rFonts w:hint="eastAsia" w:ascii="仿宋" w:hAnsi="仿宋" w:eastAsia="仿宋" w:cs="宋体"/>
                <w:snapToGrid w:val="0"/>
                <w:kern w:val="0"/>
                <w:sz w:val="24"/>
                <w:highlight w:val="none"/>
                <w:lang w:val="en-US" w:eastAsia="zh-CN"/>
              </w:rPr>
            </w:pPr>
            <w:r>
              <w:rPr>
                <w:rFonts w:hint="eastAsia" w:ascii="仿宋" w:hAnsi="仿宋" w:eastAsia="仿宋" w:cs="宋体"/>
                <w:snapToGrid w:val="0"/>
                <w:kern w:val="0"/>
                <w:sz w:val="24"/>
                <w:highlight w:val="none"/>
                <w:lang w:val="en-US" w:eastAsia="zh-CN"/>
              </w:rPr>
              <w:t>节能产品、环境标志产品</w:t>
            </w:r>
          </w:p>
        </w:tc>
        <w:tc>
          <w:tcPr>
            <w:tcW w:w="6670" w:type="dxa"/>
            <w:vAlign w:val="center"/>
          </w:tcPr>
          <w:p>
            <w:pPr>
              <w:adjustRightInd w:val="0"/>
              <w:snapToGrid w:val="0"/>
              <w:spacing w:line="360" w:lineRule="auto"/>
              <w:jc w:val="left"/>
              <w:rPr>
                <w:rFonts w:hint="eastAsia" w:ascii="仿宋" w:hAnsi="仿宋" w:eastAsia="仿宋" w:cs="宋体"/>
                <w:snapToGrid w:val="0"/>
                <w:kern w:val="0"/>
                <w:sz w:val="24"/>
                <w:highlight w:val="none"/>
              </w:rPr>
            </w:pPr>
            <w:r>
              <w:rPr>
                <w:rFonts w:hint="eastAsia" w:ascii="仿宋" w:hAnsi="仿宋" w:eastAsia="仿宋" w:cs="宋体"/>
                <w:snapToGrid w:val="0"/>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8" w:hRule="atLeast"/>
          <w:jc w:val="center"/>
        </w:trPr>
        <w:tc>
          <w:tcPr>
            <w:tcW w:w="781" w:type="dxa"/>
            <w:vAlign w:val="center"/>
          </w:tcPr>
          <w:p>
            <w:pPr>
              <w:adjustRightInd w:val="0"/>
              <w:snapToGrid w:val="0"/>
              <w:spacing w:line="360" w:lineRule="auto"/>
              <w:jc w:val="center"/>
              <w:rPr>
                <w:rFonts w:hint="default" w:ascii="仿宋" w:hAnsi="仿宋" w:eastAsia="仿宋" w:cs="仿宋"/>
                <w:snapToGrid w:val="0"/>
                <w:kern w:val="0"/>
                <w:sz w:val="24"/>
                <w:highlight w:val="none"/>
                <w:lang w:val="en-US" w:eastAsia="zh-CN"/>
              </w:rPr>
            </w:pPr>
            <w:r>
              <w:rPr>
                <w:rFonts w:hint="eastAsia" w:ascii="仿宋" w:hAnsi="仿宋" w:eastAsia="仿宋" w:cs="宋体"/>
                <w:snapToGrid w:val="0"/>
                <w:kern w:val="0"/>
                <w:sz w:val="24"/>
                <w:highlight w:val="none"/>
                <w:lang w:val="en-US" w:eastAsia="zh-CN"/>
              </w:rPr>
              <w:t>17</w:t>
            </w:r>
          </w:p>
        </w:tc>
        <w:tc>
          <w:tcPr>
            <w:tcW w:w="1952" w:type="dxa"/>
            <w:vAlign w:val="center"/>
          </w:tcPr>
          <w:p>
            <w:pPr>
              <w:adjustRightInd w:val="0"/>
              <w:snapToGrid w:val="0"/>
              <w:spacing w:line="360" w:lineRule="auto"/>
              <w:rPr>
                <w:rFonts w:ascii="仿宋" w:hAnsi="仿宋" w:eastAsia="仿宋" w:cs="仿宋"/>
                <w:snapToGrid w:val="0"/>
                <w:kern w:val="0"/>
                <w:sz w:val="24"/>
                <w:highlight w:val="none"/>
              </w:rPr>
            </w:pPr>
            <w:r>
              <w:rPr>
                <w:rFonts w:hint="eastAsia" w:ascii="仿宋" w:hAnsi="仿宋" w:eastAsia="仿宋" w:cs="宋体"/>
                <w:snapToGrid w:val="0"/>
                <w:kern w:val="0"/>
                <w:sz w:val="24"/>
                <w:highlight w:val="none"/>
              </w:rPr>
              <w:t>质疑</w:t>
            </w:r>
          </w:p>
        </w:tc>
        <w:tc>
          <w:tcPr>
            <w:tcW w:w="6670" w:type="dxa"/>
            <w:vAlign w:val="center"/>
          </w:tcPr>
          <w:p>
            <w:pPr>
              <w:adjustRightInd w:val="0"/>
              <w:snapToGrid w:val="0"/>
              <w:spacing w:line="360" w:lineRule="auto"/>
              <w:jc w:val="left"/>
              <w:rPr>
                <w:rFonts w:ascii="仿宋" w:hAnsi="仿宋" w:eastAsia="仿宋" w:cs="仿宋"/>
                <w:snapToGrid w:val="0"/>
                <w:kern w:val="0"/>
                <w:sz w:val="24"/>
                <w:highlight w:val="none"/>
              </w:rPr>
            </w:pPr>
            <w:r>
              <w:rPr>
                <w:rFonts w:hint="eastAsia" w:ascii="仿宋" w:hAnsi="仿宋" w:eastAsia="仿宋" w:cs="宋体"/>
                <w:snapToGrid w:val="0"/>
                <w:kern w:val="0"/>
                <w:sz w:val="24"/>
                <w:highlight w:val="none"/>
              </w:rPr>
              <w:t>供应商认为招标文件、采购过程和中标、中标结果使自己的权益受到损害的，可以在知道或者应知其权益受到损害之日起七个工作日内以书面形式向采购人、采购代理机构提出质疑。对招标文件提出质疑的，质疑期限自供应商获得招标文件之日起计算（但招标文件在发售或报名截止日后获得的，应当自截止之日起计算），且应当在采购响应截止时间之前提出，否则，被质疑人可不予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8" w:hRule="atLeast"/>
          <w:jc w:val="center"/>
        </w:trPr>
        <w:tc>
          <w:tcPr>
            <w:tcW w:w="781" w:type="dxa"/>
            <w:vAlign w:val="center"/>
          </w:tcPr>
          <w:p>
            <w:pPr>
              <w:adjustRightInd w:val="0"/>
              <w:snapToGrid w:val="0"/>
              <w:spacing w:line="360" w:lineRule="auto"/>
              <w:jc w:val="center"/>
              <w:rPr>
                <w:rFonts w:hint="default" w:ascii="仿宋" w:hAnsi="仿宋" w:eastAsia="仿宋" w:cs="仿宋"/>
                <w:snapToGrid w:val="0"/>
                <w:kern w:val="0"/>
                <w:sz w:val="24"/>
                <w:highlight w:val="none"/>
                <w:lang w:val="en-US" w:eastAsia="zh-CN"/>
              </w:rPr>
            </w:pPr>
            <w:r>
              <w:rPr>
                <w:rFonts w:hint="eastAsia" w:ascii="仿宋" w:hAnsi="仿宋" w:eastAsia="仿宋" w:cs="宋体"/>
                <w:snapToGrid w:val="0"/>
                <w:kern w:val="0"/>
                <w:sz w:val="24"/>
                <w:highlight w:val="none"/>
                <w:lang w:val="en-US" w:eastAsia="zh-CN"/>
              </w:rPr>
              <w:t>18</w:t>
            </w:r>
          </w:p>
        </w:tc>
        <w:tc>
          <w:tcPr>
            <w:tcW w:w="1952" w:type="dxa"/>
            <w:vAlign w:val="center"/>
          </w:tcPr>
          <w:p>
            <w:pPr>
              <w:spacing w:line="360" w:lineRule="auto"/>
              <w:rPr>
                <w:rFonts w:ascii="仿宋" w:hAnsi="仿宋" w:eastAsia="仿宋" w:cs="仿宋"/>
                <w:snapToGrid w:val="0"/>
                <w:kern w:val="0"/>
                <w:sz w:val="24"/>
                <w:highlight w:val="none"/>
              </w:rPr>
            </w:pPr>
            <w:r>
              <w:rPr>
                <w:rFonts w:hint="eastAsia" w:ascii="仿宋" w:hAnsi="仿宋" w:eastAsia="仿宋"/>
                <w:sz w:val="24"/>
                <w:highlight w:val="none"/>
              </w:rPr>
              <w:t>投诉</w:t>
            </w:r>
          </w:p>
        </w:tc>
        <w:tc>
          <w:tcPr>
            <w:tcW w:w="6670" w:type="dxa"/>
            <w:vAlign w:val="center"/>
          </w:tcPr>
          <w:p>
            <w:pPr>
              <w:spacing w:line="360" w:lineRule="auto"/>
              <w:rPr>
                <w:rFonts w:ascii="仿宋" w:hAnsi="仿宋" w:eastAsia="仿宋" w:cs="仿宋"/>
                <w:snapToGrid w:val="0"/>
                <w:kern w:val="0"/>
                <w:sz w:val="24"/>
                <w:highlight w:val="none"/>
              </w:rPr>
            </w:pPr>
            <w:r>
              <w:rPr>
                <w:rFonts w:hint="eastAsia" w:ascii="仿宋" w:hAnsi="仿宋" w:eastAsia="仿宋"/>
                <w:sz w:val="24"/>
                <w:highlight w:val="none"/>
              </w:rPr>
              <w:t>质疑供应商对采购人、采购代理机构的答复不满意或者采购人、采购代理机构未在规定的时间内作出答复的，可以在答复期满后十五个工作日内向单位采购监督部门投诉。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8" w:hRule="atLeast"/>
          <w:jc w:val="center"/>
        </w:trPr>
        <w:tc>
          <w:tcPr>
            <w:tcW w:w="781" w:type="dxa"/>
            <w:vAlign w:val="center"/>
          </w:tcPr>
          <w:p>
            <w:pPr>
              <w:adjustRightInd w:val="0"/>
              <w:snapToGrid w:val="0"/>
              <w:spacing w:line="360" w:lineRule="auto"/>
              <w:jc w:val="center"/>
              <w:rPr>
                <w:rFonts w:hint="default" w:ascii="仿宋" w:hAnsi="仿宋" w:eastAsia="仿宋" w:cs="仿宋"/>
                <w:snapToGrid w:val="0"/>
                <w:kern w:val="0"/>
                <w:sz w:val="24"/>
                <w:highlight w:val="none"/>
                <w:lang w:val="en-US" w:eastAsia="zh-CN"/>
              </w:rPr>
            </w:pPr>
            <w:r>
              <w:rPr>
                <w:rFonts w:hint="eastAsia" w:ascii="仿宋" w:hAnsi="仿宋" w:eastAsia="仿宋" w:cs="仿宋"/>
                <w:snapToGrid w:val="0"/>
                <w:kern w:val="0"/>
                <w:sz w:val="24"/>
                <w:highlight w:val="none"/>
                <w:lang w:val="en-US" w:eastAsia="zh-CN"/>
              </w:rPr>
              <w:t>19</w:t>
            </w:r>
          </w:p>
        </w:tc>
        <w:tc>
          <w:tcPr>
            <w:tcW w:w="8622" w:type="dxa"/>
            <w:gridSpan w:val="2"/>
            <w:vAlign w:val="center"/>
          </w:tcPr>
          <w:p>
            <w:pPr>
              <w:pStyle w:val="21"/>
              <w:spacing w:line="360" w:lineRule="auto"/>
              <w:ind w:left="0" w:rightChars="0"/>
              <w:rPr>
                <w:rFonts w:hint="default" w:ascii="仿宋" w:hAnsi="仿宋" w:eastAsia="仿宋" w:cs="仿宋"/>
                <w:snapToGrid w:val="0"/>
                <w:kern w:val="0"/>
                <w:sz w:val="24"/>
                <w:szCs w:val="24"/>
                <w:highlight w:val="none"/>
              </w:rPr>
            </w:pPr>
            <w:r>
              <w:rPr>
                <w:rFonts w:ascii="仿宋" w:hAnsi="仿宋" w:eastAsia="仿宋" w:cs="宋体"/>
                <w:snapToGrid w:val="0"/>
                <w:kern w:val="0"/>
                <w:sz w:val="24"/>
                <w:szCs w:val="24"/>
                <w:highlight w:val="none"/>
              </w:rPr>
              <w:t>现场讲解：本项目不设现场讲解环节。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84" w:hRule="atLeast"/>
          <w:jc w:val="center"/>
        </w:trPr>
        <w:tc>
          <w:tcPr>
            <w:tcW w:w="781" w:type="dxa"/>
            <w:vAlign w:val="center"/>
          </w:tcPr>
          <w:p>
            <w:pPr>
              <w:adjustRightInd w:val="0"/>
              <w:snapToGrid w:val="0"/>
              <w:spacing w:line="360" w:lineRule="auto"/>
              <w:jc w:val="center"/>
              <w:rPr>
                <w:rFonts w:hint="default" w:ascii="仿宋" w:hAnsi="仿宋" w:eastAsia="仿宋" w:cs="仿宋"/>
                <w:snapToGrid w:val="0"/>
                <w:kern w:val="0"/>
                <w:sz w:val="24"/>
                <w:highlight w:val="none"/>
                <w:lang w:val="en-US" w:eastAsia="zh-CN"/>
              </w:rPr>
            </w:pPr>
            <w:r>
              <w:rPr>
                <w:rFonts w:hint="eastAsia" w:ascii="仿宋" w:hAnsi="仿宋" w:eastAsia="仿宋" w:cs="仿宋"/>
                <w:snapToGrid w:val="0"/>
                <w:kern w:val="0"/>
                <w:sz w:val="24"/>
                <w:highlight w:val="none"/>
                <w:lang w:val="en-US" w:eastAsia="zh-CN"/>
              </w:rPr>
              <w:t>20</w:t>
            </w:r>
          </w:p>
        </w:tc>
        <w:tc>
          <w:tcPr>
            <w:tcW w:w="8622" w:type="dxa"/>
            <w:gridSpan w:val="2"/>
            <w:vAlign w:val="center"/>
          </w:tcPr>
          <w:p>
            <w:pPr>
              <w:pStyle w:val="21"/>
              <w:spacing w:line="360" w:lineRule="auto"/>
              <w:ind w:left="0" w:rightChars="0"/>
              <w:rPr>
                <w:rFonts w:hint="default" w:ascii="仿宋" w:hAnsi="仿宋" w:eastAsia="仿宋" w:cs="仿宋"/>
                <w:snapToGrid w:val="0"/>
                <w:kern w:val="0"/>
                <w:sz w:val="24"/>
                <w:szCs w:val="24"/>
                <w:highlight w:val="none"/>
              </w:rPr>
            </w:pPr>
            <w:r>
              <w:rPr>
                <w:rFonts w:ascii="仿宋" w:hAnsi="仿宋" w:eastAsia="仿宋" w:cs="宋体"/>
                <w:snapToGrid w:val="0"/>
                <w:kern w:val="0"/>
                <w:sz w:val="24"/>
                <w:szCs w:val="24"/>
                <w:highlight w:val="none"/>
              </w:rPr>
              <w:t>公告发布媒体：本项目招标公告及结果公告发布于</w:t>
            </w:r>
            <w:r>
              <w:rPr>
                <w:rFonts w:ascii="仿宋" w:hAnsi="仿宋" w:eastAsia="仿宋" w:cs="宋体"/>
                <w:bCs/>
                <w:sz w:val="24"/>
                <w:highlight w:val="none"/>
              </w:rPr>
              <w:t>浙江政府采购网（http://zfcg.czt.zj.gov.cn）；</w:t>
            </w:r>
            <w:r>
              <w:rPr>
                <w:rFonts w:ascii="仿宋" w:hAnsi="仿宋" w:eastAsia="仿宋" w:cs="宋体"/>
                <w:snapToGrid w:val="0"/>
                <w:kern w:val="0"/>
                <w:sz w:val="24"/>
                <w:szCs w:val="24"/>
                <w:highlight w:val="none"/>
              </w:rPr>
              <w:t>结果公告发出后，中标供应商可自行前往或联系采购代理机构经办人领取中标（</w:t>
            </w:r>
            <w:r>
              <w:rPr>
                <w:rFonts w:hint="eastAsia" w:ascii="仿宋" w:hAnsi="仿宋" w:eastAsia="仿宋" w:cs="宋体"/>
                <w:snapToGrid w:val="0"/>
                <w:kern w:val="0"/>
                <w:sz w:val="24"/>
                <w:szCs w:val="24"/>
                <w:highlight w:val="none"/>
                <w:lang w:val="en-US" w:eastAsia="zh-CN"/>
              </w:rPr>
              <w:t>成交</w:t>
            </w:r>
            <w:r>
              <w:rPr>
                <w:rFonts w:ascii="仿宋" w:hAnsi="仿宋" w:eastAsia="仿宋" w:cs="宋体"/>
                <w:snapToGrid w:val="0"/>
                <w:kern w:val="0"/>
                <w:sz w:val="24"/>
                <w:szCs w:val="24"/>
                <w:highlight w:val="none"/>
              </w:rPr>
              <w:t>）通知书。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3" w:hRule="atLeast"/>
          <w:jc w:val="center"/>
        </w:trPr>
        <w:tc>
          <w:tcPr>
            <w:tcW w:w="781" w:type="dxa"/>
            <w:vMerge w:val="restart"/>
            <w:vAlign w:val="center"/>
          </w:tcPr>
          <w:p>
            <w:pPr>
              <w:adjustRightInd w:val="0"/>
              <w:snapToGrid w:val="0"/>
              <w:spacing w:line="360" w:lineRule="auto"/>
              <w:jc w:val="center"/>
              <w:rPr>
                <w:rFonts w:hint="default" w:ascii="仿宋" w:hAnsi="仿宋" w:eastAsia="仿宋" w:cs="仿宋"/>
                <w:snapToGrid w:val="0"/>
                <w:kern w:val="0"/>
                <w:sz w:val="24"/>
                <w:highlight w:val="none"/>
                <w:lang w:val="en-US" w:eastAsia="zh-CN"/>
              </w:rPr>
            </w:pPr>
            <w:r>
              <w:rPr>
                <w:rFonts w:hint="eastAsia" w:ascii="仿宋" w:hAnsi="仿宋" w:eastAsia="仿宋" w:cs="宋体"/>
                <w:snapToGrid w:val="0"/>
                <w:kern w:val="0"/>
                <w:sz w:val="24"/>
                <w:highlight w:val="none"/>
                <w:lang w:val="en-US" w:eastAsia="zh-CN"/>
              </w:rPr>
              <w:t>21</w:t>
            </w:r>
          </w:p>
        </w:tc>
        <w:tc>
          <w:tcPr>
            <w:tcW w:w="1952" w:type="dxa"/>
            <w:vMerge w:val="restart"/>
            <w:vAlign w:val="center"/>
          </w:tcPr>
          <w:p>
            <w:pPr>
              <w:adjustRightInd w:val="0"/>
              <w:snapToGrid w:val="0"/>
              <w:spacing w:line="360" w:lineRule="auto"/>
              <w:rPr>
                <w:rFonts w:ascii="仿宋" w:hAnsi="仿宋" w:eastAsia="仿宋" w:cs="仿宋"/>
                <w:b/>
                <w:snapToGrid w:val="0"/>
                <w:kern w:val="0"/>
                <w:sz w:val="24"/>
                <w:highlight w:val="none"/>
              </w:rPr>
            </w:pPr>
            <w:r>
              <w:rPr>
                <w:rFonts w:hint="eastAsia" w:ascii="仿宋" w:hAnsi="仿宋" w:eastAsia="仿宋" w:cs="宋体"/>
                <w:b/>
                <w:snapToGrid w:val="0"/>
                <w:kern w:val="0"/>
                <w:sz w:val="24"/>
                <w:highlight w:val="none"/>
              </w:rPr>
              <w:t>企业信用查询</w:t>
            </w:r>
          </w:p>
        </w:tc>
        <w:tc>
          <w:tcPr>
            <w:tcW w:w="6670" w:type="dxa"/>
            <w:vAlign w:val="center"/>
          </w:tcPr>
          <w:p>
            <w:pPr>
              <w:widowControl/>
              <w:snapToGrid w:val="0"/>
              <w:spacing w:line="360" w:lineRule="auto"/>
              <w:jc w:val="left"/>
              <w:rPr>
                <w:rFonts w:ascii="仿宋" w:hAnsi="仿宋" w:eastAsia="仿宋" w:cs="仿宋"/>
                <w:snapToGrid w:val="0"/>
                <w:kern w:val="0"/>
                <w:sz w:val="24"/>
                <w:highlight w:val="none"/>
              </w:rPr>
            </w:pPr>
            <w:r>
              <w:rPr>
                <w:rFonts w:hint="eastAsia" w:ascii="仿宋" w:hAnsi="仿宋" w:eastAsia="仿宋" w:cs="仿宋"/>
                <w:b/>
                <w:sz w:val="24"/>
                <w:highlight w:val="none"/>
              </w:rPr>
              <w:t>信用信息查询渠道及截止时间：</w:t>
            </w:r>
            <w:r>
              <w:rPr>
                <w:rFonts w:hint="eastAsia" w:ascii="仿宋" w:hAnsi="仿宋" w:eastAsia="仿宋" w:cs="仿宋"/>
                <w:sz w:val="24"/>
                <w:highlight w:val="none"/>
              </w:rPr>
              <w:t>项目评审组织人员将通过“信用中国”网站(www.creditchina.gov.cn)、中国政府采购网(www.ccgp.gov.cn)渠道查询投标人</w:t>
            </w:r>
            <w:r>
              <w:rPr>
                <w:rFonts w:hint="eastAsia" w:ascii="仿宋" w:hAnsi="仿宋" w:eastAsia="仿宋" w:cs="仿宋"/>
                <w:b/>
                <w:sz w:val="24"/>
                <w:highlight w:val="none"/>
              </w:rPr>
              <w:t>投标截止时间前</w:t>
            </w:r>
            <w:r>
              <w:rPr>
                <w:rFonts w:hint="eastAsia" w:ascii="仿宋" w:hAnsi="仿宋" w:eastAsia="仿宋" w:cs="仿宋"/>
                <w:sz w:val="24"/>
                <w:highlight w:val="none"/>
              </w:rPr>
              <w:t>的信用记录。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8" w:hRule="atLeast"/>
          <w:jc w:val="center"/>
        </w:trPr>
        <w:tc>
          <w:tcPr>
            <w:tcW w:w="781" w:type="dxa"/>
            <w:vMerge w:val="continue"/>
            <w:vAlign w:val="center"/>
          </w:tcPr>
          <w:p>
            <w:pPr>
              <w:adjustRightInd w:val="0"/>
              <w:snapToGrid w:val="0"/>
              <w:spacing w:line="360" w:lineRule="auto"/>
              <w:jc w:val="center"/>
              <w:rPr>
                <w:rFonts w:ascii="仿宋" w:hAnsi="仿宋" w:eastAsia="仿宋" w:cs="宋体"/>
                <w:snapToGrid w:val="0"/>
                <w:kern w:val="0"/>
                <w:sz w:val="24"/>
                <w:highlight w:val="none"/>
              </w:rPr>
            </w:pPr>
          </w:p>
        </w:tc>
        <w:tc>
          <w:tcPr>
            <w:tcW w:w="1952" w:type="dxa"/>
            <w:vMerge w:val="continue"/>
            <w:vAlign w:val="center"/>
          </w:tcPr>
          <w:p>
            <w:pPr>
              <w:adjustRightInd w:val="0"/>
              <w:snapToGrid w:val="0"/>
              <w:spacing w:line="360" w:lineRule="auto"/>
              <w:rPr>
                <w:rFonts w:ascii="仿宋" w:hAnsi="仿宋" w:eastAsia="仿宋" w:cs="宋体"/>
                <w:b/>
                <w:snapToGrid w:val="0"/>
                <w:kern w:val="0"/>
                <w:sz w:val="24"/>
                <w:highlight w:val="none"/>
              </w:rPr>
            </w:pPr>
          </w:p>
        </w:tc>
        <w:tc>
          <w:tcPr>
            <w:tcW w:w="6670" w:type="dxa"/>
            <w:vAlign w:val="center"/>
          </w:tcPr>
          <w:p>
            <w:pPr>
              <w:widowControl/>
              <w:snapToGrid w:val="0"/>
              <w:spacing w:line="360" w:lineRule="auto"/>
              <w:jc w:val="left"/>
              <w:rPr>
                <w:rFonts w:ascii="仿宋" w:hAnsi="仿宋" w:eastAsia="仿宋" w:cs="仿宋"/>
                <w:b/>
                <w:sz w:val="24"/>
                <w:highlight w:val="none"/>
              </w:rPr>
            </w:pPr>
            <w:r>
              <w:rPr>
                <w:rFonts w:hint="eastAsia" w:ascii="仿宋" w:hAnsi="仿宋" w:eastAsia="仿宋" w:cs="仿宋"/>
                <w:b/>
                <w:sz w:val="24"/>
                <w:highlight w:val="none"/>
              </w:rPr>
              <w:t>信用信息查询记录和证据留存的具体方式：</w:t>
            </w:r>
            <w:r>
              <w:rPr>
                <w:rFonts w:hint="eastAsia" w:ascii="仿宋" w:hAnsi="仿宋" w:eastAsia="仿宋" w:cs="仿宋"/>
                <w:sz w:val="24"/>
                <w:highlight w:val="none"/>
              </w:rPr>
              <w:t>项目评审组织人员现场查询投标人的信用记录，查询结果经确认后与采购文件一起存档。</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8" w:hRule="atLeast"/>
          <w:jc w:val="center"/>
        </w:trPr>
        <w:tc>
          <w:tcPr>
            <w:tcW w:w="781" w:type="dxa"/>
            <w:vMerge w:val="continue"/>
            <w:vAlign w:val="center"/>
          </w:tcPr>
          <w:p>
            <w:pPr>
              <w:adjustRightInd w:val="0"/>
              <w:snapToGrid w:val="0"/>
              <w:spacing w:line="360" w:lineRule="auto"/>
              <w:jc w:val="center"/>
              <w:rPr>
                <w:rFonts w:ascii="仿宋" w:hAnsi="仿宋" w:eastAsia="仿宋" w:cs="宋体"/>
                <w:snapToGrid w:val="0"/>
                <w:kern w:val="0"/>
                <w:sz w:val="24"/>
                <w:highlight w:val="none"/>
              </w:rPr>
            </w:pPr>
          </w:p>
        </w:tc>
        <w:tc>
          <w:tcPr>
            <w:tcW w:w="1952" w:type="dxa"/>
            <w:vMerge w:val="continue"/>
            <w:vAlign w:val="center"/>
          </w:tcPr>
          <w:p>
            <w:pPr>
              <w:adjustRightInd w:val="0"/>
              <w:snapToGrid w:val="0"/>
              <w:spacing w:line="360" w:lineRule="auto"/>
              <w:rPr>
                <w:rFonts w:ascii="仿宋" w:hAnsi="仿宋" w:eastAsia="仿宋" w:cs="宋体"/>
                <w:b/>
                <w:snapToGrid w:val="0"/>
                <w:kern w:val="0"/>
                <w:sz w:val="24"/>
                <w:highlight w:val="none"/>
              </w:rPr>
            </w:pPr>
          </w:p>
        </w:tc>
        <w:tc>
          <w:tcPr>
            <w:tcW w:w="6670" w:type="dxa"/>
            <w:vAlign w:val="center"/>
          </w:tcPr>
          <w:p>
            <w:pPr>
              <w:widowControl/>
              <w:snapToGrid w:val="0"/>
              <w:spacing w:line="360" w:lineRule="auto"/>
              <w:jc w:val="left"/>
              <w:rPr>
                <w:rFonts w:ascii="仿宋" w:hAnsi="仿宋" w:eastAsia="仿宋" w:cs="仿宋"/>
                <w:b/>
                <w:sz w:val="24"/>
                <w:highlight w:val="none"/>
              </w:rPr>
            </w:pPr>
            <w:r>
              <w:rPr>
                <w:rFonts w:hint="eastAsia" w:ascii="仿宋" w:hAnsi="仿宋" w:eastAsia="仿宋" w:cs="仿宋"/>
                <w:b/>
                <w:sz w:val="24"/>
                <w:highlight w:val="none"/>
              </w:rPr>
              <w:t>信用信息的使用规则：</w:t>
            </w:r>
            <w:r>
              <w:rPr>
                <w:rFonts w:hint="eastAsia" w:ascii="仿宋" w:hAnsi="仿宋" w:eastAsia="仿宋" w:cs="仿宋"/>
                <w:sz w:val="24"/>
                <w:highlight w:val="none"/>
              </w:rPr>
              <w:t>经查询近三年内列入失信被执行人名单、重大税收违法案件当事人名单、政府采购严重违法失信行为记录名单的投标人的投标文件将被拒绝。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781" w:type="dxa"/>
            <w:vAlign w:val="center"/>
          </w:tcPr>
          <w:p>
            <w:pPr>
              <w:adjustRightInd w:val="0"/>
              <w:snapToGrid w:val="0"/>
              <w:spacing w:line="360" w:lineRule="auto"/>
              <w:jc w:val="center"/>
              <w:rPr>
                <w:rFonts w:hint="default" w:ascii="仿宋" w:hAnsi="仿宋" w:eastAsia="仿宋" w:cs="宋体"/>
                <w:snapToGrid w:val="0"/>
                <w:kern w:val="0"/>
                <w:sz w:val="24"/>
                <w:highlight w:val="none"/>
                <w:lang w:val="en-US" w:eastAsia="zh-CN"/>
              </w:rPr>
            </w:pPr>
            <w:r>
              <w:rPr>
                <w:rFonts w:hint="eastAsia" w:ascii="仿宋" w:hAnsi="仿宋" w:eastAsia="仿宋" w:cs="宋体"/>
                <w:snapToGrid w:val="0"/>
                <w:kern w:val="0"/>
                <w:sz w:val="24"/>
                <w:highlight w:val="none"/>
                <w:lang w:val="en-US" w:eastAsia="zh-CN"/>
              </w:rPr>
              <w:t>22</w:t>
            </w:r>
          </w:p>
        </w:tc>
        <w:tc>
          <w:tcPr>
            <w:tcW w:w="1952" w:type="dxa"/>
            <w:vAlign w:val="center"/>
          </w:tcPr>
          <w:p>
            <w:pPr>
              <w:spacing w:line="360" w:lineRule="auto"/>
              <w:rPr>
                <w:rFonts w:ascii="仿宋" w:hAnsi="仿宋" w:eastAsia="仿宋" w:cs="仿宋"/>
                <w:b/>
                <w:sz w:val="24"/>
                <w:highlight w:val="none"/>
              </w:rPr>
            </w:pPr>
            <w:r>
              <w:rPr>
                <w:rFonts w:hint="eastAsia" w:ascii="仿宋" w:hAnsi="仿宋" w:eastAsia="仿宋" w:cs="仿宋"/>
                <w:b/>
                <w:kern w:val="10"/>
                <w:sz w:val="24"/>
                <w:highlight w:val="none"/>
              </w:rPr>
              <w:t>招标代理服务费</w:t>
            </w:r>
          </w:p>
        </w:tc>
        <w:tc>
          <w:tcPr>
            <w:tcW w:w="6670" w:type="dxa"/>
            <w:vAlign w:val="center"/>
          </w:tcPr>
          <w:p>
            <w:pPr>
              <w:pStyle w:val="5"/>
              <w:spacing w:line="360" w:lineRule="auto"/>
              <w:ind w:firstLine="0"/>
              <w:rPr>
                <w:rFonts w:ascii="仿宋" w:hAnsi="仿宋" w:eastAsia="仿宋" w:cs="仿宋"/>
                <w:bCs/>
                <w:sz w:val="24"/>
                <w:highlight w:val="none"/>
              </w:rPr>
            </w:pPr>
            <w:r>
              <w:rPr>
                <w:rFonts w:hint="eastAsia" w:ascii="仿宋" w:hAnsi="仿宋" w:eastAsia="仿宋" w:cs="仿宋"/>
                <w:sz w:val="24"/>
                <w:highlight w:val="none"/>
              </w:rPr>
              <w:t>（</w:t>
            </w:r>
            <w:r>
              <w:rPr>
                <w:rFonts w:hint="eastAsia" w:ascii="仿宋" w:hAnsi="仿宋" w:eastAsia="仿宋" w:cs="仿宋"/>
                <w:bCs/>
                <w:sz w:val="24"/>
                <w:highlight w:val="none"/>
              </w:rPr>
              <w:t>1）付费单位：由中标单位支付；</w:t>
            </w:r>
          </w:p>
          <w:p>
            <w:pPr>
              <w:pStyle w:val="5"/>
              <w:spacing w:line="360" w:lineRule="auto"/>
              <w:ind w:firstLine="0"/>
              <w:rPr>
                <w:rFonts w:hint="eastAsia" w:ascii="仿宋" w:hAnsi="仿宋" w:eastAsia="仿宋" w:cs="仿宋"/>
                <w:bCs/>
                <w:sz w:val="24"/>
                <w:highlight w:val="none"/>
                <w:lang w:eastAsia="zh-CN"/>
              </w:rPr>
            </w:pPr>
            <w:r>
              <w:rPr>
                <w:rFonts w:hint="eastAsia" w:ascii="仿宋" w:hAnsi="仿宋" w:eastAsia="仿宋" w:cs="仿宋"/>
                <w:bCs/>
                <w:kern w:val="2"/>
                <w:sz w:val="24"/>
                <w:szCs w:val="24"/>
                <w:highlight w:val="none"/>
              </w:rPr>
              <w:t>（2）付费标准：</w:t>
            </w:r>
            <w:r>
              <w:rPr>
                <w:rFonts w:hint="eastAsia" w:ascii="仿宋" w:hAnsi="仿宋" w:eastAsia="仿宋" w:cs="仿宋"/>
                <w:bCs/>
                <w:sz w:val="24"/>
                <w:highlight w:val="none"/>
                <w:lang w:val="zh-CN"/>
              </w:rPr>
              <w:t>按照差额定率累进计费方式计算，标准如下</w:t>
            </w:r>
            <w:r>
              <w:rPr>
                <w:rFonts w:hint="eastAsia" w:ascii="仿宋" w:hAnsi="仿宋" w:eastAsia="仿宋" w:cs="仿宋"/>
                <w:bCs/>
                <w:sz w:val="24"/>
                <w:highlight w:val="none"/>
                <w:lang w:eastAsia="zh-CN"/>
              </w:rPr>
              <w:t>：</w:t>
            </w:r>
          </w:p>
          <w:tbl>
            <w:tblPr>
              <w:tblStyle w:val="48"/>
              <w:tblW w:w="4950" w:type="pct"/>
              <w:jc w:val="center"/>
              <w:tblCellSpacing w:w="0" w:type="dxa"/>
              <w:tblBorders>
                <w:top w:val="none" w:color="auto" w:sz="0" w:space="0"/>
                <w:left w:val="none" w:color="auto" w:sz="0" w:space="0"/>
                <w:bottom w:val="none" w:color="auto" w:sz="0" w:space="0"/>
                <w:right w:val="none" w:color="auto" w:sz="0" w:space="0"/>
                <w:insideH w:val="single" w:color="000000" w:sz="2" w:space="0"/>
                <w:insideV w:val="single" w:color="000000" w:sz="2" w:space="0"/>
              </w:tblBorders>
              <w:shd w:val="clear" w:color="auto" w:fill="auto"/>
              <w:tblLayout w:type="fixed"/>
              <w:tblCellMar>
                <w:top w:w="0" w:type="dxa"/>
                <w:left w:w="0" w:type="dxa"/>
                <w:bottom w:w="0" w:type="dxa"/>
                <w:right w:w="0" w:type="dxa"/>
              </w:tblCellMar>
            </w:tblPr>
            <w:tblGrid>
              <w:gridCol w:w="2847"/>
              <w:gridCol w:w="1238"/>
              <w:gridCol w:w="1120"/>
              <w:gridCol w:w="1184"/>
            </w:tblGrid>
            <w:tr>
              <w:tblPrEx>
                <w:tblBorders>
                  <w:top w:val="none" w:color="auto" w:sz="0" w:space="0"/>
                  <w:left w:val="none" w:color="auto" w:sz="0" w:space="0"/>
                  <w:bottom w:val="none" w:color="auto" w:sz="0" w:space="0"/>
                  <w:right w:val="none" w:color="auto" w:sz="0"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01" w:hRule="atLeast"/>
                <w:tblCellSpacing w:w="0" w:type="dxa"/>
                <w:jc w:val="center"/>
              </w:trPr>
              <w:tc>
                <w:tcPr>
                  <w:tcW w:w="2843" w:type="dxa"/>
                  <w:tcBorders>
                    <w:tl2br w:val="nil"/>
                    <w:tr2bl w:val="nil"/>
                  </w:tcBorders>
                  <w:shd w:val="clear" w:color="auto" w:fill="auto"/>
                  <w:vAlign w:val="center"/>
                </w:tcPr>
                <w:p>
                  <w:pPr>
                    <w:keepNext w:val="0"/>
                    <w:keepLines w:val="0"/>
                    <w:widowControl/>
                    <w:suppressLineNumbers w:val="0"/>
                    <w:jc w:val="center"/>
                    <w:rPr>
                      <w:rFonts w:hint="eastAsia" w:ascii="仿宋" w:hAnsi="仿宋" w:eastAsia="仿宋" w:cs="仿宋"/>
                      <w:bCs/>
                      <w:kern w:val="0"/>
                      <w:sz w:val="24"/>
                      <w:szCs w:val="20"/>
                      <w:highlight w:val="none"/>
                      <w:lang w:val="en-US" w:eastAsia="zh-CN" w:bidi="ar-SA"/>
                    </w:rPr>
                  </w:pPr>
                  <w:r>
                    <w:rPr>
                      <w:rFonts w:hint="eastAsia" w:ascii="仿宋" w:hAnsi="仿宋" w:eastAsia="仿宋" w:cs="仿宋"/>
                      <w:bCs/>
                      <w:kern w:val="0"/>
                      <w:sz w:val="24"/>
                      <w:szCs w:val="20"/>
                      <w:highlight w:val="none"/>
                      <w:lang w:val="en-US" w:eastAsia="zh-CN" w:bidi="ar-SA"/>
                    </w:rPr>
                    <w:t>服务类型 中标金额（万元）</w:t>
                  </w:r>
                </w:p>
              </w:tc>
              <w:tc>
                <w:tcPr>
                  <w:tcW w:w="1236" w:type="dxa"/>
                  <w:tcBorders>
                    <w:tl2br w:val="nil"/>
                    <w:tr2bl w:val="nil"/>
                  </w:tcBorders>
                  <w:shd w:val="clear" w:color="auto" w:fill="auto"/>
                  <w:vAlign w:val="center"/>
                </w:tcPr>
                <w:p>
                  <w:pPr>
                    <w:pStyle w:val="43"/>
                    <w:keepNext w:val="0"/>
                    <w:keepLines w:val="0"/>
                    <w:widowControl/>
                    <w:suppressLineNumbers w:val="0"/>
                    <w:jc w:val="center"/>
                    <w:rPr>
                      <w:rFonts w:hint="eastAsia" w:ascii="仿宋" w:hAnsi="仿宋" w:eastAsia="仿宋" w:cs="仿宋"/>
                      <w:bCs/>
                      <w:kern w:val="0"/>
                      <w:sz w:val="24"/>
                      <w:szCs w:val="20"/>
                      <w:highlight w:val="none"/>
                      <w:lang w:val="en-US" w:eastAsia="zh-CN" w:bidi="ar-SA"/>
                    </w:rPr>
                  </w:pPr>
                  <w:r>
                    <w:rPr>
                      <w:rFonts w:hint="eastAsia" w:ascii="仿宋" w:hAnsi="仿宋" w:eastAsia="仿宋" w:cs="仿宋"/>
                      <w:bCs/>
                      <w:kern w:val="0"/>
                      <w:sz w:val="24"/>
                      <w:szCs w:val="20"/>
                      <w:highlight w:val="none"/>
                      <w:lang w:val="en-US" w:eastAsia="zh-CN" w:bidi="ar-SA"/>
                    </w:rPr>
                    <w:t>货物招标</w:t>
                  </w:r>
                </w:p>
              </w:tc>
              <w:tc>
                <w:tcPr>
                  <w:tcW w:w="1119" w:type="dxa"/>
                  <w:tcBorders>
                    <w:tl2br w:val="nil"/>
                    <w:tr2bl w:val="nil"/>
                  </w:tcBorders>
                  <w:shd w:val="clear" w:color="auto" w:fill="auto"/>
                  <w:vAlign w:val="center"/>
                </w:tcPr>
                <w:p>
                  <w:pPr>
                    <w:keepNext w:val="0"/>
                    <w:keepLines w:val="0"/>
                    <w:widowControl/>
                    <w:suppressLineNumbers w:val="0"/>
                    <w:jc w:val="center"/>
                    <w:rPr>
                      <w:rFonts w:hint="eastAsia" w:ascii="仿宋" w:hAnsi="仿宋" w:eastAsia="仿宋" w:cs="仿宋"/>
                      <w:bCs/>
                      <w:kern w:val="0"/>
                      <w:sz w:val="24"/>
                      <w:szCs w:val="20"/>
                      <w:highlight w:val="none"/>
                      <w:lang w:val="en-US" w:eastAsia="zh-CN" w:bidi="ar-SA"/>
                    </w:rPr>
                  </w:pPr>
                  <w:r>
                    <w:rPr>
                      <w:rFonts w:hint="eastAsia" w:ascii="仿宋" w:hAnsi="仿宋" w:eastAsia="仿宋" w:cs="仿宋"/>
                      <w:bCs/>
                      <w:kern w:val="0"/>
                      <w:sz w:val="24"/>
                      <w:szCs w:val="20"/>
                      <w:highlight w:val="none"/>
                      <w:lang w:val="en-US" w:eastAsia="zh-CN" w:bidi="ar-SA"/>
                    </w:rPr>
                    <w:t>服务招标</w:t>
                  </w:r>
                </w:p>
              </w:tc>
              <w:tc>
                <w:tcPr>
                  <w:tcW w:w="1182" w:type="dxa"/>
                  <w:tcBorders>
                    <w:tl2br w:val="nil"/>
                    <w:tr2bl w:val="nil"/>
                  </w:tcBorders>
                  <w:shd w:val="clear" w:color="auto" w:fill="auto"/>
                  <w:vAlign w:val="center"/>
                </w:tcPr>
                <w:p>
                  <w:pPr>
                    <w:keepNext w:val="0"/>
                    <w:keepLines w:val="0"/>
                    <w:widowControl/>
                    <w:suppressLineNumbers w:val="0"/>
                    <w:jc w:val="center"/>
                    <w:rPr>
                      <w:rFonts w:hint="eastAsia" w:ascii="仿宋" w:hAnsi="仿宋" w:eastAsia="仿宋" w:cs="仿宋"/>
                      <w:bCs/>
                      <w:kern w:val="0"/>
                      <w:sz w:val="24"/>
                      <w:szCs w:val="20"/>
                      <w:highlight w:val="none"/>
                      <w:lang w:val="en-US" w:eastAsia="zh-CN" w:bidi="ar-SA"/>
                    </w:rPr>
                  </w:pPr>
                  <w:r>
                    <w:rPr>
                      <w:rFonts w:hint="eastAsia" w:ascii="仿宋" w:hAnsi="仿宋" w:eastAsia="仿宋" w:cs="仿宋"/>
                      <w:bCs/>
                      <w:kern w:val="0"/>
                      <w:sz w:val="24"/>
                      <w:szCs w:val="20"/>
                      <w:highlight w:val="none"/>
                      <w:lang w:val="en-US" w:eastAsia="zh-CN" w:bidi="ar-SA"/>
                    </w:rPr>
                    <w:t>工程招标</w:t>
                  </w:r>
                </w:p>
              </w:tc>
            </w:tr>
            <w:tr>
              <w:tblPrEx>
                <w:tblBorders>
                  <w:top w:val="none" w:color="auto" w:sz="0" w:space="0"/>
                  <w:left w:val="none" w:color="auto" w:sz="0" w:space="0"/>
                  <w:bottom w:val="none" w:color="auto" w:sz="0"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11" w:hRule="atLeast"/>
                <w:tblCellSpacing w:w="0" w:type="dxa"/>
                <w:jc w:val="center"/>
              </w:trPr>
              <w:tc>
                <w:tcPr>
                  <w:tcW w:w="2843" w:type="dxa"/>
                  <w:tcBorders>
                    <w:tl2br w:val="nil"/>
                    <w:tr2bl w:val="nil"/>
                  </w:tcBorders>
                  <w:shd w:val="clear" w:color="auto" w:fill="auto"/>
                  <w:vAlign w:val="center"/>
                </w:tcPr>
                <w:p>
                  <w:pPr>
                    <w:keepNext w:val="0"/>
                    <w:keepLines w:val="0"/>
                    <w:widowControl/>
                    <w:suppressLineNumbers w:val="0"/>
                    <w:jc w:val="center"/>
                    <w:rPr>
                      <w:rFonts w:hint="eastAsia" w:ascii="仿宋" w:hAnsi="仿宋" w:eastAsia="仿宋" w:cs="仿宋"/>
                      <w:bCs/>
                      <w:kern w:val="0"/>
                      <w:sz w:val="24"/>
                      <w:szCs w:val="20"/>
                      <w:highlight w:val="none"/>
                      <w:lang w:val="en-US" w:eastAsia="zh-CN" w:bidi="ar-SA"/>
                    </w:rPr>
                  </w:pPr>
                  <w:r>
                    <w:rPr>
                      <w:rFonts w:hint="eastAsia" w:ascii="仿宋" w:hAnsi="仿宋" w:eastAsia="仿宋" w:cs="仿宋"/>
                      <w:bCs/>
                      <w:kern w:val="0"/>
                      <w:sz w:val="24"/>
                      <w:szCs w:val="20"/>
                      <w:highlight w:val="none"/>
                      <w:lang w:val="en-US" w:eastAsia="zh-CN" w:bidi="ar-SA"/>
                    </w:rPr>
                    <w:t>100以下</w:t>
                  </w:r>
                </w:p>
              </w:tc>
              <w:tc>
                <w:tcPr>
                  <w:tcW w:w="1236" w:type="dxa"/>
                  <w:tcBorders>
                    <w:tl2br w:val="nil"/>
                    <w:tr2bl w:val="nil"/>
                  </w:tcBorders>
                  <w:shd w:val="clear" w:color="auto" w:fill="auto"/>
                  <w:vAlign w:val="center"/>
                </w:tcPr>
                <w:p>
                  <w:pPr>
                    <w:keepNext w:val="0"/>
                    <w:keepLines w:val="0"/>
                    <w:widowControl/>
                    <w:suppressLineNumbers w:val="0"/>
                    <w:jc w:val="center"/>
                    <w:rPr>
                      <w:rFonts w:hint="eastAsia" w:ascii="仿宋" w:hAnsi="仿宋" w:eastAsia="仿宋" w:cs="仿宋"/>
                      <w:bCs/>
                      <w:kern w:val="0"/>
                      <w:sz w:val="24"/>
                      <w:szCs w:val="20"/>
                      <w:highlight w:val="none"/>
                      <w:lang w:val="en-US" w:eastAsia="zh-CN" w:bidi="ar-SA"/>
                    </w:rPr>
                  </w:pPr>
                  <w:r>
                    <w:rPr>
                      <w:rFonts w:hint="eastAsia" w:ascii="仿宋" w:hAnsi="仿宋" w:eastAsia="仿宋" w:cs="仿宋"/>
                      <w:bCs/>
                      <w:kern w:val="0"/>
                      <w:sz w:val="24"/>
                      <w:szCs w:val="20"/>
                      <w:highlight w:val="none"/>
                      <w:lang w:val="en-US" w:eastAsia="zh-CN" w:bidi="ar-SA"/>
                    </w:rPr>
                    <w:t>1.5％</w:t>
                  </w:r>
                </w:p>
              </w:tc>
              <w:tc>
                <w:tcPr>
                  <w:tcW w:w="1119" w:type="dxa"/>
                  <w:tcBorders>
                    <w:tl2br w:val="nil"/>
                    <w:tr2bl w:val="nil"/>
                  </w:tcBorders>
                  <w:shd w:val="clear" w:color="auto" w:fill="auto"/>
                  <w:vAlign w:val="center"/>
                </w:tcPr>
                <w:p>
                  <w:pPr>
                    <w:keepNext w:val="0"/>
                    <w:keepLines w:val="0"/>
                    <w:widowControl/>
                    <w:suppressLineNumbers w:val="0"/>
                    <w:jc w:val="center"/>
                    <w:rPr>
                      <w:rFonts w:hint="eastAsia" w:ascii="仿宋" w:hAnsi="仿宋" w:eastAsia="仿宋" w:cs="仿宋"/>
                      <w:bCs/>
                      <w:kern w:val="0"/>
                      <w:sz w:val="24"/>
                      <w:szCs w:val="20"/>
                      <w:highlight w:val="none"/>
                      <w:lang w:val="en-US" w:eastAsia="zh-CN" w:bidi="ar-SA"/>
                    </w:rPr>
                  </w:pPr>
                  <w:r>
                    <w:rPr>
                      <w:rFonts w:hint="eastAsia" w:ascii="仿宋" w:hAnsi="仿宋" w:eastAsia="仿宋" w:cs="仿宋"/>
                      <w:bCs/>
                      <w:kern w:val="0"/>
                      <w:sz w:val="24"/>
                      <w:szCs w:val="20"/>
                      <w:highlight w:val="none"/>
                      <w:lang w:val="en-US" w:eastAsia="zh-CN" w:bidi="ar-SA"/>
                    </w:rPr>
                    <w:t>1.5％</w:t>
                  </w:r>
                </w:p>
              </w:tc>
              <w:tc>
                <w:tcPr>
                  <w:tcW w:w="1182" w:type="dxa"/>
                  <w:tcBorders>
                    <w:tl2br w:val="nil"/>
                    <w:tr2bl w:val="nil"/>
                  </w:tcBorders>
                  <w:shd w:val="clear" w:color="auto" w:fill="auto"/>
                  <w:vAlign w:val="center"/>
                </w:tcPr>
                <w:p>
                  <w:pPr>
                    <w:keepNext w:val="0"/>
                    <w:keepLines w:val="0"/>
                    <w:widowControl/>
                    <w:suppressLineNumbers w:val="0"/>
                    <w:jc w:val="center"/>
                    <w:rPr>
                      <w:rFonts w:hint="eastAsia" w:ascii="仿宋" w:hAnsi="仿宋" w:eastAsia="仿宋" w:cs="仿宋"/>
                      <w:bCs/>
                      <w:kern w:val="0"/>
                      <w:sz w:val="24"/>
                      <w:szCs w:val="20"/>
                      <w:highlight w:val="none"/>
                      <w:lang w:val="en-US" w:eastAsia="zh-CN" w:bidi="ar-SA"/>
                    </w:rPr>
                  </w:pPr>
                  <w:r>
                    <w:rPr>
                      <w:rFonts w:hint="eastAsia" w:ascii="仿宋" w:hAnsi="仿宋" w:eastAsia="仿宋" w:cs="仿宋"/>
                      <w:bCs/>
                      <w:kern w:val="0"/>
                      <w:sz w:val="24"/>
                      <w:szCs w:val="20"/>
                      <w:highlight w:val="none"/>
                      <w:lang w:val="en-US" w:eastAsia="zh-CN" w:bidi="ar-SA"/>
                    </w:rPr>
                    <w:t>1.0％</w:t>
                  </w:r>
                </w:p>
              </w:tc>
            </w:tr>
            <w:tr>
              <w:tblPrEx>
                <w:tblBorders>
                  <w:top w:val="none" w:color="auto" w:sz="0" w:space="0"/>
                  <w:left w:val="none" w:color="auto" w:sz="0" w:space="0"/>
                  <w:bottom w:val="none" w:color="auto" w:sz="0"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11" w:hRule="atLeast"/>
                <w:tblCellSpacing w:w="0" w:type="dxa"/>
                <w:jc w:val="center"/>
              </w:trPr>
              <w:tc>
                <w:tcPr>
                  <w:tcW w:w="2843" w:type="dxa"/>
                  <w:tcBorders>
                    <w:tl2br w:val="nil"/>
                    <w:tr2bl w:val="nil"/>
                  </w:tcBorders>
                  <w:shd w:val="clear" w:color="auto" w:fill="auto"/>
                  <w:vAlign w:val="center"/>
                </w:tcPr>
                <w:p>
                  <w:pPr>
                    <w:keepNext w:val="0"/>
                    <w:keepLines w:val="0"/>
                    <w:widowControl/>
                    <w:suppressLineNumbers w:val="0"/>
                    <w:jc w:val="center"/>
                    <w:rPr>
                      <w:rFonts w:hint="eastAsia" w:ascii="仿宋" w:hAnsi="仿宋" w:eastAsia="仿宋" w:cs="仿宋"/>
                      <w:bCs/>
                      <w:kern w:val="0"/>
                      <w:sz w:val="24"/>
                      <w:szCs w:val="20"/>
                      <w:highlight w:val="none"/>
                      <w:lang w:val="en-US" w:eastAsia="zh-CN" w:bidi="ar-SA"/>
                    </w:rPr>
                  </w:pPr>
                  <w:r>
                    <w:rPr>
                      <w:rFonts w:hint="eastAsia" w:ascii="仿宋" w:hAnsi="仿宋" w:eastAsia="仿宋" w:cs="仿宋"/>
                      <w:bCs/>
                      <w:kern w:val="0"/>
                      <w:sz w:val="24"/>
                      <w:szCs w:val="20"/>
                      <w:highlight w:val="none"/>
                      <w:lang w:val="en-US" w:eastAsia="zh-CN" w:bidi="ar-SA"/>
                    </w:rPr>
                    <w:t>100—500</w:t>
                  </w:r>
                </w:p>
              </w:tc>
              <w:tc>
                <w:tcPr>
                  <w:tcW w:w="1236" w:type="dxa"/>
                  <w:tcBorders>
                    <w:tl2br w:val="nil"/>
                    <w:tr2bl w:val="nil"/>
                  </w:tcBorders>
                  <w:shd w:val="clear" w:color="auto" w:fill="auto"/>
                  <w:vAlign w:val="center"/>
                </w:tcPr>
                <w:p>
                  <w:pPr>
                    <w:keepNext w:val="0"/>
                    <w:keepLines w:val="0"/>
                    <w:widowControl/>
                    <w:suppressLineNumbers w:val="0"/>
                    <w:jc w:val="center"/>
                    <w:rPr>
                      <w:rFonts w:hint="eastAsia" w:ascii="仿宋" w:hAnsi="仿宋" w:eastAsia="仿宋" w:cs="仿宋"/>
                      <w:bCs/>
                      <w:kern w:val="0"/>
                      <w:sz w:val="24"/>
                      <w:szCs w:val="20"/>
                      <w:highlight w:val="none"/>
                      <w:lang w:val="en-US" w:eastAsia="zh-CN" w:bidi="ar-SA"/>
                    </w:rPr>
                  </w:pPr>
                  <w:r>
                    <w:rPr>
                      <w:rFonts w:hint="eastAsia" w:ascii="仿宋" w:hAnsi="仿宋" w:eastAsia="仿宋" w:cs="仿宋"/>
                      <w:bCs/>
                      <w:kern w:val="0"/>
                      <w:sz w:val="24"/>
                      <w:szCs w:val="20"/>
                      <w:highlight w:val="none"/>
                      <w:lang w:val="en-US" w:eastAsia="zh-CN" w:bidi="ar-SA"/>
                    </w:rPr>
                    <w:t>1.1％</w:t>
                  </w:r>
                </w:p>
              </w:tc>
              <w:tc>
                <w:tcPr>
                  <w:tcW w:w="1119" w:type="dxa"/>
                  <w:tcBorders>
                    <w:tl2br w:val="nil"/>
                    <w:tr2bl w:val="nil"/>
                  </w:tcBorders>
                  <w:shd w:val="clear" w:color="auto" w:fill="auto"/>
                  <w:vAlign w:val="center"/>
                </w:tcPr>
                <w:p>
                  <w:pPr>
                    <w:keepNext w:val="0"/>
                    <w:keepLines w:val="0"/>
                    <w:widowControl/>
                    <w:suppressLineNumbers w:val="0"/>
                    <w:jc w:val="center"/>
                    <w:rPr>
                      <w:rFonts w:hint="eastAsia" w:ascii="仿宋" w:hAnsi="仿宋" w:eastAsia="仿宋" w:cs="仿宋"/>
                      <w:bCs/>
                      <w:kern w:val="0"/>
                      <w:sz w:val="24"/>
                      <w:szCs w:val="20"/>
                      <w:highlight w:val="none"/>
                      <w:lang w:val="en-US" w:eastAsia="zh-CN" w:bidi="ar-SA"/>
                    </w:rPr>
                  </w:pPr>
                  <w:r>
                    <w:rPr>
                      <w:rFonts w:hint="eastAsia" w:ascii="仿宋" w:hAnsi="仿宋" w:eastAsia="仿宋" w:cs="仿宋"/>
                      <w:bCs/>
                      <w:kern w:val="0"/>
                      <w:sz w:val="24"/>
                      <w:szCs w:val="20"/>
                      <w:highlight w:val="none"/>
                      <w:lang w:val="en-US" w:eastAsia="zh-CN" w:bidi="ar-SA"/>
                    </w:rPr>
                    <w:t>0.8％</w:t>
                  </w:r>
                </w:p>
              </w:tc>
              <w:tc>
                <w:tcPr>
                  <w:tcW w:w="1182" w:type="dxa"/>
                  <w:tcBorders>
                    <w:tl2br w:val="nil"/>
                    <w:tr2bl w:val="nil"/>
                  </w:tcBorders>
                  <w:shd w:val="clear" w:color="auto" w:fill="auto"/>
                  <w:vAlign w:val="center"/>
                </w:tcPr>
                <w:p>
                  <w:pPr>
                    <w:keepNext w:val="0"/>
                    <w:keepLines w:val="0"/>
                    <w:widowControl/>
                    <w:suppressLineNumbers w:val="0"/>
                    <w:jc w:val="center"/>
                    <w:rPr>
                      <w:rFonts w:hint="eastAsia" w:ascii="仿宋" w:hAnsi="仿宋" w:eastAsia="仿宋" w:cs="仿宋"/>
                      <w:bCs/>
                      <w:kern w:val="0"/>
                      <w:sz w:val="24"/>
                      <w:szCs w:val="20"/>
                      <w:highlight w:val="none"/>
                      <w:lang w:val="en-US" w:eastAsia="zh-CN" w:bidi="ar-SA"/>
                    </w:rPr>
                  </w:pPr>
                  <w:r>
                    <w:rPr>
                      <w:rFonts w:hint="eastAsia" w:ascii="仿宋" w:hAnsi="仿宋" w:eastAsia="仿宋" w:cs="仿宋"/>
                      <w:bCs/>
                      <w:kern w:val="0"/>
                      <w:sz w:val="24"/>
                      <w:szCs w:val="20"/>
                      <w:highlight w:val="none"/>
                      <w:lang w:val="en-US" w:eastAsia="zh-CN" w:bidi="ar-SA"/>
                    </w:rPr>
                    <w:t>0.7％</w:t>
                  </w:r>
                </w:p>
              </w:tc>
            </w:tr>
            <w:tr>
              <w:tblPrEx>
                <w:tblBorders>
                  <w:top w:val="none" w:color="auto" w:sz="0" w:space="0"/>
                  <w:left w:val="none" w:color="auto" w:sz="0" w:space="0"/>
                  <w:bottom w:val="none" w:color="auto" w:sz="0"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04" w:hRule="atLeast"/>
                <w:tblCellSpacing w:w="0" w:type="dxa"/>
                <w:jc w:val="center"/>
              </w:trPr>
              <w:tc>
                <w:tcPr>
                  <w:tcW w:w="2843" w:type="dxa"/>
                  <w:tcBorders>
                    <w:tl2br w:val="nil"/>
                    <w:tr2bl w:val="nil"/>
                  </w:tcBorders>
                  <w:shd w:val="clear" w:color="auto" w:fill="auto"/>
                  <w:vAlign w:val="center"/>
                </w:tcPr>
                <w:p>
                  <w:pPr>
                    <w:keepNext w:val="0"/>
                    <w:keepLines w:val="0"/>
                    <w:widowControl/>
                    <w:suppressLineNumbers w:val="0"/>
                    <w:jc w:val="center"/>
                    <w:rPr>
                      <w:rFonts w:hint="eastAsia" w:ascii="仿宋" w:hAnsi="仿宋" w:eastAsia="仿宋" w:cs="仿宋"/>
                      <w:bCs/>
                      <w:kern w:val="0"/>
                      <w:sz w:val="24"/>
                      <w:szCs w:val="20"/>
                      <w:highlight w:val="none"/>
                      <w:lang w:val="en-US" w:eastAsia="zh-CN" w:bidi="ar-SA"/>
                    </w:rPr>
                  </w:pPr>
                  <w:r>
                    <w:rPr>
                      <w:rFonts w:hint="eastAsia" w:ascii="仿宋" w:hAnsi="仿宋" w:eastAsia="仿宋" w:cs="仿宋"/>
                      <w:bCs/>
                      <w:kern w:val="0"/>
                      <w:sz w:val="24"/>
                      <w:szCs w:val="20"/>
                      <w:highlight w:val="none"/>
                      <w:lang w:val="en-US" w:eastAsia="zh-CN" w:bidi="ar-SA"/>
                    </w:rPr>
                    <w:t>500—1000</w:t>
                  </w:r>
                </w:p>
              </w:tc>
              <w:tc>
                <w:tcPr>
                  <w:tcW w:w="1236" w:type="dxa"/>
                  <w:tcBorders>
                    <w:tl2br w:val="nil"/>
                    <w:tr2bl w:val="nil"/>
                  </w:tcBorders>
                  <w:shd w:val="clear" w:color="auto" w:fill="auto"/>
                  <w:vAlign w:val="center"/>
                </w:tcPr>
                <w:p>
                  <w:pPr>
                    <w:keepNext w:val="0"/>
                    <w:keepLines w:val="0"/>
                    <w:widowControl/>
                    <w:suppressLineNumbers w:val="0"/>
                    <w:jc w:val="center"/>
                    <w:rPr>
                      <w:rFonts w:hint="eastAsia" w:ascii="仿宋" w:hAnsi="仿宋" w:eastAsia="仿宋" w:cs="仿宋"/>
                      <w:bCs/>
                      <w:kern w:val="0"/>
                      <w:sz w:val="24"/>
                      <w:szCs w:val="20"/>
                      <w:highlight w:val="none"/>
                      <w:lang w:val="en-US" w:eastAsia="zh-CN" w:bidi="ar-SA"/>
                    </w:rPr>
                  </w:pPr>
                  <w:r>
                    <w:rPr>
                      <w:rFonts w:hint="eastAsia" w:ascii="仿宋" w:hAnsi="仿宋" w:eastAsia="仿宋" w:cs="仿宋"/>
                      <w:bCs/>
                      <w:kern w:val="0"/>
                      <w:sz w:val="24"/>
                      <w:szCs w:val="20"/>
                      <w:highlight w:val="none"/>
                      <w:lang w:val="en-US" w:eastAsia="zh-CN" w:bidi="ar-SA"/>
                    </w:rPr>
                    <w:t>0.8％</w:t>
                  </w:r>
                </w:p>
              </w:tc>
              <w:tc>
                <w:tcPr>
                  <w:tcW w:w="1119" w:type="dxa"/>
                  <w:tcBorders>
                    <w:tl2br w:val="nil"/>
                    <w:tr2bl w:val="nil"/>
                  </w:tcBorders>
                  <w:shd w:val="clear" w:color="auto" w:fill="auto"/>
                  <w:vAlign w:val="center"/>
                </w:tcPr>
                <w:p>
                  <w:pPr>
                    <w:keepNext w:val="0"/>
                    <w:keepLines w:val="0"/>
                    <w:widowControl/>
                    <w:suppressLineNumbers w:val="0"/>
                    <w:jc w:val="center"/>
                    <w:rPr>
                      <w:rFonts w:hint="eastAsia" w:ascii="仿宋" w:hAnsi="仿宋" w:eastAsia="仿宋" w:cs="仿宋"/>
                      <w:bCs/>
                      <w:kern w:val="0"/>
                      <w:sz w:val="24"/>
                      <w:szCs w:val="20"/>
                      <w:highlight w:val="none"/>
                      <w:lang w:val="en-US" w:eastAsia="zh-CN" w:bidi="ar-SA"/>
                    </w:rPr>
                  </w:pPr>
                  <w:r>
                    <w:rPr>
                      <w:rFonts w:hint="eastAsia" w:ascii="仿宋" w:hAnsi="仿宋" w:eastAsia="仿宋" w:cs="仿宋"/>
                      <w:bCs/>
                      <w:kern w:val="0"/>
                      <w:sz w:val="24"/>
                      <w:szCs w:val="20"/>
                      <w:highlight w:val="none"/>
                      <w:lang w:val="en-US" w:eastAsia="zh-CN" w:bidi="ar-SA"/>
                    </w:rPr>
                    <w:t>0.45％</w:t>
                  </w:r>
                </w:p>
              </w:tc>
              <w:tc>
                <w:tcPr>
                  <w:tcW w:w="1182" w:type="dxa"/>
                  <w:tcBorders>
                    <w:tl2br w:val="nil"/>
                    <w:tr2bl w:val="nil"/>
                  </w:tcBorders>
                  <w:shd w:val="clear" w:color="auto" w:fill="auto"/>
                  <w:vAlign w:val="center"/>
                </w:tcPr>
                <w:p>
                  <w:pPr>
                    <w:keepNext w:val="0"/>
                    <w:keepLines w:val="0"/>
                    <w:widowControl/>
                    <w:suppressLineNumbers w:val="0"/>
                    <w:jc w:val="center"/>
                    <w:rPr>
                      <w:rFonts w:hint="eastAsia" w:ascii="仿宋" w:hAnsi="仿宋" w:eastAsia="仿宋" w:cs="仿宋"/>
                      <w:bCs/>
                      <w:kern w:val="0"/>
                      <w:sz w:val="24"/>
                      <w:szCs w:val="20"/>
                      <w:highlight w:val="none"/>
                      <w:lang w:val="en-US" w:eastAsia="zh-CN" w:bidi="ar-SA"/>
                    </w:rPr>
                  </w:pPr>
                  <w:r>
                    <w:rPr>
                      <w:rFonts w:hint="eastAsia" w:ascii="仿宋" w:hAnsi="仿宋" w:eastAsia="仿宋" w:cs="仿宋"/>
                      <w:bCs/>
                      <w:kern w:val="0"/>
                      <w:sz w:val="24"/>
                      <w:szCs w:val="20"/>
                      <w:highlight w:val="none"/>
                      <w:lang w:val="en-US" w:eastAsia="zh-CN" w:bidi="ar-SA"/>
                    </w:rPr>
                    <w:t>0.55％</w:t>
                  </w:r>
                </w:p>
              </w:tc>
            </w:tr>
            <w:tr>
              <w:tblPrEx>
                <w:tblBorders>
                  <w:top w:val="none" w:color="auto" w:sz="0" w:space="0"/>
                  <w:left w:val="none" w:color="auto" w:sz="0" w:space="0"/>
                  <w:bottom w:val="none" w:color="auto" w:sz="0"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11" w:hRule="atLeast"/>
                <w:tblCellSpacing w:w="0" w:type="dxa"/>
                <w:jc w:val="center"/>
              </w:trPr>
              <w:tc>
                <w:tcPr>
                  <w:tcW w:w="2843" w:type="dxa"/>
                  <w:tcBorders>
                    <w:tl2br w:val="nil"/>
                    <w:tr2bl w:val="nil"/>
                  </w:tcBorders>
                  <w:shd w:val="clear" w:color="auto" w:fill="auto"/>
                  <w:vAlign w:val="center"/>
                </w:tcPr>
                <w:p>
                  <w:pPr>
                    <w:keepNext w:val="0"/>
                    <w:keepLines w:val="0"/>
                    <w:widowControl/>
                    <w:suppressLineNumbers w:val="0"/>
                    <w:jc w:val="center"/>
                    <w:rPr>
                      <w:rFonts w:hint="eastAsia" w:ascii="仿宋" w:hAnsi="仿宋" w:eastAsia="仿宋" w:cs="仿宋"/>
                      <w:bCs/>
                      <w:kern w:val="0"/>
                      <w:sz w:val="24"/>
                      <w:szCs w:val="20"/>
                      <w:highlight w:val="none"/>
                      <w:lang w:val="en-US" w:eastAsia="zh-CN" w:bidi="ar-SA"/>
                    </w:rPr>
                  </w:pPr>
                  <w:r>
                    <w:rPr>
                      <w:rFonts w:hint="eastAsia" w:ascii="仿宋" w:hAnsi="仿宋" w:eastAsia="仿宋" w:cs="仿宋"/>
                      <w:bCs/>
                      <w:kern w:val="0"/>
                      <w:sz w:val="24"/>
                      <w:szCs w:val="20"/>
                      <w:highlight w:val="none"/>
                      <w:lang w:val="en-US" w:eastAsia="zh-CN" w:bidi="ar-SA"/>
                    </w:rPr>
                    <w:t>1000—5000</w:t>
                  </w:r>
                </w:p>
              </w:tc>
              <w:tc>
                <w:tcPr>
                  <w:tcW w:w="1236" w:type="dxa"/>
                  <w:tcBorders>
                    <w:tl2br w:val="nil"/>
                    <w:tr2bl w:val="nil"/>
                  </w:tcBorders>
                  <w:shd w:val="clear" w:color="auto" w:fill="auto"/>
                  <w:vAlign w:val="center"/>
                </w:tcPr>
                <w:p>
                  <w:pPr>
                    <w:keepNext w:val="0"/>
                    <w:keepLines w:val="0"/>
                    <w:widowControl/>
                    <w:suppressLineNumbers w:val="0"/>
                    <w:jc w:val="center"/>
                    <w:rPr>
                      <w:rFonts w:hint="eastAsia" w:ascii="仿宋" w:hAnsi="仿宋" w:eastAsia="仿宋" w:cs="仿宋"/>
                      <w:bCs/>
                      <w:kern w:val="0"/>
                      <w:sz w:val="24"/>
                      <w:szCs w:val="20"/>
                      <w:highlight w:val="none"/>
                      <w:lang w:val="en-US" w:eastAsia="zh-CN" w:bidi="ar-SA"/>
                    </w:rPr>
                  </w:pPr>
                  <w:r>
                    <w:rPr>
                      <w:rFonts w:hint="eastAsia" w:ascii="仿宋" w:hAnsi="仿宋" w:eastAsia="仿宋" w:cs="仿宋"/>
                      <w:bCs/>
                      <w:kern w:val="0"/>
                      <w:sz w:val="24"/>
                      <w:szCs w:val="20"/>
                      <w:highlight w:val="none"/>
                      <w:lang w:val="en-US" w:eastAsia="zh-CN" w:bidi="ar-SA"/>
                    </w:rPr>
                    <w:t>0.5％</w:t>
                  </w:r>
                </w:p>
              </w:tc>
              <w:tc>
                <w:tcPr>
                  <w:tcW w:w="1119" w:type="dxa"/>
                  <w:tcBorders>
                    <w:tl2br w:val="nil"/>
                    <w:tr2bl w:val="nil"/>
                  </w:tcBorders>
                  <w:shd w:val="clear" w:color="auto" w:fill="auto"/>
                  <w:vAlign w:val="center"/>
                </w:tcPr>
                <w:p>
                  <w:pPr>
                    <w:keepNext w:val="0"/>
                    <w:keepLines w:val="0"/>
                    <w:widowControl/>
                    <w:suppressLineNumbers w:val="0"/>
                    <w:jc w:val="center"/>
                    <w:rPr>
                      <w:rFonts w:hint="eastAsia" w:ascii="仿宋" w:hAnsi="仿宋" w:eastAsia="仿宋" w:cs="仿宋"/>
                      <w:bCs/>
                      <w:kern w:val="0"/>
                      <w:sz w:val="24"/>
                      <w:szCs w:val="20"/>
                      <w:highlight w:val="none"/>
                      <w:lang w:val="en-US" w:eastAsia="zh-CN" w:bidi="ar-SA"/>
                    </w:rPr>
                  </w:pPr>
                  <w:r>
                    <w:rPr>
                      <w:rFonts w:hint="eastAsia" w:ascii="仿宋" w:hAnsi="仿宋" w:eastAsia="仿宋" w:cs="仿宋"/>
                      <w:bCs/>
                      <w:kern w:val="0"/>
                      <w:sz w:val="24"/>
                      <w:szCs w:val="20"/>
                      <w:highlight w:val="none"/>
                      <w:lang w:val="en-US" w:eastAsia="zh-CN" w:bidi="ar-SA"/>
                    </w:rPr>
                    <w:t>0.25％</w:t>
                  </w:r>
                </w:p>
              </w:tc>
              <w:tc>
                <w:tcPr>
                  <w:tcW w:w="1182" w:type="dxa"/>
                  <w:tcBorders>
                    <w:tl2br w:val="nil"/>
                    <w:tr2bl w:val="nil"/>
                  </w:tcBorders>
                  <w:shd w:val="clear" w:color="auto" w:fill="auto"/>
                  <w:vAlign w:val="center"/>
                </w:tcPr>
                <w:p>
                  <w:pPr>
                    <w:keepNext w:val="0"/>
                    <w:keepLines w:val="0"/>
                    <w:widowControl/>
                    <w:suppressLineNumbers w:val="0"/>
                    <w:jc w:val="center"/>
                    <w:rPr>
                      <w:rFonts w:hint="eastAsia" w:ascii="仿宋" w:hAnsi="仿宋" w:eastAsia="仿宋" w:cs="仿宋"/>
                      <w:bCs/>
                      <w:kern w:val="0"/>
                      <w:sz w:val="24"/>
                      <w:szCs w:val="20"/>
                      <w:highlight w:val="none"/>
                      <w:lang w:val="en-US" w:eastAsia="zh-CN" w:bidi="ar-SA"/>
                    </w:rPr>
                  </w:pPr>
                  <w:r>
                    <w:rPr>
                      <w:rFonts w:hint="eastAsia" w:ascii="仿宋" w:hAnsi="仿宋" w:eastAsia="仿宋" w:cs="仿宋"/>
                      <w:bCs/>
                      <w:kern w:val="0"/>
                      <w:sz w:val="24"/>
                      <w:szCs w:val="20"/>
                      <w:highlight w:val="none"/>
                      <w:lang w:val="en-US" w:eastAsia="zh-CN" w:bidi="ar-SA"/>
                    </w:rPr>
                    <w:t>0.35％</w:t>
                  </w:r>
                </w:p>
              </w:tc>
            </w:tr>
            <w:tr>
              <w:tblPrEx>
                <w:tblBorders>
                  <w:top w:val="none" w:color="auto" w:sz="0" w:space="0"/>
                  <w:left w:val="none" w:color="auto" w:sz="0" w:space="0"/>
                  <w:bottom w:val="none" w:color="auto" w:sz="0"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11" w:hRule="atLeast"/>
                <w:tblCellSpacing w:w="0" w:type="dxa"/>
                <w:jc w:val="center"/>
              </w:trPr>
              <w:tc>
                <w:tcPr>
                  <w:tcW w:w="2843" w:type="dxa"/>
                  <w:tcBorders>
                    <w:tl2br w:val="nil"/>
                    <w:tr2bl w:val="nil"/>
                  </w:tcBorders>
                  <w:shd w:val="clear" w:color="auto" w:fill="auto"/>
                  <w:vAlign w:val="center"/>
                </w:tcPr>
                <w:p>
                  <w:pPr>
                    <w:keepNext w:val="0"/>
                    <w:keepLines w:val="0"/>
                    <w:widowControl/>
                    <w:suppressLineNumbers w:val="0"/>
                    <w:jc w:val="center"/>
                    <w:rPr>
                      <w:rFonts w:hint="eastAsia" w:ascii="仿宋" w:hAnsi="仿宋" w:eastAsia="仿宋" w:cs="仿宋"/>
                      <w:bCs/>
                      <w:kern w:val="0"/>
                      <w:sz w:val="24"/>
                      <w:szCs w:val="20"/>
                      <w:highlight w:val="none"/>
                      <w:lang w:val="en-US" w:eastAsia="zh-CN" w:bidi="ar-SA"/>
                    </w:rPr>
                  </w:pPr>
                  <w:r>
                    <w:rPr>
                      <w:rFonts w:hint="eastAsia" w:ascii="仿宋" w:hAnsi="仿宋" w:eastAsia="仿宋" w:cs="仿宋"/>
                      <w:bCs/>
                      <w:kern w:val="0"/>
                      <w:sz w:val="24"/>
                      <w:szCs w:val="20"/>
                      <w:highlight w:val="none"/>
                      <w:lang w:val="en-US" w:eastAsia="zh-CN" w:bidi="ar-SA"/>
                    </w:rPr>
                    <w:t>5000—10000</w:t>
                  </w:r>
                </w:p>
              </w:tc>
              <w:tc>
                <w:tcPr>
                  <w:tcW w:w="1236" w:type="dxa"/>
                  <w:tcBorders>
                    <w:tl2br w:val="nil"/>
                    <w:tr2bl w:val="nil"/>
                  </w:tcBorders>
                  <w:shd w:val="clear" w:color="auto" w:fill="auto"/>
                  <w:vAlign w:val="center"/>
                </w:tcPr>
                <w:p>
                  <w:pPr>
                    <w:keepNext w:val="0"/>
                    <w:keepLines w:val="0"/>
                    <w:widowControl/>
                    <w:suppressLineNumbers w:val="0"/>
                    <w:jc w:val="center"/>
                    <w:rPr>
                      <w:rFonts w:hint="eastAsia" w:ascii="仿宋" w:hAnsi="仿宋" w:eastAsia="仿宋" w:cs="仿宋"/>
                      <w:bCs/>
                      <w:kern w:val="0"/>
                      <w:sz w:val="24"/>
                      <w:szCs w:val="20"/>
                      <w:highlight w:val="none"/>
                      <w:lang w:val="en-US" w:eastAsia="zh-CN" w:bidi="ar-SA"/>
                    </w:rPr>
                  </w:pPr>
                  <w:r>
                    <w:rPr>
                      <w:rFonts w:hint="eastAsia" w:ascii="仿宋" w:hAnsi="仿宋" w:eastAsia="仿宋" w:cs="仿宋"/>
                      <w:bCs/>
                      <w:kern w:val="0"/>
                      <w:sz w:val="24"/>
                      <w:szCs w:val="20"/>
                      <w:highlight w:val="none"/>
                      <w:lang w:val="en-US" w:eastAsia="zh-CN" w:bidi="ar-SA"/>
                    </w:rPr>
                    <w:t>0.25％</w:t>
                  </w:r>
                </w:p>
              </w:tc>
              <w:tc>
                <w:tcPr>
                  <w:tcW w:w="1119" w:type="dxa"/>
                  <w:tcBorders>
                    <w:tl2br w:val="nil"/>
                    <w:tr2bl w:val="nil"/>
                  </w:tcBorders>
                  <w:shd w:val="clear" w:color="auto" w:fill="auto"/>
                  <w:vAlign w:val="center"/>
                </w:tcPr>
                <w:p>
                  <w:pPr>
                    <w:keepNext w:val="0"/>
                    <w:keepLines w:val="0"/>
                    <w:widowControl/>
                    <w:suppressLineNumbers w:val="0"/>
                    <w:jc w:val="center"/>
                    <w:rPr>
                      <w:rFonts w:hint="eastAsia" w:ascii="仿宋" w:hAnsi="仿宋" w:eastAsia="仿宋" w:cs="仿宋"/>
                      <w:bCs/>
                      <w:kern w:val="0"/>
                      <w:sz w:val="24"/>
                      <w:szCs w:val="20"/>
                      <w:highlight w:val="none"/>
                      <w:lang w:val="en-US" w:eastAsia="zh-CN" w:bidi="ar-SA"/>
                    </w:rPr>
                  </w:pPr>
                  <w:r>
                    <w:rPr>
                      <w:rFonts w:hint="eastAsia" w:ascii="仿宋" w:hAnsi="仿宋" w:eastAsia="仿宋" w:cs="仿宋"/>
                      <w:bCs/>
                      <w:kern w:val="0"/>
                      <w:sz w:val="24"/>
                      <w:szCs w:val="20"/>
                      <w:highlight w:val="none"/>
                      <w:lang w:val="en-US" w:eastAsia="zh-CN" w:bidi="ar-SA"/>
                    </w:rPr>
                    <w:t>0.1％</w:t>
                  </w:r>
                </w:p>
              </w:tc>
              <w:tc>
                <w:tcPr>
                  <w:tcW w:w="1182" w:type="dxa"/>
                  <w:tcBorders>
                    <w:tl2br w:val="nil"/>
                    <w:tr2bl w:val="nil"/>
                  </w:tcBorders>
                  <w:shd w:val="clear" w:color="auto" w:fill="auto"/>
                  <w:vAlign w:val="center"/>
                </w:tcPr>
                <w:p>
                  <w:pPr>
                    <w:keepNext w:val="0"/>
                    <w:keepLines w:val="0"/>
                    <w:widowControl/>
                    <w:suppressLineNumbers w:val="0"/>
                    <w:jc w:val="center"/>
                    <w:rPr>
                      <w:rFonts w:hint="eastAsia" w:ascii="仿宋" w:hAnsi="仿宋" w:eastAsia="仿宋" w:cs="仿宋"/>
                      <w:bCs/>
                      <w:kern w:val="0"/>
                      <w:sz w:val="24"/>
                      <w:szCs w:val="20"/>
                      <w:highlight w:val="none"/>
                      <w:lang w:val="en-US" w:eastAsia="zh-CN" w:bidi="ar-SA"/>
                    </w:rPr>
                  </w:pPr>
                  <w:r>
                    <w:rPr>
                      <w:rFonts w:hint="eastAsia" w:ascii="仿宋" w:hAnsi="仿宋" w:eastAsia="仿宋" w:cs="仿宋"/>
                      <w:bCs/>
                      <w:kern w:val="0"/>
                      <w:sz w:val="24"/>
                      <w:szCs w:val="20"/>
                      <w:highlight w:val="none"/>
                      <w:lang w:val="en-US" w:eastAsia="zh-CN" w:bidi="ar-SA"/>
                    </w:rPr>
                    <w:t>0.2％</w:t>
                  </w:r>
                </w:p>
              </w:tc>
            </w:tr>
            <w:tr>
              <w:tblPrEx>
                <w:tblBorders>
                  <w:top w:val="none" w:color="auto" w:sz="0" w:space="0"/>
                  <w:left w:val="none" w:color="auto" w:sz="0" w:space="0"/>
                  <w:bottom w:val="none" w:color="auto" w:sz="0"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11" w:hRule="atLeast"/>
                <w:tblCellSpacing w:w="0" w:type="dxa"/>
                <w:jc w:val="center"/>
              </w:trPr>
              <w:tc>
                <w:tcPr>
                  <w:tcW w:w="2843" w:type="dxa"/>
                  <w:tcBorders>
                    <w:tl2br w:val="nil"/>
                    <w:tr2bl w:val="nil"/>
                  </w:tcBorders>
                  <w:shd w:val="clear" w:color="auto" w:fill="auto"/>
                  <w:vAlign w:val="center"/>
                </w:tcPr>
                <w:p>
                  <w:pPr>
                    <w:keepNext w:val="0"/>
                    <w:keepLines w:val="0"/>
                    <w:widowControl/>
                    <w:suppressLineNumbers w:val="0"/>
                    <w:jc w:val="center"/>
                    <w:rPr>
                      <w:rFonts w:hint="eastAsia" w:ascii="仿宋" w:hAnsi="仿宋" w:eastAsia="仿宋" w:cs="仿宋"/>
                      <w:bCs/>
                      <w:kern w:val="0"/>
                      <w:sz w:val="24"/>
                      <w:szCs w:val="20"/>
                      <w:highlight w:val="none"/>
                      <w:lang w:val="en-US" w:eastAsia="zh-CN" w:bidi="ar-SA"/>
                    </w:rPr>
                  </w:pPr>
                  <w:r>
                    <w:rPr>
                      <w:rFonts w:hint="eastAsia" w:ascii="仿宋" w:hAnsi="仿宋" w:eastAsia="仿宋" w:cs="仿宋"/>
                      <w:bCs/>
                      <w:kern w:val="0"/>
                      <w:sz w:val="24"/>
                      <w:szCs w:val="20"/>
                      <w:highlight w:val="none"/>
                      <w:lang w:val="en-US" w:eastAsia="zh-CN" w:bidi="ar-SA"/>
                    </w:rPr>
                    <w:t>10000——100000</w:t>
                  </w:r>
                </w:p>
              </w:tc>
              <w:tc>
                <w:tcPr>
                  <w:tcW w:w="1236" w:type="dxa"/>
                  <w:tcBorders>
                    <w:tl2br w:val="nil"/>
                    <w:tr2bl w:val="nil"/>
                  </w:tcBorders>
                  <w:shd w:val="clear" w:color="auto" w:fill="auto"/>
                  <w:vAlign w:val="center"/>
                </w:tcPr>
                <w:p>
                  <w:pPr>
                    <w:keepNext w:val="0"/>
                    <w:keepLines w:val="0"/>
                    <w:widowControl/>
                    <w:suppressLineNumbers w:val="0"/>
                    <w:jc w:val="center"/>
                    <w:rPr>
                      <w:rFonts w:hint="eastAsia" w:ascii="仿宋" w:hAnsi="仿宋" w:eastAsia="仿宋" w:cs="仿宋"/>
                      <w:bCs/>
                      <w:kern w:val="0"/>
                      <w:sz w:val="24"/>
                      <w:szCs w:val="20"/>
                      <w:highlight w:val="none"/>
                      <w:lang w:val="en-US" w:eastAsia="zh-CN" w:bidi="ar-SA"/>
                    </w:rPr>
                  </w:pPr>
                  <w:r>
                    <w:rPr>
                      <w:rFonts w:hint="eastAsia" w:ascii="仿宋" w:hAnsi="仿宋" w:eastAsia="仿宋" w:cs="仿宋"/>
                      <w:bCs/>
                      <w:kern w:val="0"/>
                      <w:sz w:val="24"/>
                      <w:szCs w:val="20"/>
                      <w:highlight w:val="none"/>
                      <w:lang w:val="en-US" w:eastAsia="zh-CN" w:bidi="ar-SA"/>
                    </w:rPr>
                    <w:t>0.05％</w:t>
                  </w:r>
                </w:p>
              </w:tc>
              <w:tc>
                <w:tcPr>
                  <w:tcW w:w="1119" w:type="dxa"/>
                  <w:tcBorders>
                    <w:tl2br w:val="nil"/>
                    <w:tr2bl w:val="nil"/>
                  </w:tcBorders>
                  <w:shd w:val="clear" w:color="auto" w:fill="auto"/>
                  <w:vAlign w:val="center"/>
                </w:tcPr>
                <w:p>
                  <w:pPr>
                    <w:keepNext w:val="0"/>
                    <w:keepLines w:val="0"/>
                    <w:widowControl/>
                    <w:suppressLineNumbers w:val="0"/>
                    <w:jc w:val="center"/>
                    <w:rPr>
                      <w:rFonts w:hint="eastAsia" w:ascii="仿宋" w:hAnsi="仿宋" w:eastAsia="仿宋" w:cs="仿宋"/>
                      <w:bCs/>
                      <w:kern w:val="0"/>
                      <w:sz w:val="24"/>
                      <w:szCs w:val="20"/>
                      <w:highlight w:val="none"/>
                      <w:lang w:val="en-US" w:eastAsia="zh-CN" w:bidi="ar-SA"/>
                    </w:rPr>
                  </w:pPr>
                  <w:r>
                    <w:rPr>
                      <w:rFonts w:hint="eastAsia" w:ascii="仿宋" w:hAnsi="仿宋" w:eastAsia="仿宋" w:cs="仿宋"/>
                      <w:bCs/>
                      <w:kern w:val="0"/>
                      <w:sz w:val="24"/>
                      <w:szCs w:val="20"/>
                      <w:highlight w:val="none"/>
                      <w:lang w:val="en-US" w:eastAsia="zh-CN" w:bidi="ar-SA"/>
                    </w:rPr>
                    <w:t>0.05％</w:t>
                  </w:r>
                </w:p>
              </w:tc>
              <w:tc>
                <w:tcPr>
                  <w:tcW w:w="1182" w:type="dxa"/>
                  <w:tcBorders>
                    <w:tl2br w:val="nil"/>
                    <w:tr2bl w:val="nil"/>
                  </w:tcBorders>
                  <w:shd w:val="clear" w:color="auto" w:fill="auto"/>
                  <w:vAlign w:val="center"/>
                </w:tcPr>
                <w:p>
                  <w:pPr>
                    <w:keepNext w:val="0"/>
                    <w:keepLines w:val="0"/>
                    <w:widowControl/>
                    <w:suppressLineNumbers w:val="0"/>
                    <w:jc w:val="center"/>
                    <w:rPr>
                      <w:rFonts w:hint="eastAsia" w:ascii="仿宋" w:hAnsi="仿宋" w:eastAsia="仿宋" w:cs="仿宋"/>
                      <w:bCs/>
                      <w:kern w:val="0"/>
                      <w:sz w:val="24"/>
                      <w:szCs w:val="20"/>
                      <w:highlight w:val="none"/>
                      <w:lang w:val="en-US" w:eastAsia="zh-CN" w:bidi="ar-SA"/>
                    </w:rPr>
                  </w:pPr>
                  <w:r>
                    <w:rPr>
                      <w:rFonts w:hint="eastAsia" w:ascii="仿宋" w:hAnsi="仿宋" w:eastAsia="仿宋" w:cs="仿宋"/>
                      <w:bCs/>
                      <w:kern w:val="0"/>
                      <w:sz w:val="24"/>
                      <w:szCs w:val="20"/>
                      <w:highlight w:val="none"/>
                      <w:lang w:val="en-US" w:eastAsia="zh-CN" w:bidi="ar-SA"/>
                    </w:rPr>
                    <w:t>0.05％</w:t>
                  </w:r>
                </w:p>
              </w:tc>
            </w:tr>
            <w:tr>
              <w:tblPrEx>
                <w:tblBorders>
                  <w:top w:val="none" w:color="auto" w:sz="0" w:space="0"/>
                  <w:left w:val="none" w:color="auto" w:sz="0" w:space="0"/>
                  <w:bottom w:val="none" w:color="auto" w:sz="0"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11" w:hRule="atLeast"/>
                <w:tblCellSpacing w:w="0" w:type="dxa"/>
                <w:jc w:val="center"/>
              </w:trPr>
              <w:tc>
                <w:tcPr>
                  <w:tcW w:w="2843" w:type="dxa"/>
                  <w:tcBorders>
                    <w:tl2br w:val="nil"/>
                    <w:tr2bl w:val="nil"/>
                  </w:tcBorders>
                  <w:shd w:val="clear" w:color="auto" w:fill="auto"/>
                  <w:vAlign w:val="center"/>
                </w:tcPr>
                <w:p>
                  <w:pPr>
                    <w:keepNext w:val="0"/>
                    <w:keepLines w:val="0"/>
                    <w:widowControl/>
                    <w:suppressLineNumbers w:val="0"/>
                    <w:jc w:val="center"/>
                    <w:rPr>
                      <w:rFonts w:hint="eastAsia" w:ascii="仿宋" w:hAnsi="仿宋" w:eastAsia="仿宋" w:cs="仿宋"/>
                      <w:bCs/>
                      <w:kern w:val="0"/>
                      <w:sz w:val="24"/>
                      <w:szCs w:val="20"/>
                      <w:highlight w:val="none"/>
                      <w:lang w:val="en-US" w:eastAsia="zh-CN" w:bidi="ar-SA"/>
                    </w:rPr>
                  </w:pPr>
                  <w:r>
                    <w:rPr>
                      <w:rFonts w:hint="eastAsia" w:ascii="仿宋" w:hAnsi="仿宋" w:eastAsia="仿宋" w:cs="仿宋"/>
                      <w:bCs/>
                      <w:kern w:val="0"/>
                      <w:sz w:val="24"/>
                      <w:szCs w:val="20"/>
                      <w:highlight w:val="none"/>
                      <w:lang w:val="en-US" w:eastAsia="zh-CN" w:bidi="ar-SA"/>
                    </w:rPr>
                    <w:t>1000000以上</w:t>
                  </w:r>
                </w:p>
              </w:tc>
              <w:tc>
                <w:tcPr>
                  <w:tcW w:w="1236" w:type="dxa"/>
                  <w:tcBorders>
                    <w:tl2br w:val="nil"/>
                    <w:tr2bl w:val="nil"/>
                  </w:tcBorders>
                  <w:shd w:val="clear" w:color="auto" w:fill="auto"/>
                  <w:vAlign w:val="center"/>
                </w:tcPr>
                <w:p>
                  <w:pPr>
                    <w:keepNext w:val="0"/>
                    <w:keepLines w:val="0"/>
                    <w:widowControl/>
                    <w:suppressLineNumbers w:val="0"/>
                    <w:jc w:val="center"/>
                    <w:rPr>
                      <w:rFonts w:hint="eastAsia" w:ascii="仿宋" w:hAnsi="仿宋" w:eastAsia="仿宋" w:cs="仿宋"/>
                      <w:bCs/>
                      <w:kern w:val="0"/>
                      <w:sz w:val="24"/>
                      <w:szCs w:val="20"/>
                      <w:highlight w:val="none"/>
                      <w:lang w:val="en-US" w:eastAsia="zh-CN" w:bidi="ar-SA"/>
                    </w:rPr>
                  </w:pPr>
                  <w:r>
                    <w:rPr>
                      <w:rFonts w:hint="eastAsia" w:ascii="仿宋" w:hAnsi="仿宋" w:eastAsia="仿宋" w:cs="仿宋"/>
                      <w:bCs/>
                      <w:kern w:val="0"/>
                      <w:sz w:val="24"/>
                      <w:szCs w:val="20"/>
                      <w:highlight w:val="none"/>
                      <w:lang w:val="en-US" w:eastAsia="zh-CN" w:bidi="ar-SA"/>
                    </w:rPr>
                    <w:t>0.01％</w:t>
                  </w:r>
                </w:p>
              </w:tc>
              <w:tc>
                <w:tcPr>
                  <w:tcW w:w="1119" w:type="dxa"/>
                  <w:tcBorders>
                    <w:tl2br w:val="nil"/>
                    <w:tr2bl w:val="nil"/>
                  </w:tcBorders>
                  <w:shd w:val="clear" w:color="auto" w:fill="auto"/>
                  <w:vAlign w:val="center"/>
                </w:tcPr>
                <w:p>
                  <w:pPr>
                    <w:keepNext w:val="0"/>
                    <w:keepLines w:val="0"/>
                    <w:widowControl/>
                    <w:suppressLineNumbers w:val="0"/>
                    <w:jc w:val="center"/>
                    <w:rPr>
                      <w:rFonts w:hint="eastAsia" w:ascii="仿宋" w:hAnsi="仿宋" w:eastAsia="仿宋" w:cs="仿宋"/>
                      <w:bCs/>
                      <w:kern w:val="0"/>
                      <w:sz w:val="24"/>
                      <w:szCs w:val="20"/>
                      <w:highlight w:val="none"/>
                      <w:lang w:val="en-US" w:eastAsia="zh-CN" w:bidi="ar-SA"/>
                    </w:rPr>
                  </w:pPr>
                  <w:r>
                    <w:rPr>
                      <w:rFonts w:hint="eastAsia" w:ascii="仿宋" w:hAnsi="仿宋" w:eastAsia="仿宋" w:cs="仿宋"/>
                      <w:bCs/>
                      <w:kern w:val="0"/>
                      <w:sz w:val="24"/>
                      <w:szCs w:val="20"/>
                      <w:highlight w:val="none"/>
                      <w:lang w:val="en-US" w:eastAsia="zh-CN" w:bidi="ar-SA"/>
                    </w:rPr>
                    <w:t>0.01％</w:t>
                  </w:r>
                </w:p>
              </w:tc>
              <w:tc>
                <w:tcPr>
                  <w:tcW w:w="1182" w:type="dxa"/>
                  <w:tcBorders>
                    <w:tl2br w:val="nil"/>
                    <w:tr2bl w:val="nil"/>
                  </w:tcBorders>
                  <w:shd w:val="clear" w:color="auto" w:fill="auto"/>
                  <w:vAlign w:val="center"/>
                </w:tcPr>
                <w:p>
                  <w:pPr>
                    <w:keepNext w:val="0"/>
                    <w:keepLines w:val="0"/>
                    <w:widowControl/>
                    <w:suppressLineNumbers w:val="0"/>
                    <w:jc w:val="center"/>
                    <w:rPr>
                      <w:rFonts w:hint="eastAsia" w:ascii="仿宋" w:hAnsi="仿宋" w:eastAsia="仿宋" w:cs="仿宋"/>
                      <w:bCs/>
                      <w:kern w:val="0"/>
                      <w:sz w:val="24"/>
                      <w:szCs w:val="20"/>
                      <w:highlight w:val="none"/>
                      <w:lang w:val="en-US" w:eastAsia="zh-CN" w:bidi="ar-SA"/>
                    </w:rPr>
                  </w:pPr>
                  <w:r>
                    <w:rPr>
                      <w:rFonts w:hint="eastAsia" w:ascii="仿宋" w:hAnsi="仿宋" w:eastAsia="仿宋" w:cs="仿宋"/>
                      <w:bCs/>
                      <w:kern w:val="0"/>
                      <w:sz w:val="24"/>
                      <w:szCs w:val="20"/>
                      <w:highlight w:val="none"/>
                      <w:lang w:val="en-US" w:eastAsia="zh-CN" w:bidi="ar-SA"/>
                    </w:rPr>
                    <w:t>0.01％</w:t>
                  </w:r>
                </w:p>
              </w:tc>
            </w:tr>
          </w:tbl>
          <w:p>
            <w:pPr>
              <w:pStyle w:val="5"/>
              <w:spacing w:line="360" w:lineRule="auto"/>
              <w:ind w:firstLine="0"/>
              <w:rPr>
                <w:rFonts w:ascii="仿宋" w:hAnsi="仿宋" w:eastAsia="仿宋" w:cs="仿宋"/>
                <w:bCs/>
                <w:sz w:val="24"/>
                <w:highlight w:val="none"/>
              </w:rPr>
            </w:pPr>
            <w:r>
              <w:rPr>
                <w:rFonts w:hint="eastAsia" w:ascii="仿宋" w:hAnsi="仿宋" w:eastAsia="仿宋" w:cs="仿宋"/>
                <w:bCs/>
                <w:sz w:val="24"/>
                <w:highlight w:val="none"/>
              </w:rPr>
              <w:t>（3）付费方式：于领取中标通知书时一次性支付给采购代理公司；</w:t>
            </w:r>
          </w:p>
          <w:p>
            <w:pPr>
              <w:pStyle w:val="5"/>
              <w:spacing w:line="360" w:lineRule="auto"/>
              <w:ind w:firstLine="0"/>
              <w:rPr>
                <w:rFonts w:ascii="仿宋" w:hAnsi="仿宋" w:eastAsia="仿宋" w:cs="仿宋"/>
                <w:bCs/>
                <w:sz w:val="24"/>
                <w:szCs w:val="24"/>
                <w:highlight w:val="none"/>
              </w:rPr>
            </w:pPr>
            <w:r>
              <w:rPr>
                <w:rFonts w:hint="eastAsia" w:ascii="仿宋" w:hAnsi="仿宋" w:eastAsia="仿宋" w:cs="仿宋"/>
                <w:bCs/>
                <w:sz w:val="24"/>
                <w:szCs w:val="24"/>
                <w:highlight w:val="none"/>
              </w:rPr>
              <w:t>户   名：浙江五石中正工程咨询有限公司</w:t>
            </w:r>
          </w:p>
          <w:p>
            <w:pPr>
              <w:pStyle w:val="5"/>
              <w:spacing w:line="360" w:lineRule="auto"/>
              <w:ind w:firstLine="0"/>
              <w:rPr>
                <w:rFonts w:ascii="仿宋" w:hAnsi="仿宋" w:eastAsia="仿宋" w:cs="仿宋"/>
                <w:bCs/>
                <w:sz w:val="24"/>
                <w:szCs w:val="24"/>
                <w:highlight w:val="none"/>
              </w:rPr>
            </w:pPr>
            <w:r>
              <w:rPr>
                <w:rFonts w:hint="eastAsia" w:ascii="仿宋" w:hAnsi="仿宋" w:eastAsia="仿宋" w:cs="仿宋"/>
                <w:bCs/>
                <w:sz w:val="24"/>
                <w:szCs w:val="24"/>
                <w:highlight w:val="none"/>
              </w:rPr>
              <w:t>帐   号：1202003209900014176</w:t>
            </w:r>
          </w:p>
          <w:p>
            <w:pPr>
              <w:pStyle w:val="5"/>
              <w:spacing w:line="360" w:lineRule="auto"/>
              <w:ind w:firstLine="0"/>
              <w:rPr>
                <w:rFonts w:ascii="仿宋" w:hAnsi="仿宋" w:eastAsia="仿宋" w:cs="仿宋"/>
                <w:b/>
                <w:sz w:val="24"/>
                <w:highlight w:val="none"/>
              </w:rPr>
            </w:pPr>
            <w:r>
              <w:rPr>
                <w:rFonts w:hint="eastAsia" w:ascii="仿宋" w:hAnsi="仿宋" w:eastAsia="仿宋" w:cs="仿宋"/>
                <w:bCs/>
                <w:sz w:val="24"/>
                <w:szCs w:val="24"/>
                <w:highlight w:val="none"/>
              </w:rPr>
              <w:t>开户银行：中国工商银行杭州市潮王路支行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781" w:type="dxa"/>
            <w:vAlign w:val="center"/>
          </w:tcPr>
          <w:p>
            <w:pPr>
              <w:adjustRightInd w:val="0"/>
              <w:snapToGrid w:val="0"/>
              <w:spacing w:line="360" w:lineRule="auto"/>
              <w:jc w:val="center"/>
              <w:rPr>
                <w:rFonts w:hint="default" w:ascii="仿宋" w:hAnsi="仿宋" w:eastAsia="仿宋" w:cs="宋体"/>
                <w:snapToGrid w:val="0"/>
                <w:kern w:val="0"/>
                <w:sz w:val="24"/>
                <w:highlight w:val="none"/>
                <w:lang w:val="en-US" w:eastAsia="zh-CN"/>
              </w:rPr>
            </w:pPr>
            <w:r>
              <w:rPr>
                <w:rFonts w:hint="eastAsia" w:ascii="仿宋" w:hAnsi="仿宋" w:eastAsia="仿宋" w:cs="宋体"/>
                <w:snapToGrid w:val="0"/>
                <w:kern w:val="0"/>
                <w:sz w:val="24"/>
                <w:highlight w:val="none"/>
                <w:lang w:val="en-US" w:eastAsia="zh-CN"/>
              </w:rPr>
              <w:t>23</w:t>
            </w:r>
          </w:p>
        </w:tc>
        <w:tc>
          <w:tcPr>
            <w:tcW w:w="1952" w:type="dxa"/>
            <w:vAlign w:val="center"/>
          </w:tcPr>
          <w:p>
            <w:pPr>
              <w:spacing w:line="360" w:lineRule="auto"/>
              <w:rPr>
                <w:rFonts w:hint="eastAsia" w:ascii="仿宋" w:hAnsi="仿宋" w:eastAsia="仿宋" w:cs="仿宋"/>
                <w:b/>
                <w:kern w:val="10"/>
                <w:sz w:val="24"/>
                <w:highlight w:val="none"/>
                <w:lang w:val="en-US" w:eastAsia="zh-CN"/>
              </w:rPr>
            </w:pPr>
            <w:r>
              <w:rPr>
                <w:rFonts w:hint="eastAsia" w:ascii="仿宋" w:hAnsi="仿宋" w:eastAsia="仿宋" w:cs="仿宋"/>
                <w:b/>
                <w:kern w:val="10"/>
                <w:sz w:val="24"/>
                <w:highlight w:val="none"/>
                <w:lang w:val="en-US" w:eastAsia="zh-CN"/>
              </w:rPr>
              <w:t>特别说明</w:t>
            </w:r>
          </w:p>
        </w:tc>
        <w:tc>
          <w:tcPr>
            <w:tcW w:w="6670" w:type="dxa"/>
            <w:vAlign w:val="center"/>
          </w:tcPr>
          <w:p>
            <w:pPr>
              <w:pStyle w:val="5"/>
              <w:spacing w:line="360" w:lineRule="auto"/>
              <w:ind w:firstLine="0"/>
              <w:rPr>
                <w:rFonts w:hint="eastAsia" w:ascii="仿宋" w:hAnsi="仿宋" w:eastAsia="仿宋" w:cs="仿宋"/>
                <w:bCs/>
                <w:sz w:val="24"/>
                <w:szCs w:val="24"/>
                <w:highlight w:val="none"/>
              </w:rPr>
            </w:pPr>
            <w:r>
              <w:rPr>
                <w:rFonts w:hint="eastAsia" w:ascii="仿宋" w:hAnsi="仿宋" w:eastAsia="仿宋" w:cs="仿宋"/>
                <w:bCs/>
                <w:sz w:val="24"/>
                <w:szCs w:val="24"/>
                <w:highlight w:val="none"/>
              </w:rPr>
              <w:t>联合体投标的，联合体各方分别提供与联合体协议中规定的分工内容相应的业绩证明材料，业绩数量以提供材料较少的一方为准。</w:t>
            </w:r>
          </w:p>
          <w:p>
            <w:pPr>
              <w:pStyle w:val="5"/>
              <w:spacing w:line="360" w:lineRule="auto"/>
              <w:ind w:firstLine="0"/>
              <w:rPr>
                <w:rFonts w:hint="eastAsia" w:ascii="仿宋" w:hAnsi="仿宋" w:eastAsia="仿宋" w:cs="仿宋"/>
                <w:bCs/>
                <w:sz w:val="24"/>
                <w:szCs w:val="24"/>
                <w:highlight w:val="none"/>
              </w:rPr>
            </w:pPr>
            <w:r>
              <w:rPr>
                <w:rFonts w:hint="eastAsia" w:ascii="仿宋" w:hAnsi="仿宋" w:eastAsia="仿宋" w:cs="仿宋"/>
                <w:bCs/>
                <w:sz w:val="24"/>
                <w:szCs w:val="24"/>
                <w:highlight w:val="none"/>
              </w:rPr>
              <w:t>☐联合体投标的，联合体各方均需按招标文件第五部分评标办法要求提供资信证明文件，否则视为不符合相关要求。</w:t>
            </w:r>
          </w:p>
          <w:p>
            <w:pPr>
              <w:pStyle w:val="5"/>
              <w:spacing w:line="360" w:lineRule="auto"/>
              <w:ind w:firstLine="0"/>
              <w:rPr>
                <w:rFonts w:hint="eastAsia" w:ascii="仿宋" w:hAnsi="仿宋" w:eastAsia="仿宋" w:cs="仿宋"/>
                <w:bCs/>
                <w:sz w:val="24"/>
                <w:szCs w:val="24"/>
                <w:highlight w:val="none"/>
              </w:rPr>
            </w:pPr>
            <w:sdt>
              <w:sdtPr>
                <w:rPr>
                  <w:rFonts w:hint="eastAsia" w:cs="Arial" w:asciiTheme="minorEastAsia" w:hAnsiTheme="minorEastAsia" w:eastAsiaTheme="minorEastAsia"/>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Wingdings" w:hAnsi="Wingdings" w:cs="Arial" w:eastAsiaTheme="minorEastAsia"/>
                    <w:kern w:val="0"/>
                    <w:sz w:val="24"/>
                    <w:szCs w:val="24"/>
                    <w:highlight w:val="none"/>
                    <w:lang w:val="en-US" w:eastAsia="zh-CN" w:bidi="ar-SA"/>
                  </w:rPr>
                  <w:t>þ</w:t>
                </w:r>
              </w:sdtContent>
            </w:sdt>
            <w:r>
              <w:rPr>
                <w:rFonts w:hint="eastAsia" w:ascii="仿宋" w:hAnsi="仿宋" w:eastAsia="仿宋" w:cs="仿宋"/>
                <w:bCs/>
                <w:sz w:val="24"/>
                <w:szCs w:val="24"/>
                <w:highlight w:val="none"/>
              </w:rPr>
              <w:t>联合体投标的，联合体中有一方或者联合体成员根据分工按招标文件第五部分评标办法要求提供资信证明文件的，视为符合了相关要求。</w:t>
            </w:r>
          </w:p>
        </w:tc>
      </w:tr>
    </w:tbl>
    <w:p>
      <w:pPr>
        <w:adjustRightInd w:val="0"/>
        <w:snapToGrid w:val="0"/>
        <w:spacing w:line="360" w:lineRule="auto"/>
        <w:ind w:firstLine="480" w:firstLineChars="200"/>
        <w:rPr>
          <w:rFonts w:ascii="仿宋" w:hAnsi="仿宋" w:eastAsia="仿宋" w:cs="仿宋"/>
          <w:snapToGrid w:val="0"/>
          <w:kern w:val="0"/>
          <w:sz w:val="24"/>
          <w:highlight w:val="none"/>
        </w:rPr>
      </w:pPr>
      <w:r>
        <w:rPr>
          <w:rFonts w:hint="eastAsia" w:ascii="仿宋" w:hAnsi="仿宋" w:eastAsia="仿宋" w:cs="仿宋"/>
          <w:snapToGrid w:val="0"/>
          <w:kern w:val="0"/>
          <w:sz w:val="24"/>
          <w:highlight w:val="none"/>
        </w:rPr>
        <w:t>注：以上内容如有变化将另行书面通知。如通知其中某一内容发生变化，其余未提及的将不作变动。</w:t>
      </w:r>
    </w:p>
    <w:p>
      <w:pPr>
        <w:rPr>
          <w:rFonts w:ascii="仿宋" w:hAnsi="仿宋" w:eastAsia="仿宋"/>
          <w:highlight w:val="none"/>
        </w:rPr>
      </w:pPr>
      <w:r>
        <w:rPr>
          <w:rFonts w:ascii="仿宋" w:hAnsi="仿宋" w:eastAsia="仿宋"/>
          <w:highlight w:val="none"/>
        </w:rPr>
        <w:br w:type="page"/>
      </w:r>
    </w:p>
    <w:p>
      <w:pPr>
        <w:adjustRightInd w:val="0"/>
        <w:snapToGrid w:val="0"/>
        <w:spacing w:line="360" w:lineRule="auto"/>
        <w:ind w:firstLine="3012" w:firstLineChars="1000"/>
        <w:outlineLvl w:val="0"/>
        <w:rPr>
          <w:rFonts w:ascii="仿宋" w:hAnsi="仿宋" w:eastAsia="仿宋" w:cs="宋体"/>
          <w:b/>
          <w:snapToGrid w:val="0"/>
          <w:kern w:val="0"/>
          <w:sz w:val="30"/>
          <w:szCs w:val="30"/>
          <w:highlight w:val="none"/>
        </w:rPr>
      </w:pPr>
      <w:bookmarkStart w:id="4" w:name="_Toc9667"/>
      <w:bookmarkStart w:id="5" w:name="_Toc204483585"/>
      <w:bookmarkStart w:id="6" w:name="_Toc294777238"/>
      <w:bookmarkStart w:id="7" w:name="_Toc236047431"/>
      <w:r>
        <w:rPr>
          <w:rFonts w:hint="eastAsia" w:ascii="仿宋" w:hAnsi="仿宋" w:eastAsia="仿宋" w:cs="宋体"/>
          <w:b/>
          <w:snapToGrid w:val="0"/>
          <w:kern w:val="0"/>
          <w:sz w:val="30"/>
          <w:szCs w:val="30"/>
          <w:highlight w:val="none"/>
        </w:rPr>
        <w:t>第二部分  投标须知</w:t>
      </w:r>
      <w:bookmarkEnd w:id="4"/>
      <w:bookmarkStart w:id="8" w:name="_Toc251566650"/>
      <w:bookmarkStart w:id="9" w:name="_Toc240450077"/>
    </w:p>
    <w:p>
      <w:pPr>
        <w:pStyle w:val="3"/>
        <w:snapToGrid w:val="0"/>
        <w:spacing w:before="0" w:after="0" w:line="360" w:lineRule="auto"/>
        <w:rPr>
          <w:rFonts w:ascii="仿宋" w:hAnsi="仿宋" w:eastAsia="仿宋" w:cs="宋体"/>
          <w:snapToGrid w:val="0"/>
          <w:kern w:val="0"/>
          <w:sz w:val="24"/>
          <w:szCs w:val="24"/>
          <w:highlight w:val="none"/>
        </w:rPr>
      </w:pPr>
      <w:bookmarkStart w:id="10" w:name="_Toc352681995"/>
      <w:bookmarkStart w:id="11" w:name="_Toc5624546"/>
      <w:bookmarkStart w:id="12" w:name="_Toc6200"/>
      <w:r>
        <w:rPr>
          <w:rFonts w:hint="eastAsia" w:ascii="仿宋" w:hAnsi="仿宋" w:eastAsia="仿宋" w:cs="宋体"/>
          <w:snapToGrid w:val="0"/>
          <w:kern w:val="0"/>
          <w:sz w:val="24"/>
          <w:szCs w:val="24"/>
          <w:highlight w:val="none"/>
        </w:rPr>
        <w:t>一、总则</w:t>
      </w:r>
      <w:bookmarkEnd w:id="8"/>
      <w:bookmarkEnd w:id="9"/>
      <w:bookmarkEnd w:id="10"/>
      <w:bookmarkEnd w:id="11"/>
      <w:bookmarkEnd w:id="12"/>
    </w:p>
    <w:p>
      <w:pPr>
        <w:adjustRightInd w:val="0"/>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项目名称见供应商须知前附表。根据国家有关法律、法规和规章的规定，本招标项目已具备招标条件，现对本项目进行招标。</w:t>
      </w:r>
    </w:p>
    <w:p>
      <w:pPr>
        <w:adjustRightInd w:val="0"/>
        <w:snapToGrid w:val="0"/>
        <w:spacing w:line="360" w:lineRule="auto"/>
        <w:ind w:firstLine="482" w:firstLineChars="200"/>
        <w:rPr>
          <w:rFonts w:ascii="仿宋" w:hAnsi="仿宋" w:eastAsia="仿宋" w:cs="宋体"/>
          <w:b/>
          <w:snapToGrid w:val="0"/>
          <w:kern w:val="0"/>
          <w:sz w:val="24"/>
          <w:highlight w:val="none"/>
        </w:rPr>
      </w:pPr>
      <w:bookmarkStart w:id="13" w:name="_Toc240450079"/>
      <w:bookmarkStart w:id="14" w:name="_Toc251566652"/>
      <w:r>
        <w:rPr>
          <w:rFonts w:hint="eastAsia" w:ascii="仿宋" w:hAnsi="仿宋" w:eastAsia="仿宋" w:cs="宋体"/>
          <w:b/>
          <w:snapToGrid w:val="0"/>
          <w:kern w:val="0"/>
          <w:sz w:val="24"/>
          <w:highlight w:val="none"/>
        </w:rPr>
        <w:t>1．适用范围</w:t>
      </w:r>
    </w:p>
    <w:p>
      <w:pPr>
        <w:adjustRightInd w:val="0"/>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1.1 本招标文件仅适用于本次招标项目。</w:t>
      </w:r>
    </w:p>
    <w:p>
      <w:pPr>
        <w:adjustRightInd w:val="0"/>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1.2 本项目采购方式为公开招标。</w:t>
      </w:r>
    </w:p>
    <w:p>
      <w:pPr>
        <w:adjustRightInd w:val="0"/>
        <w:snapToGrid w:val="0"/>
        <w:spacing w:line="360" w:lineRule="auto"/>
        <w:ind w:firstLine="482" w:firstLineChars="200"/>
        <w:rPr>
          <w:rFonts w:ascii="仿宋" w:hAnsi="仿宋" w:eastAsia="仿宋" w:cs="宋体"/>
          <w:b/>
          <w:snapToGrid w:val="0"/>
          <w:kern w:val="0"/>
          <w:sz w:val="24"/>
          <w:highlight w:val="none"/>
        </w:rPr>
      </w:pPr>
      <w:r>
        <w:rPr>
          <w:rFonts w:hint="eastAsia" w:ascii="仿宋" w:hAnsi="仿宋" w:eastAsia="仿宋" w:cs="宋体"/>
          <w:b/>
          <w:snapToGrid w:val="0"/>
          <w:kern w:val="0"/>
          <w:sz w:val="24"/>
          <w:highlight w:val="none"/>
        </w:rPr>
        <w:t>2．定义</w:t>
      </w:r>
    </w:p>
    <w:p>
      <w:pPr>
        <w:adjustRightInd w:val="0"/>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2.1 “采购人”系指</w:t>
      </w:r>
      <w:r>
        <w:rPr>
          <w:rFonts w:hint="eastAsia" w:ascii="仿宋" w:hAnsi="仿宋" w:eastAsia="仿宋" w:cs="宋体"/>
          <w:snapToGrid w:val="0"/>
          <w:kern w:val="0"/>
          <w:sz w:val="24"/>
          <w:highlight w:val="none"/>
          <w:lang w:eastAsia="zh-CN"/>
        </w:rPr>
        <w:t>衢州动力电池和储能研究院</w:t>
      </w:r>
      <w:r>
        <w:rPr>
          <w:rFonts w:hint="eastAsia" w:ascii="仿宋" w:hAnsi="仿宋" w:eastAsia="仿宋" w:cs="宋体"/>
          <w:snapToGrid w:val="0"/>
          <w:kern w:val="0"/>
          <w:sz w:val="24"/>
          <w:highlight w:val="none"/>
        </w:rPr>
        <w:t>。</w:t>
      </w:r>
    </w:p>
    <w:p>
      <w:pPr>
        <w:adjustRightInd w:val="0"/>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2.2 “采购代理机构”系指浙江五石中正工程咨询有限公司。</w:t>
      </w:r>
    </w:p>
    <w:p>
      <w:pPr>
        <w:adjustRightInd w:val="0"/>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2.3 “供应商”系指响应本次招标，参加本次投标的供应商。</w:t>
      </w:r>
    </w:p>
    <w:p>
      <w:pPr>
        <w:adjustRightInd w:val="0"/>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2.4 “</w:t>
      </w:r>
      <w:r>
        <w:rPr>
          <w:rFonts w:hint="eastAsia" w:ascii="仿宋" w:hAnsi="仿宋" w:eastAsia="仿宋" w:cs="宋体"/>
          <w:snapToGrid w:val="0"/>
          <w:kern w:val="0"/>
          <w:sz w:val="24"/>
          <w:highlight w:val="none"/>
          <w:lang w:eastAsia="zh-CN"/>
        </w:rPr>
        <w:t>货物和</w:t>
      </w:r>
      <w:r>
        <w:rPr>
          <w:rFonts w:hint="eastAsia" w:ascii="仿宋" w:hAnsi="仿宋" w:eastAsia="仿宋" w:cs="宋体"/>
          <w:snapToGrid w:val="0"/>
          <w:kern w:val="0"/>
          <w:sz w:val="24"/>
          <w:highlight w:val="none"/>
        </w:rPr>
        <w:t>服务”系指招标文件或合同规定供应商须承担的</w:t>
      </w:r>
      <w:r>
        <w:rPr>
          <w:rFonts w:hint="eastAsia" w:ascii="仿宋" w:hAnsi="仿宋" w:eastAsia="仿宋" w:cs="宋体"/>
          <w:snapToGrid w:val="0"/>
          <w:kern w:val="0"/>
          <w:sz w:val="24"/>
          <w:highlight w:val="none"/>
          <w:lang w:eastAsia="zh-CN"/>
        </w:rPr>
        <w:t>货物和</w:t>
      </w:r>
      <w:r>
        <w:rPr>
          <w:rFonts w:hint="eastAsia" w:ascii="仿宋" w:hAnsi="仿宋" w:eastAsia="仿宋" w:cs="宋体"/>
          <w:snapToGrid w:val="0"/>
          <w:kern w:val="0"/>
          <w:sz w:val="24"/>
          <w:highlight w:val="none"/>
        </w:rPr>
        <w:t>服务。</w:t>
      </w:r>
    </w:p>
    <w:p>
      <w:pPr>
        <w:adjustRightInd w:val="0"/>
        <w:snapToGrid w:val="0"/>
        <w:spacing w:line="360" w:lineRule="auto"/>
        <w:ind w:firstLine="482" w:firstLineChars="200"/>
        <w:rPr>
          <w:rFonts w:ascii="仿宋" w:hAnsi="仿宋" w:eastAsia="仿宋" w:cs="宋体"/>
          <w:b/>
          <w:snapToGrid w:val="0"/>
          <w:kern w:val="0"/>
          <w:sz w:val="24"/>
          <w:highlight w:val="none"/>
        </w:rPr>
      </w:pPr>
      <w:r>
        <w:rPr>
          <w:rFonts w:hint="eastAsia" w:ascii="仿宋" w:hAnsi="仿宋" w:eastAsia="仿宋" w:cs="宋体"/>
          <w:b/>
          <w:snapToGrid w:val="0"/>
          <w:kern w:val="0"/>
          <w:sz w:val="24"/>
          <w:highlight w:val="none"/>
        </w:rPr>
        <w:t>3．合格的供应商及合格的投标货物和服务</w:t>
      </w:r>
    </w:p>
    <w:p>
      <w:pPr>
        <w:adjustRightInd w:val="0"/>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3.1 合格的供应商，详见招标公告第四条规定的供应商必须具备的资格条件并经审查通过的。</w:t>
      </w:r>
    </w:p>
    <w:p>
      <w:pPr>
        <w:adjustRightInd w:val="0"/>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3.2 合格的投标</w:t>
      </w:r>
      <w:r>
        <w:rPr>
          <w:rFonts w:hint="eastAsia" w:ascii="仿宋" w:hAnsi="仿宋" w:eastAsia="仿宋" w:cs="宋体"/>
          <w:snapToGrid w:val="0"/>
          <w:kern w:val="0"/>
          <w:sz w:val="24"/>
          <w:highlight w:val="none"/>
          <w:lang w:eastAsia="zh-CN"/>
        </w:rPr>
        <w:t>货物和</w:t>
      </w:r>
      <w:r>
        <w:rPr>
          <w:rFonts w:hint="eastAsia" w:ascii="仿宋" w:hAnsi="仿宋" w:eastAsia="仿宋" w:cs="宋体"/>
          <w:snapToGrid w:val="0"/>
          <w:kern w:val="0"/>
          <w:sz w:val="24"/>
          <w:highlight w:val="none"/>
        </w:rPr>
        <w:t>服务，所述的“</w:t>
      </w:r>
      <w:r>
        <w:rPr>
          <w:rFonts w:hint="eastAsia" w:ascii="仿宋" w:hAnsi="仿宋" w:eastAsia="仿宋" w:cs="宋体"/>
          <w:snapToGrid w:val="0"/>
          <w:kern w:val="0"/>
          <w:sz w:val="24"/>
          <w:highlight w:val="none"/>
          <w:lang w:eastAsia="zh-CN"/>
        </w:rPr>
        <w:t>货物和</w:t>
      </w:r>
      <w:r>
        <w:rPr>
          <w:rFonts w:hint="eastAsia" w:ascii="仿宋" w:hAnsi="仿宋" w:eastAsia="仿宋" w:cs="宋体"/>
          <w:snapToGrid w:val="0"/>
          <w:kern w:val="0"/>
          <w:sz w:val="24"/>
          <w:highlight w:val="none"/>
        </w:rPr>
        <w:t>服务”是指</w:t>
      </w:r>
      <w:r>
        <w:rPr>
          <w:rFonts w:hint="eastAsia" w:ascii="仿宋" w:hAnsi="仿宋" w:eastAsia="仿宋" w:cs="宋体"/>
          <w:sz w:val="24"/>
          <w:highlight w:val="none"/>
        </w:rPr>
        <w:t>招标文件和合同规定中标人须承担的</w:t>
      </w:r>
      <w:r>
        <w:rPr>
          <w:rFonts w:hint="eastAsia" w:ascii="仿宋" w:hAnsi="仿宋" w:eastAsia="仿宋" w:cs="宋体"/>
          <w:sz w:val="24"/>
          <w:highlight w:val="none"/>
          <w:lang w:eastAsia="zh-CN"/>
        </w:rPr>
        <w:t>货物和服务</w:t>
      </w:r>
      <w:r>
        <w:rPr>
          <w:rFonts w:hint="eastAsia" w:ascii="仿宋" w:hAnsi="仿宋" w:eastAsia="仿宋" w:cs="宋体"/>
          <w:sz w:val="24"/>
          <w:highlight w:val="none"/>
        </w:rPr>
        <w:t>的义务。</w:t>
      </w:r>
    </w:p>
    <w:p>
      <w:pPr>
        <w:adjustRightInd w:val="0"/>
        <w:snapToGrid w:val="0"/>
        <w:spacing w:line="360" w:lineRule="auto"/>
        <w:ind w:firstLine="482" w:firstLineChars="200"/>
        <w:rPr>
          <w:rFonts w:ascii="仿宋" w:hAnsi="仿宋" w:eastAsia="仿宋" w:cs="宋体"/>
          <w:b/>
          <w:snapToGrid w:val="0"/>
          <w:kern w:val="0"/>
          <w:sz w:val="24"/>
          <w:highlight w:val="none"/>
        </w:rPr>
      </w:pPr>
      <w:r>
        <w:rPr>
          <w:rFonts w:hint="eastAsia" w:ascii="仿宋" w:hAnsi="仿宋" w:eastAsia="仿宋" w:cs="宋体"/>
          <w:b/>
          <w:snapToGrid w:val="0"/>
          <w:kern w:val="0"/>
          <w:sz w:val="24"/>
          <w:highlight w:val="none"/>
        </w:rPr>
        <w:t>4．相关说明</w:t>
      </w:r>
    </w:p>
    <w:p>
      <w:pPr>
        <w:adjustRightInd w:val="0"/>
        <w:snapToGrid w:val="0"/>
        <w:spacing w:line="360" w:lineRule="auto"/>
        <w:ind w:firstLine="480" w:firstLineChars="200"/>
        <w:rPr>
          <w:rFonts w:ascii="仿宋" w:hAnsi="仿宋" w:eastAsia="仿宋" w:cs="宋体"/>
          <w:snapToGrid w:val="0"/>
          <w:kern w:val="0"/>
          <w:sz w:val="24"/>
          <w:highlight w:val="none"/>
        </w:rPr>
      </w:pPr>
      <w:bookmarkStart w:id="15" w:name="_Toc294777232"/>
      <w:bookmarkStart w:id="16" w:name="_Toc251566651"/>
      <w:bookmarkStart w:id="17" w:name="_Toc240450078"/>
      <w:r>
        <w:rPr>
          <w:rFonts w:hint="eastAsia" w:ascii="仿宋" w:hAnsi="仿宋" w:eastAsia="仿宋" w:cs="宋体"/>
          <w:snapToGrid w:val="0"/>
          <w:kern w:val="0"/>
          <w:sz w:val="24"/>
          <w:highlight w:val="none"/>
        </w:rPr>
        <w:t>4.1 投标费用</w:t>
      </w:r>
    </w:p>
    <w:p>
      <w:pPr>
        <w:adjustRightInd w:val="0"/>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供应商应承担其参加投标所涉及的一切费用，不管投标结果如何，采购人与代理机构对这些费用不负任何责任。</w:t>
      </w:r>
    </w:p>
    <w:p>
      <w:pPr>
        <w:adjustRightInd w:val="0"/>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4.2 供应商在投标活动中提供任何虚假材料或从事其他违法活动的,其投标无效，并报监管部门查处。</w:t>
      </w:r>
    </w:p>
    <w:p>
      <w:pPr>
        <w:adjustRightInd w:val="0"/>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4.3 供应商应仔细阅读招标文件的所有内容，按照招标文件的要求提交投标文件。投标文件应对招标文件的要求作出实质性响应，并对所提供的全部资料的真实性承担法律责任。</w:t>
      </w:r>
    </w:p>
    <w:p>
      <w:pPr>
        <w:pStyle w:val="3"/>
        <w:snapToGrid w:val="0"/>
        <w:spacing w:before="0" w:after="0" w:line="360" w:lineRule="auto"/>
        <w:rPr>
          <w:rFonts w:ascii="仿宋" w:hAnsi="仿宋" w:eastAsia="仿宋" w:cs="宋体"/>
          <w:snapToGrid w:val="0"/>
          <w:kern w:val="0"/>
          <w:sz w:val="24"/>
          <w:szCs w:val="24"/>
          <w:highlight w:val="none"/>
        </w:rPr>
      </w:pPr>
      <w:bookmarkStart w:id="18" w:name="_Toc18776"/>
      <w:bookmarkStart w:id="19" w:name="_Toc5624547"/>
      <w:r>
        <w:rPr>
          <w:rFonts w:hint="eastAsia" w:ascii="仿宋" w:hAnsi="仿宋" w:eastAsia="仿宋" w:cs="宋体"/>
          <w:snapToGrid w:val="0"/>
          <w:kern w:val="0"/>
          <w:sz w:val="24"/>
          <w:szCs w:val="24"/>
          <w:highlight w:val="none"/>
        </w:rPr>
        <w:t>二、招标文件</w:t>
      </w:r>
      <w:bookmarkEnd w:id="15"/>
      <w:bookmarkEnd w:id="16"/>
      <w:bookmarkEnd w:id="17"/>
      <w:bookmarkEnd w:id="18"/>
      <w:bookmarkEnd w:id="19"/>
    </w:p>
    <w:p>
      <w:pPr>
        <w:adjustRightInd w:val="0"/>
        <w:snapToGrid w:val="0"/>
        <w:spacing w:line="360" w:lineRule="auto"/>
        <w:ind w:firstLine="482" w:firstLineChars="200"/>
        <w:rPr>
          <w:rFonts w:ascii="仿宋" w:hAnsi="仿宋" w:eastAsia="仿宋" w:cs="宋体"/>
          <w:b/>
          <w:snapToGrid w:val="0"/>
          <w:kern w:val="0"/>
          <w:sz w:val="24"/>
          <w:highlight w:val="none"/>
        </w:rPr>
      </w:pPr>
      <w:r>
        <w:rPr>
          <w:rFonts w:hint="eastAsia" w:ascii="仿宋" w:hAnsi="仿宋" w:eastAsia="仿宋" w:cs="宋体"/>
          <w:b/>
          <w:snapToGrid w:val="0"/>
          <w:kern w:val="0"/>
          <w:sz w:val="24"/>
          <w:highlight w:val="none"/>
        </w:rPr>
        <w:t>5．招标文件构成</w:t>
      </w:r>
    </w:p>
    <w:p>
      <w:pPr>
        <w:adjustRightInd w:val="0"/>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5.1 本招标文件包括目录所示内容及所有按本须知第6、7条发出的补充资料。</w:t>
      </w:r>
    </w:p>
    <w:p>
      <w:pPr>
        <w:adjustRightInd w:val="0"/>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5.2 除上述所列内容外，采购人和采购代理机构的任何工作人员对供应商所作的任何口头解释、介绍、答复，只能供供应商参考，对采购人、采购代理机构和供应商无任何约束力。</w:t>
      </w:r>
    </w:p>
    <w:p>
      <w:pPr>
        <w:adjustRightInd w:val="0"/>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5.3 招标文件是招标过程进行的有效依据，也是中标后签订合同的依据，对双方均具有约束力，凡不遵守招标文件规定或对招标文件的实质性内容不响应的，将可能被拒绝或以无效标处理。</w:t>
      </w:r>
    </w:p>
    <w:p>
      <w:pPr>
        <w:adjustRightInd w:val="0"/>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5.4 本招标文件由采购人或采购代理机构依据相关法律、法规、规章、省市规定及招标文件进行解释。</w:t>
      </w:r>
    </w:p>
    <w:p>
      <w:pPr>
        <w:adjustRightInd w:val="0"/>
        <w:snapToGrid w:val="0"/>
        <w:spacing w:line="360" w:lineRule="auto"/>
        <w:ind w:firstLine="482" w:firstLineChars="200"/>
        <w:rPr>
          <w:rFonts w:ascii="仿宋" w:hAnsi="仿宋" w:eastAsia="仿宋" w:cs="宋体"/>
          <w:b/>
          <w:snapToGrid w:val="0"/>
          <w:kern w:val="0"/>
          <w:sz w:val="24"/>
          <w:highlight w:val="none"/>
        </w:rPr>
      </w:pPr>
      <w:r>
        <w:rPr>
          <w:rFonts w:hint="eastAsia" w:ascii="仿宋" w:hAnsi="仿宋" w:eastAsia="仿宋" w:cs="宋体"/>
          <w:b/>
          <w:snapToGrid w:val="0"/>
          <w:kern w:val="0"/>
          <w:sz w:val="24"/>
          <w:highlight w:val="none"/>
        </w:rPr>
        <w:t>6．招标文件的澄清</w:t>
      </w:r>
    </w:p>
    <w:p>
      <w:pPr>
        <w:adjustRightInd w:val="0"/>
        <w:snapToGrid w:val="0"/>
        <w:spacing w:line="360" w:lineRule="auto"/>
        <w:ind w:firstLine="480" w:firstLineChars="200"/>
        <w:rPr>
          <w:rFonts w:ascii="仿宋" w:hAnsi="仿宋" w:eastAsia="仿宋" w:cs="仿宋"/>
          <w:sz w:val="24"/>
          <w:szCs w:val="20"/>
          <w:highlight w:val="none"/>
        </w:rPr>
      </w:pPr>
      <w:r>
        <w:rPr>
          <w:rFonts w:hint="eastAsia" w:ascii="仿宋" w:hAnsi="仿宋" w:eastAsia="仿宋" w:cs="仿宋"/>
          <w:sz w:val="24"/>
          <w:szCs w:val="20"/>
          <w:highlight w:val="none"/>
        </w:rPr>
        <w:t>6.1 已获取招标文件的潜在投标人，若有问题需要澄清，应于获取招标文件之日起七个工作日内，以书面形式向代理机构提出，代理机构与采购人研究后，对认为有必要回答的问题，将以书面解答形式通知所有招标文件收受人。规定时间以后提出的疑问将不予受理、答复。</w:t>
      </w:r>
    </w:p>
    <w:p>
      <w:pPr>
        <w:pStyle w:val="111"/>
        <w:snapToGrid w:val="0"/>
        <w:spacing w:before="0"/>
        <w:ind w:firstLine="480"/>
        <w:rPr>
          <w:rFonts w:ascii="仿宋" w:hAnsi="仿宋" w:eastAsia="仿宋" w:cs="仿宋"/>
          <w:highlight w:val="none"/>
        </w:rPr>
      </w:pPr>
      <w:r>
        <w:rPr>
          <w:rFonts w:ascii="仿宋" w:hAnsi="仿宋" w:eastAsia="仿宋" w:cs="仿宋"/>
          <w:highlight w:val="none"/>
        </w:rPr>
        <w:t>6</w:t>
      </w:r>
      <w:r>
        <w:rPr>
          <w:rFonts w:hint="eastAsia" w:ascii="仿宋" w:hAnsi="仿宋" w:eastAsia="仿宋" w:cs="仿宋"/>
          <w:highlight w:val="none"/>
        </w:rPr>
        <w:t>.2代理机构如对已发出的招标文件进行必要澄清或者修改的，将在发布招标公告的网站上发布更正公告，并通知所有招标文件收受人，同时视情况延长投标截止时间和开标时间。该澄清或者修改的内容为招标文件的组成部分。</w:t>
      </w:r>
    </w:p>
    <w:p>
      <w:pPr>
        <w:pStyle w:val="111"/>
        <w:snapToGrid w:val="0"/>
        <w:spacing w:before="0"/>
        <w:ind w:firstLine="480"/>
        <w:rPr>
          <w:rFonts w:ascii="仿宋" w:hAnsi="仿宋" w:eastAsia="仿宋" w:cs="仿宋"/>
          <w:szCs w:val="24"/>
          <w:highlight w:val="none"/>
        </w:rPr>
      </w:pPr>
      <w:r>
        <w:rPr>
          <w:rFonts w:ascii="仿宋" w:hAnsi="仿宋" w:eastAsia="仿宋" w:cs="仿宋"/>
          <w:highlight w:val="none"/>
        </w:rPr>
        <w:t>6</w:t>
      </w:r>
      <w:r>
        <w:rPr>
          <w:rFonts w:hint="eastAsia" w:ascii="仿宋" w:hAnsi="仿宋" w:eastAsia="仿宋" w:cs="仿宋"/>
          <w:highlight w:val="none"/>
        </w:rPr>
        <w:t>.3不论代理机构向投标人发送的资料文件，还是投标人提出的问题，均采用书面形式。</w:t>
      </w:r>
    </w:p>
    <w:p>
      <w:pPr>
        <w:adjustRightInd w:val="0"/>
        <w:snapToGrid w:val="0"/>
        <w:spacing w:line="360" w:lineRule="auto"/>
        <w:ind w:firstLine="482" w:firstLineChars="200"/>
        <w:rPr>
          <w:rFonts w:ascii="仿宋" w:hAnsi="仿宋" w:eastAsia="仿宋" w:cs="宋体"/>
          <w:b/>
          <w:snapToGrid w:val="0"/>
          <w:kern w:val="0"/>
          <w:sz w:val="24"/>
          <w:highlight w:val="none"/>
        </w:rPr>
      </w:pPr>
      <w:r>
        <w:rPr>
          <w:rFonts w:hint="eastAsia" w:ascii="仿宋" w:hAnsi="仿宋" w:eastAsia="仿宋" w:cs="宋体"/>
          <w:b/>
          <w:snapToGrid w:val="0"/>
          <w:kern w:val="0"/>
          <w:sz w:val="24"/>
          <w:highlight w:val="none"/>
        </w:rPr>
        <w:t>7．招标文件的修改</w:t>
      </w:r>
    </w:p>
    <w:p>
      <w:pPr>
        <w:pStyle w:val="111"/>
        <w:snapToGrid w:val="0"/>
        <w:spacing w:before="0"/>
        <w:ind w:firstLine="480"/>
        <w:rPr>
          <w:rFonts w:ascii="仿宋" w:hAnsi="仿宋" w:eastAsia="仿宋" w:cs="仿宋"/>
          <w:highlight w:val="none"/>
        </w:rPr>
      </w:pPr>
      <w:r>
        <w:rPr>
          <w:rFonts w:hint="eastAsia" w:ascii="仿宋" w:hAnsi="仿宋" w:eastAsia="仿宋" w:cs="宋体"/>
          <w:snapToGrid w:val="0"/>
          <w:kern w:val="0"/>
          <w:highlight w:val="none"/>
        </w:rPr>
        <w:t xml:space="preserve">7.1 </w:t>
      </w:r>
      <w:r>
        <w:rPr>
          <w:rFonts w:hint="eastAsia" w:ascii="仿宋" w:hAnsi="仿宋" w:eastAsia="仿宋" w:cs="仿宋"/>
          <w:highlight w:val="none"/>
        </w:rPr>
        <w:t>从招标文件发出至投标截止时间日前，代理机构可能会以补充通知的方式修改招标文件。补充通知作为招标文件的组成部分，以书面形式同时发给所有招标文件的收受人。</w:t>
      </w:r>
    </w:p>
    <w:p>
      <w:pPr>
        <w:adjustRightInd w:val="0"/>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7.2 招标文件的修改将以书面形式，包括邮寄、传真和电传，通知所有购买招标文件的供应商，并对其具有约束力。供应商在收到上述通知后，应在24小时内向采购代理机构回函确认。</w:t>
      </w:r>
    </w:p>
    <w:p>
      <w:pPr>
        <w:adjustRightInd w:val="0"/>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7.3 采购代理机构</w:t>
      </w:r>
      <w:r>
        <w:rPr>
          <w:rFonts w:hint="eastAsia" w:ascii="仿宋" w:hAnsi="仿宋" w:eastAsia="仿宋" w:cs="宋体"/>
          <w:bCs/>
          <w:sz w:val="24"/>
          <w:highlight w:val="none"/>
        </w:rPr>
        <w:t>可以视采购具体情况，延长投标截止时间和开标时间，但至少应当在招标文件要求提交投标文件的截止时间三日前，将变更时间书面通知所有招标文件收受人。</w:t>
      </w:r>
    </w:p>
    <w:p>
      <w:pPr>
        <w:adjustRightInd w:val="0"/>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7.4招标文件澄清、答复、修改、补充的内容为招标文件的组成部分。当招标文件与招标文件的答复、澄清、修改、补充通知就同一内容的表述不一致时，以最后发出的书面文件为准。</w:t>
      </w:r>
    </w:p>
    <w:p>
      <w:pPr>
        <w:pStyle w:val="25"/>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7.5招标文件的澄清、答复、修改或补充都应该通过本代理机构以法定形式发布，除此以外的发布不属于招标文件的组成部分。</w:t>
      </w:r>
    </w:p>
    <w:p>
      <w:pPr>
        <w:pStyle w:val="3"/>
        <w:snapToGrid w:val="0"/>
        <w:spacing w:before="0" w:after="0" w:line="360" w:lineRule="auto"/>
        <w:rPr>
          <w:rFonts w:ascii="仿宋" w:hAnsi="仿宋" w:eastAsia="仿宋" w:cs="宋体"/>
          <w:snapToGrid w:val="0"/>
          <w:kern w:val="0"/>
          <w:sz w:val="24"/>
          <w:szCs w:val="24"/>
          <w:highlight w:val="none"/>
        </w:rPr>
      </w:pPr>
      <w:bookmarkStart w:id="20" w:name="_Toc18609"/>
      <w:bookmarkStart w:id="21" w:name="_Toc5624548"/>
      <w:r>
        <w:rPr>
          <w:rFonts w:hint="eastAsia" w:ascii="仿宋" w:hAnsi="仿宋" w:eastAsia="仿宋" w:cs="宋体"/>
          <w:snapToGrid w:val="0"/>
          <w:kern w:val="0"/>
          <w:sz w:val="24"/>
          <w:szCs w:val="24"/>
          <w:highlight w:val="none"/>
        </w:rPr>
        <w:t>三、投标文件的编制</w:t>
      </w:r>
      <w:bookmarkEnd w:id="13"/>
      <w:bookmarkEnd w:id="14"/>
      <w:bookmarkEnd w:id="20"/>
      <w:bookmarkEnd w:id="21"/>
    </w:p>
    <w:p>
      <w:pPr>
        <w:adjustRightInd w:val="0"/>
        <w:snapToGrid w:val="0"/>
        <w:spacing w:line="360" w:lineRule="auto"/>
        <w:ind w:firstLine="482" w:firstLineChars="200"/>
        <w:rPr>
          <w:rFonts w:ascii="仿宋" w:hAnsi="仿宋" w:eastAsia="仿宋" w:cs="宋体"/>
          <w:b/>
          <w:snapToGrid w:val="0"/>
          <w:kern w:val="0"/>
          <w:sz w:val="24"/>
          <w:highlight w:val="none"/>
        </w:rPr>
      </w:pPr>
      <w:r>
        <w:rPr>
          <w:rFonts w:hint="eastAsia" w:ascii="仿宋" w:hAnsi="仿宋" w:eastAsia="仿宋" w:cs="宋体"/>
          <w:b/>
          <w:snapToGrid w:val="0"/>
          <w:kern w:val="0"/>
          <w:sz w:val="24"/>
          <w:highlight w:val="none"/>
        </w:rPr>
        <w:t>供应商应认真阅读招标文件中所有的事项、格式、条款和技术要求等。如果供应商没有按照招标文件要求和规定编制投标文件及提交全部资料，或者投标没有对招标文件中各方面作出实质性响应，其风险应由供应商承担。</w:t>
      </w:r>
    </w:p>
    <w:p>
      <w:pPr>
        <w:adjustRightInd w:val="0"/>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8．投标文件的语言及计量单位</w:t>
      </w:r>
    </w:p>
    <w:p>
      <w:pPr>
        <w:adjustRightInd w:val="0"/>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8.1 投标文件及供应商与采购人和采购代理机构之间与投标有关的来往通知、函件和文件均应使用简体中文。除签名、盖章、专用名称等特殊情形外，以中文汉语以外的文字表述的投标文件视同未提供。供应商提交的支持文件和印刷的文献可以用另一种语言，但相应内容应附有中文翻译文本，在解释投标文件时以中文翻译文本为准。</w:t>
      </w:r>
    </w:p>
    <w:p>
      <w:pPr>
        <w:adjustRightInd w:val="0"/>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8.2 除招标文件另有规定外，投标文件所使用的计量单位，均须采用中华人民共和国法定计量单位，否则视同未响应。</w:t>
      </w:r>
    </w:p>
    <w:p>
      <w:pPr>
        <w:adjustRightInd w:val="0"/>
        <w:snapToGrid w:val="0"/>
        <w:spacing w:line="360" w:lineRule="auto"/>
        <w:ind w:firstLine="482" w:firstLineChars="200"/>
        <w:rPr>
          <w:rFonts w:ascii="仿宋" w:hAnsi="仿宋" w:eastAsia="仿宋" w:cs="宋体"/>
          <w:b/>
          <w:snapToGrid w:val="0"/>
          <w:kern w:val="0"/>
          <w:sz w:val="24"/>
          <w:highlight w:val="none"/>
        </w:rPr>
      </w:pPr>
      <w:r>
        <w:rPr>
          <w:rFonts w:hint="eastAsia" w:ascii="仿宋" w:hAnsi="仿宋" w:eastAsia="仿宋" w:cs="宋体"/>
          <w:b/>
          <w:snapToGrid w:val="0"/>
          <w:kern w:val="0"/>
          <w:sz w:val="24"/>
          <w:highlight w:val="none"/>
        </w:rPr>
        <w:t>9．投标文件构成</w:t>
      </w:r>
    </w:p>
    <w:p>
      <w:pPr>
        <w:snapToGrid w:val="0"/>
        <w:spacing w:line="360" w:lineRule="auto"/>
        <w:ind w:firstLine="240" w:firstLineChars="100"/>
        <w:rPr>
          <w:rFonts w:ascii="仿宋" w:hAnsi="仿宋" w:eastAsia="仿宋" w:cs="宋体"/>
          <w:b/>
          <w:snapToGrid w:val="0"/>
          <w:kern w:val="0"/>
          <w:sz w:val="24"/>
          <w:highlight w:val="none"/>
        </w:rPr>
      </w:pPr>
      <w:r>
        <w:rPr>
          <w:rFonts w:hint="eastAsia" w:ascii="仿宋" w:hAnsi="仿宋" w:eastAsia="仿宋" w:cs="宋体"/>
          <w:snapToGrid w:val="0"/>
          <w:kern w:val="0"/>
          <w:sz w:val="24"/>
          <w:highlight w:val="none"/>
        </w:rPr>
        <w:t>投标文件一般应当包括以下主要内容：</w:t>
      </w:r>
      <w:r>
        <w:rPr>
          <w:rFonts w:hint="eastAsia" w:ascii="仿宋" w:hAnsi="仿宋" w:eastAsia="仿宋" w:cs="宋体"/>
          <w:b/>
          <w:snapToGrid w:val="0"/>
          <w:kern w:val="0"/>
          <w:sz w:val="24"/>
          <w:highlight w:val="none"/>
        </w:rPr>
        <w:t>报价文件</w:t>
      </w:r>
      <w:r>
        <w:rPr>
          <w:rFonts w:hint="eastAsia" w:ascii="仿宋" w:hAnsi="仿宋" w:eastAsia="仿宋" w:cs="宋体"/>
          <w:b/>
          <w:snapToGrid w:val="0"/>
          <w:kern w:val="0"/>
          <w:sz w:val="24"/>
          <w:highlight w:val="none"/>
          <w:lang w:eastAsia="zh-CN"/>
        </w:rPr>
        <w:t>、</w:t>
      </w:r>
      <w:r>
        <w:rPr>
          <w:rFonts w:hint="eastAsia" w:ascii="仿宋" w:hAnsi="仿宋" w:eastAsia="仿宋" w:cs="宋体"/>
          <w:b/>
          <w:snapToGrid w:val="0"/>
          <w:kern w:val="0"/>
          <w:sz w:val="24"/>
          <w:highlight w:val="none"/>
        </w:rPr>
        <w:t>商务技术文件</w:t>
      </w:r>
      <w:r>
        <w:rPr>
          <w:rFonts w:hint="eastAsia" w:ascii="仿宋" w:hAnsi="仿宋" w:eastAsia="仿宋" w:cs="宋体"/>
          <w:b/>
          <w:snapToGrid w:val="0"/>
          <w:kern w:val="0"/>
          <w:sz w:val="24"/>
          <w:highlight w:val="none"/>
          <w:lang w:eastAsia="zh-CN"/>
        </w:rPr>
        <w:t>和</w:t>
      </w:r>
      <w:r>
        <w:rPr>
          <w:rFonts w:hint="eastAsia" w:ascii="仿宋" w:hAnsi="仿宋" w:eastAsia="仿宋" w:cs="宋体"/>
          <w:b/>
          <w:snapToGrid w:val="0"/>
          <w:kern w:val="0"/>
          <w:sz w:val="24"/>
          <w:highlight w:val="none"/>
        </w:rPr>
        <w:t>资格文件组成。</w:t>
      </w:r>
    </w:p>
    <w:p>
      <w:pPr>
        <w:snapToGrid w:val="0"/>
        <w:spacing w:line="360" w:lineRule="auto"/>
        <w:rPr>
          <w:rFonts w:ascii="仿宋" w:hAnsi="仿宋" w:eastAsia="仿宋" w:cs="宋体"/>
          <w:sz w:val="24"/>
          <w:highlight w:val="none"/>
        </w:rPr>
      </w:pPr>
      <w:r>
        <w:rPr>
          <w:rFonts w:hint="eastAsia" w:ascii="仿宋" w:hAnsi="仿宋" w:eastAsia="仿宋" w:cs="宋体"/>
          <w:sz w:val="24"/>
          <w:highlight w:val="none"/>
        </w:rPr>
        <w:t xml:space="preserve">    9.1 投标供应商的商务报价文件应至少包括以下内容（均需加盖公章）：</w:t>
      </w:r>
    </w:p>
    <w:p>
      <w:pPr>
        <w:spacing w:line="288" w:lineRule="auto"/>
        <w:ind w:firstLine="398" w:firstLineChars="200"/>
        <w:jc w:val="left"/>
        <w:rPr>
          <w:rFonts w:hint="eastAsia" w:ascii="宋体" w:hAnsi="宋体"/>
          <w:b/>
          <w:spacing w:val="-6"/>
          <w:sz w:val="21"/>
          <w:szCs w:val="21"/>
          <w:highlight w:val="none"/>
        </w:rPr>
      </w:pPr>
      <w:bookmarkStart w:id="22" w:name="_Toc240450080"/>
      <w:bookmarkStart w:id="23" w:name="_Toc5624549"/>
      <w:bookmarkStart w:id="24" w:name="_Toc251566653"/>
      <w:r>
        <w:rPr>
          <w:rFonts w:ascii="宋体" w:hAnsi="宋体"/>
          <w:b/>
          <w:spacing w:val="-6"/>
          <w:sz w:val="21"/>
          <w:szCs w:val="21"/>
          <w:highlight w:val="none"/>
        </w:rPr>
        <w:t>1</w:t>
      </w:r>
      <w:r>
        <w:rPr>
          <w:rFonts w:hint="eastAsia" w:ascii="宋体" w:hAnsi="宋体"/>
          <w:b/>
          <w:spacing w:val="-6"/>
          <w:sz w:val="21"/>
          <w:szCs w:val="21"/>
          <w:highlight w:val="none"/>
          <w:lang w:eastAsia="zh-CN"/>
        </w:rPr>
        <w:t>、</w:t>
      </w:r>
      <w:r>
        <w:rPr>
          <w:rFonts w:hint="eastAsia" w:ascii="宋体" w:hAnsi="宋体"/>
          <w:b/>
          <w:spacing w:val="-6"/>
          <w:sz w:val="21"/>
          <w:szCs w:val="21"/>
          <w:highlight w:val="none"/>
        </w:rPr>
        <w:t>报价文件：（单独密封，</w:t>
      </w:r>
      <w:r>
        <w:rPr>
          <w:rFonts w:ascii="宋体" w:hAnsi="宋体"/>
          <w:b/>
          <w:spacing w:val="-6"/>
          <w:sz w:val="21"/>
          <w:szCs w:val="21"/>
          <w:highlight w:val="none"/>
        </w:rPr>
        <w:t>如开标时发生报价泄露</w:t>
      </w:r>
      <w:r>
        <w:rPr>
          <w:rFonts w:hint="eastAsia" w:ascii="宋体" w:hAnsi="宋体"/>
          <w:b/>
          <w:spacing w:val="-6"/>
          <w:sz w:val="21"/>
          <w:szCs w:val="21"/>
          <w:highlight w:val="none"/>
        </w:rPr>
        <w:t>，</w:t>
      </w:r>
      <w:r>
        <w:rPr>
          <w:rFonts w:ascii="宋体" w:hAnsi="宋体"/>
          <w:b/>
          <w:spacing w:val="-6"/>
          <w:sz w:val="21"/>
          <w:szCs w:val="21"/>
          <w:highlight w:val="none"/>
        </w:rPr>
        <w:t>自行承担相关责任</w:t>
      </w:r>
      <w:r>
        <w:rPr>
          <w:rFonts w:hint="eastAsia" w:ascii="宋体" w:hAnsi="宋体"/>
          <w:b/>
          <w:spacing w:val="-6"/>
          <w:sz w:val="21"/>
          <w:szCs w:val="21"/>
          <w:highlight w:val="none"/>
        </w:rPr>
        <w:t>）</w:t>
      </w:r>
    </w:p>
    <w:p>
      <w:pPr>
        <w:snapToGrid w:val="0"/>
        <w:spacing w:line="360" w:lineRule="auto"/>
        <w:rPr>
          <w:rFonts w:hint="eastAsia" w:ascii="仿宋" w:hAnsi="仿宋" w:eastAsia="仿宋" w:cs="宋体"/>
          <w:sz w:val="24"/>
          <w:highlight w:val="none"/>
        </w:rPr>
      </w:pPr>
      <w:r>
        <w:rPr>
          <w:rFonts w:hint="eastAsia" w:ascii="仿宋" w:hAnsi="仿宋" w:eastAsia="仿宋" w:cs="宋体"/>
          <w:sz w:val="24"/>
          <w:highlight w:val="none"/>
        </w:rPr>
        <w:t>（1）开标一览表</w:t>
      </w:r>
    </w:p>
    <w:p>
      <w:pPr>
        <w:snapToGrid w:val="0"/>
        <w:spacing w:line="360" w:lineRule="auto"/>
        <w:rPr>
          <w:rFonts w:hint="eastAsia" w:ascii="仿宋" w:hAnsi="仿宋" w:eastAsia="仿宋" w:cs="宋体"/>
          <w:sz w:val="24"/>
          <w:highlight w:val="none"/>
        </w:rPr>
      </w:pPr>
      <w:r>
        <w:rPr>
          <w:rFonts w:hint="eastAsia" w:ascii="仿宋" w:hAnsi="仿宋" w:eastAsia="仿宋" w:cs="宋体"/>
          <w:sz w:val="24"/>
          <w:highlight w:val="none"/>
        </w:rPr>
        <w:t>（2）投标报价明细表</w:t>
      </w:r>
    </w:p>
    <w:p>
      <w:pPr>
        <w:snapToGrid w:val="0"/>
        <w:spacing w:line="360" w:lineRule="auto"/>
        <w:rPr>
          <w:rFonts w:hint="eastAsia" w:ascii="仿宋" w:hAnsi="仿宋" w:eastAsia="仿宋" w:cs="宋体"/>
          <w:sz w:val="24"/>
          <w:highlight w:val="none"/>
          <w:lang w:eastAsia="zh-CN"/>
        </w:rPr>
      </w:pPr>
      <w:r>
        <w:rPr>
          <w:rFonts w:hint="eastAsia" w:ascii="仿宋" w:hAnsi="仿宋" w:eastAsia="仿宋" w:cs="宋体"/>
          <w:sz w:val="24"/>
          <w:highlight w:val="none"/>
          <w:lang w:eastAsia="zh-CN"/>
        </w:rPr>
        <w:t>（</w:t>
      </w:r>
      <w:r>
        <w:rPr>
          <w:rFonts w:hint="eastAsia" w:ascii="仿宋" w:hAnsi="仿宋" w:eastAsia="仿宋" w:cs="宋体"/>
          <w:sz w:val="24"/>
          <w:highlight w:val="none"/>
          <w:lang w:val="en-US" w:eastAsia="zh-CN"/>
        </w:rPr>
        <w:t>3</w:t>
      </w:r>
      <w:r>
        <w:rPr>
          <w:rFonts w:hint="eastAsia" w:ascii="仿宋" w:hAnsi="仿宋" w:eastAsia="仿宋" w:cs="宋体"/>
          <w:sz w:val="24"/>
          <w:highlight w:val="none"/>
          <w:lang w:eastAsia="zh-CN"/>
        </w:rPr>
        <w:t>）中小企业声明函（如有）</w:t>
      </w:r>
    </w:p>
    <w:p>
      <w:pPr>
        <w:spacing w:line="288" w:lineRule="auto"/>
        <w:ind w:firstLine="396" w:firstLineChars="200"/>
        <w:jc w:val="left"/>
        <w:rPr>
          <w:rFonts w:ascii="宋体" w:hAnsi="宋体"/>
          <w:b/>
          <w:spacing w:val="-6"/>
          <w:sz w:val="21"/>
          <w:szCs w:val="21"/>
          <w:highlight w:val="none"/>
        </w:rPr>
      </w:pPr>
      <w:r>
        <w:rPr>
          <w:rFonts w:ascii="宋体" w:hAnsi="宋体"/>
          <w:spacing w:val="-6"/>
          <w:sz w:val="21"/>
          <w:szCs w:val="21"/>
          <w:highlight w:val="none"/>
        </w:rPr>
        <w:t>▲</w:t>
      </w:r>
      <w:r>
        <w:rPr>
          <w:rFonts w:hint="eastAsia" w:ascii="宋体" w:hAnsi="宋体"/>
          <w:b/>
          <w:spacing w:val="-6"/>
          <w:sz w:val="21"/>
          <w:szCs w:val="21"/>
          <w:highlight w:val="none"/>
        </w:rPr>
        <w:t>2</w:t>
      </w:r>
      <w:r>
        <w:rPr>
          <w:rFonts w:hint="eastAsia" w:ascii="宋体" w:hAnsi="宋体"/>
          <w:b/>
          <w:spacing w:val="-6"/>
          <w:sz w:val="21"/>
          <w:szCs w:val="21"/>
          <w:highlight w:val="none"/>
          <w:lang w:eastAsia="zh-CN"/>
        </w:rPr>
        <w:t>、</w:t>
      </w:r>
      <w:r>
        <w:rPr>
          <w:rFonts w:hint="eastAsia" w:hAnsi="宋体"/>
          <w:b/>
          <w:spacing w:val="-6"/>
          <w:sz w:val="21"/>
          <w:szCs w:val="21"/>
          <w:highlight w:val="none"/>
        </w:rPr>
        <w:t>资格文件：</w:t>
      </w:r>
    </w:p>
    <w:p>
      <w:pPr>
        <w:spacing w:line="288" w:lineRule="auto"/>
        <w:ind w:firstLine="398" w:firstLineChars="200"/>
        <w:jc w:val="left"/>
        <w:rPr>
          <w:rFonts w:hint="eastAsia" w:ascii="宋体" w:hAnsi="宋体"/>
          <w:b/>
          <w:spacing w:val="-6"/>
          <w:sz w:val="21"/>
          <w:szCs w:val="21"/>
          <w:highlight w:val="none"/>
        </w:rPr>
      </w:pPr>
      <w:r>
        <w:rPr>
          <w:rFonts w:hint="eastAsia" w:ascii="宋体" w:hAnsi="宋体"/>
          <w:b/>
          <w:spacing w:val="-6"/>
          <w:sz w:val="21"/>
          <w:szCs w:val="21"/>
          <w:highlight w:val="none"/>
        </w:rPr>
        <w:t>资格审查要求的资格证明材料(均需加盖公章)：</w:t>
      </w:r>
    </w:p>
    <w:p>
      <w:pPr>
        <w:snapToGrid w:val="0"/>
        <w:spacing w:line="360" w:lineRule="auto"/>
        <w:rPr>
          <w:rFonts w:hint="eastAsia" w:ascii="仿宋" w:hAnsi="仿宋" w:eastAsia="仿宋" w:cs="宋体"/>
          <w:sz w:val="24"/>
          <w:highlight w:val="none"/>
        </w:rPr>
      </w:pPr>
      <w:r>
        <w:rPr>
          <w:rFonts w:hint="eastAsia" w:ascii="仿宋" w:hAnsi="仿宋" w:eastAsia="仿宋" w:cs="宋体"/>
          <w:sz w:val="24"/>
          <w:highlight w:val="none"/>
        </w:rPr>
        <w:t>（1）有效的法人或者其他组织的营业执照等证明文件（复印件），自然人的身份证明；</w:t>
      </w:r>
    </w:p>
    <w:p>
      <w:pPr>
        <w:snapToGrid w:val="0"/>
        <w:spacing w:line="360" w:lineRule="auto"/>
        <w:rPr>
          <w:rFonts w:hint="eastAsia" w:ascii="仿宋" w:hAnsi="仿宋" w:eastAsia="仿宋" w:cs="宋体"/>
          <w:sz w:val="24"/>
          <w:highlight w:val="none"/>
          <w:lang w:eastAsia="zh-CN"/>
        </w:rPr>
      </w:pPr>
      <w:r>
        <w:rPr>
          <w:rFonts w:hint="eastAsia" w:ascii="仿宋" w:hAnsi="仿宋" w:eastAsia="仿宋" w:cs="宋体"/>
          <w:sz w:val="24"/>
          <w:highlight w:val="none"/>
        </w:rPr>
        <w:t>（2）符合参加政府采购活动应当具备的一般条件的承诺函</w:t>
      </w:r>
      <w:r>
        <w:rPr>
          <w:rFonts w:hint="eastAsia" w:ascii="仿宋" w:hAnsi="仿宋" w:eastAsia="仿宋" w:cs="宋体"/>
          <w:sz w:val="24"/>
          <w:highlight w:val="none"/>
          <w:lang w:eastAsia="zh-CN"/>
        </w:rPr>
        <w:t>；</w:t>
      </w:r>
    </w:p>
    <w:p>
      <w:pPr>
        <w:snapToGrid w:val="0"/>
        <w:spacing w:line="360" w:lineRule="auto"/>
        <w:rPr>
          <w:rFonts w:hint="eastAsia" w:ascii="仿宋" w:hAnsi="仿宋" w:eastAsia="仿宋" w:cs="宋体"/>
          <w:sz w:val="24"/>
          <w:highlight w:val="none"/>
          <w:lang w:eastAsia="zh-CN"/>
        </w:rPr>
      </w:pPr>
      <w:r>
        <w:rPr>
          <w:rFonts w:hint="eastAsia" w:ascii="仿宋" w:hAnsi="仿宋" w:eastAsia="仿宋" w:cs="宋体"/>
          <w:sz w:val="24"/>
          <w:highlight w:val="none"/>
        </w:rPr>
        <w:t>（</w:t>
      </w:r>
      <w:r>
        <w:rPr>
          <w:rFonts w:hint="eastAsia" w:ascii="仿宋" w:hAnsi="仿宋" w:eastAsia="仿宋" w:cs="宋体"/>
          <w:sz w:val="24"/>
          <w:highlight w:val="none"/>
          <w:lang w:val="en-US" w:eastAsia="zh-CN"/>
        </w:rPr>
        <w:t>3</w:t>
      </w:r>
      <w:r>
        <w:rPr>
          <w:rFonts w:hint="eastAsia" w:ascii="仿宋" w:hAnsi="仿宋" w:eastAsia="仿宋" w:cs="宋体"/>
          <w:sz w:val="24"/>
          <w:highlight w:val="none"/>
        </w:rPr>
        <w:t>）联合协议</w:t>
      </w:r>
      <w:r>
        <w:rPr>
          <w:rFonts w:hint="eastAsia" w:ascii="仿宋" w:hAnsi="仿宋" w:eastAsia="仿宋" w:cs="宋体"/>
          <w:sz w:val="24"/>
          <w:highlight w:val="none"/>
          <w:lang w:eastAsia="zh-CN"/>
        </w:rPr>
        <w:t>（如有）；</w:t>
      </w:r>
    </w:p>
    <w:p>
      <w:pPr>
        <w:snapToGrid w:val="0"/>
        <w:spacing w:line="360" w:lineRule="auto"/>
        <w:rPr>
          <w:rFonts w:hint="eastAsia" w:ascii="仿宋" w:hAnsi="仿宋" w:eastAsia="仿宋" w:cs="宋体"/>
          <w:sz w:val="24"/>
          <w:highlight w:val="none"/>
        </w:rPr>
      </w:pPr>
      <w:r>
        <w:rPr>
          <w:rFonts w:hint="eastAsia" w:ascii="仿宋" w:hAnsi="仿宋" w:eastAsia="仿宋" w:cs="宋体"/>
          <w:sz w:val="24"/>
          <w:highlight w:val="none"/>
        </w:rPr>
        <w:t>（</w:t>
      </w:r>
      <w:r>
        <w:rPr>
          <w:rFonts w:hint="eastAsia" w:ascii="仿宋" w:hAnsi="仿宋" w:eastAsia="仿宋" w:cs="宋体"/>
          <w:sz w:val="24"/>
          <w:highlight w:val="none"/>
          <w:lang w:val="en-US" w:eastAsia="zh-CN"/>
        </w:rPr>
        <w:t>4</w:t>
      </w:r>
      <w:r>
        <w:rPr>
          <w:rFonts w:hint="eastAsia" w:ascii="仿宋" w:hAnsi="仿宋" w:eastAsia="仿宋" w:cs="宋体"/>
          <w:sz w:val="24"/>
          <w:highlight w:val="none"/>
        </w:rPr>
        <w:t>）投标人特定资格条件。</w:t>
      </w:r>
    </w:p>
    <w:p>
      <w:pPr>
        <w:spacing w:line="288" w:lineRule="auto"/>
        <w:ind w:firstLine="398" w:firstLineChars="200"/>
        <w:jc w:val="left"/>
        <w:rPr>
          <w:rFonts w:ascii="宋体" w:hAnsi="宋体"/>
          <w:spacing w:val="-6"/>
          <w:sz w:val="21"/>
          <w:szCs w:val="21"/>
          <w:highlight w:val="none"/>
        </w:rPr>
      </w:pPr>
      <w:r>
        <w:rPr>
          <w:rFonts w:hint="eastAsia" w:ascii="宋体" w:hAnsi="宋体"/>
          <w:b/>
          <w:spacing w:val="-6"/>
          <w:sz w:val="21"/>
          <w:szCs w:val="21"/>
          <w:highlight w:val="none"/>
          <w:lang w:val="en-US" w:eastAsia="zh-CN"/>
        </w:rPr>
        <w:t>3、</w:t>
      </w:r>
      <w:r>
        <w:rPr>
          <w:rFonts w:hint="eastAsia" w:ascii="宋体" w:hAnsi="宋体"/>
          <w:b/>
          <w:spacing w:val="-6"/>
          <w:sz w:val="21"/>
          <w:szCs w:val="21"/>
          <w:highlight w:val="none"/>
        </w:rPr>
        <w:t>商务和技术文件：</w:t>
      </w:r>
    </w:p>
    <w:p>
      <w:pPr>
        <w:snapToGrid w:val="0"/>
        <w:spacing w:line="360" w:lineRule="auto"/>
        <w:rPr>
          <w:rFonts w:hint="eastAsia" w:ascii="仿宋" w:hAnsi="仿宋" w:eastAsia="仿宋" w:cs="宋体"/>
          <w:sz w:val="24"/>
          <w:highlight w:val="none"/>
          <w:lang w:eastAsia="zh-CN"/>
        </w:rPr>
      </w:pPr>
      <w:r>
        <w:rPr>
          <w:rFonts w:hint="eastAsia" w:ascii="仿宋" w:hAnsi="仿宋" w:eastAsia="仿宋" w:cs="宋体"/>
          <w:sz w:val="24"/>
          <w:highlight w:val="none"/>
        </w:rPr>
        <w:t>（1）评分对应表（格式见附件，主要用于评委对应评分内容）</w:t>
      </w:r>
      <w:r>
        <w:rPr>
          <w:rFonts w:hint="eastAsia" w:ascii="仿宋" w:hAnsi="仿宋" w:eastAsia="仿宋" w:cs="宋体"/>
          <w:sz w:val="24"/>
          <w:highlight w:val="none"/>
          <w:lang w:eastAsia="zh-CN"/>
        </w:rPr>
        <w:t>；</w:t>
      </w:r>
    </w:p>
    <w:p>
      <w:pPr>
        <w:snapToGrid w:val="0"/>
        <w:spacing w:line="360" w:lineRule="auto"/>
        <w:rPr>
          <w:rFonts w:hint="eastAsia" w:ascii="仿宋" w:hAnsi="仿宋" w:eastAsia="仿宋" w:cs="宋体"/>
          <w:sz w:val="24"/>
          <w:highlight w:val="none"/>
        </w:rPr>
      </w:pPr>
      <w:r>
        <w:rPr>
          <w:rFonts w:hint="eastAsia" w:ascii="仿宋" w:hAnsi="仿宋" w:eastAsia="仿宋" w:cs="宋体"/>
          <w:sz w:val="24"/>
          <w:highlight w:val="none"/>
        </w:rPr>
        <w:t>（2）投标项目明细清单（含货物、服务等</w:t>
      </w:r>
      <w:r>
        <w:rPr>
          <w:rFonts w:hint="eastAsia" w:ascii="仿宋" w:hAnsi="仿宋" w:eastAsia="仿宋" w:cs="宋体"/>
          <w:sz w:val="24"/>
          <w:highlight w:val="none"/>
          <w:lang w:eastAsia="zh-CN"/>
        </w:rPr>
        <w:t>，</w:t>
      </w:r>
      <w:r>
        <w:rPr>
          <w:rFonts w:hint="eastAsia" w:ascii="仿宋" w:hAnsi="仿宋" w:eastAsia="仿宋" w:cs="宋体"/>
          <w:sz w:val="24"/>
          <w:highlight w:val="none"/>
          <w:lang w:val="en-US" w:eastAsia="zh-CN"/>
        </w:rPr>
        <w:t>不含报价</w:t>
      </w:r>
      <w:r>
        <w:rPr>
          <w:rFonts w:hint="eastAsia" w:ascii="仿宋" w:hAnsi="仿宋" w:eastAsia="仿宋" w:cs="宋体"/>
          <w:sz w:val="24"/>
          <w:highlight w:val="none"/>
        </w:rPr>
        <w:t>）；</w:t>
      </w:r>
    </w:p>
    <w:p>
      <w:pPr>
        <w:snapToGrid w:val="0"/>
        <w:spacing w:line="360" w:lineRule="auto"/>
        <w:rPr>
          <w:rFonts w:hint="eastAsia" w:ascii="仿宋" w:hAnsi="仿宋" w:eastAsia="仿宋" w:cs="宋体"/>
          <w:sz w:val="24"/>
          <w:highlight w:val="none"/>
        </w:rPr>
      </w:pPr>
      <w:r>
        <w:rPr>
          <w:rFonts w:hint="eastAsia" w:ascii="仿宋" w:hAnsi="仿宋" w:eastAsia="仿宋" w:cs="宋体"/>
          <w:sz w:val="24"/>
          <w:highlight w:val="none"/>
        </w:rPr>
        <w:t>（3）项目要求响应表（格式见附件）；</w:t>
      </w:r>
    </w:p>
    <w:p>
      <w:pPr>
        <w:snapToGrid w:val="0"/>
        <w:spacing w:line="360" w:lineRule="auto"/>
        <w:rPr>
          <w:rFonts w:hint="eastAsia" w:ascii="仿宋" w:hAnsi="仿宋" w:eastAsia="仿宋" w:cs="宋体"/>
          <w:sz w:val="24"/>
          <w:highlight w:val="none"/>
          <w:lang w:eastAsia="zh-CN"/>
        </w:rPr>
      </w:pPr>
      <w:r>
        <w:rPr>
          <w:rFonts w:hint="eastAsia" w:ascii="仿宋" w:hAnsi="仿宋" w:eastAsia="仿宋" w:cs="宋体"/>
          <w:sz w:val="24"/>
          <w:highlight w:val="none"/>
        </w:rPr>
        <w:t>（4）</w:t>
      </w:r>
      <w:r>
        <w:rPr>
          <w:rFonts w:hint="eastAsia" w:ascii="仿宋" w:hAnsi="仿宋" w:eastAsia="仿宋" w:cs="宋体"/>
          <w:sz w:val="24"/>
          <w:highlight w:val="none"/>
          <w:lang w:eastAsia="zh-CN"/>
        </w:rPr>
        <w:t>技术方案；</w:t>
      </w:r>
    </w:p>
    <w:p>
      <w:pPr>
        <w:snapToGrid w:val="0"/>
        <w:spacing w:line="360" w:lineRule="auto"/>
        <w:rPr>
          <w:rFonts w:hint="eastAsia" w:ascii="仿宋" w:hAnsi="仿宋" w:eastAsia="仿宋" w:cs="宋体"/>
          <w:sz w:val="24"/>
          <w:highlight w:val="none"/>
        </w:rPr>
      </w:pPr>
      <w:r>
        <w:rPr>
          <w:rFonts w:hint="eastAsia" w:ascii="仿宋" w:hAnsi="仿宋" w:eastAsia="仿宋" w:cs="宋体"/>
          <w:sz w:val="24"/>
          <w:highlight w:val="none"/>
        </w:rPr>
        <w:t>（</w:t>
      </w:r>
      <w:r>
        <w:rPr>
          <w:rFonts w:hint="eastAsia" w:ascii="仿宋" w:hAnsi="仿宋" w:eastAsia="仿宋" w:cs="宋体"/>
          <w:sz w:val="24"/>
          <w:highlight w:val="none"/>
          <w:lang w:val="en-US" w:eastAsia="zh-CN"/>
        </w:rPr>
        <w:t>5</w:t>
      </w:r>
      <w:r>
        <w:rPr>
          <w:rFonts w:hint="eastAsia" w:ascii="仿宋" w:hAnsi="仿宋" w:eastAsia="仿宋" w:cs="宋体"/>
          <w:sz w:val="24"/>
          <w:highlight w:val="none"/>
        </w:rPr>
        <w:t>）服务承诺书（可包含且不限于对用户的响应、处理、定期巡检、人员情况等）；</w:t>
      </w:r>
    </w:p>
    <w:p>
      <w:pPr>
        <w:snapToGrid w:val="0"/>
        <w:spacing w:line="360" w:lineRule="auto"/>
        <w:rPr>
          <w:rFonts w:hint="eastAsia" w:ascii="仿宋" w:hAnsi="仿宋" w:eastAsia="仿宋" w:cs="宋体"/>
          <w:sz w:val="24"/>
          <w:highlight w:val="none"/>
        </w:rPr>
      </w:pPr>
      <w:r>
        <w:rPr>
          <w:rFonts w:hint="eastAsia" w:ascii="仿宋" w:hAnsi="仿宋" w:eastAsia="仿宋" w:cs="宋体"/>
          <w:sz w:val="24"/>
          <w:highlight w:val="none"/>
        </w:rPr>
        <w:t>（</w:t>
      </w:r>
      <w:r>
        <w:rPr>
          <w:rFonts w:hint="eastAsia" w:ascii="仿宋" w:hAnsi="仿宋" w:eastAsia="仿宋" w:cs="宋体"/>
          <w:sz w:val="24"/>
          <w:highlight w:val="none"/>
          <w:lang w:val="en-US" w:eastAsia="zh-CN"/>
        </w:rPr>
        <w:t>6</w:t>
      </w:r>
      <w:r>
        <w:rPr>
          <w:rFonts w:hint="eastAsia" w:ascii="仿宋" w:hAnsi="仿宋" w:eastAsia="仿宋" w:cs="宋体"/>
          <w:sz w:val="24"/>
          <w:highlight w:val="none"/>
        </w:rPr>
        <w:t>）投标方认为需要的其他文件资料。</w:t>
      </w:r>
    </w:p>
    <w:p>
      <w:pPr>
        <w:pStyle w:val="3"/>
        <w:snapToGrid w:val="0"/>
        <w:spacing w:before="0" w:after="0" w:line="360" w:lineRule="auto"/>
        <w:rPr>
          <w:rFonts w:ascii="仿宋" w:hAnsi="仿宋" w:eastAsia="仿宋" w:cs="宋体"/>
          <w:snapToGrid w:val="0"/>
          <w:kern w:val="0"/>
          <w:sz w:val="24"/>
          <w:szCs w:val="24"/>
          <w:highlight w:val="none"/>
        </w:rPr>
      </w:pPr>
      <w:bookmarkStart w:id="25" w:name="_Toc19949"/>
      <w:r>
        <w:rPr>
          <w:rFonts w:hint="eastAsia" w:ascii="仿宋" w:hAnsi="仿宋" w:eastAsia="仿宋" w:cs="宋体"/>
          <w:snapToGrid w:val="0"/>
          <w:kern w:val="0"/>
          <w:sz w:val="24"/>
          <w:szCs w:val="24"/>
          <w:highlight w:val="none"/>
        </w:rPr>
        <w:t>四、投标文件的递交</w:t>
      </w:r>
      <w:bookmarkEnd w:id="22"/>
      <w:bookmarkEnd w:id="23"/>
      <w:bookmarkEnd w:id="24"/>
      <w:bookmarkEnd w:id="25"/>
    </w:p>
    <w:p>
      <w:pPr>
        <w:adjustRightInd w:val="0"/>
        <w:snapToGrid w:val="0"/>
        <w:spacing w:line="360" w:lineRule="auto"/>
        <w:ind w:firstLine="482" w:firstLineChars="200"/>
        <w:rPr>
          <w:rFonts w:ascii="仿宋" w:hAnsi="仿宋" w:eastAsia="仿宋" w:cs="宋体"/>
          <w:b/>
          <w:snapToGrid w:val="0"/>
          <w:kern w:val="0"/>
          <w:sz w:val="24"/>
          <w:highlight w:val="none"/>
        </w:rPr>
      </w:pPr>
      <w:r>
        <w:rPr>
          <w:rFonts w:hint="eastAsia" w:ascii="仿宋" w:hAnsi="仿宋" w:eastAsia="仿宋" w:cs="宋体"/>
          <w:b/>
          <w:snapToGrid w:val="0"/>
          <w:kern w:val="0"/>
          <w:sz w:val="24"/>
          <w:highlight w:val="none"/>
        </w:rPr>
        <w:t>16．投标文件的密封与标志</w:t>
      </w:r>
    </w:p>
    <w:p>
      <w:pPr>
        <w:adjustRightInd w:val="0"/>
        <w:snapToGrid w:val="0"/>
        <w:spacing w:line="360" w:lineRule="auto"/>
        <w:ind w:firstLine="482" w:firstLineChars="200"/>
        <w:rPr>
          <w:rFonts w:ascii="仿宋" w:hAnsi="仿宋" w:eastAsia="仿宋" w:cs="宋体"/>
          <w:b/>
          <w:snapToGrid w:val="0"/>
          <w:kern w:val="0"/>
          <w:sz w:val="24"/>
          <w:highlight w:val="none"/>
        </w:rPr>
      </w:pPr>
      <w:r>
        <w:rPr>
          <w:rFonts w:hint="eastAsia" w:ascii="仿宋" w:hAnsi="仿宋" w:eastAsia="仿宋" w:cs="宋体"/>
          <w:b/>
          <w:snapToGrid w:val="0"/>
          <w:kern w:val="0"/>
          <w:sz w:val="24"/>
          <w:highlight w:val="none"/>
        </w:rPr>
        <w:t>16.1供应商须将投标文件密封包装。</w:t>
      </w:r>
    </w:p>
    <w:p>
      <w:pPr>
        <w:adjustRightInd w:val="0"/>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16.2密封处加盖供应商公章或密封章。</w:t>
      </w:r>
    </w:p>
    <w:p>
      <w:pPr>
        <w:adjustRightInd w:val="0"/>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密封袋均应注明：</w:t>
      </w:r>
    </w:p>
    <w:p>
      <w:pPr>
        <w:pStyle w:val="21"/>
        <w:spacing w:line="360" w:lineRule="auto"/>
        <w:ind w:left="0" w:rightChars="0" w:firstLine="480" w:firstLineChars="200"/>
        <w:rPr>
          <w:rFonts w:hint="default" w:ascii="仿宋" w:hAnsi="仿宋" w:eastAsia="仿宋" w:cs="宋体"/>
          <w:snapToGrid w:val="0"/>
          <w:kern w:val="0"/>
          <w:sz w:val="24"/>
          <w:szCs w:val="24"/>
          <w:highlight w:val="none"/>
          <w:u w:val="single"/>
        </w:rPr>
      </w:pPr>
      <w:r>
        <w:rPr>
          <w:rFonts w:ascii="仿宋" w:hAnsi="仿宋" w:eastAsia="仿宋" w:cs="宋体"/>
          <w:snapToGrid w:val="0"/>
          <w:kern w:val="0"/>
          <w:sz w:val="24"/>
          <w:szCs w:val="24"/>
          <w:highlight w:val="none"/>
        </w:rPr>
        <w:t>（1）采购人名称：</w:t>
      </w:r>
    </w:p>
    <w:p>
      <w:pPr>
        <w:pStyle w:val="21"/>
        <w:spacing w:line="360" w:lineRule="auto"/>
        <w:ind w:left="0" w:rightChars="0" w:firstLine="1080" w:firstLineChars="450"/>
        <w:rPr>
          <w:rFonts w:hint="default" w:ascii="仿宋" w:hAnsi="仿宋" w:eastAsia="仿宋" w:cs="宋体"/>
          <w:snapToGrid w:val="0"/>
          <w:kern w:val="0"/>
          <w:sz w:val="24"/>
          <w:szCs w:val="24"/>
          <w:highlight w:val="none"/>
        </w:rPr>
      </w:pPr>
      <w:r>
        <w:rPr>
          <w:rFonts w:ascii="仿宋" w:hAnsi="仿宋" w:eastAsia="仿宋" w:cs="宋体"/>
          <w:snapToGrid w:val="0"/>
          <w:kern w:val="0"/>
          <w:sz w:val="24"/>
          <w:szCs w:val="24"/>
          <w:highlight w:val="none"/>
        </w:rPr>
        <w:t>采购人地址：</w:t>
      </w:r>
    </w:p>
    <w:p>
      <w:pPr>
        <w:pStyle w:val="21"/>
        <w:spacing w:line="360" w:lineRule="auto"/>
        <w:ind w:left="0" w:rightChars="0" w:firstLine="480" w:firstLineChars="200"/>
        <w:rPr>
          <w:rFonts w:hint="default" w:ascii="仿宋" w:hAnsi="仿宋" w:eastAsia="仿宋" w:cs="宋体"/>
          <w:snapToGrid w:val="0"/>
          <w:kern w:val="0"/>
          <w:sz w:val="24"/>
          <w:szCs w:val="24"/>
          <w:highlight w:val="none"/>
          <w:u w:val="single"/>
        </w:rPr>
      </w:pPr>
      <w:r>
        <w:rPr>
          <w:rFonts w:ascii="仿宋" w:hAnsi="仿宋" w:eastAsia="仿宋" w:cs="宋体"/>
          <w:snapToGrid w:val="0"/>
          <w:kern w:val="0"/>
          <w:sz w:val="24"/>
          <w:szCs w:val="24"/>
          <w:highlight w:val="none"/>
        </w:rPr>
        <w:t>（2）供应商名称：</w:t>
      </w:r>
    </w:p>
    <w:p>
      <w:pPr>
        <w:pStyle w:val="21"/>
        <w:spacing w:line="360" w:lineRule="auto"/>
        <w:ind w:left="0" w:rightChars="0" w:firstLine="1080" w:firstLineChars="450"/>
        <w:rPr>
          <w:rFonts w:hint="default" w:ascii="仿宋" w:hAnsi="仿宋" w:eastAsia="仿宋" w:cs="宋体"/>
          <w:snapToGrid w:val="0"/>
          <w:kern w:val="0"/>
          <w:sz w:val="24"/>
          <w:szCs w:val="24"/>
          <w:highlight w:val="none"/>
        </w:rPr>
      </w:pPr>
      <w:r>
        <w:rPr>
          <w:rFonts w:ascii="仿宋" w:hAnsi="仿宋" w:eastAsia="仿宋" w:cs="宋体"/>
          <w:snapToGrid w:val="0"/>
          <w:kern w:val="0"/>
          <w:sz w:val="24"/>
          <w:szCs w:val="24"/>
          <w:highlight w:val="none"/>
        </w:rPr>
        <w:t>供应商地址：</w:t>
      </w:r>
    </w:p>
    <w:p>
      <w:pPr>
        <w:pStyle w:val="21"/>
        <w:spacing w:line="360" w:lineRule="auto"/>
        <w:ind w:left="0" w:rightChars="0" w:firstLine="480" w:firstLineChars="200"/>
        <w:rPr>
          <w:rFonts w:hint="default" w:ascii="仿宋" w:hAnsi="仿宋" w:eastAsia="仿宋" w:cs="宋体"/>
          <w:snapToGrid w:val="0"/>
          <w:kern w:val="0"/>
          <w:sz w:val="24"/>
          <w:szCs w:val="24"/>
          <w:highlight w:val="none"/>
        </w:rPr>
      </w:pPr>
      <w:r>
        <w:rPr>
          <w:rFonts w:ascii="仿宋" w:hAnsi="仿宋" w:eastAsia="仿宋" w:cs="宋体"/>
          <w:snapToGrid w:val="0"/>
          <w:kern w:val="0"/>
          <w:sz w:val="24"/>
          <w:szCs w:val="24"/>
          <w:highlight w:val="none"/>
        </w:rPr>
        <w:t>（3）项目名称：</w:t>
      </w:r>
    </w:p>
    <w:p>
      <w:pPr>
        <w:pStyle w:val="21"/>
        <w:spacing w:line="360" w:lineRule="auto"/>
        <w:ind w:left="0" w:rightChars="0" w:firstLine="1080" w:firstLineChars="450"/>
        <w:rPr>
          <w:rFonts w:hint="default" w:ascii="仿宋" w:hAnsi="仿宋" w:eastAsia="仿宋" w:cs="宋体"/>
          <w:snapToGrid w:val="0"/>
          <w:kern w:val="0"/>
          <w:sz w:val="24"/>
          <w:szCs w:val="24"/>
          <w:highlight w:val="none"/>
        </w:rPr>
      </w:pPr>
      <w:r>
        <w:rPr>
          <w:rFonts w:ascii="仿宋" w:hAnsi="仿宋" w:eastAsia="仿宋" w:cs="宋体"/>
          <w:snapToGrid w:val="0"/>
          <w:kern w:val="0"/>
          <w:sz w:val="24"/>
          <w:szCs w:val="24"/>
          <w:highlight w:val="none"/>
        </w:rPr>
        <w:t>项目编号：</w:t>
      </w:r>
    </w:p>
    <w:p>
      <w:pPr>
        <w:pStyle w:val="21"/>
        <w:spacing w:line="360" w:lineRule="auto"/>
        <w:ind w:left="0" w:rightChars="0" w:firstLine="480" w:firstLineChars="200"/>
        <w:rPr>
          <w:rFonts w:hint="default" w:ascii="仿宋" w:hAnsi="仿宋" w:eastAsia="仿宋" w:cs="宋体"/>
          <w:snapToGrid w:val="0"/>
          <w:kern w:val="0"/>
          <w:sz w:val="24"/>
          <w:szCs w:val="24"/>
          <w:highlight w:val="none"/>
        </w:rPr>
      </w:pPr>
      <w:r>
        <w:rPr>
          <w:rFonts w:ascii="仿宋" w:hAnsi="仿宋" w:eastAsia="仿宋" w:cs="宋体"/>
          <w:snapToGrid w:val="0"/>
          <w:kern w:val="0"/>
          <w:sz w:val="24"/>
          <w:szCs w:val="24"/>
          <w:highlight w:val="none"/>
        </w:rPr>
        <w:t>（4）在</w:t>
      </w:r>
      <w:r>
        <w:rPr>
          <w:rFonts w:ascii="仿宋" w:hAnsi="仿宋" w:eastAsia="仿宋" w:cs="宋体"/>
          <w:snapToGrid w:val="0"/>
          <w:kern w:val="0"/>
          <w:sz w:val="24"/>
          <w:szCs w:val="24"/>
          <w:highlight w:val="none"/>
          <w:u w:val="single"/>
        </w:rPr>
        <w:t xml:space="preserve">    年  月  日  时   分</w:t>
      </w:r>
      <w:r>
        <w:rPr>
          <w:rFonts w:ascii="仿宋" w:hAnsi="仿宋" w:eastAsia="仿宋" w:cs="宋体"/>
          <w:snapToGrid w:val="0"/>
          <w:kern w:val="0"/>
          <w:sz w:val="24"/>
          <w:szCs w:val="24"/>
          <w:highlight w:val="none"/>
        </w:rPr>
        <w:t>之前不得启封”的字样，并根据本须知前附表的规定填入开标日期和时间。</w:t>
      </w:r>
    </w:p>
    <w:p>
      <w:pPr>
        <w:adjustRightInd w:val="0"/>
        <w:snapToGrid w:val="0"/>
        <w:spacing w:line="360" w:lineRule="auto"/>
        <w:ind w:firstLine="480" w:firstLineChars="200"/>
        <w:jc w:val="left"/>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在包封外层上还应写明供应商名称与地址、邮政编码。</w:t>
      </w:r>
    </w:p>
    <w:p>
      <w:pPr>
        <w:adjustRightInd w:val="0"/>
        <w:snapToGrid w:val="0"/>
        <w:spacing w:line="360" w:lineRule="auto"/>
        <w:ind w:firstLine="480" w:firstLineChars="200"/>
        <w:jc w:val="left"/>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16.3如果包封没有按上述规定密封并加写标志，采购人对误投或过早启封概不负责。对由此造成的提前开封的投标文件，采购人将予以拒绝，并退还给供应商。</w:t>
      </w:r>
    </w:p>
    <w:p>
      <w:pPr>
        <w:adjustRightInd w:val="0"/>
        <w:snapToGrid w:val="0"/>
        <w:spacing w:line="360" w:lineRule="auto"/>
        <w:ind w:firstLine="482" w:firstLineChars="200"/>
        <w:rPr>
          <w:rFonts w:ascii="仿宋" w:hAnsi="仿宋" w:eastAsia="仿宋" w:cs="宋体"/>
          <w:b/>
          <w:snapToGrid w:val="0"/>
          <w:kern w:val="0"/>
          <w:sz w:val="24"/>
          <w:highlight w:val="none"/>
        </w:rPr>
      </w:pPr>
      <w:bookmarkStart w:id="26" w:name="_Toc251566654"/>
      <w:bookmarkStart w:id="27" w:name="_Toc240450081"/>
      <w:r>
        <w:rPr>
          <w:rFonts w:hint="eastAsia" w:ascii="仿宋" w:hAnsi="仿宋" w:eastAsia="仿宋" w:cs="宋体"/>
          <w:b/>
          <w:snapToGrid w:val="0"/>
          <w:kern w:val="0"/>
          <w:sz w:val="24"/>
          <w:highlight w:val="none"/>
        </w:rPr>
        <w:t>17．投标截止期</w:t>
      </w:r>
    </w:p>
    <w:p>
      <w:pPr>
        <w:adjustRightInd w:val="0"/>
        <w:snapToGrid w:val="0"/>
        <w:spacing w:line="360" w:lineRule="auto"/>
        <w:ind w:firstLine="480" w:firstLineChars="200"/>
        <w:jc w:val="left"/>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17.1 供应商应按前附表规定的日期、时间和地点递交投标文件。</w:t>
      </w:r>
    </w:p>
    <w:p>
      <w:pPr>
        <w:adjustRightInd w:val="0"/>
        <w:snapToGrid w:val="0"/>
        <w:spacing w:line="360" w:lineRule="auto"/>
        <w:ind w:firstLine="480" w:firstLineChars="200"/>
        <w:jc w:val="left"/>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17.2 采购人和采购代理机构收到投标文件的时间不得迟于供应商须知前附表中规定的截止时间。</w:t>
      </w:r>
    </w:p>
    <w:p>
      <w:pPr>
        <w:adjustRightInd w:val="0"/>
        <w:snapToGrid w:val="0"/>
        <w:spacing w:line="360" w:lineRule="auto"/>
        <w:ind w:firstLine="480" w:firstLineChars="200"/>
        <w:jc w:val="left"/>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17.3 采购人和采购代理机构可以按本须知第7条规定，通过修改招标文件适当延长投标截止日期。在此情况下，采购人与供应商受投标截止期制约的所有权利和义务均应延长至新的截止期。</w:t>
      </w:r>
    </w:p>
    <w:p>
      <w:pPr>
        <w:adjustRightInd w:val="0"/>
        <w:snapToGrid w:val="0"/>
        <w:spacing w:line="360" w:lineRule="auto"/>
        <w:ind w:firstLine="482" w:firstLineChars="200"/>
        <w:rPr>
          <w:rFonts w:ascii="仿宋" w:hAnsi="仿宋" w:eastAsia="仿宋" w:cs="宋体"/>
          <w:b/>
          <w:snapToGrid w:val="0"/>
          <w:kern w:val="0"/>
          <w:sz w:val="24"/>
          <w:highlight w:val="none"/>
        </w:rPr>
      </w:pPr>
      <w:r>
        <w:rPr>
          <w:rFonts w:hint="eastAsia" w:ascii="仿宋" w:hAnsi="仿宋" w:eastAsia="仿宋" w:cs="宋体"/>
          <w:b/>
          <w:snapToGrid w:val="0"/>
          <w:kern w:val="0"/>
          <w:sz w:val="24"/>
          <w:highlight w:val="none"/>
        </w:rPr>
        <w:t>18．迟交的投标文件</w:t>
      </w:r>
    </w:p>
    <w:p>
      <w:pPr>
        <w:adjustRightInd w:val="0"/>
        <w:snapToGrid w:val="0"/>
        <w:spacing w:line="360" w:lineRule="auto"/>
        <w:ind w:firstLine="480" w:firstLineChars="200"/>
        <w:jc w:val="left"/>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采购人和采购代理机构将拒绝在本须知第17条规定的截止期后收到的任何投标文件。</w:t>
      </w:r>
    </w:p>
    <w:p>
      <w:pPr>
        <w:adjustRightInd w:val="0"/>
        <w:snapToGrid w:val="0"/>
        <w:spacing w:line="360" w:lineRule="auto"/>
        <w:ind w:firstLine="482" w:firstLineChars="200"/>
        <w:rPr>
          <w:rFonts w:ascii="仿宋" w:hAnsi="仿宋" w:eastAsia="仿宋" w:cs="宋体"/>
          <w:b/>
          <w:snapToGrid w:val="0"/>
          <w:kern w:val="0"/>
          <w:sz w:val="24"/>
          <w:highlight w:val="none"/>
        </w:rPr>
      </w:pPr>
      <w:r>
        <w:rPr>
          <w:rFonts w:hint="eastAsia" w:ascii="仿宋" w:hAnsi="仿宋" w:eastAsia="仿宋" w:cs="宋体"/>
          <w:b/>
          <w:snapToGrid w:val="0"/>
          <w:kern w:val="0"/>
          <w:sz w:val="24"/>
          <w:highlight w:val="none"/>
        </w:rPr>
        <w:t>19．投标文件的修改与撤回</w:t>
      </w:r>
    </w:p>
    <w:p>
      <w:pPr>
        <w:adjustRightInd w:val="0"/>
        <w:snapToGrid w:val="0"/>
        <w:spacing w:line="360" w:lineRule="auto"/>
        <w:ind w:firstLine="480" w:firstLineChars="200"/>
        <w:jc w:val="left"/>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19.1 供应商在递交投标文件后，可以在规定的投标截止时间前，以书面的形式通知采购人/采购代理机构，修改或撤回其投标文件。</w:t>
      </w:r>
    </w:p>
    <w:p>
      <w:pPr>
        <w:adjustRightInd w:val="0"/>
        <w:snapToGrid w:val="0"/>
        <w:spacing w:line="360" w:lineRule="auto"/>
        <w:ind w:firstLine="480" w:firstLineChars="200"/>
        <w:jc w:val="left"/>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19.2 供应商的修改或撤回通知，应按本须知第16条规定编制、密封、标志和递交（在外层包封上标明“修改”或“撤回”字样）。修改文件同样必须在投标截止时间前送达采购人。</w:t>
      </w:r>
    </w:p>
    <w:p>
      <w:pPr>
        <w:adjustRightInd w:val="0"/>
        <w:snapToGrid w:val="0"/>
        <w:spacing w:line="360" w:lineRule="auto"/>
        <w:ind w:firstLine="480" w:firstLineChars="200"/>
        <w:jc w:val="left"/>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19.3 在投标截止期之后，供应商不得对其投标作任何修改。</w:t>
      </w:r>
    </w:p>
    <w:p>
      <w:pPr>
        <w:adjustRightInd w:val="0"/>
        <w:snapToGrid w:val="0"/>
        <w:spacing w:line="360" w:lineRule="auto"/>
        <w:ind w:firstLine="480" w:firstLineChars="200"/>
        <w:jc w:val="left"/>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19.4 从投标截止期至供应商在投标函格式中确定的投标有效期期满这段时间内，供应商不得撤回其投标，否则按扰乱招投标市场报监管部门。</w:t>
      </w:r>
    </w:p>
    <w:p>
      <w:pPr>
        <w:adjustRightInd w:val="0"/>
        <w:snapToGrid w:val="0"/>
        <w:spacing w:line="360" w:lineRule="auto"/>
        <w:ind w:firstLine="482" w:firstLineChars="200"/>
        <w:rPr>
          <w:rFonts w:ascii="仿宋" w:hAnsi="仿宋" w:eastAsia="仿宋" w:cs="宋体"/>
          <w:b/>
          <w:snapToGrid w:val="0"/>
          <w:kern w:val="0"/>
          <w:sz w:val="24"/>
          <w:highlight w:val="none"/>
        </w:rPr>
      </w:pPr>
      <w:r>
        <w:rPr>
          <w:rFonts w:hint="eastAsia" w:ascii="仿宋" w:hAnsi="仿宋" w:eastAsia="仿宋" w:cs="宋体"/>
          <w:b/>
          <w:snapToGrid w:val="0"/>
          <w:kern w:val="0"/>
          <w:sz w:val="24"/>
          <w:highlight w:val="none"/>
        </w:rPr>
        <w:t>20．无效投标的认定</w:t>
      </w:r>
    </w:p>
    <w:p>
      <w:pPr>
        <w:adjustRightInd w:val="0"/>
        <w:snapToGrid w:val="0"/>
        <w:spacing w:line="360" w:lineRule="auto"/>
        <w:ind w:firstLine="480" w:firstLineChars="200"/>
        <w:jc w:val="left"/>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实质上没有响应招标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供应商修改、补正投标文件后，不影响评标委员会对其投标文件所作的评价和评分结果。</w:t>
      </w:r>
    </w:p>
    <w:p>
      <w:pPr>
        <w:adjustRightInd w:val="0"/>
        <w:snapToGrid w:val="0"/>
        <w:spacing w:line="360" w:lineRule="auto"/>
        <w:ind w:firstLine="480" w:firstLineChars="200"/>
        <w:jc w:val="left"/>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在初审（资格性审查及符合性审查阶段）和商务技术评议时，如发现下列情形之一的，投标文件将被视为无效投标：</w:t>
      </w:r>
    </w:p>
    <w:p>
      <w:pPr>
        <w:adjustRightInd w:val="0"/>
        <w:snapToGrid w:val="0"/>
        <w:spacing w:line="360" w:lineRule="auto"/>
        <w:ind w:firstLine="482" w:firstLineChars="200"/>
        <w:jc w:val="left"/>
        <w:rPr>
          <w:rFonts w:ascii="仿宋" w:hAnsi="仿宋" w:eastAsia="仿宋" w:cs="宋体"/>
          <w:b/>
          <w:snapToGrid w:val="0"/>
          <w:kern w:val="0"/>
          <w:sz w:val="24"/>
          <w:highlight w:val="none"/>
        </w:rPr>
      </w:pPr>
      <w:r>
        <w:rPr>
          <w:rFonts w:hint="eastAsia" w:ascii="仿宋" w:hAnsi="仿宋" w:eastAsia="仿宋" w:cs="宋体"/>
          <w:b/>
          <w:snapToGrid w:val="0"/>
          <w:kern w:val="0"/>
          <w:sz w:val="24"/>
          <w:highlight w:val="none"/>
        </w:rPr>
        <w:t>20.1资格审查无效标的情形</w:t>
      </w:r>
    </w:p>
    <w:p>
      <w:pPr>
        <w:adjustRightInd w:val="0"/>
        <w:snapToGrid w:val="0"/>
        <w:spacing w:line="360" w:lineRule="auto"/>
        <w:ind w:firstLine="482" w:firstLineChars="200"/>
        <w:jc w:val="left"/>
        <w:rPr>
          <w:rFonts w:ascii="仿宋" w:hAnsi="仿宋" w:eastAsia="仿宋" w:cs="宋体"/>
          <w:b/>
          <w:snapToGrid w:val="0"/>
          <w:kern w:val="0"/>
          <w:sz w:val="24"/>
          <w:highlight w:val="none"/>
        </w:rPr>
      </w:pPr>
      <w:r>
        <w:rPr>
          <w:rFonts w:hint="eastAsia" w:ascii="仿宋" w:hAnsi="仿宋" w:eastAsia="仿宋" w:cs="宋体"/>
          <w:b/>
          <w:snapToGrid w:val="0"/>
          <w:kern w:val="0"/>
          <w:sz w:val="24"/>
          <w:highlight w:val="none"/>
        </w:rPr>
        <w:t>（1）被拒绝的投标文件；</w:t>
      </w:r>
    </w:p>
    <w:p>
      <w:pPr>
        <w:adjustRightInd w:val="0"/>
        <w:snapToGrid w:val="0"/>
        <w:spacing w:line="360" w:lineRule="auto"/>
        <w:ind w:firstLine="482" w:firstLineChars="200"/>
        <w:jc w:val="left"/>
        <w:rPr>
          <w:rFonts w:ascii="仿宋" w:hAnsi="仿宋" w:eastAsia="仿宋" w:cs="宋体"/>
          <w:b/>
          <w:snapToGrid w:val="0"/>
          <w:kern w:val="0"/>
          <w:sz w:val="24"/>
          <w:highlight w:val="none"/>
        </w:rPr>
      </w:pPr>
      <w:r>
        <w:rPr>
          <w:rFonts w:hint="eastAsia" w:ascii="仿宋" w:hAnsi="仿宋" w:eastAsia="仿宋" w:cs="宋体"/>
          <w:b/>
          <w:snapToGrid w:val="0"/>
          <w:kern w:val="0"/>
          <w:sz w:val="24"/>
          <w:highlight w:val="none"/>
        </w:rPr>
        <w:t>（2）未通过报名的；</w:t>
      </w:r>
    </w:p>
    <w:p>
      <w:pPr>
        <w:adjustRightInd w:val="0"/>
        <w:snapToGrid w:val="0"/>
        <w:spacing w:line="360" w:lineRule="auto"/>
        <w:ind w:firstLine="482" w:firstLineChars="200"/>
        <w:jc w:val="left"/>
        <w:rPr>
          <w:rFonts w:ascii="仿宋" w:hAnsi="仿宋" w:eastAsia="仿宋" w:cs="宋体"/>
          <w:b/>
          <w:snapToGrid w:val="0"/>
          <w:kern w:val="0"/>
          <w:sz w:val="24"/>
          <w:highlight w:val="none"/>
        </w:rPr>
      </w:pPr>
      <w:r>
        <w:rPr>
          <w:rFonts w:hint="eastAsia" w:ascii="仿宋" w:hAnsi="仿宋" w:eastAsia="仿宋" w:cs="宋体"/>
          <w:b/>
          <w:snapToGrid w:val="0"/>
          <w:kern w:val="0"/>
          <w:sz w:val="24"/>
          <w:highlight w:val="none"/>
        </w:rPr>
        <w:t>（3）投标文件份数不符合要求；</w:t>
      </w:r>
    </w:p>
    <w:p>
      <w:pPr>
        <w:adjustRightInd w:val="0"/>
        <w:snapToGrid w:val="0"/>
        <w:spacing w:line="360" w:lineRule="auto"/>
        <w:ind w:firstLine="482" w:firstLineChars="200"/>
        <w:jc w:val="left"/>
        <w:rPr>
          <w:rFonts w:ascii="仿宋" w:hAnsi="仿宋" w:eastAsia="仿宋" w:cs="宋体"/>
          <w:b/>
          <w:snapToGrid w:val="0"/>
          <w:kern w:val="0"/>
          <w:sz w:val="24"/>
          <w:highlight w:val="none"/>
        </w:rPr>
      </w:pPr>
      <w:r>
        <w:rPr>
          <w:rFonts w:hint="eastAsia" w:ascii="仿宋" w:hAnsi="仿宋" w:eastAsia="仿宋" w:cs="宋体"/>
          <w:b/>
          <w:snapToGrid w:val="0"/>
          <w:kern w:val="0"/>
          <w:sz w:val="24"/>
          <w:highlight w:val="none"/>
        </w:rPr>
        <w:t xml:space="preserve">（4）资格证明文件不全，或者不符合招标文件标明的资格要求（参见招标公告之“五、合格投标供应商的资格要求”）或者资格文件中缺少相应签字、盖章的；  </w:t>
      </w:r>
    </w:p>
    <w:p>
      <w:pPr>
        <w:adjustRightInd w:val="0"/>
        <w:snapToGrid w:val="0"/>
        <w:spacing w:line="360" w:lineRule="auto"/>
        <w:ind w:firstLine="482" w:firstLineChars="200"/>
        <w:jc w:val="left"/>
        <w:rPr>
          <w:rFonts w:ascii="仿宋" w:hAnsi="仿宋" w:eastAsia="仿宋" w:cs="宋体"/>
          <w:b/>
          <w:snapToGrid w:val="0"/>
          <w:kern w:val="0"/>
          <w:sz w:val="24"/>
          <w:highlight w:val="none"/>
        </w:rPr>
      </w:pPr>
      <w:r>
        <w:rPr>
          <w:rFonts w:hint="eastAsia" w:ascii="仿宋" w:hAnsi="仿宋" w:eastAsia="仿宋" w:cs="宋体"/>
          <w:b/>
          <w:snapToGrid w:val="0"/>
          <w:kern w:val="0"/>
          <w:sz w:val="24"/>
          <w:highlight w:val="none"/>
        </w:rPr>
        <w:t>（5）信用审查不通过的。</w:t>
      </w:r>
    </w:p>
    <w:p>
      <w:pPr>
        <w:adjustRightInd w:val="0"/>
        <w:snapToGrid w:val="0"/>
        <w:spacing w:line="360" w:lineRule="auto"/>
        <w:ind w:firstLine="482" w:firstLineChars="200"/>
        <w:jc w:val="left"/>
        <w:rPr>
          <w:rFonts w:ascii="仿宋" w:hAnsi="仿宋" w:eastAsia="仿宋" w:cs="宋体"/>
          <w:snapToGrid w:val="0"/>
          <w:kern w:val="0"/>
          <w:sz w:val="24"/>
          <w:highlight w:val="none"/>
        </w:rPr>
      </w:pPr>
      <w:r>
        <w:rPr>
          <w:rFonts w:hint="eastAsia" w:ascii="仿宋" w:hAnsi="仿宋" w:eastAsia="仿宋" w:cs="宋体"/>
          <w:b/>
          <w:snapToGrid w:val="0"/>
          <w:kern w:val="0"/>
          <w:sz w:val="24"/>
          <w:highlight w:val="none"/>
        </w:rPr>
        <w:t>20.2</w:t>
      </w:r>
      <w:r>
        <w:rPr>
          <w:rFonts w:hint="eastAsia" w:ascii="仿宋" w:hAnsi="仿宋" w:eastAsia="仿宋" w:cs="宋体"/>
          <w:b/>
          <w:sz w:val="24"/>
          <w:highlight w:val="none"/>
        </w:rPr>
        <w:t>符合性审查及其他无效投标的情形</w:t>
      </w:r>
    </w:p>
    <w:p>
      <w:pPr>
        <w:numPr>
          <w:ilvl w:val="0"/>
          <w:numId w:val="1"/>
        </w:numPr>
        <w:adjustRightInd w:val="0"/>
        <w:snapToGrid w:val="0"/>
        <w:spacing w:line="360" w:lineRule="auto"/>
        <w:jc w:val="left"/>
        <w:rPr>
          <w:rFonts w:ascii="仿宋" w:hAnsi="仿宋" w:eastAsia="仿宋" w:cs="宋体"/>
          <w:b/>
          <w:snapToGrid w:val="0"/>
          <w:kern w:val="0"/>
          <w:sz w:val="24"/>
          <w:highlight w:val="none"/>
        </w:rPr>
      </w:pPr>
      <w:r>
        <w:rPr>
          <w:rFonts w:hint="eastAsia" w:ascii="仿宋" w:hAnsi="仿宋" w:eastAsia="仿宋" w:cs="宋体"/>
          <w:b/>
          <w:snapToGrid w:val="0"/>
          <w:kern w:val="0"/>
          <w:sz w:val="24"/>
          <w:highlight w:val="none"/>
        </w:rPr>
        <w:t>提供虚假证明材料；</w:t>
      </w:r>
    </w:p>
    <w:p>
      <w:pPr>
        <w:numPr>
          <w:ilvl w:val="0"/>
          <w:numId w:val="1"/>
        </w:numPr>
        <w:adjustRightInd w:val="0"/>
        <w:snapToGrid w:val="0"/>
        <w:spacing w:line="360" w:lineRule="auto"/>
        <w:jc w:val="left"/>
        <w:rPr>
          <w:rFonts w:ascii="仿宋" w:hAnsi="仿宋" w:eastAsia="仿宋" w:cs="宋体"/>
          <w:b/>
          <w:snapToGrid w:val="0"/>
          <w:kern w:val="0"/>
          <w:sz w:val="24"/>
          <w:highlight w:val="none"/>
        </w:rPr>
      </w:pPr>
      <w:r>
        <w:rPr>
          <w:rFonts w:hint="eastAsia" w:ascii="仿宋" w:hAnsi="仿宋" w:eastAsia="仿宋" w:cs="宋体"/>
          <w:b/>
          <w:snapToGrid w:val="0"/>
          <w:kern w:val="0"/>
          <w:sz w:val="24"/>
          <w:highlight w:val="none"/>
        </w:rPr>
        <w:t>投标文件中对于采购需求中的实质性内容的响应表述不清或不响应，评标委员会不能确认为有效；</w:t>
      </w:r>
    </w:p>
    <w:p>
      <w:pPr>
        <w:numPr>
          <w:ilvl w:val="0"/>
          <w:numId w:val="1"/>
        </w:numPr>
        <w:adjustRightInd w:val="0"/>
        <w:snapToGrid w:val="0"/>
        <w:spacing w:line="360" w:lineRule="auto"/>
        <w:jc w:val="left"/>
        <w:rPr>
          <w:rFonts w:ascii="仿宋" w:hAnsi="仿宋" w:eastAsia="仿宋" w:cs="宋体"/>
          <w:b/>
          <w:snapToGrid w:val="0"/>
          <w:kern w:val="0"/>
          <w:sz w:val="24"/>
          <w:highlight w:val="none"/>
        </w:rPr>
      </w:pPr>
      <w:r>
        <w:rPr>
          <w:rFonts w:hint="eastAsia" w:ascii="仿宋" w:hAnsi="仿宋" w:eastAsia="仿宋" w:cs="宋体"/>
          <w:b/>
          <w:snapToGrid w:val="0"/>
          <w:kern w:val="0"/>
          <w:sz w:val="24"/>
          <w:highlight w:val="none"/>
        </w:rPr>
        <w:t>投标文件组成中带“▲”资料提供不全的；</w:t>
      </w:r>
    </w:p>
    <w:p>
      <w:pPr>
        <w:numPr>
          <w:ilvl w:val="0"/>
          <w:numId w:val="1"/>
        </w:numPr>
        <w:adjustRightInd w:val="0"/>
        <w:snapToGrid w:val="0"/>
        <w:spacing w:line="360" w:lineRule="auto"/>
        <w:jc w:val="left"/>
        <w:rPr>
          <w:rFonts w:ascii="仿宋" w:hAnsi="仿宋" w:eastAsia="仿宋" w:cs="宋体"/>
          <w:b/>
          <w:snapToGrid w:val="0"/>
          <w:kern w:val="0"/>
          <w:sz w:val="24"/>
          <w:highlight w:val="none"/>
        </w:rPr>
      </w:pPr>
      <w:r>
        <w:rPr>
          <w:rFonts w:hint="eastAsia" w:ascii="仿宋" w:hAnsi="仿宋" w:eastAsia="仿宋" w:cs="宋体"/>
          <w:b/>
          <w:snapToGrid w:val="0"/>
          <w:kern w:val="0"/>
          <w:sz w:val="24"/>
          <w:highlight w:val="none"/>
        </w:rPr>
        <w:t>投标技术方案不明确或存在备选（替代）投标方案；</w:t>
      </w:r>
    </w:p>
    <w:p>
      <w:pPr>
        <w:numPr>
          <w:ilvl w:val="0"/>
          <w:numId w:val="1"/>
        </w:numPr>
        <w:adjustRightInd w:val="0"/>
        <w:snapToGrid w:val="0"/>
        <w:spacing w:line="360" w:lineRule="auto"/>
        <w:jc w:val="left"/>
        <w:rPr>
          <w:rFonts w:ascii="仿宋" w:hAnsi="仿宋" w:eastAsia="仿宋" w:cs="宋体"/>
          <w:b/>
          <w:snapToGrid w:val="0"/>
          <w:kern w:val="0"/>
          <w:sz w:val="24"/>
          <w:highlight w:val="none"/>
        </w:rPr>
      </w:pPr>
      <w:r>
        <w:rPr>
          <w:rFonts w:hint="eastAsia" w:ascii="仿宋" w:hAnsi="仿宋" w:eastAsia="仿宋" w:cs="宋体"/>
          <w:b/>
          <w:snapToGrid w:val="0"/>
          <w:kern w:val="0"/>
          <w:sz w:val="24"/>
          <w:highlight w:val="none"/>
        </w:rPr>
        <w:t>采购人拟采购的产品属于政府强制采购的节能产品品目清单范围的，投标人相应的投标产品未获得国家确定的认证机构出具的、处于有效期之内的节能产品认证证书的；</w:t>
      </w:r>
    </w:p>
    <w:p>
      <w:pPr>
        <w:numPr>
          <w:ilvl w:val="0"/>
          <w:numId w:val="1"/>
        </w:numPr>
        <w:adjustRightInd w:val="0"/>
        <w:snapToGrid w:val="0"/>
        <w:spacing w:line="360" w:lineRule="auto"/>
        <w:jc w:val="left"/>
        <w:rPr>
          <w:rFonts w:ascii="仿宋" w:hAnsi="仿宋" w:eastAsia="仿宋" w:cs="宋体"/>
          <w:b/>
          <w:snapToGrid w:val="0"/>
          <w:kern w:val="0"/>
          <w:sz w:val="24"/>
          <w:highlight w:val="none"/>
        </w:rPr>
      </w:pPr>
      <w:r>
        <w:rPr>
          <w:rFonts w:hint="eastAsia" w:ascii="仿宋" w:hAnsi="仿宋" w:eastAsia="仿宋" w:cs="宋体"/>
          <w:b/>
          <w:snapToGrid w:val="0"/>
          <w:kern w:val="0"/>
          <w:sz w:val="24"/>
          <w:highlight w:val="none"/>
        </w:rPr>
        <w:t>未按照招标文件标明的币种报价；</w:t>
      </w:r>
    </w:p>
    <w:p>
      <w:pPr>
        <w:numPr>
          <w:ilvl w:val="0"/>
          <w:numId w:val="1"/>
        </w:numPr>
        <w:adjustRightInd w:val="0"/>
        <w:snapToGrid w:val="0"/>
        <w:spacing w:line="360" w:lineRule="auto"/>
        <w:jc w:val="left"/>
        <w:rPr>
          <w:rFonts w:ascii="仿宋" w:hAnsi="仿宋" w:eastAsia="仿宋" w:cs="宋体"/>
          <w:b/>
          <w:snapToGrid w:val="0"/>
          <w:kern w:val="0"/>
          <w:sz w:val="24"/>
          <w:highlight w:val="none"/>
        </w:rPr>
      </w:pPr>
      <w:r>
        <w:rPr>
          <w:rFonts w:hint="eastAsia" w:ascii="仿宋" w:hAnsi="仿宋" w:eastAsia="仿宋" w:cs="宋体"/>
          <w:b/>
          <w:snapToGrid w:val="0"/>
          <w:kern w:val="0"/>
          <w:sz w:val="24"/>
          <w:highlight w:val="none"/>
        </w:rPr>
        <w:t>报价超出最高限价，或者超出采购预算金额，采购人不能支付；</w:t>
      </w:r>
    </w:p>
    <w:p>
      <w:pPr>
        <w:numPr>
          <w:ilvl w:val="0"/>
          <w:numId w:val="1"/>
        </w:numPr>
        <w:adjustRightInd w:val="0"/>
        <w:snapToGrid w:val="0"/>
        <w:spacing w:line="360" w:lineRule="auto"/>
        <w:jc w:val="left"/>
        <w:rPr>
          <w:rFonts w:ascii="仿宋" w:hAnsi="仿宋" w:eastAsia="仿宋" w:cs="宋体"/>
          <w:b/>
          <w:snapToGrid w:val="0"/>
          <w:kern w:val="0"/>
          <w:sz w:val="24"/>
          <w:highlight w:val="none"/>
        </w:rPr>
      </w:pPr>
      <w:r>
        <w:rPr>
          <w:rFonts w:hint="eastAsia" w:ascii="仿宋" w:hAnsi="仿宋" w:eastAsia="仿宋" w:cs="宋体"/>
          <w:b/>
          <w:snapToGrid w:val="0"/>
          <w:kern w:val="0"/>
          <w:sz w:val="24"/>
          <w:highlight w:val="none"/>
        </w:rPr>
        <w:t>含多个标项的采购项目,各标项报价超过对应标项预算价的；</w:t>
      </w:r>
    </w:p>
    <w:p>
      <w:pPr>
        <w:numPr>
          <w:ilvl w:val="0"/>
          <w:numId w:val="1"/>
        </w:numPr>
        <w:adjustRightInd w:val="0"/>
        <w:snapToGrid w:val="0"/>
        <w:spacing w:line="360" w:lineRule="auto"/>
        <w:jc w:val="left"/>
        <w:rPr>
          <w:rFonts w:ascii="仿宋" w:hAnsi="仿宋" w:eastAsia="仿宋" w:cs="宋体"/>
          <w:b/>
          <w:snapToGrid w:val="0"/>
          <w:kern w:val="0"/>
          <w:sz w:val="24"/>
          <w:highlight w:val="none"/>
        </w:rPr>
      </w:pPr>
      <w:r>
        <w:rPr>
          <w:rFonts w:hint="eastAsia" w:ascii="仿宋" w:hAnsi="仿宋" w:eastAsia="仿宋" w:cs="宋体"/>
          <w:b/>
          <w:snapToGrid w:val="0"/>
          <w:kern w:val="0"/>
          <w:sz w:val="24"/>
          <w:highlight w:val="none"/>
        </w:rPr>
        <w:t>投标报价具有选择性；</w:t>
      </w:r>
    </w:p>
    <w:p>
      <w:pPr>
        <w:numPr>
          <w:ilvl w:val="0"/>
          <w:numId w:val="1"/>
        </w:numPr>
        <w:adjustRightInd w:val="0"/>
        <w:snapToGrid w:val="0"/>
        <w:spacing w:line="360" w:lineRule="auto"/>
        <w:jc w:val="left"/>
        <w:rPr>
          <w:rFonts w:ascii="仿宋" w:hAnsi="仿宋" w:eastAsia="仿宋" w:cs="宋体"/>
          <w:b/>
          <w:snapToGrid w:val="0"/>
          <w:kern w:val="0"/>
          <w:sz w:val="24"/>
          <w:highlight w:val="none"/>
        </w:rPr>
      </w:pPr>
      <w:r>
        <w:rPr>
          <w:rFonts w:hint="eastAsia" w:ascii="仿宋" w:hAnsi="仿宋" w:eastAsia="仿宋" w:cs="宋体"/>
          <w:b/>
          <w:snapToGrid w:val="0"/>
          <w:kern w:val="0"/>
          <w:sz w:val="24"/>
          <w:highlight w:val="none"/>
        </w:rPr>
        <w:t>报价文件之外其他投标文件中出现投标报价的（招标文件另有规定的除外）；</w:t>
      </w:r>
    </w:p>
    <w:p>
      <w:pPr>
        <w:numPr>
          <w:ilvl w:val="0"/>
          <w:numId w:val="1"/>
        </w:numPr>
        <w:adjustRightInd w:val="0"/>
        <w:snapToGrid w:val="0"/>
        <w:spacing w:line="360" w:lineRule="auto"/>
        <w:jc w:val="left"/>
        <w:rPr>
          <w:rFonts w:ascii="仿宋" w:hAnsi="仿宋" w:eastAsia="仿宋" w:cs="宋体"/>
          <w:b/>
          <w:snapToGrid w:val="0"/>
          <w:kern w:val="0"/>
          <w:sz w:val="24"/>
          <w:highlight w:val="none"/>
        </w:rPr>
      </w:pPr>
      <w:r>
        <w:rPr>
          <w:rFonts w:hint="eastAsia" w:ascii="仿宋" w:hAnsi="仿宋" w:eastAsia="仿宋" w:cs="宋体"/>
          <w:b/>
          <w:snapToGrid w:val="0"/>
          <w:kern w:val="0"/>
          <w:sz w:val="24"/>
          <w:highlight w:val="none"/>
        </w:rPr>
        <w:t>投标供应商拒绝按招标文件规定的修正原则对投标文件进行修改的；</w:t>
      </w:r>
    </w:p>
    <w:p>
      <w:pPr>
        <w:numPr>
          <w:ilvl w:val="0"/>
          <w:numId w:val="1"/>
        </w:numPr>
        <w:adjustRightInd w:val="0"/>
        <w:snapToGrid w:val="0"/>
        <w:spacing w:line="360" w:lineRule="auto"/>
        <w:jc w:val="left"/>
        <w:rPr>
          <w:rFonts w:ascii="仿宋" w:hAnsi="仿宋" w:eastAsia="仿宋" w:cs="宋体"/>
          <w:b/>
          <w:snapToGrid w:val="0"/>
          <w:kern w:val="0"/>
          <w:sz w:val="24"/>
          <w:highlight w:val="none"/>
        </w:rPr>
      </w:pPr>
      <w:r>
        <w:rPr>
          <w:rFonts w:hint="eastAsia" w:ascii="仿宋" w:hAnsi="仿宋" w:eastAsia="仿宋" w:cs="宋体"/>
          <w:b/>
          <w:snapToGrid w:val="0"/>
          <w:kern w:val="0"/>
          <w:sz w:val="24"/>
          <w:highlight w:val="none"/>
        </w:rPr>
        <w:t>投标供应商串通投标的；</w:t>
      </w:r>
    </w:p>
    <w:p>
      <w:pPr>
        <w:numPr>
          <w:ilvl w:val="0"/>
          <w:numId w:val="1"/>
        </w:numPr>
        <w:adjustRightInd w:val="0"/>
        <w:snapToGrid w:val="0"/>
        <w:spacing w:line="360" w:lineRule="auto"/>
        <w:jc w:val="left"/>
        <w:rPr>
          <w:rFonts w:ascii="仿宋" w:hAnsi="仿宋" w:eastAsia="仿宋" w:cs="宋体"/>
          <w:b/>
          <w:snapToGrid w:val="0"/>
          <w:kern w:val="0"/>
          <w:sz w:val="24"/>
          <w:highlight w:val="none"/>
        </w:rPr>
      </w:pPr>
      <w:r>
        <w:rPr>
          <w:rFonts w:hint="eastAsia" w:ascii="仿宋" w:hAnsi="仿宋" w:eastAsia="仿宋" w:cs="宋体"/>
          <w:b/>
          <w:snapToGrid w:val="0"/>
          <w:kern w:val="0"/>
          <w:sz w:val="24"/>
          <w:highlight w:val="none"/>
        </w:rPr>
        <w:t>投标文件中承诺的投标有效期少于招标文件中载明的投标有效期的；</w:t>
      </w:r>
    </w:p>
    <w:p>
      <w:pPr>
        <w:numPr>
          <w:ilvl w:val="0"/>
          <w:numId w:val="1"/>
        </w:numPr>
        <w:adjustRightInd w:val="0"/>
        <w:snapToGrid w:val="0"/>
        <w:spacing w:line="360" w:lineRule="auto"/>
        <w:jc w:val="left"/>
        <w:rPr>
          <w:rFonts w:ascii="仿宋" w:hAnsi="仿宋" w:eastAsia="仿宋" w:cs="宋体"/>
          <w:b/>
          <w:snapToGrid w:val="0"/>
          <w:kern w:val="0"/>
          <w:sz w:val="24"/>
          <w:highlight w:val="none"/>
        </w:rPr>
      </w:pPr>
      <w:r>
        <w:rPr>
          <w:rFonts w:hint="eastAsia" w:ascii="仿宋" w:hAnsi="仿宋" w:eastAsia="仿宋" w:cs="宋体"/>
          <w:b/>
          <w:snapToGrid w:val="0"/>
          <w:kern w:val="0"/>
          <w:sz w:val="24"/>
          <w:highlight w:val="none"/>
        </w:rPr>
        <w:t>投标文件含有采购人不能接受的附加条件的；</w:t>
      </w:r>
    </w:p>
    <w:p>
      <w:pPr>
        <w:numPr>
          <w:ilvl w:val="0"/>
          <w:numId w:val="1"/>
        </w:numPr>
        <w:adjustRightInd w:val="0"/>
        <w:snapToGrid w:val="0"/>
        <w:spacing w:line="360" w:lineRule="auto"/>
        <w:jc w:val="left"/>
        <w:rPr>
          <w:rFonts w:ascii="仿宋" w:hAnsi="仿宋" w:eastAsia="仿宋" w:cs="宋体"/>
          <w:b/>
          <w:snapToGrid w:val="0"/>
          <w:kern w:val="0"/>
          <w:sz w:val="24"/>
          <w:highlight w:val="none"/>
        </w:rPr>
      </w:pPr>
      <w:r>
        <w:rPr>
          <w:rFonts w:hint="eastAsia" w:ascii="仿宋" w:hAnsi="仿宋" w:eastAsia="仿宋" w:cs="宋体"/>
          <w:b/>
          <w:snapToGrid w:val="0"/>
          <w:kern w:val="0"/>
          <w:sz w:val="24"/>
          <w:highlight w:val="none"/>
        </w:rPr>
        <w:t>投标文件未按招标文件要求进行签署、盖章的情形；</w:t>
      </w:r>
    </w:p>
    <w:p>
      <w:pPr>
        <w:numPr>
          <w:ilvl w:val="0"/>
          <w:numId w:val="1"/>
        </w:numPr>
        <w:adjustRightInd w:val="0"/>
        <w:snapToGrid w:val="0"/>
        <w:spacing w:line="360" w:lineRule="auto"/>
        <w:jc w:val="left"/>
        <w:rPr>
          <w:rFonts w:ascii="仿宋" w:hAnsi="仿宋" w:eastAsia="仿宋" w:cs="宋体"/>
          <w:b/>
          <w:snapToGrid w:val="0"/>
          <w:kern w:val="0"/>
          <w:sz w:val="24"/>
          <w:highlight w:val="none"/>
        </w:rPr>
      </w:pPr>
      <w:r>
        <w:rPr>
          <w:rFonts w:hint="eastAsia" w:ascii="仿宋" w:hAnsi="仿宋" w:eastAsia="仿宋" w:cs="宋体"/>
          <w:b/>
          <w:snapToGrid w:val="0"/>
          <w:kern w:val="0"/>
          <w:sz w:val="24"/>
          <w:highlight w:val="none"/>
        </w:rPr>
        <w:t>法律法规及招标文件规定的其他无效情形。</w:t>
      </w:r>
    </w:p>
    <w:p>
      <w:pPr>
        <w:pStyle w:val="3"/>
        <w:snapToGrid w:val="0"/>
        <w:spacing w:before="0" w:after="0" w:line="360" w:lineRule="auto"/>
        <w:rPr>
          <w:rFonts w:ascii="仿宋" w:hAnsi="仿宋" w:eastAsia="仿宋" w:cs="宋体"/>
          <w:snapToGrid w:val="0"/>
          <w:kern w:val="0"/>
          <w:sz w:val="24"/>
          <w:szCs w:val="24"/>
          <w:highlight w:val="none"/>
        </w:rPr>
      </w:pPr>
      <w:bookmarkStart w:id="28" w:name="_Toc5624550"/>
      <w:bookmarkStart w:id="29" w:name="_Toc16912"/>
      <w:r>
        <w:rPr>
          <w:rFonts w:hint="eastAsia" w:ascii="仿宋" w:hAnsi="仿宋" w:eastAsia="仿宋" w:cs="宋体"/>
          <w:snapToGrid w:val="0"/>
          <w:kern w:val="0"/>
          <w:sz w:val="24"/>
          <w:szCs w:val="24"/>
          <w:highlight w:val="none"/>
        </w:rPr>
        <w:t>五、开标与评标</w:t>
      </w:r>
      <w:bookmarkEnd w:id="26"/>
      <w:bookmarkEnd w:id="27"/>
      <w:bookmarkEnd w:id="28"/>
      <w:bookmarkEnd w:id="29"/>
    </w:p>
    <w:p>
      <w:pPr>
        <w:adjustRightInd w:val="0"/>
        <w:snapToGrid w:val="0"/>
        <w:spacing w:line="360" w:lineRule="auto"/>
        <w:ind w:firstLine="482" w:firstLineChars="200"/>
        <w:rPr>
          <w:rFonts w:ascii="仿宋" w:hAnsi="仿宋" w:eastAsia="仿宋" w:cs="宋体"/>
          <w:b/>
          <w:snapToGrid w:val="0"/>
          <w:kern w:val="0"/>
          <w:sz w:val="24"/>
          <w:highlight w:val="none"/>
        </w:rPr>
      </w:pPr>
      <w:r>
        <w:rPr>
          <w:rFonts w:hint="eastAsia" w:ascii="仿宋" w:hAnsi="仿宋" w:eastAsia="仿宋" w:cs="宋体"/>
          <w:b/>
          <w:snapToGrid w:val="0"/>
          <w:kern w:val="0"/>
          <w:sz w:val="24"/>
          <w:highlight w:val="none"/>
        </w:rPr>
        <w:t>21．开标</w:t>
      </w:r>
    </w:p>
    <w:p>
      <w:pPr>
        <w:adjustRightInd w:val="0"/>
        <w:snapToGrid w:val="0"/>
        <w:spacing w:line="360" w:lineRule="auto"/>
        <w:ind w:firstLine="480" w:firstLineChars="200"/>
        <w:jc w:val="left"/>
        <w:rPr>
          <w:rFonts w:hint="eastAsia" w:ascii="仿宋" w:hAnsi="仿宋" w:eastAsia="仿宋" w:cs="宋体"/>
          <w:snapToGrid w:val="0"/>
          <w:kern w:val="0"/>
          <w:sz w:val="24"/>
          <w:highlight w:val="none"/>
        </w:rPr>
      </w:pPr>
      <w:r>
        <w:rPr>
          <w:rFonts w:hint="eastAsia" w:ascii="仿宋" w:hAnsi="仿宋" w:eastAsia="仿宋" w:cs="宋体"/>
          <w:snapToGrid w:val="0"/>
          <w:kern w:val="0"/>
          <w:sz w:val="24"/>
          <w:highlight w:val="none"/>
        </w:rPr>
        <w:t>21.1 采购代理机构将按照招标公告规定的时间、地点组织开标，开标采取</w:t>
      </w:r>
      <w:r>
        <w:rPr>
          <w:rFonts w:hint="eastAsia" w:ascii="仿宋" w:hAnsi="仿宋" w:eastAsia="仿宋" w:cs="宋体"/>
          <w:snapToGrid w:val="0"/>
          <w:kern w:val="0"/>
          <w:sz w:val="24"/>
          <w:highlight w:val="none"/>
          <w:lang w:eastAsia="zh-CN"/>
        </w:rPr>
        <w:t>同时开启</w:t>
      </w:r>
      <w:r>
        <w:rPr>
          <w:rFonts w:hint="eastAsia" w:ascii="仿宋" w:hAnsi="仿宋" w:eastAsia="仿宋" w:cs="宋体"/>
          <w:snapToGrid w:val="0"/>
          <w:kern w:val="0"/>
          <w:sz w:val="24"/>
          <w:highlight w:val="none"/>
        </w:rPr>
        <w:t>资格文件</w:t>
      </w:r>
      <w:r>
        <w:rPr>
          <w:rFonts w:hint="eastAsia" w:ascii="仿宋" w:hAnsi="仿宋" w:eastAsia="仿宋" w:cs="宋体"/>
          <w:snapToGrid w:val="0"/>
          <w:kern w:val="0"/>
          <w:sz w:val="24"/>
          <w:highlight w:val="none"/>
          <w:lang w:eastAsia="zh-CN"/>
        </w:rPr>
        <w:t>、</w:t>
      </w:r>
      <w:r>
        <w:rPr>
          <w:rFonts w:hint="eastAsia" w:ascii="仿宋" w:hAnsi="仿宋" w:eastAsia="仿宋" w:cs="宋体"/>
          <w:snapToGrid w:val="0"/>
          <w:kern w:val="0"/>
          <w:sz w:val="24"/>
          <w:highlight w:val="none"/>
        </w:rPr>
        <w:t>商务技术文件</w:t>
      </w:r>
      <w:r>
        <w:rPr>
          <w:rFonts w:hint="eastAsia" w:ascii="仿宋" w:hAnsi="仿宋" w:eastAsia="仿宋" w:cs="宋体"/>
          <w:snapToGrid w:val="0"/>
          <w:kern w:val="0"/>
          <w:sz w:val="24"/>
          <w:highlight w:val="none"/>
          <w:lang w:eastAsia="zh-CN"/>
        </w:rPr>
        <w:t>和</w:t>
      </w:r>
      <w:r>
        <w:rPr>
          <w:rFonts w:hint="eastAsia" w:ascii="仿宋" w:hAnsi="仿宋" w:eastAsia="仿宋" w:cs="宋体"/>
          <w:snapToGrid w:val="0"/>
          <w:kern w:val="0"/>
          <w:sz w:val="24"/>
          <w:highlight w:val="none"/>
        </w:rPr>
        <w:t>报价文件的</w:t>
      </w:r>
      <w:r>
        <w:rPr>
          <w:rFonts w:hint="eastAsia" w:ascii="仿宋" w:hAnsi="仿宋" w:eastAsia="仿宋" w:cs="宋体"/>
          <w:snapToGrid w:val="0"/>
          <w:kern w:val="0"/>
          <w:sz w:val="24"/>
          <w:highlight w:val="none"/>
          <w:lang w:eastAsia="zh-CN"/>
        </w:rPr>
        <w:t>方式</w:t>
      </w:r>
      <w:r>
        <w:rPr>
          <w:rFonts w:hint="eastAsia" w:ascii="仿宋" w:hAnsi="仿宋" w:eastAsia="仿宋" w:cs="宋体"/>
          <w:snapToGrid w:val="0"/>
          <w:kern w:val="0"/>
          <w:sz w:val="24"/>
          <w:highlight w:val="none"/>
        </w:rPr>
        <w:t>进行。</w:t>
      </w:r>
    </w:p>
    <w:p>
      <w:pPr>
        <w:adjustRightInd w:val="0"/>
        <w:snapToGrid w:val="0"/>
        <w:spacing w:line="360" w:lineRule="auto"/>
        <w:ind w:firstLine="480" w:firstLineChars="200"/>
        <w:jc w:val="left"/>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21.1.1 采购代理机构将核验出席开标活动现场的各供应商法定代表人或其授权代表及相关单位人员身份，并组织其分别登记、签到，无关人员不得进入现场。各供应商法定代表人或其授权代表应准时参加，携带本人有效证件原件，投标文件中按要求提供法定代表人授权书。供应商如不派代表参加开标大会的，事后不得对采购相关人员、开标过程和开标结果提出异议。</w:t>
      </w:r>
    </w:p>
    <w:p>
      <w:pPr>
        <w:adjustRightInd w:val="0"/>
        <w:snapToGrid w:val="0"/>
        <w:spacing w:line="360" w:lineRule="auto"/>
        <w:ind w:firstLine="480" w:firstLineChars="200"/>
        <w:jc w:val="left"/>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21.1.2采购代理机构接收投标文件并登记，各供应商法定代表人或其授权代表对投标文件的递交记录情况进行签字确认。没有整体密封包装的投标文件，将被当场拒绝。</w:t>
      </w:r>
    </w:p>
    <w:p>
      <w:pPr>
        <w:adjustRightInd w:val="0"/>
        <w:snapToGrid w:val="0"/>
        <w:spacing w:line="360" w:lineRule="auto"/>
        <w:ind w:firstLine="480" w:firstLineChars="200"/>
        <w:jc w:val="left"/>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21.1.</w:t>
      </w:r>
      <w:r>
        <w:rPr>
          <w:rFonts w:hint="eastAsia" w:ascii="仿宋" w:hAnsi="仿宋" w:eastAsia="仿宋" w:cs="宋体"/>
          <w:snapToGrid w:val="0"/>
          <w:kern w:val="0"/>
          <w:sz w:val="24"/>
          <w:highlight w:val="none"/>
          <w:lang w:val="en-US" w:eastAsia="zh-CN"/>
        </w:rPr>
        <w:t>3</w:t>
      </w:r>
      <w:r>
        <w:rPr>
          <w:rFonts w:hint="eastAsia" w:ascii="仿宋" w:hAnsi="仿宋" w:eastAsia="仿宋" w:cs="宋体"/>
          <w:snapToGrid w:val="0"/>
          <w:kern w:val="0"/>
          <w:sz w:val="24"/>
          <w:highlight w:val="none"/>
        </w:rPr>
        <w:t>提请供应商或者其推选的代表查验投标文件密封情况。</w:t>
      </w:r>
    </w:p>
    <w:p>
      <w:pPr>
        <w:adjustRightInd w:val="0"/>
        <w:snapToGrid w:val="0"/>
        <w:spacing w:line="360" w:lineRule="auto"/>
        <w:ind w:firstLine="480" w:firstLineChars="200"/>
        <w:jc w:val="left"/>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21.1.</w:t>
      </w:r>
      <w:r>
        <w:rPr>
          <w:rFonts w:hint="eastAsia" w:ascii="仿宋" w:hAnsi="仿宋" w:eastAsia="仿宋" w:cs="宋体"/>
          <w:snapToGrid w:val="0"/>
          <w:kern w:val="0"/>
          <w:sz w:val="24"/>
          <w:highlight w:val="none"/>
          <w:lang w:val="en-US" w:eastAsia="zh-CN"/>
        </w:rPr>
        <w:t>4</w:t>
      </w:r>
      <w:r>
        <w:rPr>
          <w:rFonts w:hint="eastAsia" w:ascii="仿宋" w:hAnsi="仿宋" w:eastAsia="仿宋" w:cs="宋体"/>
          <w:snapToGrid w:val="0"/>
          <w:kern w:val="0"/>
          <w:sz w:val="24"/>
          <w:highlight w:val="none"/>
        </w:rPr>
        <w:t>采购代理机构宣布开标，介绍开标现场的人员情况，宣读递交投标文件的供应商名单</w:t>
      </w:r>
      <w:r>
        <w:rPr>
          <w:rFonts w:hint="eastAsia" w:ascii="仿宋" w:hAnsi="仿宋" w:eastAsia="仿宋" w:cs="宋体"/>
          <w:snapToGrid w:val="0"/>
          <w:kern w:val="0"/>
          <w:sz w:val="24"/>
          <w:highlight w:val="none"/>
          <w:lang w:eastAsia="zh-CN"/>
        </w:rPr>
        <w:t>、</w:t>
      </w:r>
      <w:r>
        <w:rPr>
          <w:rFonts w:hint="eastAsia" w:ascii="仿宋" w:hAnsi="仿宋" w:eastAsia="仿宋" w:cs="宋体"/>
          <w:snapToGrid w:val="0"/>
          <w:kern w:val="0"/>
          <w:sz w:val="24"/>
          <w:highlight w:val="none"/>
        </w:rPr>
        <w:t>开标纪律、应当回避的情形等注意事项，组织各供应商法定代表人或其授权代表签署不存在影响公平竞争的《政府采购活动现场确认声明书》。采购代理机构宣读《投标（开标）一览表》有关内容，同时当场制作并打印开标记录表，由各供应商法定代表人或其授权代表在中正开标记录表上签字确认（不予确认的应说明理由，否则视为无异议）。</w:t>
      </w:r>
    </w:p>
    <w:p>
      <w:pPr>
        <w:adjustRightInd w:val="0"/>
        <w:snapToGrid w:val="0"/>
        <w:spacing w:line="360" w:lineRule="auto"/>
        <w:ind w:firstLine="480" w:firstLineChars="200"/>
        <w:jc w:val="left"/>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21.1.5开标时，按供应商提交投标文件的登记顺序当众拆封、清点投标文件（包括正本、副本）数量，将拆封后的</w:t>
      </w:r>
      <w:r>
        <w:rPr>
          <w:rFonts w:hint="eastAsia" w:ascii="仿宋" w:hAnsi="仿宋" w:eastAsia="仿宋" w:cs="宋体"/>
          <w:snapToGrid w:val="0"/>
          <w:kern w:val="0"/>
          <w:sz w:val="24"/>
          <w:highlight w:val="none"/>
          <w:lang w:eastAsia="zh-CN"/>
        </w:rPr>
        <w:t>投标文件</w:t>
      </w:r>
      <w:r>
        <w:rPr>
          <w:rFonts w:hint="eastAsia" w:ascii="仿宋" w:hAnsi="仿宋" w:eastAsia="仿宋" w:cs="宋体"/>
          <w:snapToGrid w:val="0"/>
          <w:kern w:val="0"/>
          <w:sz w:val="24"/>
          <w:highlight w:val="none"/>
        </w:rPr>
        <w:t>由采购代理机构送至评审地点。</w:t>
      </w:r>
    </w:p>
    <w:p>
      <w:pPr>
        <w:adjustRightInd w:val="0"/>
        <w:snapToGrid w:val="0"/>
        <w:spacing w:line="360" w:lineRule="auto"/>
        <w:ind w:firstLine="480" w:firstLineChars="200"/>
        <w:jc w:val="left"/>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对不符合装订要求的投标文件，由采购代理机构当场退还供应商法定代表人或其授权代表。供应商提交的报价文件未单独密封的，如开标时发生报价泄露，由供应商自行承担相关责任。</w:t>
      </w:r>
    </w:p>
    <w:p>
      <w:pPr>
        <w:adjustRightInd w:val="0"/>
        <w:snapToGrid w:val="0"/>
        <w:spacing w:line="360" w:lineRule="auto"/>
        <w:ind w:firstLine="480" w:firstLineChars="200"/>
        <w:jc w:val="left"/>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21.1.</w:t>
      </w:r>
      <w:r>
        <w:rPr>
          <w:rFonts w:hint="eastAsia" w:ascii="仿宋" w:hAnsi="仿宋" w:eastAsia="仿宋" w:cs="宋体"/>
          <w:snapToGrid w:val="0"/>
          <w:kern w:val="0"/>
          <w:sz w:val="24"/>
          <w:highlight w:val="none"/>
          <w:lang w:val="en-US" w:eastAsia="zh-CN"/>
        </w:rPr>
        <w:t>7</w:t>
      </w:r>
      <w:r>
        <w:rPr>
          <w:rFonts w:hint="eastAsia" w:ascii="仿宋" w:hAnsi="仿宋" w:eastAsia="仿宋" w:cs="宋体"/>
          <w:snapToGrid w:val="0"/>
          <w:kern w:val="0"/>
          <w:sz w:val="24"/>
          <w:highlight w:val="none"/>
        </w:rPr>
        <w:t>评审结束后，采购代理机构公布中标候选人名单，及采购人最终确定中标人名单的时间和公告方式等。</w:t>
      </w:r>
    </w:p>
    <w:p>
      <w:pPr>
        <w:adjustRightInd w:val="0"/>
        <w:snapToGrid w:val="0"/>
        <w:spacing w:line="360" w:lineRule="auto"/>
        <w:ind w:firstLine="482" w:firstLineChars="200"/>
        <w:rPr>
          <w:rFonts w:ascii="仿宋" w:hAnsi="仿宋" w:eastAsia="仿宋" w:cs="宋体"/>
          <w:b/>
          <w:snapToGrid w:val="0"/>
          <w:kern w:val="0"/>
          <w:sz w:val="24"/>
          <w:highlight w:val="none"/>
        </w:rPr>
      </w:pPr>
      <w:r>
        <w:rPr>
          <w:rFonts w:hint="eastAsia" w:ascii="仿宋" w:hAnsi="仿宋" w:eastAsia="仿宋" w:cs="宋体"/>
          <w:b/>
          <w:snapToGrid w:val="0"/>
          <w:kern w:val="0"/>
          <w:sz w:val="24"/>
          <w:highlight w:val="none"/>
        </w:rPr>
        <w:t>22．评标</w:t>
      </w:r>
    </w:p>
    <w:p>
      <w:pPr>
        <w:adjustRightInd w:val="0"/>
        <w:snapToGrid w:val="0"/>
        <w:spacing w:line="360" w:lineRule="auto"/>
        <w:ind w:firstLine="482" w:firstLineChars="200"/>
        <w:jc w:val="left"/>
        <w:rPr>
          <w:rFonts w:ascii="仿宋" w:hAnsi="仿宋" w:eastAsia="仿宋" w:cs="宋体"/>
          <w:b/>
          <w:snapToGrid w:val="0"/>
          <w:kern w:val="0"/>
          <w:sz w:val="24"/>
          <w:highlight w:val="none"/>
        </w:rPr>
      </w:pPr>
      <w:r>
        <w:rPr>
          <w:rFonts w:hint="eastAsia" w:ascii="仿宋" w:hAnsi="仿宋" w:eastAsia="仿宋" w:cs="宋体"/>
          <w:b/>
          <w:snapToGrid w:val="0"/>
          <w:kern w:val="0"/>
          <w:sz w:val="24"/>
          <w:highlight w:val="none"/>
        </w:rPr>
        <w:t>22.1 评标组织</w:t>
      </w:r>
    </w:p>
    <w:p>
      <w:pPr>
        <w:adjustRightInd w:val="0"/>
        <w:snapToGrid w:val="0"/>
        <w:spacing w:line="360" w:lineRule="auto"/>
        <w:ind w:firstLine="480" w:firstLineChars="200"/>
        <w:jc w:val="left"/>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评标工作由采购代理机构负责组织，依法组建由</w:t>
      </w:r>
      <w:r>
        <w:rPr>
          <w:rFonts w:hint="eastAsia" w:ascii="仿宋" w:hAnsi="仿宋" w:eastAsia="仿宋" w:cs="宋体"/>
          <w:snapToGrid w:val="0"/>
          <w:kern w:val="0"/>
          <w:sz w:val="24"/>
          <w:highlight w:val="none"/>
          <w:lang w:val="en-US" w:eastAsia="zh-CN"/>
        </w:rPr>
        <w:t>5</w:t>
      </w:r>
      <w:r>
        <w:rPr>
          <w:rFonts w:hint="eastAsia" w:ascii="仿宋" w:hAnsi="仿宋" w:eastAsia="仿宋" w:cs="宋体"/>
          <w:snapToGrid w:val="0"/>
          <w:kern w:val="0"/>
          <w:sz w:val="24"/>
          <w:highlight w:val="none"/>
        </w:rPr>
        <w:t>人及以上奇数人员组成的评标委员会，负责对投标文件进行审查、质询、评审等。评标委员会由相关专家等组成，其中专家不得少于成员总数的三分之二。</w:t>
      </w:r>
    </w:p>
    <w:p>
      <w:pPr>
        <w:adjustRightInd w:val="0"/>
        <w:snapToGrid w:val="0"/>
        <w:spacing w:line="360" w:lineRule="auto"/>
        <w:ind w:firstLine="482" w:firstLineChars="200"/>
        <w:jc w:val="left"/>
        <w:rPr>
          <w:rFonts w:ascii="仿宋" w:hAnsi="仿宋" w:eastAsia="仿宋" w:cs="宋体"/>
          <w:b/>
          <w:snapToGrid w:val="0"/>
          <w:kern w:val="0"/>
          <w:sz w:val="24"/>
          <w:highlight w:val="none"/>
        </w:rPr>
      </w:pPr>
      <w:r>
        <w:rPr>
          <w:rFonts w:hint="eastAsia" w:ascii="仿宋" w:hAnsi="仿宋" w:eastAsia="仿宋" w:cs="宋体"/>
          <w:b/>
          <w:snapToGrid w:val="0"/>
          <w:kern w:val="0"/>
          <w:sz w:val="24"/>
          <w:highlight w:val="none"/>
        </w:rPr>
        <w:t>22.2评标纪律</w:t>
      </w:r>
    </w:p>
    <w:p>
      <w:pPr>
        <w:adjustRightInd w:val="0"/>
        <w:snapToGrid w:val="0"/>
        <w:spacing w:line="360" w:lineRule="auto"/>
        <w:ind w:firstLine="480" w:firstLineChars="200"/>
        <w:jc w:val="left"/>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本次评标工作将在严格保密的情况下进行，评标委员会成员名单在定标前将保密。</w:t>
      </w:r>
    </w:p>
    <w:p>
      <w:pPr>
        <w:adjustRightInd w:val="0"/>
        <w:snapToGrid w:val="0"/>
        <w:spacing w:line="360" w:lineRule="auto"/>
        <w:ind w:firstLine="482" w:firstLineChars="200"/>
        <w:jc w:val="left"/>
        <w:rPr>
          <w:rFonts w:ascii="仿宋" w:hAnsi="仿宋" w:eastAsia="仿宋" w:cs="宋体"/>
          <w:b/>
          <w:snapToGrid w:val="0"/>
          <w:kern w:val="0"/>
          <w:sz w:val="24"/>
          <w:highlight w:val="none"/>
        </w:rPr>
      </w:pPr>
      <w:r>
        <w:rPr>
          <w:rFonts w:hint="eastAsia" w:ascii="仿宋" w:hAnsi="仿宋" w:eastAsia="仿宋" w:cs="宋体"/>
          <w:b/>
          <w:snapToGrid w:val="0"/>
          <w:kern w:val="0"/>
          <w:sz w:val="24"/>
          <w:highlight w:val="none"/>
        </w:rPr>
        <w:t>22.3评标办法</w:t>
      </w:r>
    </w:p>
    <w:p>
      <w:pPr>
        <w:adjustRightInd w:val="0"/>
        <w:snapToGrid w:val="0"/>
        <w:spacing w:line="360" w:lineRule="auto"/>
        <w:ind w:firstLine="480" w:firstLineChars="200"/>
        <w:jc w:val="left"/>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采用综合评分法，详见招标文件第五部分“评标办法”。</w:t>
      </w:r>
    </w:p>
    <w:p>
      <w:pPr>
        <w:adjustRightInd w:val="0"/>
        <w:snapToGrid w:val="0"/>
        <w:spacing w:line="360" w:lineRule="auto"/>
        <w:ind w:firstLine="482" w:firstLineChars="200"/>
        <w:jc w:val="left"/>
        <w:rPr>
          <w:rFonts w:ascii="仿宋" w:hAnsi="仿宋" w:eastAsia="仿宋" w:cs="宋体"/>
          <w:b/>
          <w:snapToGrid w:val="0"/>
          <w:kern w:val="0"/>
          <w:sz w:val="24"/>
          <w:highlight w:val="none"/>
        </w:rPr>
      </w:pPr>
      <w:r>
        <w:rPr>
          <w:rFonts w:hint="eastAsia" w:ascii="仿宋" w:hAnsi="仿宋" w:eastAsia="仿宋" w:cs="宋体"/>
          <w:b/>
          <w:snapToGrid w:val="0"/>
          <w:kern w:val="0"/>
          <w:sz w:val="24"/>
          <w:highlight w:val="none"/>
        </w:rPr>
        <w:t>22.4 评标程序</w:t>
      </w:r>
    </w:p>
    <w:p>
      <w:pPr>
        <w:adjustRightInd w:val="0"/>
        <w:snapToGrid w:val="0"/>
        <w:spacing w:line="360" w:lineRule="auto"/>
        <w:ind w:firstLine="480" w:firstLineChars="200"/>
        <w:jc w:val="left"/>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22.4.1投标文件初审。初审分为资格性检查和符合性检查。</w:t>
      </w:r>
    </w:p>
    <w:p>
      <w:pPr>
        <w:adjustRightInd w:val="0"/>
        <w:snapToGrid w:val="0"/>
        <w:spacing w:line="360" w:lineRule="auto"/>
        <w:ind w:firstLine="480" w:firstLineChars="200"/>
        <w:jc w:val="left"/>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（1）资格性检查。采购人/采购代理机构依据法律法规和招标文件的规定，对投标文件中的资格证明等进行审查，以确定供应商是否具备投标资格。</w:t>
      </w:r>
    </w:p>
    <w:p>
      <w:pPr>
        <w:adjustRightInd w:val="0"/>
        <w:snapToGrid w:val="0"/>
        <w:spacing w:line="360" w:lineRule="auto"/>
        <w:ind w:firstLine="480" w:firstLineChars="200"/>
        <w:jc w:val="left"/>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投标供应商未按照招标文件要求提供资格条件相应的有效资格证明材料的，视为投标供应商不具备招标文件中规定的资格要求，其投标无效。</w:t>
      </w:r>
    </w:p>
    <w:p>
      <w:pPr>
        <w:adjustRightInd w:val="0"/>
        <w:snapToGrid w:val="0"/>
        <w:spacing w:line="360" w:lineRule="auto"/>
        <w:ind w:firstLine="480" w:firstLineChars="200"/>
        <w:jc w:val="left"/>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（2）符合性检查。依据招标文件的规定，从投标文件的有效性、完整性和对招标文件的响应程度进行审查，以确定是否对招标文件的实质性要求作出响应。</w:t>
      </w:r>
    </w:p>
    <w:p>
      <w:pPr>
        <w:adjustRightInd w:val="0"/>
        <w:snapToGrid w:val="0"/>
        <w:spacing w:line="360" w:lineRule="auto"/>
        <w:ind w:firstLine="480" w:firstLineChars="200"/>
        <w:jc w:val="left"/>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22.4.2澄清有关问题。对投标文件中含义不明确、同类问题表述不一致或者有明显文字和计算错误的内容，评标委员会可以书面形式（应当由评标委员会专家签字）要求供应商作出必要的澄清、说明或者纠正。供应商的澄清、说明或者补正应当采用书面形式，由其授权的代表签字，并不得超出投标文件的范围或者改变投标文件的实质性内容。</w:t>
      </w:r>
    </w:p>
    <w:p>
      <w:pPr>
        <w:adjustRightInd w:val="0"/>
        <w:snapToGrid w:val="0"/>
        <w:spacing w:line="360" w:lineRule="auto"/>
        <w:ind w:firstLine="480" w:firstLineChars="200"/>
        <w:jc w:val="left"/>
        <w:rPr>
          <w:rFonts w:hint="eastAsia" w:ascii="仿宋" w:hAnsi="仿宋" w:eastAsia="仿宋" w:cs="宋体"/>
          <w:snapToGrid w:val="0"/>
          <w:kern w:val="0"/>
          <w:sz w:val="24"/>
          <w:highlight w:val="none"/>
        </w:rPr>
      </w:pPr>
      <w:r>
        <w:rPr>
          <w:rFonts w:hint="eastAsia" w:ascii="仿宋" w:hAnsi="仿宋" w:eastAsia="仿宋" w:cs="宋体"/>
          <w:snapToGrid w:val="0"/>
          <w:kern w:val="0"/>
          <w:sz w:val="24"/>
          <w:highlight w:val="none"/>
        </w:rPr>
        <w:t>22.4.3比较与评价。按招标文件中规定的评标方法和标准，对资格性检查和符合性检查合格的投标文件进行商务和技术评估，综合比较与评价。</w:t>
      </w:r>
    </w:p>
    <w:p>
      <w:pPr>
        <w:adjustRightInd w:val="0"/>
        <w:snapToGrid w:val="0"/>
        <w:spacing w:line="360" w:lineRule="auto"/>
        <w:ind w:firstLine="482" w:firstLineChars="200"/>
        <w:jc w:val="left"/>
        <w:rPr>
          <w:rFonts w:hint="eastAsia" w:ascii="仿宋" w:hAnsi="仿宋" w:eastAsia="仿宋" w:cs="宋体"/>
          <w:b/>
          <w:bCs/>
          <w:snapToGrid w:val="0"/>
          <w:kern w:val="0"/>
          <w:sz w:val="24"/>
          <w:highlight w:val="none"/>
        </w:rPr>
      </w:pPr>
      <w:r>
        <w:rPr>
          <w:rFonts w:hint="eastAsia" w:ascii="仿宋" w:hAnsi="仿宋" w:eastAsia="仿宋" w:cs="宋体"/>
          <w:b/>
          <w:bCs/>
          <w:snapToGrid w:val="0"/>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adjustRightInd w:val="0"/>
        <w:snapToGrid w:val="0"/>
        <w:spacing w:line="360" w:lineRule="auto"/>
        <w:ind w:firstLine="480" w:firstLineChars="200"/>
        <w:jc w:val="left"/>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22.4.4推荐中标候选供应商名单。</w:t>
      </w:r>
    </w:p>
    <w:p>
      <w:pPr>
        <w:adjustRightInd w:val="0"/>
        <w:snapToGrid w:val="0"/>
        <w:spacing w:line="360" w:lineRule="auto"/>
        <w:ind w:firstLine="480" w:firstLineChars="200"/>
        <w:jc w:val="left"/>
        <w:rPr>
          <w:rFonts w:ascii="仿宋" w:hAnsi="仿宋" w:eastAsia="仿宋" w:cs="宋体"/>
          <w:b/>
          <w:snapToGrid w:val="0"/>
          <w:kern w:val="0"/>
          <w:sz w:val="24"/>
          <w:highlight w:val="none"/>
        </w:rPr>
      </w:pPr>
      <w:r>
        <w:rPr>
          <w:rFonts w:hint="eastAsia" w:ascii="仿宋" w:hAnsi="仿宋" w:eastAsia="仿宋" w:cs="宋体"/>
          <w:snapToGrid w:val="0"/>
          <w:kern w:val="0"/>
          <w:sz w:val="24"/>
          <w:highlight w:val="none"/>
        </w:rPr>
        <w:t>22.4.5编写评标报告</w:t>
      </w:r>
      <w:r>
        <w:rPr>
          <w:rFonts w:hint="eastAsia" w:ascii="仿宋" w:hAnsi="仿宋" w:eastAsia="仿宋" w:cs="宋体"/>
          <w:b/>
          <w:snapToGrid w:val="0"/>
          <w:kern w:val="0"/>
          <w:sz w:val="24"/>
          <w:highlight w:val="none"/>
        </w:rPr>
        <w:t>。</w:t>
      </w:r>
    </w:p>
    <w:p>
      <w:pPr>
        <w:adjustRightInd w:val="0"/>
        <w:snapToGrid w:val="0"/>
        <w:spacing w:line="360" w:lineRule="auto"/>
        <w:ind w:firstLine="482" w:firstLineChars="200"/>
        <w:rPr>
          <w:rFonts w:ascii="仿宋" w:hAnsi="仿宋" w:eastAsia="仿宋" w:cs="宋体"/>
          <w:b/>
          <w:snapToGrid w:val="0"/>
          <w:kern w:val="0"/>
          <w:sz w:val="24"/>
          <w:highlight w:val="none"/>
        </w:rPr>
      </w:pPr>
      <w:r>
        <w:rPr>
          <w:rFonts w:hint="eastAsia" w:ascii="仿宋" w:hAnsi="仿宋" w:eastAsia="仿宋" w:cs="宋体"/>
          <w:b/>
          <w:snapToGrid w:val="0"/>
          <w:kern w:val="0"/>
          <w:sz w:val="24"/>
          <w:highlight w:val="none"/>
        </w:rPr>
        <w:t>23．废标</w:t>
      </w:r>
    </w:p>
    <w:p>
      <w:pPr>
        <w:adjustRightInd w:val="0"/>
        <w:snapToGrid w:val="0"/>
        <w:spacing w:line="360" w:lineRule="auto"/>
        <w:ind w:firstLine="480" w:firstLineChars="200"/>
        <w:jc w:val="left"/>
        <w:rPr>
          <w:rFonts w:ascii="仿宋" w:hAnsi="仿宋" w:eastAsia="仿宋" w:cs="宋体"/>
          <w:snapToGrid w:val="0"/>
          <w:kern w:val="0"/>
          <w:sz w:val="24"/>
          <w:highlight w:val="none"/>
        </w:rPr>
      </w:pPr>
      <w:bookmarkStart w:id="30" w:name="_Toc240450082"/>
      <w:bookmarkStart w:id="31" w:name="_Toc251566655"/>
      <w:bookmarkStart w:id="32" w:name="_Toc294777236"/>
      <w:r>
        <w:rPr>
          <w:rFonts w:hint="eastAsia" w:ascii="仿宋" w:hAnsi="仿宋" w:eastAsia="仿宋" w:cs="宋体"/>
          <w:snapToGrid w:val="0"/>
          <w:kern w:val="0"/>
          <w:sz w:val="24"/>
          <w:highlight w:val="none"/>
        </w:rPr>
        <w:t>23.1根据《中华人民共和国政府采购法》第三十六条，出现下列情形之一的，应予以废标：</w:t>
      </w:r>
    </w:p>
    <w:p>
      <w:pPr>
        <w:adjustRightInd w:val="0"/>
        <w:snapToGrid w:val="0"/>
        <w:spacing w:line="360" w:lineRule="auto"/>
        <w:ind w:firstLine="480" w:firstLineChars="200"/>
        <w:jc w:val="left"/>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（1）符合专业条件的供应商或者对招标文件作实质响应的供应商不足三家的；</w:t>
      </w:r>
    </w:p>
    <w:p>
      <w:pPr>
        <w:adjustRightInd w:val="0"/>
        <w:snapToGrid w:val="0"/>
        <w:spacing w:line="360" w:lineRule="auto"/>
        <w:ind w:firstLine="480" w:firstLineChars="200"/>
        <w:jc w:val="left"/>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 xml:space="preserve">（2）出现影响采购公正的违法、违规行为的； </w:t>
      </w:r>
    </w:p>
    <w:p>
      <w:pPr>
        <w:adjustRightInd w:val="0"/>
        <w:snapToGrid w:val="0"/>
        <w:spacing w:line="360" w:lineRule="auto"/>
        <w:ind w:firstLine="480" w:firstLineChars="200"/>
        <w:jc w:val="left"/>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 xml:space="preserve">（3）供应商的报价均超过了采购预算，采购人不能支付的； </w:t>
      </w:r>
    </w:p>
    <w:p>
      <w:pPr>
        <w:adjustRightInd w:val="0"/>
        <w:snapToGrid w:val="0"/>
        <w:spacing w:line="360" w:lineRule="auto"/>
        <w:ind w:firstLine="480" w:firstLineChars="200"/>
        <w:jc w:val="left"/>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（4）因重大变故，采购任务取消的。</w:t>
      </w:r>
    </w:p>
    <w:p>
      <w:pPr>
        <w:adjustRightInd w:val="0"/>
        <w:snapToGrid w:val="0"/>
        <w:spacing w:line="360" w:lineRule="auto"/>
        <w:ind w:firstLine="480" w:firstLineChars="200"/>
        <w:jc w:val="left"/>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23.2 废标后，采购人应当重新组织招标；或者经主管部门批准，采取其他方式组织采购。</w:t>
      </w:r>
    </w:p>
    <w:p>
      <w:pPr>
        <w:pStyle w:val="3"/>
        <w:snapToGrid w:val="0"/>
        <w:spacing w:before="0" w:after="0" w:line="360" w:lineRule="auto"/>
        <w:rPr>
          <w:rFonts w:ascii="仿宋" w:hAnsi="仿宋" w:eastAsia="仿宋" w:cs="宋体"/>
          <w:snapToGrid w:val="0"/>
          <w:kern w:val="0"/>
          <w:sz w:val="24"/>
          <w:szCs w:val="24"/>
          <w:highlight w:val="none"/>
        </w:rPr>
      </w:pPr>
      <w:bookmarkStart w:id="33" w:name="_Toc28941"/>
      <w:bookmarkStart w:id="34" w:name="_Toc5624551"/>
      <w:r>
        <w:rPr>
          <w:rFonts w:hint="eastAsia" w:ascii="仿宋" w:hAnsi="仿宋" w:eastAsia="仿宋" w:cs="宋体"/>
          <w:snapToGrid w:val="0"/>
          <w:kern w:val="0"/>
          <w:sz w:val="24"/>
          <w:szCs w:val="24"/>
          <w:highlight w:val="none"/>
        </w:rPr>
        <w:t>六、确定中标人及授予合同</w:t>
      </w:r>
      <w:bookmarkEnd w:id="30"/>
      <w:bookmarkEnd w:id="31"/>
      <w:bookmarkEnd w:id="32"/>
      <w:bookmarkEnd w:id="33"/>
      <w:bookmarkEnd w:id="34"/>
    </w:p>
    <w:p>
      <w:pPr>
        <w:adjustRightInd w:val="0"/>
        <w:snapToGrid w:val="0"/>
        <w:spacing w:line="360" w:lineRule="auto"/>
        <w:ind w:firstLine="482" w:firstLineChars="200"/>
        <w:rPr>
          <w:rFonts w:ascii="仿宋" w:hAnsi="仿宋" w:eastAsia="仿宋" w:cs="宋体"/>
          <w:b/>
          <w:snapToGrid w:val="0"/>
          <w:kern w:val="0"/>
          <w:sz w:val="24"/>
          <w:highlight w:val="none"/>
        </w:rPr>
      </w:pPr>
      <w:r>
        <w:rPr>
          <w:rFonts w:hint="eastAsia" w:ascii="仿宋" w:hAnsi="仿宋" w:eastAsia="仿宋" w:cs="宋体"/>
          <w:b/>
          <w:snapToGrid w:val="0"/>
          <w:kern w:val="0"/>
          <w:sz w:val="24"/>
          <w:highlight w:val="none"/>
        </w:rPr>
        <w:t>24．中标人的确定</w:t>
      </w:r>
    </w:p>
    <w:p>
      <w:pPr>
        <w:adjustRightInd w:val="0"/>
        <w:snapToGrid w:val="0"/>
        <w:spacing w:line="360" w:lineRule="auto"/>
        <w:ind w:firstLine="480" w:firstLineChars="200"/>
        <w:jc w:val="left"/>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24.1 采购人按照评标报告中推荐的中标候选人顺序确定中标人。</w:t>
      </w:r>
    </w:p>
    <w:p>
      <w:pPr>
        <w:adjustRightInd w:val="0"/>
        <w:snapToGrid w:val="0"/>
        <w:spacing w:line="360" w:lineRule="auto"/>
        <w:ind w:firstLine="480" w:firstLineChars="200"/>
        <w:jc w:val="left"/>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24.2 中标人确定后，中标结果将在发布招标公告的同一媒体上公告。</w:t>
      </w:r>
    </w:p>
    <w:p>
      <w:pPr>
        <w:adjustRightInd w:val="0"/>
        <w:snapToGrid w:val="0"/>
        <w:spacing w:line="360" w:lineRule="auto"/>
        <w:ind w:firstLine="480" w:firstLineChars="200"/>
        <w:jc w:val="left"/>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24.3 供应商对中标公告有异议的，可以以书面形式向采购人提出质疑，但需对质疑内容的真实性承担责任。对质疑答复不满的，可以在答复期满后十五个工作日内向单位采购监督管理部门投诉。</w:t>
      </w:r>
    </w:p>
    <w:p>
      <w:pPr>
        <w:adjustRightInd w:val="0"/>
        <w:snapToGrid w:val="0"/>
        <w:spacing w:line="360" w:lineRule="auto"/>
        <w:ind w:firstLine="482" w:firstLineChars="200"/>
        <w:rPr>
          <w:rFonts w:ascii="仿宋" w:hAnsi="仿宋" w:eastAsia="仿宋" w:cs="宋体"/>
          <w:b/>
          <w:snapToGrid w:val="0"/>
          <w:kern w:val="0"/>
          <w:sz w:val="24"/>
          <w:highlight w:val="none"/>
        </w:rPr>
      </w:pPr>
      <w:r>
        <w:rPr>
          <w:rFonts w:hint="eastAsia" w:ascii="仿宋" w:hAnsi="仿宋" w:eastAsia="仿宋" w:cs="宋体"/>
          <w:b/>
          <w:snapToGrid w:val="0"/>
          <w:kern w:val="0"/>
          <w:sz w:val="24"/>
          <w:highlight w:val="none"/>
        </w:rPr>
        <w:t>25．合同授予</w:t>
      </w:r>
    </w:p>
    <w:p>
      <w:pPr>
        <w:adjustRightInd w:val="0"/>
        <w:snapToGrid w:val="0"/>
        <w:spacing w:line="360" w:lineRule="auto"/>
        <w:ind w:firstLine="480" w:firstLineChars="200"/>
        <w:jc w:val="left"/>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25.1 本项目的合同将授予按本须知第24.1款所确定的中标人。</w:t>
      </w:r>
    </w:p>
    <w:p>
      <w:pPr>
        <w:adjustRightInd w:val="0"/>
        <w:snapToGrid w:val="0"/>
        <w:spacing w:line="360" w:lineRule="auto"/>
        <w:ind w:firstLine="480" w:firstLineChars="200"/>
        <w:jc w:val="left"/>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25.2 中标人因不可抗力或者自身原因不能履行合同的，采购人可以与排位在中标人之后的第一位的中标候选人签订合同，也可以依法重新组织招标或经批准按其他方式执行。</w:t>
      </w:r>
    </w:p>
    <w:p>
      <w:pPr>
        <w:adjustRightInd w:val="0"/>
        <w:snapToGrid w:val="0"/>
        <w:spacing w:line="360" w:lineRule="auto"/>
        <w:ind w:firstLine="482" w:firstLineChars="200"/>
        <w:rPr>
          <w:rFonts w:ascii="仿宋" w:hAnsi="仿宋" w:eastAsia="仿宋" w:cs="宋体"/>
          <w:b/>
          <w:snapToGrid w:val="0"/>
          <w:kern w:val="0"/>
          <w:sz w:val="24"/>
          <w:highlight w:val="none"/>
        </w:rPr>
      </w:pPr>
      <w:r>
        <w:rPr>
          <w:rFonts w:hint="eastAsia" w:ascii="仿宋" w:hAnsi="仿宋" w:eastAsia="仿宋" w:cs="宋体"/>
          <w:b/>
          <w:snapToGrid w:val="0"/>
          <w:kern w:val="0"/>
          <w:sz w:val="24"/>
          <w:highlight w:val="none"/>
        </w:rPr>
        <w:t>26．签订合同</w:t>
      </w:r>
    </w:p>
    <w:p>
      <w:pPr>
        <w:adjustRightInd w:val="0"/>
        <w:snapToGrid w:val="0"/>
        <w:spacing w:line="360" w:lineRule="auto"/>
        <w:ind w:firstLine="480" w:firstLineChars="200"/>
        <w:jc w:val="left"/>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26.1 中标人应按中标通知书规定的时间与采购人签订合同。中标人在领取中标通知书时须向采购人提供一份关于本项目在实施过程中的相关人员的通讯录作为合同附件。</w:t>
      </w:r>
    </w:p>
    <w:p>
      <w:pPr>
        <w:adjustRightInd w:val="0"/>
        <w:snapToGrid w:val="0"/>
        <w:spacing w:line="360" w:lineRule="auto"/>
        <w:ind w:firstLine="480" w:firstLineChars="200"/>
        <w:jc w:val="left"/>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26.2 中标人如不遵守招标文件或投标文件各项条款的邀约与要约，或在接到中标通知书后30天内借故拖延，拒签合同的，给采购人造成的损失应当对予以赔偿，采购人可根据25.2的原则另行选择中标人。</w:t>
      </w:r>
    </w:p>
    <w:p>
      <w:pPr>
        <w:adjustRightInd w:val="0"/>
        <w:snapToGrid w:val="0"/>
        <w:spacing w:line="360" w:lineRule="auto"/>
        <w:ind w:firstLine="480" w:firstLineChars="200"/>
        <w:jc w:val="left"/>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26.3 招标文件、中标人的投标文件及投标修改文件、评标过程中有关澄清文件及经供应商法定代表人或授权代表签字确认的询标回复和承诺及中标通知书均作为合同组成部分。</w:t>
      </w:r>
    </w:p>
    <w:p>
      <w:pPr>
        <w:pStyle w:val="5"/>
        <w:ind w:firstLine="482" w:firstLineChars="200"/>
        <w:rPr>
          <w:rFonts w:ascii="仿宋" w:hAnsi="仿宋" w:eastAsia="仿宋"/>
          <w:b/>
          <w:sz w:val="24"/>
          <w:szCs w:val="24"/>
          <w:highlight w:val="none"/>
        </w:rPr>
      </w:pPr>
      <w:r>
        <w:rPr>
          <w:rFonts w:hint="eastAsia" w:ascii="仿宋" w:hAnsi="仿宋" w:eastAsia="仿宋"/>
          <w:b/>
          <w:sz w:val="24"/>
          <w:szCs w:val="24"/>
          <w:highlight w:val="none"/>
        </w:rPr>
        <w:t>2</w:t>
      </w:r>
      <w:r>
        <w:rPr>
          <w:rFonts w:hint="eastAsia" w:ascii="仿宋" w:hAnsi="仿宋" w:eastAsia="仿宋"/>
          <w:b/>
          <w:sz w:val="24"/>
          <w:szCs w:val="24"/>
          <w:highlight w:val="none"/>
          <w:lang w:val="en-US" w:eastAsia="zh-CN"/>
        </w:rPr>
        <w:t>7</w:t>
      </w:r>
      <w:r>
        <w:rPr>
          <w:rFonts w:hint="eastAsia" w:ascii="仿宋" w:hAnsi="仿宋" w:eastAsia="仿宋"/>
          <w:b/>
          <w:sz w:val="24"/>
          <w:szCs w:val="24"/>
          <w:highlight w:val="none"/>
        </w:rPr>
        <w:t>.</w:t>
      </w:r>
      <w:r>
        <w:rPr>
          <w:rFonts w:ascii="仿宋" w:hAnsi="仿宋" w:eastAsia="仿宋"/>
          <w:b/>
          <w:sz w:val="24"/>
          <w:szCs w:val="24"/>
          <w:highlight w:val="none"/>
        </w:rPr>
        <w:t>质疑与投诉</w:t>
      </w:r>
    </w:p>
    <w:p>
      <w:pPr>
        <w:pStyle w:val="5"/>
        <w:spacing w:line="360" w:lineRule="auto"/>
        <w:ind w:firstLine="480" w:firstLineChars="200"/>
        <w:rPr>
          <w:rFonts w:ascii="仿宋" w:hAnsi="仿宋" w:eastAsia="仿宋"/>
          <w:sz w:val="24"/>
          <w:highlight w:val="none"/>
        </w:rPr>
      </w:pPr>
      <w:r>
        <w:rPr>
          <w:rFonts w:ascii="仿宋" w:hAnsi="仿宋" w:eastAsia="仿宋"/>
          <w:sz w:val="24"/>
          <w:highlight w:val="none"/>
        </w:rPr>
        <w:t>根据《中华人民共和国政府采购法》、《财政部关于加强政府采购供应商投诉受理审查工作的通知》和《浙江省政府采购供应商质疑处理办法》等规定，采购供应商可以依法提起质疑和投诉。</w:t>
      </w:r>
    </w:p>
    <w:p>
      <w:pPr>
        <w:pStyle w:val="5"/>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2</w:t>
      </w:r>
      <w:r>
        <w:rPr>
          <w:rFonts w:hint="eastAsia" w:ascii="仿宋" w:hAnsi="仿宋" w:eastAsia="仿宋"/>
          <w:b/>
          <w:sz w:val="24"/>
          <w:highlight w:val="none"/>
          <w:lang w:val="en-US" w:eastAsia="zh-CN"/>
        </w:rPr>
        <w:t>7</w:t>
      </w:r>
      <w:r>
        <w:rPr>
          <w:rFonts w:hint="eastAsia" w:ascii="仿宋" w:hAnsi="仿宋" w:eastAsia="仿宋"/>
          <w:b/>
          <w:sz w:val="24"/>
          <w:highlight w:val="none"/>
        </w:rPr>
        <w:t>.1</w:t>
      </w:r>
      <w:r>
        <w:rPr>
          <w:rFonts w:ascii="仿宋" w:hAnsi="仿宋" w:eastAsia="仿宋"/>
          <w:b/>
          <w:sz w:val="24"/>
          <w:highlight w:val="none"/>
        </w:rPr>
        <w:t>.供应商询问</w:t>
      </w:r>
    </w:p>
    <w:p>
      <w:pPr>
        <w:pStyle w:val="5"/>
        <w:spacing w:line="360" w:lineRule="auto"/>
        <w:ind w:firstLine="480" w:firstLineChars="200"/>
        <w:rPr>
          <w:rFonts w:hint="eastAsia" w:ascii="仿宋" w:hAnsi="仿宋" w:eastAsia="仿宋"/>
          <w:sz w:val="24"/>
          <w:highlight w:val="none"/>
          <w:lang w:eastAsia="zh-CN"/>
        </w:rPr>
      </w:pPr>
      <w:r>
        <w:rPr>
          <w:rFonts w:ascii="仿宋" w:hAnsi="仿宋" w:eastAsia="仿宋"/>
          <w:sz w:val="24"/>
          <w:highlight w:val="none"/>
        </w:rPr>
        <w:t>供应商对采购活动事项有疑问的，可以向采购代理机构提出询问，采购代理机构应当及时作出答复，但答复的内容不得涉及商业秘密。</w:t>
      </w:r>
    </w:p>
    <w:p>
      <w:pPr>
        <w:pStyle w:val="5"/>
        <w:spacing w:line="360" w:lineRule="auto"/>
        <w:ind w:firstLine="482" w:firstLineChars="200"/>
        <w:rPr>
          <w:rFonts w:hint="eastAsia" w:ascii="仿宋" w:hAnsi="仿宋" w:eastAsia="仿宋"/>
          <w:b/>
          <w:sz w:val="24"/>
          <w:highlight w:val="none"/>
          <w:lang w:eastAsia="zh-CN"/>
        </w:rPr>
      </w:pPr>
      <w:r>
        <w:rPr>
          <w:rFonts w:hint="eastAsia" w:ascii="仿宋" w:hAnsi="仿宋" w:eastAsia="仿宋"/>
          <w:b/>
          <w:sz w:val="24"/>
          <w:highlight w:val="none"/>
        </w:rPr>
        <w:t>2</w:t>
      </w:r>
      <w:r>
        <w:rPr>
          <w:rFonts w:hint="eastAsia" w:ascii="仿宋" w:hAnsi="仿宋" w:eastAsia="仿宋"/>
          <w:b/>
          <w:sz w:val="24"/>
          <w:highlight w:val="none"/>
          <w:lang w:val="en-US" w:eastAsia="zh-CN"/>
        </w:rPr>
        <w:t>7</w:t>
      </w:r>
      <w:r>
        <w:rPr>
          <w:rFonts w:hint="eastAsia" w:ascii="仿宋" w:hAnsi="仿宋" w:eastAsia="仿宋"/>
          <w:b/>
          <w:sz w:val="24"/>
          <w:highlight w:val="none"/>
        </w:rPr>
        <w:t>.2</w:t>
      </w:r>
      <w:r>
        <w:rPr>
          <w:rFonts w:ascii="仿宋" w:hAnsi="仿宋" w:eastAsia="仿宋"/>
          <w:b/>
          <w:sz w:val="24"/>
          <w:highlight w:val="none"/>
        </w:rPr>
        <w:t>供应商质疑</w:t>
      </w:r>
    </w:p>
    <w:p>
      <w:pPr>
        <w:pStyle w:val="5"/>
        <w:spacing w:line="360" w:lineRule="auto"/>
        <w:ind w:firstLine="480" w:firstLineChars="200"/>
        <w:rPr>
          <w:rFonts w:ascii="仿宋" w:hAnsi="仿宋" w:eastAsia="仿宋"/>
          <w:sz w:val="24"/>
          <w:highlight w:val="none"/>
        </w:rPr>
      </w:pPr>
      <w:r>
        <w:rPr>
          <w:rFonts w:hint="eastAsia" w:ascii="仿宋" w:hAnsi="仿宋" w:eastAsia="仿宋"/>
          <w:sz w:val="24"/>
          <w:highlight w:val="none"/>
        </w:rPr>
        <w:t>2</w:t>
      </w:r>
      <w:r>
        <w:rPr>
          <w:rFonts w:hint="eastAsia" w:ascii="仿宋" w:hAnsi="仿宋" w:eastAsia="仿宋"/>
          <w:sz w:val="24"/>
          <w:highlight w:val="none"/>
          <w:lang w:val="en-US" w:eastAsia="zh-CN"/>
        </w:rPr>
        <w:t>7</w:t>
      </w:r>
      <w:r>
        <w:rPr>
          <w:rFonts w:hint="eastAsia" w:ascii="仿宋" w:hAnsi="仿宋" w:eastAsia="仿宋"/>
          <w:sz w:val="24"/>
          <w:highlight w:val="none"/>
        </w:rPr>
        <w:t>.2</w:t>
      </w:r>
      <w:r>
        <w:rPr>
          <w:rFonts w:ascii="仿宋" w:hAnsi="仿宋" w:eastAsia="仿宋"/>
          <w:sz w:val="24"/>
          <w:highlight w:val="none"/>
        </w:rPr>
        <w:t>.1供应商认为招标文件、采购过程和中标、</w:t>
      </w:r>
      <w:r>
        <w:rPr>
          <w:rFonts w:hint="eastAsia" w:ascii="仿宋" w:hAnsi="仿宋" w:eastAsia="仿宋"/>
          <w:sz w:val="24"/>
          <w:highlight w:val="none"/>
        </w:rPr>
        <w:t>中标</w:t>
      </w:r>
      <w:r>
        <w:rPr>
          <w:rFonts w:ascii="仿宋" w:hAnsi="仿宋" w:eastAsia="仿宋"/>
          <w:sz w:val="24"/>
          <w:highlight w:val="none"/>
        </w:rPr>
        <w:t>结果使自己的权益受到损害的，可以在知道或者应知其权益受到损害之日起七个工作日内，以书面形式向采购代理机构提出质疑。</w:t>
      </w:r>
    </w:p>
    <w:p>
      <w:pPr>
        <w:pStyle w:val="5"/>
        <w:spacing w:line="360" w:lineRule="auto"/>
        <w:ind w:firstLine="480" w:firstLineChars="200"/>
        <w:rPr>
          <w:rFonts w:ascii="仿宋" w:hAnsi="仿宋" w:eastAsia="仿宋"/>
          <w:sz w:val="24"/>
          <w:highlight w:val="none"/>
        </w:rPr>
      </w:pPr>
      <w:r>
        <w:rPr>
          <w:rFonts w:ascii="仿宋" w:hAnsi="仿宋" w:eastAsia="仿宋"/>
          <w:sz w:val="24"/>
          <w:highlight w:val="none"/>
        </w:rPr>
        <w:t>（1）供应商如认为招标公告信息使自身的合法权益受到损害的，应于自招标公告发布之日起七个工作日内以书面形式向采购代理机构提出质疑；</w:t>
      </w:r>
    </w:p>
    <w:p>
      <w:pPr>
        <w:pStyle w:val="5"/>
        <w:spacing w:line="360" w:lineRule="auto"/>
        <w:ind w:firstLine="480" w:firstLineChars="200"/>
        <w:rPr>
          <w:rFonts w:ascii="仿宋" w:hAnsi="仿宋" w:eastAsia="仿宋"/>
          <w:sz w:val="24"/>
          <w:highlight w:val="none"/>
        </w:rPr>
      </w:pPr>
      <w:r>
        <w:rPr>
          <w:rFonts w:ascii="仿宋" w:hAnsi="仿宋" w:eastAsia="仿宋"/>
          <w:sz w:val="24"/>
          <w:highlight w:val="none"/>
        </w:rPr>
        <w:t>（2）供应商如认为招标文件使自身的合法权益受到损害的，应于自获取招标文件之日起七个工作日内以书面形式向采购代理机构提出质疑（招标文件领取截止时间之后获取的，应于自招标文件领取截止时间之日起七个工作日内以书面形式向采购代理机构提出）；</w:t>
      </w:r>
    </w:p>
    <w:p>
      <w:pPr>
        <w:pStyle w:val="5"/>
        <w:spacing w:line="360" w:lineRule="auto"/>
        <w:ind w:firstLine="480" w:firstLineChars="200"/>
        <w:rPr>
          <w:rFonts w:hint="eastAsia" w:ascii="仿宋" w:hAnsi="仿宋" w:eastAsia="仿宋"/>
          <w:sz w:val="24"/>
          <w:highlight w:val="none"/>
          <w:lang w:eastAsia="zh-CN"/>
        </w:rPr>
      </w:pPr>
      <w:r>
        <w:rPr>
          <w:rFonts w:ascii="仿宋" w:hAnsi="仿宋" w:eastAsia="仿宋"/>
          <w:sz w:val="24"/>
          <w:highlight w:val="none"/>
        </w:rPr>
        <w:t>（3）供应商如认为采购过程和中标结果使自身的合法权益受到损害的，应于自预中标结果公告之日起七个工作日内以书面形式向采购代理机构提出质疑。</w:t>
      </w:r>
    </w:p>
    <w:p>
      <w:pPr>
        <w:pStyle w:val="5"/>
        <w:spacing w:line="360" w:lineRule="auto"/>
        <w:ind w:firstLine="480" w:firstLineChars="200"/>
        <w:rPr>
          <w:rFonts w:hint="eastAsia" w:ascii="仿宋" w:hAnsi="仿宋" w:eastAsia="仿宋"/>
          <w:sz w:val="24"/>
          <w:highlight w:val="none"/>
          <w:lang w:eastAsia="zh-CN"/>
        </w:rPr>
      </w:pPr>
      <w:r>
        <w:rPr>
          <w:rFonts w:ascii="仿宋" w:hAnsi="仿宋" w:eastAsia="仿宋"/>
          <w:sz w:val="24"/>
          <w:highlight w:val="none"/>
        </w:rPr>
        <w:t>供应商在法定质疑期内一次性提出针对同一采购程序环节的质疑。</w:t>
      </w:r>
    </w:p>
    <w:p>
      <w:pPr>
        <w:pStyle w:val="5"/>
        <w:spacing w:line="360" w:lineRule="auto"/>
        <w:ind w:firstLine="480" w:firstLineChars="200"/>
        <w:rPr>
          <w:rFonts w:hint="eastAsia" w:ascii="仿宋" w:hAnsi="仿宋" w:eastAsia="仿宋"/>
          <w:sz w:val="24"/>
          <w:highlight w:val="none"/>
          <w:lang w:eastAsia="zh-CN"/>
        </w:rPr>
      </w:pPr>
      <w:r>
        <w:rPr>
          <w:rFonts w:hint="eastAsia" w:ascii="仿宋" w:hAnsi="仿宋" w:eastAsia="仿宋"/>
          <w:sz w:val="24"/>
          <w:highlight w:val="none"/>
        </w:rPr>
        <w:t>2</w:t>
      </w:r>
      <w:r>
        <w:rPr>
          <w:rFonts w:hint="eastAsia" w:ascii="仿宋" w:hAnsi="仿宋" w:eastAsia="仿宋"/>
          <w:sz w:val="24"/>
          <w:highlight w:val="none"/>
          <w:lang w:val="en-US" w:eastAsia="zh-CN"/>
        </w:rPr>
        <w:t>7</w:t>
      </w:r>
      <w:r>
        <w:rPr>
          <w:rFonts w:hint="eastAsia" w:ascii="仿宋" w:hAnsi="仿宋" w:eastAsia="仿宋"/>
          <w:sz w:val="24"/>
          <w:highlight w:val="none"/>
        </w:rPr>
        <w:t>.2</w:t>
      </w:r>
      <w:r>
        <w:rPr>
          <w:rFonts w:ascii="仿宋" w:hAnsi="仿宋" w:eastAsia="仿宋"/>
          <w:sz w:val="24"/>
          <w:highlight w:val="none"/>
        </w:rPr>
        <w:t>.2供应商提交的质疑书需一式三份，由法定代表人签字（或盖章）并加盖单位公章。质疑书至少应包括下列主要内容：</w:t>
      </w:r>
    </w:p>
    <w:p>
      <w:pPr>
        <w:pStyle w:val="5"/>
        <w:spacing w:line="360" w:lineRule="auto"/>
        <w:ind w:firstLine="480" w:firstLineChars="200"/>
        <w:rPr>
          <w:rFonts w:ascii="仿宋" w:hAnsi="仿宋" w:eastAsia="仿宋"/>
          <w:sz w:val="24"/>
          <w:highlight w:val="none"/>
        </w:rPr>
      </w:pPr>
      <w:r>
        <w:rPr>
          <w:rFonts w:ascii="仿宋" w:hAnsi="仿宋" w:eastAsia="仿宋"/>
          <w:sz w:val="24"/>
          <w:highlight w:val="none"/>
        </w:rPr>
        <w:t>（1）质疑人的名称、地址、邮政编码、联系人、联系电话，以及被质疑人名称及联系方式；</w:t>
      </w:r>
    </w:p>
    <w:p>
      <w:pPr>
        <w:pStyle w:val="5"/>
        <w:spacing w:line="360" w:lineRule="auto"/>
        <w:ind w:firstLine="480" w:firstLineChars="200"/>
        <w:rPr>
          <w:rFonts w:ascii="仿宋" w:hAnsi="仿宋" w:eastAsia="仿宋"/>
          <w:sz w:val="24"/>
          <w:highlight w:val="none"/>
        </w:rPr>
      </w:pPr>
      <w:r>
        <w:rPr>
          <w:rFonts w:ascii="仿宋" w:hAnsi="仿宋" w:eastAsia="仿宋"/>
          <w:sz w:val="24"/>
          <w:highlight w:val="none"/>
        </w:rPr>
        <w:t>（2）被质疑采购项目名称、编号及采购内容；</w:t>
      </w:r>
    </w:p>
    <w:p>
      <w:pPr>
        <w:pStyle w:val="5"/>
        <w:spacing w:line="360" w:lineRule="auto"/>
        <w:ind w:firstLine="480" w:firstLineChars="200"/>
        <w:rPr>
          <w:rFonts w:ascii="仿宋" w:hAnsi="仿宋" w:eastAsia="仿宋"/>
          <w:sz w:val="24"/>
          <w:highlight w:val="none"/>
        </w:rPr>
      </w:pPr>
      <w:r>
        <w:rPr>
          <w:rFonts w:ascii="仿宋" w:hAnsi="仿宋" w:eastAsia="仿宋"/>
          <w:sz w:val="24"/>
          <w:highlight w:val="none"/>
        </w:rPr>
        <w:t>（3）具体的质疑事项及事实依据；</w:t>
      </w:r>
    </w:p>
    <w:p>
      <w:pPr>
        <w:pStyle w:val="5"/>
        <w:spacing w:line="360" w:lineRule="auto"/>
        <w:ind w:firstLine="480" w:firstLineChars="200"/>
        <w:rPr>
          <w:rFonts w:ascii="仿宋" w:hAnsi="仿宋" w:eastAsia="仿宋"/>
          <w:sz w:val="24"/>
          <w:highlight w:val="none"/>
        </w:rPr>
      </w:pPr>
      <w:r>
        <w:rPr>
          <w:rFonts w:ascii="仿宋" w:hAnsi="仿宋" w:eastAsia="仿宋"/>
          <w:sz w:val="24"/>
          <w:highlight w:val="none"/>
        </w:rPr>
        <w:t>（4）认为自己合法权益受到损害或可能受到损害的相关证据材料；</w:t>
      </w:r>
    </w:p>
    <w:p>
      <w:pPr>
        <w:pStyle w:val="5"/>
        <w:spacing w:line="360" w:lineRule="auto"/>
        <w:ind w:firstLine="480" w:firstLineChars="200"/>
        <w:rPr>
          <w:rFonts w:hint="eastAsia" w:ascii="仿宋" w:hAnsi="仿宋" w:eastAsia="仿宋"/>
          <w:sz w:val="24"/>
          <w:szCs w:val="24"/>
          <w:highlight w:val="none"/>
          <w:lang w:eastAsia="zh-CN"/>
        </w:rPr>
      </w:pPr>
      <w:r>
        <w:rPr>
          <w:rFonts w:ascii="仿宋" w:hAnsi="仿宋" w:eastAsia="仿宋"/>
          <w:sz w:val="24"/>
          <w:szCs w:val="24"/>
          <w:highlight w:val="none"/>
        </w:rPr>
        <w:t>（5）提出质疑的日期。</w:t>
      </w:r>
    </w:p>
    <w:p>
      <w:pPr>
        <w:pStyle w:val="5"/>
        <w:spacing w:line="360" w:lineRule="auto"/>
        <w:ind w:firstLine="480" w:firstLineChars="200"/>
        <w:rPr>
          <w:rFonts w:hint="eastAsia" w:ascii="仿宋" w:hAnsi="仿宋" w:eastAsia="仿宋"/>
          <w:sz w:val="24"/>
          <w:szCs w:val="24"/>
          <w:highlight w:val="none"/>
          <w:lang w:eastAsia="zh-CN"/>
        </w:rPr>
      </w:pPr>
      <w:r>
        <w:rPr>
          <w:rFonts w:hint="eastAsia" w:ascii="仿宋" w:hAnsi="仿宋" w:eastAsia="仿宋"/>
          <w:sz w:val="24"/>
          <w:szCs w:val="24"/>
          <w:highlight w:val="none"/>
        </w:rPr>
        <w:t>2</w:t>
      </w:r>
      <w:r>
        <w:rPr>
          <w:rFonts w:hint="eastAsia" w:ascii="仿宋" w:hAnsi="仿宋" w:eastAsia="仿宋"/>
          <w:sz w:val="24"/>
          <w:szCs w:val="24"/>
          <w:highlight w:val="none"/>
          <w:lang w:val="en-US" w:eastAsia="zh-CN"/>
        </w:rPr>
        <w:t>7</w:t>
      </w:r>
      <w:r>
        <w:rPr>
          <w:rFonts w:hint="eastAsia" w:ascii="仿宋" w:hAnsi="仿宋" w:eastAsia="仿宋"/>
          <w:sz w:val="24"/>
          <w:szCs w:val="24"/>
          <w:highlight w:val="none"/>
        </w:rPr>
        <w:t>.2</w:t>
      </w:r>
      <w:r>
        <w:rPr>
          <w:rFonts w:ascii="仿宋" w:hAnsi="仿宋" w:eastAsia="仿宋"/>
          <w:sz w:val="24"/>
          <w:szCs w:val="24"/>
          <w:highlight w:val="none"/>
        </w:rPr>
        <w:t>.3采购代理机构应当在收到供应商的书面质疑后七个工作日内作出答复，并以书面形式通知质疑供应商和其他与质疑处理结果有利害关系的采购当事人，但答复的内容不得涉及商业秘密。</w:t>
      </w:r>
    </w:p>
    <w:p>
      <w:pPr>
        <w:pStyle w:val="5"/>
        <w:spacing w:line="360" w:lineRule="auto"/>
        <w:ind w:firstLine="482" w:firstLineChars="200"/>
        <w:rPr>
          <w:rFonts w:ascii="仿宋" w:hAnsi="仿宋" w:eastAsia="仿宋"/>
          <w:sz w:val="24"/>
          <w:szCs w:val="24"/>
          <w:highlight w:val="none"/>
        </w:rPr>
      </w:pPr>
      <w:r>
        <w:rPr>
          <w:rFonts w:hint="eastAsia" w:ascii="仿宋" w:hAnsi="仿宋" w:eastAsia="仿宋"/>
          <w:b/>
          <w:sz w:val="24"/>
          <w:szCs w:val="24"/>
          <w:highlight w:val="none"/>
        </w:rPr>
        <w:t>2</w:t>
      </w:r>
      <w:r>
        <w:rPr>
          <w:rFonts w:hint="eastAsia" w:ascii="仿宋" w:hAnsi="仿宋" w:eastAsia="仿宋"/>
          <w:b/>
          <w:sz w:val="24"/>
          <w:szCs w:val="24"/>
          <w:highlight w:val="none"/>
          <w:lang w:val="en-US" w:eastAsia="zh-CN"/>
        </w:rPr>
        <w:t>7</w:t>
      </w:r>
      <w:r>
        <w:rPr>
          <w:rFonts w:hint="eastAsia" w:ascii="仿宋" w:hAnsi="仿宋" w:eastAsia="仿宋"/>
          <w:b/>
          <w:sz w:val="24"/>
          <w:szCs w:val="24"/>
          <w:highlight w:val="none"/>
        </w:rPr>
        <w:t>.3</w:t>
      </w:r>
      <w:r>
        <w:rPr>
          <w:rFonts w:ascii="仿宋" w:hAnsi="仿宋" w:eastAsia="仿宋"/>
          <w:b/>
          <w:sz w:val="24"/>
          <w:szCs w:val="24"/>
          <w:highlight w:val="none"/>
        </w:rPr>
        <w:t>供应商投诉</w:t>
      </w:r>
    </w:p>
    <w:p>
      <w:pPr>
        <w:pStyle w:val="25"/>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2</w:t>
      </w:r>
      <w:r>
        <w:rPr>
          <w:rFonts w:hint="eastAsia" w:ascii="仿宋" w:hAnsi="仿宋" w:eastAsia="仿宋" w:cs="仿宋"/>
          <w:sz w:val="24"/>
          <w:highlight w:val="none"/>
          <w:lang w:val="en-US" w:eastAsia="zh-CN"/>
        </w:rPr>
        <w:t>7</w:t>
      </w:r>
      <w:r>
        <w:rPr>
          <w:rFonts w:ascii="仿宋" w:hAnsi="仿宋" w:eastAsia="仿宋" w:cs="仿宋"/>
          <w:sz w:val="24"/>
          <w:highlight w:val="none"/>
        </w:rPr>
        <w:t>.3</w:t>
      </w:r>
      <w:r>
        <w:rPr>
          <w:rFonts w:hint="eastAsia" w:ascii="仿宋" w:hAnsi="仿宋" w:eastAsia="仿宋" w:cs="仿宋"/>
          <w:sz w:val="24"/>
          <w:highlight w:val="none"/>
        </w:rPr>
        <w:t>.1供应商质疑、投诉应当有明确的请求和必要的证明材料。供应商投诉的事项不得超出已质疑事项的范围。</w:t>
      </w:r>
    </w:p>
    <w:p>
      <w:pPr>
        <w:pStyle w:val="111"/>
        <w:snapToGrid w:val="0"/>
        <w:spacing w:before="0"/>
        <w:ind w:firstLine="480"/>
        <w:rPr>
          <w:rFonts w:ascii="仿宋" w:hAnsi="仿宋" w:eastAsia="仿宋" w:cs="仿宋"/>
          <w:highlight w:val="none"/>
        </w:rPr>
      </w:pPr>
      <w:r>
        <w:rPr>
          <w:rFonts w:ascii="仿宋" w:hAnsi="仿宋" w:eastAsia="仿宋" w:cs="仿宋"/>
          <w:highlight w:val="none"/>
        </w:rPr>
        <w:t>2</w:t>
      </w:r>
      <w:r>
        <w:rPr>
          <w:rFonts w:hint="eastAsia" w:ascii="仿宋" w:hAnsi="仿宋" w:eastAsia="仿宋" w:cs="仿宋"/>
          <w:highlight w:val="none"/>
          <w:lang w:val="en-US" w:eastAsia="zh-CN"/>
        </w:rPr>
        <w:t>7</w:t>
      </w:r>
      <w:r>
        <w:rPr>
          <w:rFonts w:ascii="仿宋" w:hAnsi="仿宋" w:eastAsia="仿宋" w:cs="仿宋"/>
          <w:highlight w:val="none"/>
        </w:rPr>
        <w:t>.3</w:t>
      </w:r>
      <w:r>
        <w:rPr>
          <w:rFonts w:hint="eastAsia" w:ascii="仿宋" w:hAnsi="仿宋" w:eastAsia="仿宋" w:cs="仿宋"/>
          <w:highlight w:val="none"/>
        </w:rPr>
        <w:t>.2质疑供应商对代理机构的答复不满意或者代理机构未在规定的时间内作出答复的，可以在答复期满后十五个工作日内向采购单位监督管理部门提出投诉。</w:t>
      </w:r>
    </w:p>
    <w:p>
      <w:pPr>
        <w:adjustRightInd w:val="0"/>
        <w:snapToGrid w:val="0"/>
        <w:spacing w:line="360" w:lineRule="auto"/>
        <w:ind w:firstLine="482" w:firstLineChars="200"/>
        <w:rPr>
          <w:rFonts w:ascii="仿宋" w:hAnsi="仿宋" w:eastAsia="仿宋" w:cs="宋体"/>
          <w:b/>
          <w:snapToGrid w:val="0"/>
          <w:kern w:val="0"/>
          <w:sz w:val="24"/>
          <w:highlight w:val="none"/>
        </w:rPr>
      </w:pPr>
      <w:r>
        <w:rPr>
          <w:rFonts w:hint="eastAsia" w:ascii="仿宋" w:hAnsi="仿宋" w:eastAsia="仿宋" w:cs="宋体"/>
          <w:b/>
          <w:snapToGrid w:val="0"/>
          <w:kern w:val="0"/>
          <w:sz w:val="24"/>
          <w:highlight w:val="none"/>
        </w:rPr>
        <w:t>2</w:t>
      </w:r>
      <w:r>
        <w:rPr>
          <w:rFonts w:hint="eastAsia" w:ascii="仿宋" w:hAnsi="仿宋" w:eastAsia="仿宋" w:cs="宋体"/>
          <w:b/>
          <w:snapToGrid w:val="0"/>
          <w:kern w:val="0"/>
          <w:sz w:val="24"/>
          <w:highlight w:val="none"/>
          <w:lang w:val="en-US" w:eastAsia="zh-CN"/>
        </w:rPr>
        <w:t>8</w:t>
      </w:r>
      <w:r>
        <w:rPr>
          <w:rFonts w:hint="eastAsia" w:ascii="仿宋" w:hAnsi="仿宋" w:eastAsia="仿宋" w:cs="宋体"/>
          <w:b/>
          <w:snapToGrid w:val="0"/>
          <w:kern w:val="0"/>
          <w:sz w:val="24"/>
          <w:highlight w:val="none"/>
        </w:rPr>
        <w:t>.采购代理服务费</w:t>
      </w:r>
    </w:p>
    <w:p>
      <w:pPr>
        <w:adjustRightInd w:val="0"/>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本项目的采购代理费由中标人支付。</w:t>
      </w:r>
    </w:p>
    <w:p>
      <w:pPr>
        <w:adjustRightInd w:val="0"/>
        <w:snapToGrid w:val="0"/>
        <w:spacing w:line="360" w:lineRule="auto"/>
        <w:ind w:firstLine="482" w:firstLineChars="200"/>
        <w:rPr>
          <w:rFonts w:ascii="仿宋" w:hAnsi="仿宋" w:eastAsia="仿宋" w:cs="宋体"/>
          <w:b/>
          <w:snapToGrid w:val="0"/>
          <w:kern w:val="0"/>
          <w:sz w:val="24"/>
          <w:highlight w:val="none"/>
        </w:rPr>
      </w:pPr>
      <w:r>
        <w:rPr>
          <w:rFonts w:hint="eastAsia" w:ascii="仿宋" w:hAnsi="仿宋" w:eastAsia="仿宋" w:cs="宋体"/>
          <w:b/>
          <w:snapToGrid w:val="0"/>
          <w:kern w:val="0"/>
          <w:sz w:val="24"/>
          <w:highlight w:val="none"/>
          <w:lang w:val="en-US" w:eastAsia="zh-CN"/>
        </w:rPr>
        <w:t>29</w:t>
      </w:r>
      <w:r>
        <w:rPr>
          <w:rFonts w:hint="eastAsia" w:ascii="仿宋" w:hAnsi="仿宋" w:eastAsia="仿宋" w:cs="宋体"/>
          <w:b/>
          <w:snapToGrid w:val="0"/>
          <w:kern w:val="0"/>
          <w:sz w:val="24"/>
          <w:highlight w:val="none"/>
        </w:rPr>
        <w:t>．采购结束</w:t>
      </w:r>
    </w:p>
    <w:p>
      <w:pPr>
        <w:adjustRightInd w:val="0"/>
        <w:snapToGrid w:val="0"/>
        <w:spacing w:line="360" w:lineRule="auto"/>
        <w:ind w:firstLine="480" w:firstLineChars="200"/>
        <w:jc w:val="left"/>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29.1 中标人与采购人签订合同生效后即为采购结束。</w:t>
      </w:r>
    </w:p>
    <w:p>
      <w:pPr>
        <w:adjustRightInd w:val="0"/>
        <w:snapToGrid w:val="0"/>
        <w:spacing w:line="360" w:lineRule="auto"/>
        <w:ind w:firstLine="480" w:firstLineChars="200"/>
        <w:jc w:val="left"/>
        <w:rPr>
          <w:rFonts w:hint="eastAsia" w:ascii="仿宋" w:hAnsi="仿宋" w:eastAsia="仿宋" w:cs="宋体"/>
          <w:snapToGrid w:val="0"/>
          <w:kern w:val="0"/>
          <w:sz w:val="24"/>
          <w:highlight w:val="none"/>
        </w:rPr>
      </w:pPr>
      <w:r>
        <w:rPr>
          <w:rFonts w:hint="eastAsia" w:ascii="仿宋" w:hAnsi="仿宋" w:eastAsia="仿宋" w:cs="宋体"/>
          <w:snapToGrid w:val="0"/>
          <w:kern w:val="0"/>
          <w:sz w:val="24"/>
          <w:highlight w:val="none"/>
        </w:rPr>
        <w:t>29.2 本项目的投标文件不予退回。</w:t>
      </w:r>
    </w:p>
    <w:p>
      <w:pPr>
        <w:adjustRightInd w:val="0"/>
        <w:snapToGrid w:val="0"/>
        <w:spacing w:line="360" w:lineRule="auto"/>
        <w:ind w:firstLine="482" w:firstLineChars="200"/>
        <w:rPr>
          <w:rFonts w:ascii="仿宋" w:hAnsi="仿宋" w:eastAsia="仿宋" w:cs="宋体"/>
          <w:b/>
          <w:snapToGrid w:val="0"/>
          <w:kern w:val="0"/>
          <w:sz w:val="24"/>
          <w:highlight w:val="none"/>
        </w:rPr>
      </w:pPr>
      <w:r>
        <w:rPr>
          <w:rFonts w:hint="eastAsia" w:ascii="仿宋" w:hAnsi="仿宋" w:eastAsia="仿宋" w:cs="宋体"/>
          <w:b/>
          <w:snapToGrid w:val="0"/>
          <w:kern w:val="0"/>
          <w:sz w:val="24"/>
          <w:highlight w:val="none"/>
        </w:rPr>
        <w:t>3</w:t>
      </w:r>
      <w:r>
        <w:rPr>
          <w:rFonts w:hint="eastAsia" w:ascii="仿宋" w:hAnsi="仿宋" w:eastAsia="仿宋" w:cs="宋体"/>
          <w:b/>
          <w:snapToGrid w:val="0"/>
          <w:kern w:val="0"/>
          <w:sz w:val="24"/>
          <w:highlight w:val="none"/>
          <w:lang w:val="en-US" w:eastAsia="zh-CN"/>
        </w:rPr>
        <w:t>0</w:t>
      </w:r>
      <w:r>
        <w:rPr>
          <w:rFonts w:hint="eastAsia" w:ascii="仿宋" w:hAnsi="仿宋" w:eastAsia="仿宋" w:cs="宋体"/>
          <w:b/>
          <w:snapToGrid w:val="0"/>
          <w:kern w:val="0"/>
          <w:sz w:val="24"/>
          <w:highlight w:val="none"/>
        </w:rPr>
        <w:t>、保密及安全要求</w:t>
      </w:r>
    </w:p>
    <w:p>
      <w:pPr>
        <w:pStyle w:val="5"/>
        <w:spacing w:line="360" w:lineRule="auto"/>
        <w:ind w:firstLine="480" w:firstLineChars="200"/>
        <w:rPr>
          <w:rFonts w:ascii="仿宋" w:hAnsi="仿宋" w:eastAsia="仿宋" w:cs="宋体"/>
          <w:snapToGrid w:val="0"/>
          <w:sz w:val="24"/>
          <w:highlight w:val="none"/>
        </w:rPr>
      </w:pPr>
      <w:r>
        <w:rPr>
          <w:rFonts w:hint="eastAsia" w:ascii="仿宋" w:hAnsi="仿宋" w:eastAsia="仿宋" w:cs="宋体"/>
          <w:snapToGrid w:val="0"/>
          <w:sz w:val="24"/>
          <w:highlight w:val="none"/>
        </w:rPr>
        <w:t>在承担服务责任过程中，全面按照法规标准，承担技术服务外包过程中的安全责任。</w:t>
      </w:r>
    </w:p>
    <w:p>
      <w:pPr>
        <w:adjustRightInd w:val="0"/>
        <w:snapToGrid w:val="0"/>
        <w:spacing w:line="360" w:lineRule="auto"/>
        <w:ind w:firstLine="482" w:firstLineChars="200"/>
        <w:rPr>
          <w:rFonts w:ascii="仿宋" w:hAnsi="仿宋" w:eastAsia="仿宋" w:cs="宋体"/>
          <w:b/>
          <w:snapToGrid w:val="0"/>
          <w:kern w:val="0"/>
          <w:sz w:val="24"/>
          <w:highlight w:val="none"/>
        </w:rPr>
      </w:pPr>
      <w:r>
        <w:rPr>
          <w:rFonts w:hint="eastAsia" w:ascii="仿宋" w:hAnsi="仿宋" w:eastAsia="仿宋" w:cs="宋体"/>
          <w:b/>
          <w:snapToGrid w:val="0"/>
          <w:kern w:val="0"/>
          <w:sz w:val="24"/>
          <w:highlight w:val="none"/>
        </w:rPr>
        <w:t>3</w:t>
      </w:r>
      <w:r>
        <w:rPr>
          <w:rFonts w:hint="eastAsia" w:ascii="仿宋" w:hAnsi="仿宋" w:eastAsia="仿宋" w:cs="宋体"/>
          <w:b/>
          <w:snapToGrid w:val="0"/>
          <w:kern w:val="0"/>
          <w:sz w:val="24"/>
          <w:highlight w:val="none"/>
          <w:lang w:val="en-US" w:eastAsia="zh-CN"/>
        </w:rPr>
        <w:t>1</w:t>
      </w:r>
      <w:r>
        <w:rPr>
          <w:rFonts w:hint="eastAsia" w:ascii="仿宋" w:hAnsi="仿宋" w:eastAsia="仿宋" w:cs="宋体"/>
          <w:b/>
          <w:snapToGrid w:val="0"/>
          <w:kern w:val="0"/>
          <w:sz w:val="24"/>
          <w:highlight w:val="none"/>
        </w:rPr>
        <w:t>、解释权</w:t>
      </w:r>
    </w:p>
    <w:p>
      <w:pPr>
        <w:adjustRightInd w:val="0"/>
        <w:snapToGrid w:val="0"/>
        <w:spacing w:line="360" w:lineRule="auto"/>
        <w:ind w:firstLine="480" w:firstLineChars="200"/>
        <w:jc w:val="left"/>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凡涉及本次招标文件的解释权均属于</w:t>
      </w:r>
      <w:r>
        <w:rPr>
          <w:rFonts w:hint="eastAsia" w:ascii="仿宋" w:hAnsi="仿宋" w:eastAsia="仿宋" w:cs="宋体"/>
          <w:snapToGrid w:val="0"/>
          <w:kern w:val="0"/>
          <w:sz w:val="24"/>
          <w:highlight w:val="none"/>
          <w:lang w:eastAsia="zh-CN"/>
        </w:rPr>
        <w:t>衢州动力电池和储能研究院</w:t>
      </w:r>
      <w:r>
        <w:rPr>
          <w:rFonts w:hint="eastAsia" w:ascii="仿宋" w:hAnsi="仿宋" w:eastAsia="仿宋" w:cs="宋体"/>
          <w:snapToGrid w:val="0"/>
          <w:kern w:val="0"/>
          <w:sz w:val="24"/>
          <w:highlight w:val="none"/>
        </w:rPr>
        <w:t>和浙江五石中正工程咨询有限公司。</w:t>
      </w:r>
    </w:p>
    <w:bookmarkEnd w:id="5"/>
    <w:bookmarkEnd w:id="6"/>
    <w:bookmarkEnd w:id="7"/>
    <w:p>
      <w:pPr>
        <w:adjustRightInd w:val="0"/>
        <w:snapToGrid w:val="0"/>
        <w:spacing w:line="360" w:lineRule="auto"/>
        <w:jc w:val="center"/>
        <w:outlineLvl w:val="0"/>
        <w:rPr>
          <w:rFonts w:ascii="仿宋" w:hAnsi="仿宋" w:eastAsia="仿宋" w:cs="仿宋"/>
          <w:b/>
          <w:snapToGrid w:val="0"/>
          <w:kern w:val="0"/>
          <w:sz w:val="32"/>
          <w:highlight w:val="none"/>
        </w:rPr>
      </w:pPr>
      <w:bookmarkStart w:id="35" w:name="_Toc295465365"/>
      <w:r>
        <w:rPr>
          <w:rFonts w:hint="eastAsia" w:ascii="仿宋" w:hAnsi="仿宋" w:eastAsia="仿宋" w:cs="仿宋"/>
          <w:b/>
          <w:snapToGrid w:val="0"/>
          <w:kern w:val="0"/>
          <w:sz w:val="30"/>
          <w:szCs w:val="30"/>
          <w:highlight w:val="none"/>
        </w:rPr>
        <w:br w:type="page"/>
      </w:r>
      <w:bookmarkStart w:id="36" w:name="_Toc5624552"/>
      <w:bookmarkStart w:id="37" w:name="_Toc15639"/>
      <w:r>
        <w:rPr>
          <w:rFonts w:hint="eastAsia" w:ascii="仿宋" w:hAnsi="仿宋" w:eastAsia="仿宋" w:cs="仿宋"/>
          <w:b/>
          <w:snapToGrid w:val="0"/>
          <w:kern w:val="0"/>
          <w:sz w:val="32"/>
          <w:highlight w:val="none"/>
        </w:rPr>
        <w:t>第三部分  项目技术规范和服务要求</w:t>
      </w:r>
      <w:bookmarkEnd w:id="36"/>
      <w:bookmarkEnd w:id="37"/>
      <w:bookmarkStart w:id="38" w:name="_Toc508877745"/>
      <w:bookmarkEnd w:id="38"/>
      <w:bookmarkStart w:id="39" w:name="_Toc508877417"/>
      <w:bookmarkEnd w:id="39"/>
      <w:bookmarkStart w:id="40" w:name="_Toc508877416"/>
      <w:bookmarkEnd w:id="40"/>
      <w:bookmarkStart w:id="41" w:name="_Toc508877827"/>
      <w:bookmarkEnd w:id="41"/>
      <w:bookmarkStart w:id="42" w:name="_Toc508877746"/>
      <w:bookmarkEnd w:id="42"/>
      <w:bookmarkStart w:id="43" w:name="_Toc508877828"/>
      <w:bookmarkEnd w:id="43"/>
      <w:bookmarkStart w:id="44" w:name="_Toc5624553"/>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b/>
          <w:bCs/>
          <w:sz w:val="24"/>
          <w:szCs w:val="24"/>
          <w:highlight w:val="none"/>
          <w:lang w:eastAsia="zh-CN"/>
        </w:rPr>
      </w:pPr>
      <w:bookmarkStart w:id="45" w:name="_Toc7272"/>
      <w:r>
        <w:rPr>
          <w:rFonts w:hint="eastAsia" w:ascii="仿宋" w:hAnsi="仿宋" w:eastAsia="仿宋" w:cs="仿宋"/>
          <w:b/>
          <w:bCs/>
          <w:spacing w:val="6"/>
          <w:sz w:val="24"/>
          <w:szCs w:val="24"/>
          <w:highlight w:val="none"/>
          <w:lang w:val="en-US" w:eastAsia="zh-CN"/>
        </w:rPr>
        <w:t>一、</w:t>
      </w:r>
      <w:r>
        <w:rPr>
          <w:rFonts w:hint="eastAsia" w:ascii="仿宋" w:hAnsi="仿宋" w:eastAsia="仿宋" w:cs="仿宋"/>
          <w:b/>
          <w:bCs/>
          <w:sz w:val="24"/>
          <w:szCs w:val="24"/>
          <w:highlight w:val="none"/>
        </w:rPr>
        <w:t>项目</w:t>
      </w:r>
      <w:bookmarkEnd w:id="45"/>
      <w:r>
        <w:rPr>
          <w:rFonts w:hint="eastAsia" w:ascii="仿宋" w:hAnsi="仿宋" w:eastAsia="仿宋" w:cs="仿宋"/>
          <w:b/>
          <w:bCs/>
          <w:sz w:val="24"/>
          <w:szCs w:val="24"/>
          <w:highlight w:val="none"/>
          <w:lang w:eastAsia="zh-CN"/>
        </w:rPr>
        <w:t>概况</w:t>
      </w:r>
    </w:p>
    <w:p>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（一）研究价值与应用背景</w:t>
      </w:r>
    </w:p>
    <w:p>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随着能源环境需求不断增长</w:t>
      </w:r>
      <w:r>
        <w:rPr>
          <w:rFonts w:hint="eastAsia" w:ascii="仿宋" w:hAnsi="仿宋" w:eastAsia="仿宋" w:cs="仿宋"/>
          <w:sz w:val="24"/>
          <w:szCs w:val="24"/>
          <w:highlight w:val="none"/>
          <w:lang w:eastAsia="zh-CN"/>
        </w:rPr>
        <w:t>和</w:t>
      </w:r>
      <w:r>
        <w:rPr>
          <w:rFonts w:hint="eastAsia" w:ascii="仿宋" w:hAnsi="仿宋" w:eastAsia="仿宋" w:cs="仿宋"/>
          <w:sz w:val="24"/>
          <w:szCs w:val="24"/>
          <w:highlight w:val="none"/>
        </w:rPr>
        <w:t>对环境保护的日益重视，传统锂离子电池的热量释放、安全性差等问题逐渐暴露出来，促使人们对固体电池技术的研究和发展越来越重视。相对传统电池，全固态锂电池相比于液态锂离子电池主要具有如下优势</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安全性能高，不易燃和热力学稳定;</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非活性物质含量少，能量密度高</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充电速度快，当以大功率充电时发热的风险较小</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高低温下均可正常传导锂离子，工作温度范围宽</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工艺简单。硫化物电解质是目前综合性能最优的固体电解质。</w:t>
      </w:r>
    </w:p>
    <w:p>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开展硫化物全固态锂电池研究，可真正实现锂电池的高性能、循环寿命和高安全性，推动锂电池的实用化进程。高校研究院作为科技创新的摇篮，有责任也有义务跟踪并研究这一前沿技术，推动其在我国的快速发展和应用。</w:t>
      </w:r>
    </w:p>
    <w:p>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（二）需求分析</w:t>
      </w:r>
    </w:p>
    <w:p>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硫化物固态电池在电动汽车、便携式电子设备和大规模储能系统中具有广阔的应用前景。随着技术的不断成熟和成本的降低，其市场需求将显著增加。</w:t>
      </w:r>
    </w:p>
    <w:p>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电动汽车：高能量密度和高离子电导率使硫化物固态电池在电动汽车中具有显著优势，能够显著提高续航里程和充电速度。</w:t>
      </w:r>
    </w:p>
    <w:p>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便携式电子设备：长循环寿命和高安全性使硫化物固态电池适用于智能手机、笔记本电脑等便携式电子设备。</w:t>
      </w:r>
    </w:p>
    <w:p>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能源储存系统：高安全性和长寿命使硫化物固态电池适用于大规模能源储存系统，有助于平衡可再生能源的波动性。</w:t>
      </w:r>
    </w:p>
    <w:p>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（三）经济可行性分析</w:t>
      </w:r>
    </w:p>
    <w:p>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成本分析:相较于液态电解质锂电池，硫化物固态锂电池具有更低的研发成本，虽然初始成本偏高，但硫化物固态电池的长寿面和高安全性可以降低使用过程中的维护和更换成本。且随着技术的成熟和规模化研发成本有望逐步降低，市场前景广阔。</w:t>
      </w:r>
    </w:p>
    <w:p>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2.市场前景分析:根据市场调研和需求分析，硫化物固态电池具有厂阔的市场前景。随着市场对新能源的需求增加，硫化物固态电池有望逐步替代传统锂电池，成为主流产品。</w:t>
      </w:r>
    </w:p>
    <w:p>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3.政府支持:硫化物固态电池作为环保和高效能储存设备，得到了政府的高度正式和支持。在政策的推动下，硫化物固态锂电池的商业化过程将会受到政策的支持和推动。</w:t>
      </w:r>
    </w:p>
    <w:p>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（四）教学与科研需求</w:t>
      </w:r>
    </w:p>
    <w:p>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共享资源:研发孵化线提供了一系列先进的设备、技术和资源，可以让团队共享这些设备和资源，从而降低研发成本，避免重复投资。</w:t>
      </w:r>
    </w:p>
    <w:p>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2.技术支持:孵化线提供专业的技术支持和指导，可以帮助团队解决研发过程中遇到的问题，提供解决方案和技术指导，提升研发效率。</w:t>
      </w:r>
    </w:p>
    <w:p>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3.提高研发水平:通过孵化线，团队可以接触到最新的研发技术和工艺，学习国际领先的研发经验，提升团队的整体研发水平。</w:t>
      </w:r>
    </w:p>
    <w:p>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4.加速研发进程:孵化线提供的设备和技术支持可以帮助团队加速研发进程，缩短研发周期，更快地实现研究成果。</w:t>
      </w:r>
    </w:p>
    <w:p>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5.促进合作与创新:孵化线可以促进团队内部成员之间的合作，也可以搭建产学研合作的平台，推动技术创新和研发成果的转化。</w:t>
      </w:r>
    </w:p>
    <w:p>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因此</w:t>
      </w:r>
      <w:r>
        <w:rPr>
          <w:rFonts w:hint="eastAsia" w:ascii="仿宋" w:hAnsi="仿宋" w:eastAsia="仿宋" w:cs="仿宋"/>
          <w:sz w:val="24"/>
          <w:szCs w:val="24"/>
          <w:highlight w:val="none"/>
        </w:rPr>
        <w:t>购买高能比硫化物全固态电池自动孵化线，不仅符合新能源技术的发展趋势，也符合我国新能源领域的战略需求。此举将有力推动衢州动力电池和储能研究院的教学和科研工作，为我国新能源领域的发展做出重要贡献。</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b/>
          <w:bCs/>
          <w:spacing w:val="6"/>
          <w:sz w:val="24"/>
          <w:szCs w:val="24"/>
          <w:highlight w:val="none"/>
          <w:lang w:val="en-US" w:eastAsia="zh-CN"/>
        </w:rPr>
      </w:pPr>
      <w:r>
        <w:rPr>
          <w:rFonts w:hint="eastAsia" w:ascii="仿宋" w:hAnsi="仿宋" w:eastAsia="仿宋" w:cs="仿宋"/>
          <w:b/>
          <w:bCs/>
          <w:spacing w:val="6"/>
          <w:sz w:val="24"/>
          <w:szCs w:val="24"/>
          <w:highlight w:val="none"/>
          <w:lang w:val="en-US" w:eastAsia="zh-CN"/>
        </w:rPr>
        <w:t>二、采购清单</w:t>
      </w:r>
    </w:p>
    <w:tbl>
      <w:tblPr>
        <w:tblStyle w:val="48"/>
        <w:tblW w:w="506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43"/>
        <w:gridCol w:w="1565"/>
        <w:gridCol w:w="981"/>
        <w:gridCol w:w="1023"/>
        <w:gridCol w:w="5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8" w:hRule="atLeast"/>
        </w:trPr>
        <w:tc>
          <w:tcPr>
            <w:tcW w:w="288" w:type="pct"/>
            <w:shd w:val="clear" w:color="auto" w:fill="auto"/>
            <w:vAlign w:val="center"/>
          </w:tcPr>
          <w:p>
            <w:pPr>
              <w:keepNext w:val="0"/>
              <w:keepLines w:val="0"/>
              <w:widowControl/>
              <w:suppressLineNumbers w:val="0"/>
              <w:spacing w:line="360" w:lineRule="auto"/>
              <w:jc w:val="center"/>
              <w:textAlignment w:val="center"/>
              <w:rPr>
                <w:rStyle w:val="259"/>
                <w:rFonts w:hint="eastAsia" w:ascii="仿宋" w:hAnsi="仿宋" w:eastAsia="仿宋" w:cs="仿宋"/>
                <w:sz w:val="24"/>
                <w:szCs w:val="24"/>
                <w:highlight w:val="none"/>
                <w:lang w:val="en-US" w:eastAsia="zh-CN" w:bidi="ar"/>
              </w:rPr>
            </w:pPr>
            <w:bookmarkStart w:id="46" w:name="_Toc7427"/>
            <w:r>
              <w:rPr>
                <w:rStyle w:val="259"/>
                <w:rFonts w:hint="eastAsia" w:ascii="仿宋" w:hAnsi="仿宋" w:eastAsia="仿宋" w:cs="仿宋"/>
                <w:sz w:val="24"/>
                <w:szCs w:val="24"/>
                <w:highlight w:val="none"/>
                <w:lang w:val="en-US" w:eastAsia="zh-CN" w:bidi="ar"/>
              </w:rPr>
              <w:t>序号</w:t>
            </w:r>
          </w:p>
        </w:tc>
        <w:tc>
          <w:tcPr>
            <w:tcW w:w="831" w:type="pct"/>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highlight w:val="none"/>
                <w:u w:val="none"/>
              </w:rPr>
            </w:pPr>
            <w:r>
              <w:rPr>
                <w:rStyle w:val="259"/>
                <w:rFonts w:hint="eastAsia" w:ascii="仿宋" w:hAnsi="仿宋" w:eastAsia="仿宋" w:cs="仿宋"/>
                <w:sz w:val="24"/>
                <w:szCs w:val="24"/>
                <w:highlight w:val="none"/>
                <w:lang w:val="en-US" w:eastAsia="zh-CN" w:bidi="ar"/>
              </w:rPr>
              <w:t>设备名称</w:t>
            </w:r>
          </w:p>
        </w:tc>
        <w:tc>
          <w:tcPr>
            <w:tcW w:w="521" w:type="pct"/>
            <w:shd w:val="clear" w:color="auto" w:fill="auto"/>
            <w:vAlign w:val="center"/>
          </w:tcPr>
          <w:p>
            <w:pPr>
              <w:keepNext w:val="0"/>
              <w:keepLines w:val="0"/>
              <w:widowControl/>
              <w:suppressLineNumbers w:val="0"/>
              <w:spacing w:line="360" w:lineRule="auto"/>
              <w:jc w:val="center"/>
              <w:textAlignment w:val="center"/>
              <w:rPr>
                <w:rStyle w:val="259"/>
                <w:rFonts w:hint="eastAsia" w:ascii="仿宋" w:hAnsi="仿宋" w:eastAsia="仿宋" w:cs="仿宋"/>
                <w:sz w:val="24"/>
                <w:szCs w:val="24"/>
                <w:highlight w:val="none"/>
                <w:lang w:val="en-US" w:eastAsia="zh-CN" w:bidi="ar"/>
              </w:rPr>
            </w:pPr>
            <w:r>
              <w:rPr>
                <w:rStyle w:val="259"/>
                <w:rFonts w:hint="eastAsia" w:ascii="仿宋" w:hAnsi="仿宋" w:eastAsia="仿宋" w:cs="仿宋"/>
                <w:sz w:val="24"/>
                <w:szCs w:val="24"/>
                <w:highlight w:val="none"/>
                <w:lang w:val="en-US" w:eastAsia="zh-CN" w:bidi="ar"/>
              </w:rPr>
              <w:t>单位</w:t>
            </w:r>
          </w:p>
        </w:tc>
        <w:tc>
          <w:tcPr>
            <w:tcW w:w="543" w:type="pct"/>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highlight w:val="none"/>
                <w:u w:val="none"/>
              </w:rPr>
            </w:pPr>
            <w:r>
              <w:rPr>
                <w:rStyle w:val="259"/>
                <w:rFonts w:hint="eastAsia" w:ascii="仿宋" w:hAnsi="仿宋" w:eastAsia="仿宋" w:cs="仿宋"/>
                <w:sz w:val="24"/>
                <w:szCs w:val="24"/>
                <w:highlight w:val="none"/>
                <w:lang w:val="en-US" w:eastAsia="zh-CN" w:bidi="ar"/>
              </w:rPr>
              <w:t>数量</w:t>
            </w:r>
          </w:p>
        </w:tc>
        <w:tc>
          <w:tcPr>
            <w:tcW w:w="2815" w:type="pct"/>
            <w:shd w:val="clear" w:color="auto" w:fill="auto"/>
            <w:vAlign w:val="center"/>
          </w:tcPr>
          <w:p>
            <w:pPr>
              <w:keepNext w:val="0"/>
              <w:keepLines w:val="0"/>
              <w:widowControl/>
              <w:suppressLineNumbers w:val="0"/>
              <w:spacing w:line="360" w:lineRule="auto"/>
              <w:jc w:val="center"/>
              <w:textAlignment w:val="center"/>
              <w:rPr>
                <w:rStyle w:val="259"/>
                <w:rFonts w:hint="eastAsia" w:ascii="仿宋" w:hAnsi="仿宋" w:eastAsia="仿宋" w:cs="仿宋"/>
                <w:sz w:val="24"/>
                <w:szCs w:val="24"/>
                <w:highlight w:val="none"/>
                <w:lang w:val="en-US" w:eastAsia="zh-CN" w:bidi="ar"/>
              </w:rPr>
            </w:pPr>
            <w:r>
              <w:rPr>
                <w:rStyle w:val="259"/>
                <w:rFonts w:hint="eastAsia" w:ascii="仿宋" w:hAnsi="仿宋" w:eastAsia="仿宋" w:cs="仿宋"/>
                <w:sz w:val="24"/>
                <w:szCs w:val="24"/>
                <w:highlight w:val="none"/>
                <w:lang w:val="en-US" w:eastAsia="zh-CN" w:bidi="ar"/>
              </w:rPr>
              <w:t>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88" w:type="pct"/>
            <w:shd w:val="clear" w:color="auto" w:fill="auto"/>
            <w:vAlign w:val="center"/>
          </w:tcPr>
          <w:p>
            <w:pPr>
              <w:keepNext w:val="0"/>
              <w:keepLines w:val="0"/>
              <w:widowControl/>
              <w:suppressLineNumbers w:val="0"/>
              <w:spacing w:line="360" w:lineRule="auto"/>
              <w:jc w:val="center"/>
              <w:textAlignment w:val="center"/>
              <w:rPr>
                <w:rStyle w:val="279"/>
                <w:rFonts w:hint="eastAsia" w:ascii="仿宋" w:hAnsi="仿宋" w:eastAsia="仿宋" w:cs="仿宋"/>
                <w:sz w:val="24"/>
                <w:szCs w:val="24"/>
                <w:highlight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831" w:type="pct"/>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sz w:val="24"/>
                <w:szCs w:val="24"/>
                <w:highlight w:val="none"/>
                <w:u w:val="none"/>
                <w:lang w:eastAsia="zh-CN"/>
              </w:rPr>
              <w:t>高能比硫化物全固态电池自动孵化线</w:t>
            </w:r>
          </w:p>
        </w:tc>
        <w:tc>
          <w:tcPr>
            <w:tcW w:w="521" w:type="pct"/>
            <w:shd w:val="clear" w:color="auto" w:fill="auto"/>
            <w:vAlign w:val="center"/>
          </w:tcPr>
          <w:p>
            <w:pPr>
              <w:keepNext w:val="0"/>
              <w:keepLines w:val="0"/>
              <w:widowControl/>
              <w:suppressLineNumbers w:val="0"/>
              <w:spacing w:line="360" w:lineRule="auto"/>
              <w:jc w:val="center"/>
              <w:textAlignment w:val="center"/>
              <w:rPr>
                <w:rStyle w:val="279"/>
                <w:rFonts w:hint="eastAsia" w:ascii="仿宋" w:hAnsi="仿宋" w:eastAsia="仿宋" w:cs="仿宋"/>
                <w:sz w:val="24"/>
                <w:szCs w:val="24"/>
                <w:highlight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条</w:t>
            </w:r>
          </w:p>
        </w:tc>
        <w:tc>
          <w:tcPr>
            <w:tcW w:w="543" w:type="pct"/>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815" w:type="pct"/>
            <w:shd w:val="clear" w:color="auto" w:fill="auto"/>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left="61" w:leftChars="29" w:right="0" w:rightChars="0" w:firstLine="482" w:firstLineChars="200"/>
              <w:jc w:val="both"/>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一、整线体要求：</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（1）具备满足硫化物固态电池研发所需的智能环境保证系统功能；</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（2）具备满足硫化物固态电池全工艺研发需求；</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（3）具备满足硫化物固态大容量电池的研发能力；</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（4）具备满足研发过程中监测记录并追溯报错功能；</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（5）具备满足全自动物料转移，不良品检测智能识别功能；</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（6）具备满足物料配比识错的危险报警保障功能；</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（7）具备满足人员错误操作动作识别报警功能。</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2" w:firstLineChars="200"/>
              <w:jc w:val="both"/>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二、各功能段参数指标:</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leftChars="229" w:right="0" w:rightChars="0"/>
              <w:jc w:val="both"/>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1 微环境控制功能段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鉴于锂金属对水汽及氧气的极高氧化性，固态锂电池的研发与研发对基本条件及功能段要求极为严苛。无论是在前期测试还是组装阶段，均需在极低的水、氧浓度环境下进行，以确保安全与质量。</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在此过程中，配备智能传感器与先进控制算法的微环境箱体在电池集成过程中起到了至关重要的作用。此功能段通过自动阀门及空气净化系统精准地将环境控制在含氧量＜1ppm、含水量＜1ppm的极低水平，从而满足固态锂电池研发与研发的高标准需求。</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本机台集成了尖端智能传感器与精准控制算法，由主箱体、过渡舱、控制单元、净化单元等组成，对孵化线内部微环境参数进行精细化管理所涉及的参数包括但不限于温度、湿度与空气质量，以确保电池研发与研发环境的稳定与可靠。</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本机台的功能特点包括：箱体内气体自动清洗、箱体密闭循环除氧除水除有机溶剂、净化材料自动还原再生、过渡舱内气体自动真空清晰、箱体压力自动控制、真空泵自动控制、气氛维持、泄漏率的自动检测以及氧含量与水含量在线检测和控制等。微环境箱体内压力通过PLC实现自动控制可根据需求自由设定，当超出设定范围(±15mbar)时，系统将自动启动保护机制。同时，真空泵也具备自动控制功能，可在系统需要时自动开启，无需人工干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本机台的技术参数如下：采用单相AC220V±10%的电源，频率为50Hz，箱体由六节微环境箱体组成，共设有56只手套工位。箱体材质选用厚度为3mm的304不锈钢，坚固耐用。前窗采用倾斜设计的透明钢化安全玻璃，厚度为8mm，提供了清晰的观察视野。手套口材料为原色氧化的铝合金，搭配0型圈密封，确保密封性能。手套材料选用厚度为0.4mm的基橡胶，具有良好的弹性和耐用性。此外，箱体还配备了两个圆形过渡仓和一个T过渡仓，以满足不同操作需求。箱体照明采用LED灯，安装在每块玻璃窗前上方，具备漫反射功能，提供了良好的照明效果。</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2"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2.1双行星真空搅拌功能段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本机台是一款集真空混合与高速分散功能于一体的先进搅拌功能段，专门设计用于各类溶剂与粉料的混合工艺。本机采用一体化设计，结构紧凑具备卓越的搅拌均匀性，操作简单便捷，可满足不同领域的需求。功能特点概述：</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搅拌机制与结构特性:本机采用公转与自转相结合的搅拌方式，配备双搅拌轴和双分散轴(共包含四个分散盘)以及一把铁氟龙材质的刮壁刀，此设计确保搅拌过程中无死角，实现全面混合。</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搅拌效果分析:通过公转和自转的低速搅拌，本机可实现宏观层面的混合:而高速分散盘则利用剪切力实现微观层面的混合。本机支持多段速操作，允许用户设定各阶段的搅拌转速及时间。此外，在真空环境下进行搅拌，可有效消除气泡，保障浆料品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罐体设计说明:搅拌料罐的有效容积为2升，采用优质SUS304不锈钢材料精心打造，具有良好的耐酸碱腐蚀性能。罐体采用夹套式设计，支持冷却水或热水浴方式，适应多种搅拌工艺需求。控制与显示系统:本机采用PLC控制系统，配备HMI操作界面，便于用户直观监控和调整搅拌过程，提升操作便捷性。</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安全性能与操作规范:本机配备急停开关，确保操作安全。搅拌头仅在上下桶体闭合到位后方可启动，搅拌过程中禁止开启桶体。未排真空时罐体同样无法开启。升降过程中设有保护开关，并可选配缓慢“退料”功能。当电机电流过载或温度超过设定值时，功能段将自动停止运行，保障设备安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使用环境要求:建议本机在环境温度为25士3℃、湿度为30~90RH的无振动和电磁干扰的环境中运行，以确保设备性能稳定。</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技术参数详情：</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本机需使用三相AC380V±10%的电源,频率为50Hz,额定功率为2600W。最大真空度可达0~0.095MPa。公转速度最大值为40rpm，分散速度最大值为7000rpm，搅拌时间可根据需求自由设置(0~9999分钟)。罐体整体尺寸为长956mm、宽450mm、高880mm，有效使用体积为2升，罐体内部尺寸为直径180mm、高度120mm。功能段整体重量约为500千克。</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2" w:firstLineChars="200"/>
              <w:jc w:val="both"/>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2.2 辅助检测功能段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可测定牛顿型液体的绝对粘度或非牛顿型液体的表观粘度。仪器具有高灵敏度、高精度，测试数据精准可靠，重复性好。</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技术参数:</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测量数据直接在液晶屏上显示，无需二次计算;采用微电脑驱动技术、进口步进电机，转速精准、平稳可靠;</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采用开关电源技术，电压和频率范围宽，电源的波动不会影响测量精度;</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粘度值显示值精度精确到小数点后二位，即0.0lmPa.S。</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left="239" w:leftChars="114" w:right="0" w:rightChars="0" w:firstLine="240" w:firstLineChars="100"/>
              <w:jc w:val="both"/>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可选择温度探头，实时测量被测试样的温度;</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有自动扫描功能，仪器能自动推荐合适的转子与转速的组合;可自动显示所选组合能测量的最大粘度范围；</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带有打印接口，可直接连接微型打印机，打印各种数据:需要选配打印机，标配中不含打印机。</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本功能段要求单相AC220V的电源，频率为50Hz，功率为50W。通过液晶屏显示粘度值、温度、扭矩、转速、转子号等信息。转速有18档转速可选且转子有18#/25#/31#/34#共4种转子。粘度显示精度为0.1cP。重复误差率仅为±0.5%。测试精度为≤±2%(牛顿流体)，测试范围为3-1600000cP。样品测试需求量7-11mL。</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根据化学工业部专用计量器具检定规程《刮板细度计》的严格要求我们精心制作了一系列刮板细度计，以满足不同领域对于浆料颗粒细度的测定需求。这些刮板细度计具有高度的精确性和可靠性，成为电池行业中不可或缺的重要工具。</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在技术参数方面，满足不同量程的测定需求。其中包括QXD~0、QXD~1、QXD~2、QXD~3以及QXD~25(双槽)从0~150μm覆盖了大多数浆料颗粒细度的测定需求。同时，我们根据不同的量程范围，设计了相应的分度值，以确保测量结果的精确性。例如，QXD~0型号的分度值为2.5μm，而OXD~1型号的分度值为5μm。</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2" w:firstLineChars="200"/>
              <w:jc w:val="both"/>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3.1台式挤压平板多功能涂布功能段: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该功能段是一款专门用于片状基材表面涂覆的先进功能段，采用狭缝挤压涂覆技术，其核心组成部分包括挤压模具、涂覆平台、供料系统、烘烤箱以及控制系统。此功能段主要服务于实验室研发工作，尤其适用于锂电池基片和聚合物导电膜等领域的片式基材表面涂覆作业。功能段具备红外加热干燥功能，实现涂料从底层至上层的均匀同步加热，从而确保涂覆效果的卓越性。</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为确保功能段运行的稳定与精确，该功能段被设计放置于微环境箱体内使用。在功能特点方面，本功能段采用挤压式涂覆工艺，能够确保涂覆精度高、一致性好，同时涂布窗口宽泛，满足不同涂覆需求。供料系统采用注射泵方式，实现密闭供料，减少外界干扰，有效降低涂料浪费，同时可根据实际需求灵活更换注射器型号。涂覆基板采用真空吸板设计，内置真空泵，确保涂覆过程中的稳定性。此外，涂覆基板温度可控，有助于提升涂膜干燥效率及改善涂膜表观质量。</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功能段还具备可选配的线棒涂覆功能，以满足不同涂覆工艺的需求。在维护方面，涂覆模具及供料系统均设计得易于拆卸和清洗，大大降低了维护成本。功能段操作界面采用触摸屏设计，使得功能段参数的调节、存储及控制过程更为便捷高效。</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在技术参数方面，本机采用单相AC220V电源，频率为50Hz，功率为1500W，涂布尺寸可达L200mm*W100，涂覆精度高达±3um，涂覆速度范围为0.5~20mm/s。供料容量设定为60m，注射针简采用不锈钢材质，以提升功能段使用寿命。供料速度可在0.05-5mm/s范围内调节。功能段加热温度最大可达120℃，满足多种涂覆工艺的需求。</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在功能段尺寸与重量方面，本机尺寸为L740mm*W400mm*H500mm，重量为95kg，便于运输与安装。在功能段结构与设计上，溶剂处理装置采用柜式集成回收机设计，不仅节省空间，还提高了功能段的整体稳定性和可靠性。此外，该设计还优化了功能段的维护和操作体验。</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在涂布机排风能力方面，该功能段能够满足≤200m</w:t>
            </w:r>
            <w:r>
              <w:rPr>
                <w:rFonts w:hint="eastAsia" w:ascii="仿宋" w:hAnsi="仿宋" w:eastAsia="仿宋" w:cs="仿宋"/>
                <w:i w:val="0"/>
                <w:iCs w:val="0"/>
                <w:color w:val="000000"/>
                <w:kern w:val="0"/>
                <w:sz w:val="24"/>
                <w:szCs w:val="24"/>
                <w:highlight w:val="none"/>
                <w:u w:val="none"/>
                <w:vertAlign w:val="superscript"/>
                <w:lang w:val="en-US" w:eastAsia="zh-CN" w:bidi="ar"/>
              </w:rPr>
              <w:t>3</w:t>
            </w:r>
            <w:r>
              <w:rPr>
                <w:rFonts w:hint="eastAsia" w:ascii="仿宋" w:hAnsi="仿宋" w:eastAsia="仿宋" w:cs="仿宋"/>
                <w:i w:val="0"/>
                <w:iCs w:val="0"/>
                <w:color w:val="000000"/>
                <w:kern w:val="0"/>
                <w:sz w:val="24"/>
                <w:szCs w:val="24"/>
                <w:highlight w:val="none"/>
                <w:u w:val="none"/>
                <w:lang w:val="en-US" w:eastAsia="zh-CN" w:bidi="ar"/>
              </w:rPr>
              <w:t>/h的排风量需求，确保涂布过程中生成的废气能够及时、有效地被处理，从而保障研发环境的清洁与安全。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2" w:firstLineChars="200"/>
              <w:jc w:val="both"/>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3.2烘烤辅助功能段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该功能段旨在通过烘烤工艺有效去除原材料中的水分，以确保其处理过程的精确性和高效性。在功能段构造方面，其真空与空气管道均采用了耐腐蚀性能优越的不锈钢管材料，此举不仅有助于保持腔体的清洁度，还能确保功能段的长期稳定运行。此外，功能段配备了先进的暖墙辐射供热系统，旨在提供卓越的烘烤均匀性，并有效保全腔体空间，从而确保原材料在烘烤过程中的品质稳定。</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功能段的观察窗口采用了钢化玻璃门设计，使用户能够随时监控工作室内的产品状况，确保烘烤过程的透明度和可控性。同时，功能段主体及关键部件均采用了高品质不锈钢材质，保证了功能段的坚固耐用性，并极大地方便了日常清洁维护工作。</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在电源配置方面，本机采用标准的单相AC220V电源，频率为50Hz，额定功率为1400W。在温度控制方面，功能段具备精确的控温能力，控温范围广泛，可覆盖RT+10~200℃，同时温度分辨率和波动此外，该功能段还具备出色的真空性能，真空度可达133Pa，以满足不同原材料烘烤过程中的真空需求。功能段的工作环境温度范围为+5~40℃，适应性强，可满足不同环境条件下的使用需求。</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在内部结构设计上，功能段内置了两个搁板，方便用户根据实际需要灵活摆放烘烤材料。同时，工作室内部材料采用了食品级不锈钢SUS304，确保了烘烤过程的卫生安全。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在功能段尺寸方面，该功能段紧凑而高效，具体尺寸为L415*W370*H345mm(内部)，便于用户在有限的空间内进行合理布局和安装。</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2" w:firstLineChars="200"/>
              <w:jc w:val="both"/>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4.精密多功能打印功能段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在现代制造业的浪潮中，一种全新的功能段正以其独特的3D打印技术引领着行业变革。该功能段采用先进的3D打印技术，将材料浆料精确地打印在设定好的基材表面上，极大地提高了产线的集成度。通过优化打印过程，功能段有效减少了占地面积，显著提升了场地利用效率，使得企业能够更加高效地利用有限的资源。</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与传统的极片研发方式相比，该功能段利用3D打印工艺能够研发出厚度达到传统极片2-3倍的3D结构电极。这种3D结构电极不仅具有更高的能量密度，还能够在保证性能的同时，降低材料的使用量，从而实现更环保更经济的研发。</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在安全性方面，3D打印技术展现出了独特的优势。通过精确控制打印过程，功能段能够制造出具有立体结构的电极。这种立体电极不仅提高了内部散热效率，降低了电池在工作过程中生成的热量，从而有效降低了自燃的风险。此外，3D打印技术还能够优化电极的结构设计，减少潜在的缺在成本方面，该功能段通过减少隔膜、集流体等辅材的使用，有效降低了研发成本。这得益于3D打印技术的高度灵活性和精确性，能够精确控制每一层材料的打印厚度和分布，从而减少不必要的材料浪费。</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从流程角度看，该功能段简化了全固态电池的制造过程。传统的全固态电池制造流程繁琐，需要多个步骤和功能段的配合。而该功能段通过3D打印技术，将多个步骤整合在一起，实现了流程的简化和优化。此外，该功能段还具有良好的兼容性，能够适配多种不同电解质的3D智能制造，为企业提供了更多的选择和可能性。</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2" w:firstLineChars="200"/>
              <w:jc w:val="both"/>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精密本液压平衡电动对辊功能段：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本机是一款专为电池行业正负极片轧制而精心打造的片材或卷材轧制功能段。在电池研发过程中，正负极片的轧制是确保电池性能和质量的关键环节，因此，选择一款高效、稳定且精准的轧制功能段显得尤为重要。</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本机的核心特点在于其电机驱动辊轮进行轧制的独特设计。这种设计使得本机具有轧制厚度可调、轧制均匀性好、精度高等显著优势。通过精确控制轧制过程，本机能够确保正负极片达到理想的轧制效果，满足电池制造的高标准要求。。</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在操作方面，本机设计得十分简便，使得研发人员能够轻松上手，快速完成制样及小批研发任务。此外，本机还配备了详细的操作指南和专业的售后服务，确保用户在使用过程中能够得到及时的技术支持和解决方案。</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在功能特点方面，本机采用了整体式龙门框架设计，并采用CNC精密加工技术，确保功能段的高稳定性。同时，轧辊材质选用优质冷轧模具钢，经过热处理后研磨，以确保其高精度、高硬度及良好的耐磨性。此外，轧辊表面还采用了镀硬铬处理，有效防锈，便于维护。</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本机还配备了斜块式辊缝调节装置，能够实现精确轧制间隙调整，确保轧制过程的稳定性和精度。减速电机驱动设计使得本机具备正、反转轧制功能，配合进出料导向板，能够显著提升轧制效率。此外，本机还可选配MSK-2150-RD装置，实现连续轧制工艺，满足大规模研发需求。</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在技术参数方面，本机采用单相AC220V电源，频率为50Hz，功率为4500W。为确保功能段的稳定性和精度，建议在环境温度25±3℃、无振动和电磁干扰的条件下使用。轧辊直径为中200*150mm，表面硬度达到HRC58~62，硬度层厚度不小于10mm，确保轧制过程中的耐性和精度。</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此外，本机还具有电加热功能，能够有效控制产品质量，提升轧制效果。通过精确控制轧辊温度，本机能够确保正负极片在轧制过程中达到理想的物理性能和化学性能，提高电池的整体性能和使用寿命。</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在功能段尺寸方面，本机约L750*W352*H750mm，重量约为190kg，便于运输与安装。紧凑的结构设计使得本机能够轻松适应各种研发环境，为电池制造提供稳定可靠的轧制功能段支持。</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2" w:firstLineChars="200"/>
              <w:jc w:val="both"/>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6.全自动锂片裁切机以及成型功能段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6.1锂带裁切机</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锂带裁切机，作为锂电池制造流程中的关键功能段，专用于锂电池正负极片横切工艺。其设计精良，性能卓越，能够确保裁切过程的精确性与高效性，同时适应微环境箱体操作，满足现代化研发线的严格需求。这款裁切机具备多种功能特性，首先，它支持对卷料按照预设固定长度进行精准裁切。用户可以根据不同的工艺需求，灵活设定裁切长度，确保每片极片都符合标准要求。此外，裁切机的刀刃采用镶嵌式加硬材质，具有出色的耐磨性和锋利度，能够长时间保持裁切效果的优越性，同时提高裁切效率。</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为了确保裁切过程的稳定性,锂带裁切机还配备了可调节的放卷张力控制系统。该系统能够根据不同的材料特性，灵活调节张力大小，确保在裁切过程中材料不会因张力过大或过小而发生变形或损坏。此外，锂金属收料隔板设计独特，采用单片放置方式，有效防止产品粘连，保证了裁切后的产品质量。</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在收集与送料方面，锂带裁切机也做得相当出色。铝料盒采用统一收集、集中送料的方式，能够方便地收集正极基材裁切后的成品，同时减少操作人员的劳动强度。</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此外，PLC与触摸屏控制相结合的操作方式，使得功能段操作更加简便直观，用户能够轻松掌握功能段的各项功能，提升工作效率。锂带裁切机还具备强大的兼容性，可适应锂金属、铝箔等多种材料的裁切需求。这使得功能段在多样化的工艺场景中都能发挥出色性能，满足不同客户的需求。同时，减速电机驱动设计使得功能段具备正反转轧制功能配合进出料导向板，确保裁切过程顺畅无阻。</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在技术参数方面,锂带裁切机采用单相AC220V电源,额定功率为1000W保证了功能段的稳定运行。同时，为了确保裁切稳定性和精度，功能段需要接入稳定的压缩空气源，气压范围维持在0.5~0.8MPa之间。此外，裁切幅宽可根据实际需求进行扩展，最大可扩展至150mm，满足不同规格材料的裁切需求。</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在功能段规格与重量方面,锂带裁切机尺寸为长100mmx宽600mmx高370mm，占地面积小，便于在研发线中灵活布局。功能段重量约为300kg</w:t>
            </w:r>
            <w:r>
              <w:rPr>
                <w:rFonts w:hint="eastAsia" w:ascii="仿宋" w:hAnsi="仿宋" w:eastAsia="仿宋" w:cs="仿宋"/>
                <w:i w:val="0"/>
                <w:iCs w:val="0"/>
                <w:color w:val="000000"/>
                <w:kern w:val="0"/>
                <w:sz w:val="24"/>
                <w:szCs w:val="24"/>
                <w:highlight w:val="none"/>
                <w:u w:val="none"/>
                <w:lang w:val="en-US" w:eastAsia="zh-CN" w:bidi="ar"/>
              </w:rPr>
              <w:t>，</w:t>
            </w:r>
            <w:r>
              <w:rPr>
                <w:rFonts w:hint="default" w:ascii="仿宋" w:hAnsi="仿宋" w:eastAsia="仿宋" w:cs="仿宋"/>
                <w:i w:val="0"/>
                <w:iCs w:val="0"/>
                <w:color w:val="000000"/>
                <w:kern w:val="0"/>
                <w:sz w:val="24"/>
                <w:szCs w:val="24"/>
                <w:highlight w:val="none"/>
                <w:u w:val="none"/>
                <w:lang w:val="en-US" w:eastAsia="zh-CN" w:bidi="ar"/>
              </w:rPr>
              <w:t>虽然相对较重，但考虑到其强大的功能和稳定的性能，这一重量在可接受范围内。同时，功能段的搬运、安装及日常维护操作也相对简便，降低了使用成本。</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2" w:firstLineChars="200"/>
              <w:jc w:val="both"/>
              <w:rPr>
                <w:rFonts w:hint="default" w:ascii="仿宋" w:hAnsi="仿宋" w:eastAsia="仿宋" w:cs="仿宋"/>
                <w:b/>
                <w:bCs/>
                <w:i w:val="0"/>
                <w:iCs w:val="0"/>
                <w:color w:val="000000"/>
                <w:kern w:val="0"/>
                <w:sz w:val="24"/>
                <w:szCs w:val="24"/>
                <w:highlight w:val="none"/>
                <w:u w:val="none"/>
                <w:lang w:val="en-US" w:eastAsia="zh-CN" w:bidi="ar"/>
              </w:rPr>
            </w:pPr>
            <w:r>
              <w:rPr>
                <w:rFonts w:hint="default" w:ascii="仿宋" w:hAnsi="仿宋" w:eastAsia="仿宋" w:cs="仿宋"/>
                <w:b/>
                <w:bCs/>
                <w:i w:val="0"/>
                <w:iCs w:val="0"/>
                <w:color w:val="000000"/>
                <w:kern w:val="0"/>
                <w:sz w:val="24"/>
                <w:szCs w:val="24"/>
                <w:highlight w:val="none"/>
                <w:u w:val="none"/>
                <w:lang w:val="en-US" w:eastAsia="zh-CN" w:bidi="ar"/>
              </w:rPr>
              <w:t>6.2锂负极成型机</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锂负极成型机是锂电池制造过程中不可或缺的功能段之一，主要用于铜极耳与锂极片的精确啮合，以制作出符合工艺尺寸要求的负极片。该功能段凭借其高效、精准的特性，为锂电池研发提供了有力的技术支持。</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在功能特性方面，锂负极成型机采用真空吸盘技术实现锂极片的精准转移至定位工装。这一设计不仅确保了操作的便捷性，还大大提高了定位的准确性。同时</w:t>
            </w:r>
            <w:r>
              <w:rPr>
                <w:rFonts w:hint="eastAsia" w:ascii="仿宋" w:hAnsi="仿宋" w:eastAsia="仿宋" w:cs="仿宋"/>
                <w:i w:val="0"/>
                <w:iCs w:val="0"/>
                <w:color w:val="000000"/>
                <w:kern w:val="0"/>
                <w:sz w:val="24"/>
                <w:szCs w:val="24"/>
                <w:highlight w:val="none"/>
                <w:u w:val="none"/>
                <w:lang w:val="en-US" w:eastAsia="zh-CN" w:bidi="ar"/>
              </w:rPr>
              <w:t>,</w:t>
            </w:r>
            <w:r>
              <w:rPr>
                <w:rFonts w:hint="default" w:ascii="仿宋" w:hAnsi="仿宋" w:eastAsia="仿宋" w:cs="仿宋"/>
                <w:i w:val="0"/>
                <w:iCs w:val="0"/>
                <w:color w:val="000000"/>
                <w:kern w:val="0"/>
                <w:sz w:val="24"/>
                <w:szCs w:val="24"/>
                <w:highlight w:val="none"/>
                <w:u w:val="none"/>
                <w:lang w:val="en-US" w:eastAsia="zh-CN" w:bidi="ar"/>
              </w:rPr>
              <w:t>铜极耳可轻松放入工装定位槽内，实现快速定位，提高了研发效率。</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在啮合过程中，气缸推动机构发挥着关键作用。它确保贴压极耳重合位</w:t>
            </w:r>
            <w:r>
              <w:rPr>
                <w:rFonts w:hint="eastAsia" w:ascii="仿宋" w:hAnsi="仿宋" w:eastAsia="仿宋" w:cs="仿宋"/>
                <w:i w:val="0"/>
                <w:iCs w:val="0"/>
                <w:color w:val="000000"/>
                <w:kern w:val="0"/>
                <w:sz w:val="24"/>
                <w:szCs w:val="24"/>
                <w:highlight w:val="none"/>
                <w:u w:val="none"/>
                <w:lang w:val="en-US" w:eastAsia="zh-CN" w:bidi="ar"/>
              </w:rPr>
              <w:t>,</w:t>
            </w:r>
            <w:r>
              <w:rPr>
                <w:rFonts w:hint="default" w:ascii="仿宋" w:hAnsi="仿宋" w:eastAsia="仿宋" w:cs="仿宋"/>
                <w:i w:val="0"/>
                <w:iCs w:val="0"/>
                <w:color w:val="000000"/>
                <w:kern w:val="0"/>
                <w:sz w:val="24"/>
                <w:szCs w:val="24"/>
                <w:highlight w:val="none"/>
                <w:u w:val="none"/>
                <w:lang w:val="en-US" w:eastAsia="zh-CN" w:bidi="ar"/>
              </w:rPr>
              <w:t>实现整体贴压，从而提高了产品质量。此外，锂片极耳定位治具设计精准，保证了位置准确，进一步提高了啮合效果。治具还具备可调节更换的特点，以适应不同规格极片的研发需求，</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锂负极成型机还采用了手工流转设计，便于产品流转至隔离片料盒，进步提高了研发效率。同时</w:t>
            </w:r>
            <w:r>
              <w:rPr>
                <w:rFonts w:hint="eastAsia" w:ascii="仿宋" w:hAnsi="仿宋" w:eastAsia="仿宋" w:cs="仿宋"/>
                <w:i w:val="0"/>
                <w:iCs w:val="0"/>
                <w:color w:val="000000"/>
                <w:kern w:val="0"/>
                <w:sz w:val="24"/>
                <w:szCs w:val="24"/>
                <w:highlight w:val="none"/>
                <w:u w:val="none"/>
                <w:lang w:val="en-US" w:eastAsia="zh-CN" w:bidi="ar"/>
              </w:rPr>
              <w:t>,</w:t>
            </w:r>
            <w:r>
              <w:rPr>
                <w:rFonts w:hint="default" w:ascii="仿宋" w:hAnsi="仿宋" w:eastAsia="仿宋" w:cs="仿宋"/>
                <w:i w:val="0"/>
                <w:iCs w:val="0"/>
                <w:color w:val="000000"/>
                <w:kern w:val="0"/>
                <w:sz w:val="24"/>
                <w:szCs w:val="24"/>
                <w:highlight w:val="none"/>
                <w:u w:val="none"/>
                <w:lang w:val="en-US" w:eastAsia="zh-CN" w:bidi="ar"/>
              </w:rPr>
              <w:t>工作台配备定位档快</w:t>
            </w:r>
            <w:r>
              <w:rPr>
                <w:rFonts w:hint="eastAsia" w:ascii="仿宋" w:hAnsi="仿宋" w:eastAsia="仿宋" w:cs="仿宋"/>
                <w:i w:val="0"/>
                <w:iCs w:val="0"/>
                <w:color w:val="000000"/>
                <w:kern w:val="0"/>
                <w:sz w:val="24"/>
                <w:szCs w:val="24"/>
                <w:highlight w:val="none"/>
                <w:u w:val="none"/>
                <w:lang w:val="en-US" w:eastAsia="zh-CN" w:bidi="ar"/>
              </w:rPr>
              <w:t>,</w:t>
            </w:r>
            <w:r>
              <w:rPr>
                <w:rFonts w:hint="default" w:ascii="仿宋" w:hAnsi="仿宋" w:eastAsia="仿宋" w:cs="仿宋"/>
                <w:i w:val="0"/>
                <w:iCs w:val="0"/>
                <w:color w:val="000000"/>
                <w:kern w:val="0"/>
                <w:sz w:val="24"/>
                <w:szCs w:val="24"/>
                <w:highlight w:val="none"/>
                <w:u w:val="none"/>
                <w:lang w:val="en-US" w:eastAsia="zh-CN" w:bidi="ar"/>
              </w:rPr>
              <w:t>便于治具的定位和取放操作，降低了操作难度。此外，压合头可更换设计使得功能段能够适应不同工艺要求，同时压力可通过调节阀灵活调节，以满足不同材料的啮合需求。</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在平台与机构设计方面，锂负极成型机采用镀铬钢板底座作为稳定可的打压贴合平台，确保了操作的稳定性。打压机构包括打压气缸、高硬度打压头、微调机械限位及稳固的铝支架结构，这些部件共同确保了打压效果的准确性和稳定性。此外，移动工装设计有定位孔，实现了锂负极片的精准定位，满足了锂带裁切、锂负极成型、电芯叠片三道工序的共用</w:t>
            </w:r>
            <w:r>
              <w:rPr>
                <w:rFonts w:hint="eastAsia" w:ascii="仿宋" w:hAnsi="仿宋" w:eastAsia="仿宋" w:cs="仿宋"/>
                <w:i w:val="0"/>
                <w:iCs w:val="0"/>
                <w:color w:val="000000"/>
                <w:kern w:val="0"/>
                <w:sz w:val="24"/>
                <w:szCs w:val="24"/>
                <w:highlight w:val="none"/>
                <w:u w:val="none"/>
                <w:lang w:val="en-US" w:eastAsia="zh-CN" w:bidi="ar"/>
              </w:rPr>
              <w:t>需求。</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在技术参数方面，锂负极成型机采用单相AC220V</w:t>
            </w:r>
            <w:r>
              <w:rPr>
                <w:rFonts w:hint="eastAsia" w:ascii="仿宋" w:hAnsi="仿宋" w:eastAsia="仿宋" w:cs="仿宋"/>
                <w:i w:val="0"/>
                <w:iCs w:val="0"/>
                <w:color w:val="000000"/>
                <w:kern w:val="0"/>
                <w:sz w:val="24"/>
                <w:szCs w:val="24"/>
                <w:highlight w:val="none"/>
                <w:u w:val="none"/>
                <w:lang w:val="en-US" w:eastAsia="zh-CN" w:bidi="ar"/>
              </w:rPr>
              <w:t>±</w:t>
            </w:r>
            <w:r>
              <w:rPr>
                <w:rFonts w:hint="default" w:ascii="仿宋" w:hAnsi="仿宋" w:eastAsia="仿宋" w:cs="仿宋"/>
                <w:i w:val="0"/>
                <w:iCs w:val="0"/>
                <w:color w:val="000000"/>
                <w:kern w:val="0"/>
                <w:sz w:val="24"/>
                <w:szCs w:val="24"/>
                <w:highlight w:val="none"/>
                <w:u w:val="none"/>
                <w:lang w:val="en-US" w:eastAsia="zh-CN" w:bidi="ar"/>
              </w:rPr>
              <w:t>10%的电源，额定功率为0.5KW，确保了功能段的稳定运行。同时，功能段需要接入稳定的压缩空气源，气压范围需≥0.6MPa，以确保功能段运行稳定。这些技术参数的设置，保证了功能段在长时间运行过程中能够保持稳定的性能。</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在功能段规格与重量方面，锂负极成型机尺寸为长230mm×宽265mm×高370mm×深220mm，结构紧凑，便于在空间有限的研发线上进行布局</w:t>
            </w:r>
            <w:r>
              <w:rPr>
                <w:rFonts w:hint="eastAsia" w:ascii="仿宋" w:hAnsi="仿宋" w:eastAsia="仿宋" w:cs="仿宋"/>
                <w:i w:val="0"/>
                <w:iCs w:val="0"/>
                <w:color w:val="000000"/>
                <w:kern w:val="0"/>
                <w:sz w:val="24"/>
                <w:szCs w:val="24"/>
                <w:highlight w:val="none"/>
                <w:u w:val="none"/>
                <w:lang w:val="en-US" w:eastAsia="zh-CN" w:bidi="ar"/>
              </w:rPr>
              <w:t>。</w:t>
            </w:r>
            <w:r>
              <w:rPr>
                <w:rFonts w:hint="default" w:ascii="仿宋" w:hAnsi="仿宋" w:eastAsia="仿宋" w:cs="仿宋"/>
                <w:i w:val="0"/>
                <w:iCs w:val="0"/>
                <w:color w:val="000000"/>
                <w:kern w:val="0"/>
                <w:sz w:val="24"/>
                <w:szCs w:val="24"/>
                <w:highlight w:val="none"/>
                <w:u w:val="none"/>
                <w:lang w:val="en-US" w:eastAsia="zh-CN" w:bidi="ar"/>
              </w:rPr>
              <w:t>功能段重量约为25kg，轻便易搬运，方便安装及日常维护操作。这一设计使得功能段在研发线上的布置和移动变得更为灵活方便，</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锂带裁切机和锂负极成型机作为锂电池制造过程中的关键功能段</w:t>
            </w:r>
            <w:r>
              <w:rPr>
                <w:rFonts w:hint="eastAsia" w:ascii="仿宋" w:hAnsi="仿宋" w:eastAsia="仿宋" w:cs="仿宋"/>
                <w:i w:val="0"/>
                <w:iCs w:val="0"/>
                <w:color w:val="000000"/>
                <w:kern w:val="0"/>
                <w:sz w:val="24"/>
                <w:szCs w:val="24"/>
                <w:highlight w:val="none"/>
                <w:u w:val="none"/>
                <w:lang w:val="en-US" w:eastAsia="zh-CN" w:bidi="ar"/>
              </w:rPr>
              <w:t>，</w:t>
            </w:r>
            <w:r>
              <w:rPr>
                <w:rFonts w:hint="default" w:ascii="仿宋" w:hAnsi="仿宋" w:eastAsia="仿宋" w:cs="仿宋"/>
                <w:i w:val="0"/>
                <w:iCs w:val="0"/>
                <w:color w:val="000000"/>
                <w:kern w:val="0"/>
                <w:sz w:val="24"/>
                <w:szCs w:val="24"/>
                <w:highlight w:val="none"/>
                <w:u w:val="none"/>
                <w:lang w:val="en-US" w:eastAsia="zh-CN" w:bidi="ar"/>
              </w:rPr>
              <w:t>凭借其出色的性能和功能特性，为锂电池研发的高效、稳定提供了有力保障</w:t>
            </w:r>
            <w:r>
              <w:rPr>
                <w:rFonts w:hint="eastAsia" w:ascii="仿宋" w:hAnsi="仿宋" w:eastAsia="仿宋" w:cs="仿宋"/>
                <w:i w:val="0"/>
                <w:iCs w:val="0"/>
                <w:color w:val="000000"/>
                <w:kern w:val="0"/>
                <w:sz w:val="24"/>
                <w:szCs w:val="24"/>
                <w:highlight w:val="none"/>
                <w:u w:val="none"/>
                <w:lang w:val="en-US" w:eastAsia="zh-CN" w:bidi="ar"/>
              </w:rPr>
              <w:t>。</w:t>
            </w:r>
            <w:r>
              <w:rPr>
                <w:rFonts w:hint="default" w:ascii="仿宋" w:hAnsi="仿宋" w:eastAsia="仿宋" w:cs="仿宋"/>
                <w:i w:val="0"/>
                <w:iCs w:val="0"/>
                <w:color w:val="000000"/>
                <w:kern w:val="0"/>
                <w:sz w:val="24"/>
                <w:szCs w:val="24"/>
                <w:highlight w:val="none"/>
                <w:u w:val="none"/>
                <w:lang w:val="en-US" w:eastAsia="zh-CN" w:bidi="ar"/>
              </w:rPr>
              <w:t>同时，这些功能段还具备较高的兼容性和可调节性，能够适应不同工艺需求和材料特性，满足多样化的研发需求。</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2" w:firstLineChars="200"/>
              <w:jc w:val="both"/>
              <w:rPr>
                <w:rFonts w:hint="default" w:ascii="仿宋" w:hAnsi="仿宋" w:eastAsia="仿宋" w:cs="仿宋"/>
                <w:b/>
                <w:bCs/>
                <w:i w:val="0"/>
                <w:iCs w:val="0"/>
                <w:color w:val="000000"/>
                <w:kern w:val="0"/>
                <w:sz w:val="24"/>
                <w:szCs w:val="24"/>
                <w:highlight w:val="none"/>
                <w:u w:val="none"/>
                <w:lang w:val="en-US" w:eastAsia="zh-CN" w:bidi="ar"/>
              </w:rPr>
            </w:pPr>
            <w:r>
              <w:rPr>
                <w:rFonts w:hint="default" w:ascii="仿宋" w:hAnsi="仿宋" w:eastAsia="仿宋" w:cs="仿宋"/>
                <w:b/>
                <w:bCs/>
                <w:i w:val="0"/>
                <w:iCs w:val="0"/>
                <w:color w:val="000000"/>
                <w:kern w:val="0"/>
                <w:sz w:val="24"/>
                <w:szCs w:val="24"/>
                <w:highlight w:val="none"/>
                <w:u w:val="none"/>
                <w:lang w:val="en-US" w:eastAsia="zh-CN" w:bidi="ar"/>
              </w:rPr>
              <w:t>7.极片成型功能段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该功能段是一款专门应用于锂离子叠片电池的正、负极片模切功能段</w:t>
            </w:r>
            <w:r>
              <w:rPr>
                <w:rFonts w:hint="eastAsia" w:ascii="仿宋" w:hAnsi="仿宋" w:eastAsia="仿宋" w:cs="仿宋"/>
                <w:i w:val="0"/>
                <w:iCs w:val="0"/>
                <w:color w:val="000000"/>
                <w:kern w:val="0"/>
                <w:sz w:val="24"/>
                <w:szCs w:val="24"/>
                <w:highlight w:val="none"/>
                <w:u w:val="none"/>
                <w:lang w:val="en-US" w:eastAsia="zh-CN" w:bidi="ar"/>
              </w:rPr>
              <w:t>。</w:t>
            </w:r>
            <w:r>
              <w:rPr>
                <w:rFonts w:hint="default" w:ascii="仿宋" w:hAnsi="仿宋" w:eastAsia="仿宋" w:cs="仿宋"/>
                <w:i w:val="0"/>
                <w:iCs w:val="0"/>
                <w:color w:val="000000"/>
                <w:kern w:val="0"/>
                <w:sz w:val="24"/>
                <w:szCs w:val="24"/>
                <w:highlight w:val="none"/>
                <w:u w:val="none"/>
                <w:lang w:val="en-US" w:eastAsia="zh-CN" w:bidi="ar"/>
              </w:rPr>
              <w:t>它采用气动方式，对片式极片进行单片冲模操作，能够根据用户要求提供不同形状的刀模，以满足不同尺寸电池极片的成型和模切需求。</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在功能特点方面，该功能段具备片式极片供料功能，通过刀模板实现精确模切。同时，采用气缸驱动方式，冲切力和冲切速度均可调节，以适应不同材料和工艺要求。此外，功能段采用高强度框架设计，配备上、下精密压板和高性能刀具，确保模切精度和稳定性。</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在技术参数方面,该功能段使用单相AC220V</w:t>
            </w:r>
            <w:r>
              <w:rPr>
                <w:rFonts w:hint="eastAsia" w:ascii="仿宋" w:hAnsi="仿宋" w:eastAsia="仿宋" w:cs="仿宋"/>
                <w:i w:val="0"/>
                <w:iCs w:val="0"/>
                <w:color w:val="000000"/>
                <w:kern w:val="0"/>
                <w:sz w:val="24"/>
                <w:szCs w:val="24"/>
                <w:highlight w:val="none"/>
                <w:u w:val="none"/>
                <w:lang w:val="en-US" w:eastAsia="zh-CN" w:bidi="ar"/>
              </w:rPr>
              <w:t>±</w:t>
            </w:r>
            <w:r>
              <w:rPr>
                <w:rFonts w:hint="default" w:ascii="仿宋" w:hAnsi="仿宋" w:eastAsia="仿宋" w:cs="仿宋"/>
                <w:i w:val="0"/>
                <w:iCs w:val="0"/>
                <w:color w:val="000000"/>
                <w:kern w:val="0"/>
                <w:sz w:val="24"/>
                <w:szCs w:val="24"/>
                <w:highlight w:val="none"/>
                <w:u w:val="none"/>
                <w:lang w:val="en-US" w:eastAsia="zh-CN" w:bidi="ar"/>
              </w:rPr>
              <w:t>10%的电源,频率为50Hz</w:t>
            </w:r>
            <w:r>
              <w:rPr>
                <w:rFonts w:hint="eastAsia" w:ascii="仿宋" w:hAnsi="仿宋" w:eastAsia="仿宋" w:cs="仿宋"/>
                <w:i w:val="0"/>
                <w:iCs w:val="0"/>
                <w:color w:val="000000"/>
                <w:kern w:val="0"/>
                <w:sz w:val="24"/>
                <w:szCs w:val="24"/>
                <w:highlight w:val="none"/>
                <w:u w:val="none"/>
                <w:lang w:val="en-US" w:eastAsia="zh-CN" w:bidi="ar"/>
              </w:rPr>
              <w:t>。</w:t>
            </w:r>
            <w:r>
              <w:rPr>
                <w:rFonts w:hint="default" w:ascii="仿宋" w:hAnsi="仿宋" w:eastAsia="仿宋" w:cs="仿宋"/>
                <w:i w:val="0"/>
                <w:iCs w:val="0"/>
                <w:color w:val="000000"/>
                <w:kern w:val="0"/>
                <w:sz w:val="24"/>
                <w:szCs w:val="24"/>
                <w:highlight w:val="none"/>
                <w:u w:val="none"/>
                <w:lang w:val="en-US" w:eastAsia="zh-CN" w:bidi="ar"/>
              </w:rPr>
              <w:t>为确保裁切过程的稳定性和精度，功能段需要0.5-0.8MPa的稳定压缩空气供应，或0.5~1Mpa的氬气、氮气瓶作为动力源，以驱动裁切机构的高效运作。冲切压力最大可达到4.5T，可冲切最厚为0.5mm的材料。</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功能段尺寸为L360*W340*H588*20mm，重量约为80kg，便于安装和</w:t>
            </w:r>
            <w:r>
              <w:rPr>
                <w:rFonts w:hint="eastAsia" w:ascii="仿宋" w:hAnsi="仿宋" w:eastAsia="仿宋" w:cs="仿宋"/>
                <w:i w:val="0"/>
                <w:iCs w:val="0"/>
                <w:color w:val="000000"/>
                <w:kern w:val="0"/>
                <w:sz w:val="24"/>
                <w:szCs w:val="24"/>
                <w:highlight w:val="none"/>
                <w:u w:val="none"/>
                <w:lang w:val="en-US" w:eastAsia="zh-CN" w:bidi="ar"/>
              </w:rPr>
              <w:t>运输。</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2" w:firstLineChars="200"/>
              <w:jc w:val="both"/>
              <w:rPr>
                <w:rFonts w:hint="default" w:ascii="仿宋" w:hAnsi="仿宋" w:eastAsia="仿宋" w:cs="仿宋"/>
                <w:b/>
                <w:bCs/>
                <w:i w:val="0"/>
                <w:iCs w:val="0"/>
                <w:color w:val="000000"/>
                <w:kern w:val="0"/>
                <w:sz w:val="24"/>
                <w:szCs w:val="24"/>
                <w:highlight w:val="none"/>
                <w:u w:val="none"/>
                <w:lang w:val="en-US" w:eastAsia="zh-CN" w:bidi="ar"/>
              </w:rPr>
            </w:pPr>
            <w:r>
              <w:rPr>
                <w:rFonts w:hint="default" w:ascii="仿宋" w:hAnsi="仿宋" w:eastAsia="仿宋" w:cs="仿宋"/>
                <w:b/>
                <w:bCs/>
                <w:i w:val="0"/>
                <w:iCs w:val="0"/>
                <w:color w:val="000000"/>
                <w:kern w:val="0"/>
                <w:sz w:val="24"/>
                <w:szCs w:val="24"/>
                <w:highlight w:val="none"/>
                <w:u w:val="none"/>
                <w:lang w:val="en-US" w:eastAsia="zh-CN" w:bidi="ar"/>
              </w:rPr>
              <w:t>8.全自动多工位叠片段功能段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该极片层叠机是一款专门针对液态电池及固态电池极片叠片工艺而设计的先进功能段，它以其高效、精确和灵活的特点，成为了实验室及小规模研发活动中的得力助手。这款功能段的桌面式结构设计，使得它能够轻松融入各种微环境箱体中，适应不同的研发环境。</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首先，这款功能段的核心功能特性</w:t>
            </w:r>
            <w:r>
              <w:rPr>
                <w:rFonts w:hint="eastAsia" w:ascii="仿宋" w:hAnsi="仿宋" w:eastAsia="仿宋" w:cs="仿宋"/>
                <w:i w:val="0"/>
                <w:iCs w:val="0"/>
                <w:color w:val="000000"/>
                <w:kern w:val="0"/>
                <w:sz w:val="24"/>
                <w:szCs w:val="24"/>
                <w:highlight w:val="none"/>
                <w:u w:val="none"/>
                <w:lang w:val="en-US" w:eastAsia="zh-CN" w:bidi="ar"/>
              </w:rPr>
              <w:t>，</w:t>
            </w:r>
            <w:r>
              <w:rPr>
                <w:rFonts w:hint="default" w:ascii="仿宋" w:hAnsi="仿宋" w:eastAsia="仿宋" w:cs="仿宋"/>
                <w:i w:val="0"/>
                <w:iCs w:val="0"/>
                <w:color w:val="000000"/>
                <w:kern w:val="0"/>
                <w:sz w:val="24"/>
                <w:szCs w:val="24"/>
                <w:highlight w:val="none"/>
                <w:u w:val="none"/>
                <w:lang w:val="en-US" w:eastAsia="zh-CN" w:bidi="ar"/>
              </w:rPr>
              <w:t>全自动叠片机专注于正负极材料的层叠任务，摒弃了不必要的隔膜放卷纠偏功能，从而确保了操作过程的精简与高效。此外，极片的手工装片、自动定位及循环堆叠功能，不仅简化了操作流程，还保证了定位的精确性。功能段还支持根据实际需求自由设定叠片数量，无论是少量研发还是大规模孵化，都能轻松应对。</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在功能段的设计方面，它采用了独特的二工位设计，这种设计特别适用于固态电池极片叠片工艺。由于固态电池的特殊性质，其叠片工艺需要更加精细的操作，而这款功能段的二工位设计使得叠片程序可以灵活切换从而满足固态电池研发的各种需求。此外，功能段还支持金属锂叠片，叠片过程中无粘连现象且无明显压痕，保证了叠片的质量。</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为了满足不同尺寸电池的研发需求，该功能段采用了兼容性设计。当电池尺寸发生变化时，用户仅需定制部分模具及调节压爪即可，无需对整个功能段进行大规模的改装。这种设计使得功能段的调节范围广泛，能够适应多种尺寸电池的研发需求。</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在控制系统方面，该功能段采用了先进的PLC控制系统和HMI操作界面这使得用户可以直观地了解功能段的运行状态并进行相应的操作，大大简化了用户的使用难度。同时，功能段的维护和保养也变得更为简单，降低了用户的运营成本，</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从技术规格来看，该功能段对电源和压缩空气的需求稳定可靠。它适用于单相AC220V</w:t>
            </w:r>
            <w:r>
              <w:rPr>
                <w:rFonts w:hint="eastAsia" w:ascii="仿宋" w:hAnsi="仿宋" w:eastAsia="仿宋" w:cs="仿宋"/>
                <w:i w:val="0"/>
                <w:iCs w:val="0"/>
                <w:color w:val="000000"/>
                <w:kern w:val="0"/>
                <w:sz w:val="24"/>
                <w:szCs w:val="24"/>
                <w:highlight w:val="none"/>
                <w:u w:val="none"/>
                <w:lang w:val="en-US" w:eastAsia="zh-CN" w:bidi="ar"/>
              </w:rPr>
              <w:t>±</w:t>
            </w:r>
            <w:r>
              <w:rPr>
                <w:rFonts w:hint="default" w:ascii="仿宋" w:hAnsi="仿宋" w:eastAsia="仿宋" w:cs="仿宋"/>
                <w:i w:val="0"/>
                <w:iCs w:val="0"/>
                <w:color w:val="000000"/>
                <w:kern w:val="0"/>
                <w:sz w:val="24"/>
                <w:szCs w:val="24"/>
                <w:highlight w:val="none"/>
                <w:u w:val="none"/>
                <w:lang w:val="en-US" w:eastAsia="zh-CN" w:bidi="ar"/>
              </w:rPr>
              <w:t>10%的电源环境，频率为50Hz，功率为2000W。同时，功能段需要接入0.5~0.8MPa的压缩空气，并具备优于-60Kpa的真空度(在标准大气压下测得)，以确保操作过程中的稳定性和可靠性。为了满足不同用户的需求，功能段还提供了内置真空泵和外置真空泵的定制选项。</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在叠片工艺方面，该功能段采用了高效的Z字形叠片方式(隔膜为卷式支持手工上料、自动取料叠片及手动夹具取电芯贴胶等多种操作方式这种灵活的操作方式使得用户可以根据实际需求选择最适合自己的操作方式，提高研发效率。同时，功能段的叠片速度也非常快，叠极片速度可达4~6S/片，叠金属锂速度则为6~8S/片(不含每只电芯的叠片准备时间这极大地提升了研发效率。此外，功能段的叠片精度也达到了士0.5mm(极片间相对位置尺寸，叠片层数25)，这保证了产品质量的稳定性和可靠性。此外，该功能段对极片尺寸具有广泛的适应性。极片宽度范围可达50~120mm，长度范围为50~150mm(极耳方向，不含极耳尺寸)。叠片厚度最大可达20mm，叠片层数最大可设定为100层，极耳长度最大为20mm。这些参数范围充分满足了各种叠片需求，使得功能段能够适用于多种不同类型的电池研发。</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最后，在功能段的外观和尺寸方面，该极片层叠机采用了紧凑的设计整体尺寸为L960*W670*H800mm，重量适中，为240kg。这使得功能段在搬运和安装时都非常方便，能够适应各种实验室和研发环境的布局需求。</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2" w:firstLineChars="200"/>
              <w:jc w:val="both"/>
              <w:rPr>
                <w:rFonts w:hint="default" w:ascii="仿宋" w:hAnsi="仿宋" w:eastAsia="仿宋" w:cs="仿宋"/>
                <w:b/>
                <w:bCs/>
                <w:i w:val="0"/>
                <w:iCs w:val="0"/>
                <w:color w:val="000000"/>
                <w:kern w:val="0"/>
                <w:sz w:val="24"/>
                <w:szCs w:val="24"/>
                <w:highlight w:val="none"/>
                <w:u w:val="none"/>
                <w:lang w:val="en-US" w:eastAsia="zh-CN" w:bidi="ar"/>
              </w:rPr>
            </w:pPr>
            <w:r>
              <w:rPr>
                <w:rFonts w:hint="default" w:ascii="仿宋" w:hAnsi="仿宋" w:eastAsia="仿宋" w:cs="仿宋"/>
                <w:b/>
                <w:bCs/>
                <w:i w:val="0"/>
                <w:iCs w:val="0"/>
                <w:color w:val="000000"/>
                <w:kern w:val="0"/>
                <w:sz w:val="24"/>
                <w:szCs w:val="24"/>
                <w:highlight w:val="none"/>
                <w:u w:val="none"/>
                <w:lang w:val="en-US" w:eastAsia="zh-CN" w:bidi="ar"/>
              </w:rPr>
              <w:t>烧结段辅助功能段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在电极片制作完成后，至关重要的一个环节便是进行烧结处理，以稳定固化电极材料。烧结过程涉及将电极材料加热至高温，促使其发生化学反应并形成稳定的晶体结构，这对于提升电池的循环寿命与安全性至关重</w:t>
            </w:r>
            <w:r>
              <w:rPr>
                <w:rFonts w:hint="eastAsia" w:ascii="仿宋" w:hAnsi="仿宋" w:eastAsia="仿宋" w:cs="仿宋"/>
                <w:i w:val="0"/>
                <w:iCs w:val="0"/>
                <w:color w:val="000000"/>
                <w:kern w:val="0"/>
                <w:sz w:val="24"/>
                <w:szCs w:val="24"/>
                <w:highlight w:val="none"/>
                <w:u w:val="none"/>
                <w:lang w:val="en-US" w:eastAsia="zh-CN" w:bidi="ar"/>
              </w:rPr>
              <w:t>要。</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为实现高效的烧结处理，需借助专业的高温烧结炉等先进功能段。这些功能段能够在特定温度和气氛条件下进行精确控制，确保电极材料得以充分发生所需的化学反应。烧结炉的工作温度范围广泛，最高可达1600℃并可根据不同电极材料的特性进行精细调整。同时，功能段配备了高精度的温度控制系统，控制精度可达</w:t>
            </w:r>
            <w:r>
              <w:rPr>
                <w:rFonts w:hint="eastAsia" w:ascii="仿宋" w:hAnsi="仿宋" w:eastAsia="仿宋" w:cs="仿宋"/>
                <w:i w:val="0"/>
                <w:iCs w:val="0"/>
                <w:color w:val="000000"/>
                <w:kern w:val="0"/>
                <w:sz w:val="24"/>
                <w:szCs w:val="24"/>
                <w:highlight w:val="none"/>
                <w:u w:val="none"/>
                <w:lang w:val="en-US" w:eastAsia="zh-CN" w:bidi="ar"/>
              </w:rPr>
              <w:t>±</w:t>
            </w:r>
            <w:r>
              <w:rPr>
                <w:rFonts w:hint="default" w:ascii="仿宋" w:hAnsi="仿宋" w:eastAsia="仿宋" w:cs="仿宋"/>
                <w:i w:val="0"/>
                <w:iCs w:val="0"/>
                <w:color w:val="000000"/>
                <w:kern w:val="0"/>
                <w:sz w:val="24"/>
                <w:szCs w:val="24"/>
                <w:highlight w:val="none"/>
                <w:u w:val="none"/>
                <w:lang w:val="en-US" w:eastAsia="zh-CN" w:bidi="ar"/>
              </w:rPr>
              <w:t>0.1℃，从而确保烧结过程中温度的稳定性与准确性。</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在烧结炉的运行过程中，加热元件的选择尤为关键。常用的加热元件材料包括二硅化钼、碳化硅和石墨等，这些材料具有良好的耐高温性能和稳定性，能够有效支撑烧结过程的顺利进行。此外，烧结炉还具备多种</w:t>
            </w:r>
            <w:r>
              <w:rPr>
                <w:rFonts w:hint="eastAsia" w:ascii="仿宋" w:hAnsi="仿宋" w:eastAsia="仿宋" w:cs="仿宋"/>
                <w:i w:val="0"/>
                <w:iCs w:val="0"/>
                <w:color w:val="000000"/>
                <w:kern w:val="0"/>
                <w:sz w:val="24"/>
                <w:szCs w:val="24"/>
                <w:highlight w:val="none"/>
                <w:u w:val="none"/>
                <w:lang w:val="en-US" w:eastAsia="zh-CN" w:bidi="ar"/>
              </w:rPr>
              <w:t>气</w:t>
            </w:r>
            <w:r>
              <w:rPr>
                <w:rFonts w:hint="default" w:ascii="仿宋" w:hAnsi="仿宋" w:eastAsia="仿宋" w:cs="仿宋"/>
                <w:i w:val="0"/>
                <w:iCs w:val="0"/>
                <w:color w:val="000000"/>
                <w:kern w:val="0"/>
                <w:sz w:val="24"/>
                <w:szCs w:val="24"/>
                <w:highlight w:val="none"/>
                <w:u w:val="none"/>
                <w:lang w:val="en-US" w:eastAsia="zh-CN" w:bidi="ar"/>
              </w:rPr>
              <w:t>氛控制功能，可适应氩气、氮气、氢气或真空等不同环境下的烧结需求</w:t>
            </w:r>
            <w:r>
              <w:rPr>
                <w:rFonts w:hint="eastAsia" w:ascii="仿宋" w:hAnsi="仿宋" w:eastAsia="仿宋" w:cs="仿宋"/>
                <w:i w:val="0"/>
                <w:iCs w:val="0"/>
                <w:color w:val="000000"/>
                <w:kern w:val="0"/>
                <w:sz w:val="24"/>
                <w:szCs w:val="24"/>
                <w:highlight w:val="none"/>
                <w:u w:val="none"/>
                <w:lang w:val="en-US" w:eastAsia="zh-CN" w:bidi="ar"/>
              </w:rPr>
              <w:t>，</w:t>
            </w:r>
            <w:r>
              <w:rPr>
                <w:rFonts w:hint="default" w:ascii="仿宋" w:hAnsi="仿宋" w:eastAsia="仿宋" w:cs="仿宋"/>
                <w:i w:val="0"/>
                <w:iCs w:val="0"/>
                <w:color w:val="000000"/>
                <w:kern w:val="0"/>
                <w:sz w:val="24"/>
                <w:szCs w:val="24"/>
                <w:highlight w:val="none"/>
                <w:u w:val="none"/>
                <w:lang w:val="en-US" w:eastAsia="zh-CN" w:bidi="ar"/>
              </w:rPr>
              <w:t>进一步提升了功能段的灵活性和实用性。</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在烧结过程中，确保箱体温度分布的均匀性至关重要。通过优化加热元件的布局和结构设计，烧结炉能够实现上下均匀加热，从而确保整个烧结区域内的温度分布一致。此外，烧结炉还配备了先进的流量控制器，能够精确控制气体流量，进一步优化烧结过程中的气氛条件。</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为了便于对烧结过程进行实时监控和故障排查，烧结炉还具备远程监控功能。通过连续记录温度、气体成分和压力等关键数据，可实现对烧结过程各项参数的实时监测与分析。这有助于及时发现并解决问题，提高电极片的质量和性能。</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在节能降耗方面，烧结炉同样表现出色。采用先进的绝缘材料和设计有效</w:t>
            </w:r>
            <w:r>
              <w:rPr>
                <w:rFonts w:hint="eastAsia" w:ascii="仿宋" w:hAnsi="仿宋" w:eastAsia="仿宋" w:cs="仿宋"/>
                <w:i w:val="0"/>
                <w:iCs w:val="0"/>
                <w:color w:val="000000"/>
                <w:kern w:val="0"/>
                <w:sz w:val="24"/>
                <w:szCs w:val="24"/>
                <w:highlight w:val="none"/>
                <w:u w:val="none"/>
                <w:lang w:val="en-US" w:eastAsia="zh-CN" w:bidi="ar"/>
              </w:rPr>
              <w:t>，</w:t>
            </w:r>
            <w:r>
              <w:rPr>
                <w:rFonts w:hint="default" w:ascii="仿宋" w:hAnsi="仿宋" w:eastAsia="仿宋" w:cs="仿宋"/>
                <w:i w:val="0"/>
                <w:iCs w:val="0"/>
                <w:color w:val="000000"/>
                <w:kern w:val="0"/>
                <w:sz w:val="24"/>
                <w:szCs w:val="24"/>
                <w:highlight w:val="none"/>
                <w:u w:val="none"/>
                <w:lang w:val="en-US" w:eastAsia="zh-CN" w:bidi="ar"/>
              </w:rPr>
              <w:t>减少热损失并降低能耗。同时，节能加热元件的优化应用也进一步提高了功能段的热效率。这些措施不仅有助于降低研发成本，还符合绿色环保的研发理念。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最后，为满足不同研发规模的需求，烧结炉功能段提供定制服务。无论是实验室规模的小批量试制还是大规模研发线应用，都能找到合适的烧结炉功能段。这种灵活性使得烧结炉在电极片制作领域具有广阔的应用前景。</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2" w:firstLineChars="200"/>
              <w:jc w:val="both"/>
              <w:rPr>
                <w:rFonts w:hint="default" w:ascii="仿宋" w:hAnsi="仿宋" w:eastAsia="仿宋" w:cs="仿宋"/>
                <w:b/>
                <w:bCs/>
                <w:i w:val="0"/>
                <w:iCs w:val="0"/>
                <w:color w:val="000000"/>
                <w:kern w:val="0"/>
                <w:sz w:val="24"/>
                <w:szCs w:val="24"/>
                <w:highlight w:val="none"/>
                <w:u w:val="none"/>
                <w:lang w:val="en-US" w:eastAsia="zh-CN" w:bidi="ar"/>
              </w:rPr>
            </w:pPr>
            <w:r>
              <w:rPr>
                <w:rFonts w:hint="default" w:ascii="仿宋" w:hAnsi="仿宋" w:eastAsia="仿宋" w:cs="仿宋"/>
                <w:b/>
                <w:bCs/>
                <w:i w:val="0"/>
                <w:iCs w:val="0"/>
                <w:color w:val="000000"/>
                <w:kern w:val="0"/>
                <w:sz w:val="24"/>
                <w:szCs w:val="24"/>
                <w:highlight w:val="none"/>
                <w:u w:val="none"/>
                <w:lang w:val="en-US" w:eastAsia="zh-CN" w:bidi="ar"/>
              </w:rPr>
              <w:t>10.精密平板热压辅助测试段功能段: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该功能段是一款具有高度精密性和多功能性的平板热压机，专为锂电池</w:t>
            </w:r>
            <w:r>
              <w:rPr>
                <w:rFonts w:hint="eastAsia" w:ascii="仿宋" w:hAnsi="仿宋" w:eastAsia="仿宋" w:cs="仿宋"/>
                <w:i w:val="0"/>
                <w:iCs w:val="0"/>
                <w:color w:val="000000"/>
                <w:kern w:val="0"/>
                <w:sz w:val="24"/>
                <w:szCs w:val="24"/>
                <w:highlight w:val="none"/>
                <w:u w:val="none"/>
                <w:lang w:val="en-US" w:eastAsia="zh-CN" w:bidi="ar"/>
              </w:rPr>
              <w:t>、</w:t>
            </w:r>
            <w:r>
              <w:rPr>
                <w:rFonts w:hint="default" w:ascii="仿宋" w:hAnsi="仿宋" w:eastAsia="仿宋" w:cs="仿宋"/>
                <w:i w:val="0"/>
                <w:iCs w:val="0"/>
                <w:color w:val="000000"/>
                <w:kern w:val="0"/>
                <w:sz w:val="24"/>
                <w:szCs w:val="24"/>
                <w:highlight w:val="none"/>
                <w:u w:val="none"/>
                <w:lang w:val="en-US" w:eastAsia="zh-CN" w:bidi="ar"/>
              </w:rPr>
              <w:t>固态电池的加热、加压及产品整形而设计。同时，它还能灵活应用于单片极片与隔膜的压合工艺，使得整个研发过程更为高效与稳定。值得一提的是，这款热压机可与短路测试仪配合使用，对电芯进行短路测试，从而确保产品质量与安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在功能特点方面，该热压机采用了主机与控制箱分体式的设计，这种设计不仅便于设备的维护与保养，还能提高操作的安全性。同时，设备配备了双启动按钮，确保了操作的可靠性与安全性。此外，气缸驱动的应用使得压力大小可以根据实际需求进行灵活调节，从而满足不同工艺的需求</w:t>
            </w:r>
            <w:r>
              <w:rPr>
                <w:rFonts w:hint="eastAsia" w:ascii="仿宋" w:hAnsi="仿宋" w:eastAsia="仿宋" w:cs="仿宋"/>
                <w:i w:val="0"/>
                <w:iCs w:val="0"/>
                <w:color w:val="000000"/>
                <w:kern w:val="0"/>
                <w:sz w:val="24"/>
                <w:szCs w:val="24"/>
                <w:highlight w:val="none"/>
                <w:u w:val="none"/>
                <w:lang w:val="en-US" w:eastAsia="zh-CN" w:bidi="ar"/>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棒式加热器的使用，使得设备在加热过程中温度均匀性好，有效避免了因温度不均而导致的产品质量问题。同时，加热器的更换也十分便捷，降低了设备的维护成本。此外，替罪羊工装的设计，为操作人员提供了安全保障，降低了操作风险，</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在技能参数方面，该功能段要求单相AC220V</w:t>
            </w:r>
            <w:r>
              <w:rPr>
                <w:rFonts w:hint="eastAsia" w:ascii="仿宋" w:hAnsi="仿宋" w:eastAsia="仿宋" w:cs="仿宋"/>
                <w:i w:val="0"/>
                <w:iCs w:val="0"/>
                <w:color w:val="000000"/>
                <w:kern w:val="0"/>
                <w:sz w:val="24"/>
                <w:szCs w:val="24"/>
                <w:highlight w:val="none"/>
                <w:u w:val="none"/>
                <w:lang w:val="en-US" w:eastAsia="zh-CN" w:bidi="ar"/>
              </w:rPr>
              <w:t>±</w:t>
            </w:r>
            <w:r>
              <w:rPr>
                <w:rFonts w:hint="default" w:ascii="仿宋" w:hAnsi="仿宋" w:eastAsia="仿宋" w:cs="仿宋"/>
                <w:i w:val="0"/>
                <w:iCs w:val="0"/>
                <w:color w:val="000000"/>
                <w:kern w:val="0"/>
                <w:sz w:val="24"/>
                <w:szCs w:val="24"/>
                <w:highlight w:val="none"/>
                <w:u w:val="none"/>
                <w:lang w:val="en-US" w:eastAsia="zh-CN" w:bidi="ar"/>
              </w:rPr>
              <w:t>10%的电压供应，标准频率为50Hz，功率为3000W。为了确保设备的稳定运行，建议使用环境温度控制在25</w:t>
            </w:r>
            <w:r>
              <w:rPr>
                <w:rFonts w:hint="eastAsia" w:ascii="仿宋" w:hAnsi="仿宋" w:eastAsia="仿宋" w:cs="仿宋"/>
                <w:i w:val="0"/>
                <w:iCs w:val="0"/>
                <w:color w:val="000000"/>
                <w:kern w:val="0"/>
                <w:sz w:val="24"/>
                <w:szCs w:val="24"/>
                <w:highlight w:val="none"/>
                <w:u w:val="none"/>
                <w:lang w:val="en-US" w:eastAsia="zh-CN" w:bidi="ar"/>
              </w:rPr>
              <w:t>±</w:t>
            </w:r>
            <w:r>
              <w:rPr>
                <w:rFonts w:hint="default" w:ascii="仿宋" w:hAnsi="仿宋" w:eastAsia="仿宋" w:cs="仿宋"/>
                <w:i w:val="0"/>
                <w:iCs w:val="0"/>
                <w:color w:val="000000"/>
                <w:kern w:val="0"/>
                <w:sz w:val="24"/>
                <w:szCs w:val="24"/>
                <w:highlight w:val="none"/>
                <w:u w:val="none"/>
                <w:lang w:val="en-US" w:eastAsia="zh-CN" w:bidi="ar"/>
              </w:rPr>
              <w:t>3℃，湿度范围为1RH~90RH。此外，功能段应远离振动和电磁干扰源，以确保测试的准确性。</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在加热性能方面，该功能段的最大加热温度可达150℃，温度控制精度为士2.5℃，能够满足各种锂电池和固态电池的加热需求。压板精度≤50</w:t>
            </w:r>
            <w:r>
              <w:rPr>
                <w:rFonts w:hint="eastAsia" w:ascii="仿宋" w:hAnsi="仿宋" w:eastAsia="仿宋" w:cs="仿宋"/>
                <w:i w:val="0"/>
                <w:iCs w:val="0"/>
                <w:color w:val="000000"/>
                <w:kern w:val="0"/>
                <w:sz w:val="24"/>
                <w:szCs w:val="24"/>
                <w:highlight w:val="none"/>
                <w:u w:val="none"/>
                <w:lang w:val="en-US" w:eastAsia="zh-CN" w:bidi="ar"/>
              </w:rPr>
              <w:t>μ</w:t>
            </w:r>
            <w:r>
              <w:rPr>
                <w:rFonts w:hint="default" w:ascii="仿宋" w:hAnsi="仿宋" w:eastAsia="仿宋" w:cs="仿宋"/>
                <w:i w:val="0"/>
                <w:iCs w:val="0"/>
                <w:color w:val="000000"/>
                <w:kern w:val="0"/>
                <w:sz w:val="24"/>
                <w:szCs w:val="24"/>
                <w:highlight w:val="none"/>
                <w:u w:val="none"/>
                <w:lang w:val="en-US" w:eastAsia="zh-CN" w:bidi="ar"/>
              </w:rPr>
              <w:t>m，确保了产品整形的精确性。同时，本机压板采用航空铝合金材质，具有优异的热传导性能和机械强度</w:t>
            </w:r>
            <w:r>
              <w:rPr>
                <w:rFonts w:hint="eastAsia" w:ascii="仿宋" w:hAnsi="仿宋" w:eastAsia="仿宋" w:cs="仿宋"/>
                <w:i w:val="0"/>
                <w:iCs w:val="0"/>
                <w:color w:val="000000"/>
                <w:kern w:val="0"/>
                <w:sz w:val="24"/>
                <w:szCs w:val="24"/>
                <w:highlight w:val="none"/>
                <w:u w:val="none"/>
                <w:lang w:val="en-US" w:eastAsia="zh-CN" w:bidi="ar"/>
              </w:rPr>
              <w:t>,</w:t>
            </w:r>
            <w:r>
              <w:rPr>
                <w:rFonts w:hint="default" w:ascii="仿宋" w:hAnsi="仿宋" w:eastAsia="仿宋" w:cs="仿宋"/>
                <w:i w:val="0"/>
                <w:iCs w:val="0"/>
                <w:color w:val="000000"/>
                <w:kern w:val="0"/>
                <w:sz w:val="24"/>
                <w:szCs w:val="24"/>
                <w:highlight w:val="none"/>
                <w:u w:val="none"/>
                <w:lang w:val="en-US" w:eastAsia="zh-CN" w:bidi="ar"/>
              </w:rPr>
              <w:t>使得热压尺寸最大可达L180*W180mm。</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在尺寸与重量方面，该功能段尺寸为L360*W250*H420mmm，重量约为70kg，便于在研发线上的安装与布局。此外，功能段还具备丰富的测试功能，如测量绝缘电阻等，能够全面检测电池的性能与质量。</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在测试范围方面，该功能段的测试范围广泛，涵盖了0.002</w:t>
            </w:r>
            <w:r>
              <w:rPr>
                <w:rFonts w:hint="eastAsia" w:ascii="仿宋" w:hAnsi="仿宋" w:eastAsia="仿宋" w:cs="仿宋"/>
                <w:i w:val="0"/>
                <w:iCs w:val="0"/>
                <w:color w:val="000000"/>
                <w:kern w:val="0"/>
                <w:sz w:val="24"/>
                <w:szCs w:val="24"/>
                <w:highlight w:val="none"/>
                <w:u w:val="none"/>
                <w:lang w:val="en-US" w:eastAsia="zh-CN" w:bidi="ar"/>
              </w:rPr>
              <w:t>Ω</w:t>
            </w:r>
            <w:r>
              <w:rPr>
                <w:rFonts w:hint="default" w:ascii="仿宋" w:hAnsi="仿宋" w:eastAsia="仿宋" w:cs="仿宋"/>
                <w:i w:val="0"/>
                <w:iCs w:val="0"/>
                <w:color w:val="000000"/>
                <w:kern w:val="0"/>
                <w:sz w:val="24"/>
                <w:szCs w:val="24"/>
                <w:highlight w:val="none"/>
                <w:u w:val="none"/>
                <w:lang w:val="en-US" w:eastAsia="zh-CN" w:bidi="ar"/>
              </w:rPr>
              <w:t>到4000</w:t>
            </w:r>
            <w:r>
              <w:rPr>
                <w:rFonts w:hint="eastAsia" w:ascii="仿宋" w:hAnsi="仿宋" w:eastAsia="仿宋" w:cs="仿宋"/>
                <w:i w:val="0"/>
                <w:iCs w:val="0"/>
                <w:color w:val="000000"/>
                <w:kern w:val="0"/>
                <w:sz w:val="24"/>
                <w:szCs w:val="24"/>
                <w:highlight w:val="none"/>
                <w:u w:val="none"/>
                <w:lang w:val="en-US" w:eastAsia="zh-CN" w:bidi="ar"/>
              </w:rPr>
              <w:t>Ω</w:t>
            </w:r>
            <w:r>
              <w:rPr>
                <w:rFonts w:hint="default" w:ascii="仿宋" w:hAnsi="仿宋" w:eastAsia="仿宋" w:cs="仿宋"/>
                <w:i w:val="0"/>
                <w:iCs w:val="0"/>
                <w:color w:val="000000"/>
                <w:kern w:val="0"/>
                <w:sz w:val="24"/>
                <w:szCs w:val="24"/>
                <w:highlight w:val="none"/>
                <w:u w:val="none"/>
                <w:lang w:val="en-US" w:eastAsia="zh-CN" w:bidi="ar"/>
              </w:rPr>
              <w:t>的电阻值，共设有5个量程</w:t>
            </w:r>
            <w:r>
              <w:rPr>
                <w:rFonts w:hint="eastAsia" w:ascii="仿宋" w:hAnsi="仿宋" w:eastAsia="仿宋" w:cs="仿宋"/>
                <w:i w:val="0"/>
                <w:iCs w:val="0"/>
                <w:color w:val="000000"/>
                <w:kern w:val="0"/>
                <w:sz w:val="24"/>
                <w:szCs w:val="24"/>
                <w:highlight w:val="none"/>
                <w:u w:val="none"/>
                <w:lang w:val="en-US" w:eastAsia="zh-CN" w:bidi="ar"/>
              </w:rPr>
              <w:t>，</w:t>
            </w:r>
            <w:r>
              <w:rPr>
                <w:rFonts w:hint="default" w:ascii="仿宋" w:hAnsi="仿宋" w:eastAsia="仿宋" w:cs="仿宋"/>
                <w:i w:val="0"/>
                <w:iCs w:val="0"/>
                <w:color w:val="000000"/>
                <w:kern w:val="0"/>
                <w:sz w:val="24"/>
                <w:szCs w:val="24"/>
                <w:highlight w:val="none"/>
                <w:u w:val="none"/>
                <w:lang w:val="en-US" w:eastAsia="zh-CN" w:bidi="ar"/>
              </w:rPr>
              <w:t>可满足不同规格电池的测试需求。测试电压为10~1000VDC，可根据实际需求进行调节。电流规格方面，功能段的最大输出电流为1.8mA，最大放电电流为12mA恒流放电</w:t>
            </w:r>
            <w:r>
              <w:rPr>
                <w:rFonts w:hint="eastAsia" w:ascii="仿宋" w:hAnsi="仿宋" w:eastAsia="仿宋" w:cs="仿宋"/>
                <w:i w:val="0"/>
                <w:iCs w:val="0"/>
                <w:color w:val="000000"/>
                <w:kern w:val="0"/>
                <w:sz w:val="24"/>
                <w:szCs w:val="24"/>
                <w:highlight w:val="none"/>
                <w:u w:val="none"/>
                <w:lang w:val="en-US" w:eastAsia="zh-CN" w:bidi="ar"/>
              </w:rPr>
              <w:t>，</w:t>
            </w:r>
            <w:r>
              <w:rPr>
                <w:rFonts w:hint="default" w:ascii="仿宋" w:hAnsi="仿宋" w:eastAsia="仿宋" w:cs="仿宋"/>
                <w:i w:val="0"/>
                <w:iCs w:val="0"/>
                <w:color w:val="000000"/>
                <w:kern w:val="0"/>
                <w:sz w:val="24"/>
                <w:szCs w:val="24"/>
                <w:highlight w:val="none"/>
                <w:u w:val="none"/>
                <w:lang w:val="en-US" w:eastAsia="zh-CN" w:bidi="ar"/>
              </w:rPr>
              <w:t>确保了测试的准确性与稳定性。</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在触发方式方面</w:t>
            </w:r>
            <w:r>
              <w:rPr>
                <w:rFonts w:hint="eastAsia" w:ascii="仿宋" w:hAnsi="仿宋" w:eastAsia="仿宋" w:cs="仿宋"/>
                <w:i w:val="0"/>
                <w:iCs w:val="0"/>
                <w:color w:val="000000"/>
                <w:kern w:val="0"/>
                <w:sz w:val="24"/>
                <w:szCs w:val="24"/>
                <w:highlight w:val="none"/>
                <w:u w:val="none"/>
                <w:lang w:val="en-US" w:eastAsia="zh-CN" w:bidi="ar"/>
              </w:rPr>
              <w:t>，</w:t>
            </w:r>
            <w:r>
              <w:rPr>
                <w:rFonts w:hint="default" w:ascii="仿宋" w:hAnsi="仿宋" w:eastAsia="仿宋" w:cs="仿宋"/>
                <w:i w:val="0"/>
                <w:iCs w:val="0"/>
                <w:color w:val="000000"/>
                <w:kern w:val="0"/>
                <w:sz w:val="24"/>
                <w:szCs w:val="24"/>
                <w:highlight w:val="none"/>
                <w:u w:val="none"/>
                <w:lang w:val="en-US" w:eastAsia="zh-CN" w:bidi="ar"/>
              </w:rPr>
              <w:t>该功能段支持I</w:t>
            </w:r>
            <w:r>
              <w:rPr>
                <w:rFonts w:hint="eastAsia" w:ascii="仿宋" w:hAnsi="仿宋" w:eastAsia="仿宋" w:cs="仿宋"/>
                <w:i w:val="0"/>
                <w:iCs w:val="0"/>
                <w:color w:val="000000"/>
                <w:kern w:val="0"/>
                <w:sz w:val="24"/>
                <w:szCs w:val="24"/>
                <w:highlight w:val="none"/>
                <w:u w:val="none"/>
                <w:lang w:val="en-US" w:eastAsia="zh-CN" w:bidi="ar"/>
              </w:rPr>
              <w:t>O</w:t>
            </w:r>
            <w:r>
              <w:rPr>
                <w:rFonts w:hint="default" w:ascii="仿宋" w:hAnsi="仿宋" w:eastAsia="仿宋" w:cs="仿宋"/>
                <w:i w:val="0"/>
                <w:iCs w:val="0"/>
                <w:color w:val="000000"/>
                <w:kern w:val="0"/>
                <w:sz w:val="24"/>
                <w:szCs w:val="24"/>
                <w:highlight w:val="none"/>
                <w:u w:val="none"/>
                <w:lang w:val="en-US" w:eastAsia="zh-CN" w:bidi="ar"/>
              </w:rPr>
              <w:t>触发、全自动触发、总线触发等多种触发方式，使得测试过程更加灵活与便捷。用户可根据实际需求选择合适的触发方式，提高测试效率，</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此外，该功能段还提供了两种测试速度选择，即50ms(快速)和500ms(慢速)，以满足不同应用场景的需求。用户可根据测试需求选择合适的测试速度，提高测试的准确性与效率。</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总之，这款平板热压机功能丰富、性能稳定、安全可靠，是锂电池、固态电池研发过程中的理想设备。其高度精密的加热、加压及产品整形功能以及灵活的测试功能，使得整个研发过程更加高效与稳定。同时，设备还具备多种安全保护措施，为操作人员提供了充分的安全保障。</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2" w:firstLineChars="200"/>
              <w:jc w:val="both"/>
              <w:rPr>
                <w:rFonts w:hint="default" w:ascii="仿宋" w:hAnsi="仿宋" w:eastAsia="仿宋" w:cs="仿宋"/>
                <w:b/>
                <w:bCs/>
                <w:i w:val="0"/>
                <w:iCs w:val="0"/>
                <w:color w:val="000000"/>
                <w:kern w:val="0"/>
                <w:sz w:val="24"/>
                <w:szCs w:val="24"/>
                <w:highlight w:val="none"/>
                <w:u w:val="none"/>
                <w:lang w:val="en-US" w:eastAsia="zh-CN" w:bidi="ar"/>
              </w:rPr>
            </w:pPr>
            <w:r>
              <w:rPr>
                <w:rFonts w:hint="default" w:ascii="仿宋" w:hAnsi="仿宋" w:eastAsia="仿宋" w:cs="仿宋"/>
                <w:b/>
                <w:bCs/>
                <w:i w:val="0"/>
                <w:iCs w:val="0"/>
                <w:color w:val="000000"/>
                <w:kern w:val="0"/>
                <w:sz w:val="24"/>
                <w:szCs w:val="24"/>
                <w:highlight w:val="none"/>
                <w:u w:val="none"/>
                <w:lang w:val="en-US" w:eastAsia="zh-CN" w:bidi="ar"/>
              </w:rPr>
              <w:t>11.超声波焊接段功能段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该超声波焊接机是一款具备卓越性能的设备，特别适用于金属</w:t>
            </w:r>
            <w:r>
              <w:rPr>
                <w:rFonts w:hint="eastAsia" w:ascii="仿宋" w:hAnsi="仿宋" w:eastAsia="仿宋" w:cs="仿宋"/>
                <w:i w:val="0"/>
                <w:iCs w:val="0"/>
                <w:color w:val="000000"/>
                <w:kern w:val="0"/>
                <w:sz w:val="24"/>
                <w:szCs w:val="24"/>
                <w:highlight w:val="none"/>
                <w:u w:val="none"/>
                <w:lang w:val="en-US" w:eastAsia="zh-CN" w:bidi="ar"/>
              </w:rPr>
              <w:t>箔</w:t>
            </w:r>
            <w:r>
              <w:rPr>
                <w:rFonts w:hint="default" w:ascii="仿宋" w:hAnsi="仿宋" w:eastAsia="仿宋" w:cs="仿宋"/>
                <w:i w:val="0"/>
                <w:iCs w:val="0"/>
                <w:color w:val="000000"/>
                <w:kern w:val="0"/>
                <w:sz w:val="24"/>
                <w:szCs w:val="24"/>
                <w:highlight w:val="none"/>
                <w:u w:val="none"/>
                <w:lang w:val="en-US" w:eastAsia="zh-CN" w:bidi="ar"/>
              </w:rPr>
              <w:t>材层叠焊接的精准操作。作为整个工艺流程的核心组成部分，它在优化产品质量、提升研发效率以及实现成本效益方面扮演着举足轻重的角色。</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在电源配置方面，本超声波焊接机功能段精选高品质的电子元器件以确保功率的稳定性和连续性。这一举措不仅确保了焊接过程的稳定性而且使焊接效果保持高度一致，显著提升了焊接良率。同时，功能段的设计既紧凑又合理，有效节约了空间，使得设备在研发线上的布局更加灵活多变。</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在功能特性方面，该超声波焊接机采用了国际先进的稳压电路技术保证了焊接输出功率的稳定性和可靠性。此外，配套使用的夹具设计科学合理，有助于确保焊接过程的一致性，从而进一步提高了产品的合格率。焊接功率强大，焊接效果牢固且内阻较低，有效杜绝了虚焊现象的发生</w:t>
            </w:r>
            <w:r>
              <w:rPr>
                <w:rFonts w:hint="eastAsia" w:ascii="仿宋" w:hAnsi="仿宋" w:eastAsia="仿宋" w:cs="仿宋"/>
                <w:i w:val="0"/>
                <w:iCs w:val="0"/>
                <w:color w:val="000000"/>
                <w:kern w:val="0"/>
                <w:sz w:val="24"/>
                <w:szCs w:val="24"/>
                <w:highlight w:val="none"/>
                <w:u w:val="none"/>
                <w:lang w:val="en-US" w:eastAsia="zh-CN" w:bidi="ar"/>
              </w:rPr>
              <w:t>。</w:t>
            </w:r>
            <w:r>
              <w:rPr>
                <w:rFonts w:hint="default" w:ascii="仿宋" w:hAnsi="仿宋" w:eastAsia="仿宋" w:cs="仿宋"/>
                <w:i w:val="0"/>
                <w:iCs w:val="0"/>
                <w:color w:val="000000"/>
                <w:kern w:val="0"/>
                <w:sz w:val="24"/>
                <w:szCs w:val="24"/>
                <w:highlight w:val="none"/>
                <w:u w:val="none"/>
                <w:lang w:val="en-US" w:eastAsia="zh-CN" w:bidi="ar"/>
              </w:rPr>
              <w:t>值得一提的是，该设备具备出色的层叠焊接能力，可实现对多达30层铜的焊接，满足了多种复杂应用场景的需求。</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在焊接模具的选用上，该超声波焊接机采用了特种磨具钢材，具有出色的耐磨性和较长的使用寿命。这既保证了模具的持久耐用，又降低了维护成本。同时，设备配备了简洁直观的HMI操作界面，数字化设置使得参数调节更加便捷高效。用户可根据实际研发需求灵活调整焊接参数，以满足个性化的焊接要求</w:t>
            </w:r>
            <w:r>
              <w:rPr>
                <w:rFonts w:hint="eastAsia" w:ascii="仿宋" w:hAnsi="仿宋" w:eastAsia="仿宋" w:cs="仿宋"/>
                <w:i w:val="0"/>
                <w:iCs w:val="0"/>
                <w:color w:val="000000"/>
                <w:kern w:val="0"/>
                <w:sz w:val="24"/>
                <w:szCs w:val="24"/>
                <w:highlight w:val="none"/>
                <w:u w:val="none"/>
                <w:lang w:val="en-US" w:eastAsia="zh-CN" w:bidi="ar"/>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在技术参数方面，该超声波焊接机功能段要求单相AC220V</w:t>
            </w:r>
            <w:r>
              <w:rPr>
                <w:rFonts w:hint="eastAsia" w:ascii="仿宋" w:hAnsi="仿宋" w:eastAsia="仿宋" w:cs="仿宋"/>
                <w:i w:val="0"/>
                <w:iCs w:val="0"/>
                <w:color w:val="000000"/>
                <w:kern w:val="0"/>
                <w:sz w:val="24"/>
                <w:szCs w:val="24"/>
                <w:highlight w:val="none"/>
                <w:u w:val="none"/>
                <w:lang w:val="en-US" w:eastAsia="zh-CN" w:bidi="ar"/>
              </w:rPr>
              <w:t>±</w:t>
            </w:r>
            <w:r>
              <w:rPr>
                <w:rFonts w:hint="default" w:ascii="仿宋" w:hAnsi="仿宋" w:eastAsia="仿宋" w:cs="仿宋"/>
                <w:i w:val="0"/>
                <w:iCs w:val="0"/>
                <w:color w:val="000000"/>
                <w:kern w:val="0"/>
                <w:sz w:val="24"/>
                <w:szCs w:val="24"/>
                <w:highlight w:val="none"/>
                <w:u w:val="none"/>
                <w:lang w:val="en-US" w:eastAsia="zh-CN" w:bidi="ar"/>
              </w:rPr>
              <w:t>10%的电压供应,标准频率为50Hz,功率为2000W。此外,功能段还需配备0.5~0.8MPa的压缩空气作为动力源。若功能段将应用于微环境箱体内，则必须使用</w:t>
            </w:r>
            <w:r>
              <w:rPr>
                <w:rFonts w:hint="eastAsia" w:ascii="仿宋" w:hAnsi="仿宋" w:eastAsia="仿宋" w:cs="仿宋"/>
                <w:i w:val="0"/>
                <w:iCs w:val="0"/>
                <w:color w:val="000000"/>
                <w:kern w:val="0"/>
                <w:sz w:val="24"/>
                <w:szCs w:val="24"/>
                <w:highlight w:val="none"/>
                <w:u w:val="none"/>
                <w:lang w:val="en-US" w:eastAsia="zh-CN" w:bidi="ar"/>
              </w:rPr>
              <w:t>惰</w:t>
            </w:r>
            <w:r>
              <w:rPr>
                <w:rFonts w:hint="default" w:ascii="仿宋" w:hAnsi="仿宋" w:eastAsia="仿宋" w:cs="仿宋"/>
                <w:i w:val="0"/>
                <w:iCs w:val="0"/>
                <w:color w:val="000000"/>
                <w:kern w:val="0"/>
                <w:sz w:val="24"/>
                <w:szCs w:val="24"/>
                <w:highlight w:val="none"/>
                <w:u w:val="none"/>
                <w:lang w:val="en-US" w:eastAsia="zh-CN" w:bidi="ar"/>
              </w:rPr>
              <w:t>性气体以确保焊接过程的稳定性和安全性。焊接功率在80~2000W范围内可调，通过调整焊接振幅在0~100%之间，输出功率可相应变化，以适应不同材料和厚度的焊接需求。持续使用状态下，焊接层数可达1~25层，最大可达30层，为复杂结构的焊接提供了强大的技术支持。</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在设备尺寸方面，该超声波焊接机功能段尺寸为W600*W230*H540mm</w:t>
            </w:r>
            <w:r>
              <w:rPr>
                <w:rFonts w:hint="eastAsia" w:ascii="仿宋" w:hAnsi="仿宋" w:eastAsia="仿宋" w:cs="仿宋"/>
                <w:i w:val="0"/>
                <w:iCs w:val="0"/>
                <w:color w:val="000000"/>
                <w:kern w:val="0"/>
                <w:sz w:val="24"/>
                <w:szCs w:val="24"/>
                <w:highlight w:val="none"/>
                <w:u w:val="none"/>
                <w:lang w:val="en-US" w:eastAsia="zh-CN" w:bidi="ar"/>
              </w:rPr>
              <w:t>，</w:t>
            </w:r>
            <w:r>
              <w:rPr>
                <w:rFonts w:hint="default" w:ascii="仿宋" w:hAnsi="仿宋" w:eastAsia="仿宋" w:cs="仿宋"/>
                <w:i w:val="0"/>
                <w:iCs w:val="0"/>
                <w:color w:val="000000"/>
                <w:kern w:val="0"/>
                <w:sz w:val="24"/>
                <w:szCs w:val="24"/>
                <w:highlight w:val="none"/>
                <w:u w:val="none"/>
                <w:lang w:val="en-US" w:eastAsia="zh-CN" w:bidi="ar"/>
              </w:rPr>
              <w:t>重量为25kg。这种紧凑且轻便的设计不仅便于设备的搬运和安装，而且有利于在研发线上的灵活布置，以适应不同研发环境的需求。</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综上所述，该超声波焊接机功能段凭借卓越的电子元器件、先进的稳压电路技术、紧凑合理的设计以及强大的焊接能力，在金属</w:t>
            </w:r>
            <w:r>
              <w:rPr>
                <w:rFonts w:hint="eastAsia" w:ascii="仿宋" w:hAnsi="仿宋" w:eastAsia="仿宋" w:cs="仿宋"/>
                <w:i w:val="0"/>
                <w:iCs w:val="0"/>
                <w:color w:val="000000"/>
                <w:kern w:val="0"/>
                <w:sz w:val="24"/>
                <w:szCs w:val="24"/>
                <w:highlight w:val="none"/>
                <w:u w:val="none"/>
                <w:lang w:val="en-US" w:eastAsia="zh-CN" w:bidi="ar"/>
              </w:rPr>
              <w:t>箔</w:t>
            </w:r>
            <w:r>
              <w:rPr>
                <w:rFonts w:hint="default" w:ascii="仿宋" w:hAnsi="仿宋" w:eastAsia="仿宋" w:cs="仿宋"/>
                <w:i w:val="0"/>
                <w:iCs w:val="0"/>
                <w:color w:val="000000"/>
                <w:kern w:val="0"/>
                <w:sz w:val="24"/>
                <w:szCs w:val="24"/>
                <w:highlight w:val="none"/>
                <w:u w:val="none"/>
                <w:lang w:val="en-US" w:eastAsia="zh-CN" w:bidi="ar"/>
              </w:rPr>
              <w:t>材层叠焊接领域展现出广阔的应用前景。无论是提升研发效率、降低研发成本，还是优化产品质量，该设备都将发挥至关重要的作用。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2" w:firstLineChars="200"/>
              <w:jc w:val="both"/>
              <w:rPr>
                <w:rFonts w:hint="default" w:ascii="仿宋" w:hAnsi="仿宋" w:eastAsia="仿宋" w:cs="仿宋"/>
                <w:b/>
                <w:bCs/>
                <w:i w:val="0"/>
                <w:iCs w:val="0"/>
                <w:color w:val="000000"/>
                <w:kern w:val="0"/>
                <w:sz w:val="24"/>
                <w:szCs w:val="24"/>
                <w:highlight w:val="none"/>
                <w:u w:val="none"/>
                <w:lang w:val="en-US" w:eastAsia="zh-CN" w:bidi="ar"/>
              </w:rPr>
            </w:pPr>
            <w:r>
              <w:rPr>
                <w:rFonts w:hint="default" w:ascii="仿宋" w:hAnsi="仿宋" w:eastAsia="仿宋" w:cs="仿宋"/>
                <w:b/>
                <w:bCs/>
                <w:i w:val="0"/>
                <w:iCs w:val="0"/>
                <w:color w:val="000000"/>
                <w:kern w:val="0"/>
                <w:sz w:val="24"/>
                <w:szCs w:val="24"/>
                <w:highlight w:val="none"/>
                <w:u w:val="none"/>
                <w:lang w:val="en-US" w:eastAsia="zh-CN" w:bidi="ar"/>
              </w:rPr>
              <w:t>12.高精准全自动顶侧封边段功能段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该功能段是一款专为软包锂离子电池顶边和侧边设计的一体式加热型封口功能段，旨在为用户提供高效、稳定且可靠的封口解决策略。该设备采用先进的气缸驱动技术，对封口过程进行精确控制，确保铝塑膜在预设压力下实现完美融合，从而显著提升封口质量。</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首先，关于该功能段的核心特性</w:t>
            </w:r>
            <w:r>
              <w:rPr>
                <w:rFonts w:hint="eastAsia" w:ascii="仿宋" w:hAnsi="仿宋" w:eastAsia="仿宋" w:cs="仿宋"/>
                <w:i w:val="0"/>
                <w:iCs w:val="0"/>
                <w:color w:val="000000"/>
                <w:kern w:val="0"/>
                <w:sz w:val="24"/>
                <w:szCs w:val="24"/>
                <w:highlight w:val="none"/>
                <w:u w:val="none"/>
                <w:lang w:val="en-US" w:eastAsia="zh-CN" w:bidi="ar"/>
              </w:rPr>
              <w:t>，</w:t>
            </w:r>
            <w:r>
              <w:rPr>
                <w:rFonts w:hint="default" w:ascii="仿宋" w:hAnsi="仿宋" w:eastAsia="仿宋" w:cs="仿宋"/>
                <w:i w:val="0"/>
                <w:iCs w:val="0"/>
                <w:color w:val="000000"/>
                <w:kern w:val="0"/>
                <w:sz w:val="24"/>
                <w:szCs w:val="24"/>
                <w:highlight w:val="none"/>
                <w:u w:val="none"/>
                <w:lang w:val="en-US" w:eastAsia="zh-CN" w:bidi="ar"/>
              </w:rPr>
              <w:t>该设备采用电阻式发热管加热封头设计，可独立且精确地控制上、下封头的温度。这设计不仅优化了封口效果，而且有效避免了因温度波动导致的质量问题此外，气缸驱动的热压合技术使得压力可按需调整，以适应不同材料对压力的需求。同时，软封技术的应用使得封口压制保持时间可根据实际需求进行调整，进一步提高了封口的灵活性和可靠性。</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在技术参数方面，该功能段采用单相AC220V</w:t>
            </w:r>
            <w:r>
              <w:rPr>
                <w:rFonts w:hint="eastAsia" w:ascii="仿宋" w:hAnsi="仿宋" w:eastAsia="仿宋" w:cs="仿宋"/>
                <w:i w:val="0"/>
                <w:iCs w:val="0"/>
                <w:color w:val="000000"/>
                <w:kern w:val="0"/>
                <w:sz w:val="24"/>
                <w:szCs w:val="24"/>
                <w:highlight w:val="none"/>
                <w:u w:val="none"/>
                <w:lang w:val="en-US" w:eastAsia="zh-CN" w:bidi="ar"/>
              </w:rPr>
              <w:t>±</w:t>
            </w:r>
            <w:r>
              <w:rPr>
                <w:rFonts w:hint="default" w:ascii="仿宋" w:hAnsi="仿宋" w:eastAsia="仿宋" w:cs="仿宋"/>
                <w:i w:val="0"/>
                <w:iCs w:val="0"/>
                <w:color w:val="000000"/>
                <w:kern w:val="0"/>
                <w:sz w:val="24"/>
                <w:szCs w:val="24"/>
                <w:highlight w:val="none"/>
                <w:u w:val="none"/>
                <w:lang w:val="en-US" w:eastAsia="zh-CN" w:bidi="ar"/>
              </w:rPr>
              <w:t>10%的电源，频率为50Hz</w:t>
            </w:r>
            <w:r>
              <w:rPr>
                <w:rFonts w:hint="eastAsia" w:ascii="仿宋" w:hAnsi="仿宋" w:eastAsia="仿宋" w:cs="仿宋"/>
                <w:i w:val="0"/>
                <w:iCs w:val="0"/>
                <w:color w:val="000000"/>
                <w:kern w:val="0"/>
                <w:sz w:val="24"/>
                <w:szCs w:val="24"/>
                <w:highlight w:val="none"/>
                <w:u w:val="none"/>
                <w:lang w:val="en-US" w:eastAsia="zh-CN" w:bidi="ar"/>
              </w:rPr>
              <w:t>，</w:t>
            </w:r>
            <w:r>
              <w:rPr>
                <w:rFonts w:hint="default" w:ascii="仿宋" w:hAnsi="仿宋" w:eastAsia="仿宋" w:cs="仿宋"/>
                <w:i w:val="0"/>
                <w:iCs w:val="0"/>
                <w:color w:val="000000"/>
                <w:kern w:val="0"/>
                <w:sz w:val="24"/>
                <w:szCs w:val="24"/>
                <w:highlight w:val="none"/>
                <w:u w:val="none"/>
                <w:lang w:val="en-US" w:eastAsia="zh-CN" w:bidi="ar"/>
              </w:rPr>
              <w:t>额定功率为1500W。所需气源压力为0.5~0.8MPa的压缩空气，以确保稳定的气压供应。封头长度设定为220mm，以满足各种尺寸产品的封口需求</w:t>
            </w:r>
            <w:r>
              <w:rPr>
                <w:rFonts w:hint="eastAsia" w:ascii="仿宋" w:hAnsi="仿宋" w:eastAsia="仿宋" w:cs="仿宋"/>
                <w:i w:val="0"/>
                <w:iCs w:val="0"/>
                <w:color w:val="000000"/>
                <w:kern w:val="0"/>
                <w:sz w:val="24"/>
                <w:szCs w:val="24"/>
                <w:highlight w:val="none"/>
                <w:u w:val="none"/>
                <w:lang w:val="en-US" w:eastAsia="zh-CN" w:bidi="ar"/>
              </w:rPr>
              <w:t>。</w:t>
            </w:r>
            <w:r>
              <w:rPr>
                <w:rFonts w:hint="default" w:ascii="仿宋" w:hAnsi="仿宋" w:eastAsia="仿宋" w:cs="仿宋"/>
                <w:i w:val="0"/>
                <w:iCs w:val="0"/>
                <w:color w:val="000000"/>
                <w:kern w:val="0"/>
                <w:sz w:val="24"/>
                <w:szCs w:val="24"/>
                <w:highlight w:val="none"/>
                <w:u w:val="none"/>
                <w:lang w:val="en-US" w:eastAsia="zh-CN" w:bidi="ar"/>
              </w:rPr>
              <w:t>封边宽度可根据客户需求在3~8mm范围内选择，以满足不同产品的封口宽度要求。此外，该功能段还提供个性化的封口方式和封口尺寸定制服务，以满足客户的多样化需求。</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为确保不同尺寸电池的封口需求得到满足，我们特设定制夹具服务</w:t>
            </w:r>
            <w:r>
              <w:rPr>
                <w:rFonts w:hint="eastAsia" w:ascii="仿宋" w:hAnsi="仿宋" w:eastAsia="仿宋" w:cs="仿宋"/>
                <w:i w:val="0"/>
                <w:iCs w:val="0"/>
                <w:color w:val="000000"/>
                <w:kern w:val="0"/>
                <w:sz w:val="24"/>
                <w:szCs w:val="24"/>
                <w:highlight w:val="none"/>
                <w:u w:val="none"/>
                <w:lang w:val="en-US" w:eastAsia="zh-CN" w:bidi="ar"/>
              </w:rPr>
              <w:t>，</w:t>
            </w:r>
            <w:r>
              <w:rPr>
                <w:rFonts w:hint="default" w:ascii="仿宋" w:hAnsi="仿宋" w:eastAsia="仿宋" w:cs="仿宋"/>
                <w:i w:val="0"/>
                <w:iCs w:val="0"/>
                <w:color w:val="000000"/>
                <w:kern w:val="0"/>
                <w:sz w:val="24"/>
                <w:szCs w:val="24"/>
                <w:highlight w:val="none"/>
                <w:u w:val="none"/>
                <w:lang w:val="en-US" w:eastAsia="zh-CN" w:bidi="ar"/>
              </w:rPr>
              <w:t>客户需填写定制需求表以定制合适的夹具。封边厚度范围涵盖0~10m，封口精度高，厚度均匀性好于0.03mm，从而确保封口质量的一致性和稳定性</w:t>
            </w:r>
            <w:r>
              <w:rPr>
                <w:rFonts w:hint="eastAsia" w:ascii="仿宋" w:hAnsi="仿宋" w:eastAsia="仿宋" w:cs="仿宋"/>
                <w:i w:val="0"/>
                <w:iCs w:val="0"/>
                <w:color w:val="000000"/>
                <w:kern w:val="0"/>
                <w:sz w:val="24"/>
                <w:szCs w:val="24"/>
                <w:highlight w:val="none"/>
                <w:u w:val="none"/>
                <w:lang w:val="en-US" w:eastAsia="zh-CN" w:bidi="ar"/>
              </w:rPr>
              <w:t>。</w:t>
            </w:r>
            <w:r>
              <w:rPr>
                <w:rFonts w:hint="default" w:ascii="仿宋" w:hAnsi="仿宋" w:eastAsia="仿宋" w:cs="仿宋"/>
                <w:i w:val="0"/>
                <w:iCs w:val="0"/>
                <w:color w:val="000000"/>
                <w:kern w:val="0"/>
                <w:sz w:val="24"/>
                <w:szCs w:val="24"/>
                <w:highlight w:val="none"/>
                <w:u w:val="none"/>
                <w:lang w:val="en-US" w:eastAsia="zh-CN" w:bidi="ar"/>
              </w:rPr>
              <w:t>封头温度最大可达250℃，可自由设定，温控精度</w:t>
            </w:r>
            <w:r>
              <w:rPr>
                <w:rFonts w:hint="eastAsia" w:ascii="仿宋" w:hAnsi="仿宋" w:eastAsia="仿宋" w:cs="仿宋"/>
                <w:i w:val="0"/>
                <w:iCs w:val="0"/>
                <w:color w:val="000000"/>
                <w:kern w:val="0"/>
                <w:sz w:val="24"/>
                <w:szCs w:val="24"/>
                <w:highlight w:val="none"/>
                <w:u w:val="none"/>
                <w:lang w:val="en-US" w:eastAsia="zh-CN" w:bidi="ar"/>
              </w:rPr>
              <w:t>±</w:t>
            </w:r>
            <w:r>
              <w:rPr>
                <w:rFonts w:hint="default" w:ascii="仿宋" w:hAnsi="仿宋" w:eastAsia="仿宋" w:cs="仿宋"/>
                <w:i w:val="0"/>
                <w:iCs w:val="0"/>
                <w:color w:val="000000"/>
                <w:kern w:val="0"/>
                <w:sz w:val="24"/>
                <w:szCs w:val="24"/>
                <w:highlight w:val="none"/>
                <w:u w:val="none"/>
                <w:lang w:val="en-US" w:eastAsia="zh-CN" w:bidi="ar"/>
              </w:rPr>
              <w:t>3℃，以保障封口效果的一致性。热封时间可调范围为0~99s，建议设定范围为5~8s，以适应不同材料的热封需求。</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此外，该功能段还具备自动与全自动模式切换功能，可根据研发需求灵活调整。桌面式设计便于操作，同时配备的操作平台和隔热防护罩可有效防止烫伤等安全风险。设备还配置了双启动按钮及按钮保护罩，防止误操作，进一步提高工作安全性。</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Autospacing="0" w:line="360" w:lineRule="auto"/>
              <w:ind w:right="0" w:rightChars="0" w:firstLine="480" w:firstLineChars="200"/>
              <w:jc w:val="both"/>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在实际应用中，该功能段表现出卓越的性能。通过精确的温度和压力控制，以及灵活的封口方式和尺寸定制功能，该设备能够满足各种软包锂离子电池的封口需求。其稳定的性能和可靠的质量也赢得了广大客户的信赖和好评。</w:t>
            </w:r>
          </w:p>
        </w:tc>
      </w:tr>
      <w:bookmarkEnd w:id="46"/>
    </w:tbl>
    <w:p>
      <w:pPr>
        <w:tabs>
          <w:tab w:val="left" w:pos="5668"/>
        </w:tabs>
        <w:spacing w:before="40"/>
        <w:rPr>
          <w:rFonts w:hint="eastAsia" w:ascii="仿宋" w:hAnsi="仿宋" w:eastAsia="仿宋" w:cs="仿宋"/>
          <w:highlight w:val="none"/>
        </w:rPr>
      </w:pPr>
      <w:r>
        <w:rPr>
          <w:rFonts w:hint="eastAsia" w:ascii="仿宋" w:hAnsi="仿宋" w:eastAsia="仿宋" w:cs="仿宋"/>
          <w:highlight w:val="none"/>
          <w:lang w:eastAsia="zh-CN"/>
        </w:rPr>
        <w:tab/>
      </w:r>
      <w:r>
        <w:rPr>
          <w:rFonts w:hint="eastAsia" w:ascii="仿宋" w:hAnsi="仿宋" w:eastAsia="仿宋" w:cs="仿宋"/>
          <w:sz w:val="18"/>
          <w:szCs w:val="18"/>
          <w:highlight w:val="none"/>
          <w:lang w:eastAsia="zh-CN"/>
        </w:rPr>
        <w:tab/>
      </w:r>
    </w:p>
    <w:p>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outlineLvl w:val="1"/>
        <w:rPr>
          <w:rFonts w:hint="eastAsia" w:ascii="仿宋" w:hAnsi="仿宋" w:eastAsia="仿宋" w:cs="仿宋"/>
          <w:b w:val="0"/>
          <w:bCs w:val="0"/>
          <w:sz w:val="24"/>
          <w:szCs w:val="24"/>
          <w:highlight w:val="none"/>
          <w:lang w:val="en-US" w:eastAsia="zh-CN"/>
        </w:rPr>
      </w:pPr>
      <w:bookmarkStart w:id="47" w:name="_Toc32339"/>
      <w:r>
        <w:rPr>
          <w:rFonts w:hint="eastAsia" w:ascii="仿宋" w:hAnsi="仿宋" w:eastAsia="仿宋" w:cs="仿宋"/>
          <w:b/>
          <w:bCs/>
          <w:sz w:val="24"/>
          <w:szCs w:val="24"/>
          <w:highlight w:val="none"/>
          <w:lang w:val="en-US" w:eastAsia="zh-CN"/>
        </w:rPr>
        <w:t>注</w:t>
      </w:r>
      <w:r>
        <w:rPr>
          <w:rFonts w:hint="eastAsia" w:ascii="仿宋" w:hAnsi="仿宋" w:eastAsia="仿宋" w:cs="仿宋"/>
          <w:b w:val="0"/>
          <w:bCs w:val="0"/>
          <w:sz w:val="24"/>
          <w:szCs w:val="24"/>
          <w:highlight w:val="none"/>
          <w:lang w:val="en-US" w:eastAsia="zh-CN"/>
        </w:rPr>
        <w:t>：1、欢迎与本项目技术需求性能相当或更优的产品参加投标。</w:t>
      </w:r>
    </w:p>
    <w:p>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outlineLvl w:val="1"/>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2、上述技术要求如出现某类品牌型号特有的技术指标或性能，则供投标人参考,不作为实质性响应条款。</w:t>
      </w:r>
    </w:p>
    <w:p>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outlineLvl w:val="1"/>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3、如果技术指标虚假应标作无效标处理。</w:t>
      </w:r>
    </w:p>
    <w:p>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outlineLvl w:val="1"/>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三、功能设计要求</w:t>
      </w:r>
    </w:p>
    <w:p>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1.新材料研究与开发：通过孵化线可以进行新型全固态电池材料的研究和开发，包括电解质、阳极、阴极等关键部件的设计和优化。</w:t>
      </w:r>
    </w:p>
    <w:p>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2.工艺流程优化：通过孵化线可以对全固态电池的研发工艺进行优化不断改进制备工艺、组装工艺以及测试工艺，以提高研发效率和产品质量。</w:t>
      </w:r>
    </w:p>
    <w:p>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3.原型制备与测试：孵化线用于制备全固态电池的原型样品，并进行性能测试和评估，以验证材料和工艺的可行性，并指导后续的量产工作。</w:t>
      </w:r>
    </w:p>
    <w:p>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4.性能评估与优化：通过孵化线可以对全固态电池的性能进行评估和优化，包括能量密度、循环寿命、安全性等关键指标的测试和改进。</w:t>
      </w:r>
    </w:p>
    <w:p>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5.研发效率优化：孵化线提供的设备和技术支持可以帮助团队提高研发效率，加速研发进程，从而更快地取得研究成果。</w:t>
      </w:r>
    </w:p>
    <w:p>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6.实现产学研合作：研发孵化线有助于促进产学研合作，提高学术研究与产业应用的结合度，加速科研成果的转化和商业化应用，这也为全固态电池技术的产业化莫定了基础。</w:t>
      </w:r>
    </w:p>
    <w:p>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总的来说，全固态电池的研发孵化线的主要功能是支持全固态电池技术的研究、开发和实验，通过研发孵化线的建设，可以促进全固态电池技术的研究和发展，加速产品的市场化进程，推动全固态电池在电池应用领域的普及和推广。</w:t>
      </w:r>
    </w:p>
    <w:p>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outlineLvl w:val="1"/>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四、</w:t>
      </w:r>
      <w:bookmarkEnd w:id="47"/>
      <w:r>
        <w:rPr>
          <w:rFonts w:hint="eastAsia" w:ascii="仿宋" w:hAnsi="仿宋" w:eastAsia="仿宋" w:cs="仿宋"/>
          <w:b/>
          <w:bCs/>
          <w:sz w:val="24"/>
          <w:szCs w:val="24"/>
          <w:highlight w:val="none"/>
          <w:lang w:val="en-US" w:eastAsia="zh-CN"/>
        </w:rPr>
        <w:t>设备安装调试要求</w:t>
      </w:r>
    </w:p>
    <w:p>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1"/>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1、安装设计要求</w:t>
      </w:r>
    </w:p>
    <w:p>
      <w:pPr>
        <w:pStyle w:val="5"/>
        <w:keepNext w:val="0"/>
        <w:keepLines w:val="0"/>
        <w:pageBreakBefore w:val="0"/>
        <w:widowControl/>
        <w:numPr>
          <w:ilvl w:val="-1"/>
          <w:numId w:val="0"/>
        </w:numPr>
        <w:kinsoku/>
        <w:wordWrap/>
        <w:overflowPunct/>
        <w:topLinePunct w:val="0"/>
        <w:autoSpaceDE/>
        <w:autoSpaceDN/>
        <w:bidi w:val="0"/>
        <w:adjustRightInd/>
        <w:snapToGrid/>
        <w:spacing w:line="360" w:lineRule="auto"/>
        <w:ind w:firstLine="480" w:firstLineChars="200"/>
        <w:jc w:val="left"/>
        <w:textAlignment w:val="auto"/>
        <w:outlineLvl w:val="1"/>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1.依据研发研发工艺需求进行定制定制设计；</w:t>
      </w:r>
    </w:p>
    <w:p>
      <w:pPr>
        <w:pStyle w:val="5"/>
        <w:keepNext w:val="0"/>
        <w:keepLines w:val="0"/>
        <w:pageBreakBefore w:val="0"/>
        <w:widowControl/>
        <w:numPr>
          <w:ilvl w:val="-1"/>
          <w:numId w:val="0"/>
        </w:numPr>
        <w:kinsoku/>
        <w:wordWrap/>
        <w:overflowPunct/>
        <w:topLinePunct w:val="0"/>
        <w:autoSpaceDE/>
        <w:autoSpaceDN/>
        <w:bidi w:val="0"/>
        <w:adjustRightInd/>
        <w:snapToGrid/>
        <w:spacing w:line="360" w:lineRule="auto"/>
        <w:ind w:firstLine="480" w:firstLineChars="200"/>
        <w:jc w:val="left"/>
        <w:textAlignment w:val="auto"/>
        <w:outlineLvl w:val="1"/>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2.孵化线设备电气控制器设计图设计；</w:t>
      </w:r>
    </w:p>
    <w:p>
      <w:pPr>
        <w:pStyle w:val="5"/>
        <w:keepNext w:val="0"/>
        <w:keepLines w:val="0"/>
        <w:pageBreakBefore w:val="0"/>
        <w:widowControl/>
        <w:numPr>
          <w:ilvl w:val="-1"/>
          <w:numId w:val="0"/>
        </w:numPr>
        <w:kinsoku/>
        <w:wordWrap/>
        <w:overflowPunct/>
        <w:topLinePunct w:val="0"/>
        <w:autoSpaceDE/>
        <w:autoSpaceDN/>
        <w:bidi w:val="0"/>
        <w:adjustRightInd/>
        <w:snapToGrid/>
        <w:spacing w:line="360" w:lineRule="auto"/>
        <w:ind w:firstLine="480" w:firstLineChars="200"/>
        <w:jc w:val="left"/>
        <w:textAlignment w:val="auto"/>
        <w:outlineLvl w:val="1"/>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3.孵化线配套场地需求二次深化设计；</w:t>
      </w:r>
    </w:p>
    <w:p>
      <w:pPr>
        <w:pStyle w:val="5"/>
        <w:keepNext w:val="0"/>
        <w:keepLines w:val="0"/>
        <w:pageBreakBefore w:val="0"/>
        <w:widowControl/>
        <w:numPr>
          <w:ilvl w:val="-1"/>
          <w:numId w:val="0"/>
        </w:numPr>
        <w:kinsoku/>
        <w:wordWrap/>
        <w:overflowPunct/>
        <w:topLinePunct w:val="0"/>
        <w:autoSpaceDE/>
        <w:autoSpaceDN/>
        <w:bidi w:val="0"/>
        <w:adjustRightInd/>
        <w:snapToGrid/>
        <w:spacing w:line="360" w:lineRule="auto"/>
        <w:ind w:firstLine="480" w:firstLineChars="200"/>
        <w:jc w:val="left"/>
        <w:textAlignment w:val="auto"/>
        <w:outlineLvl w:val="1"/>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4.设备定位安装配套气路、水路、电路、暖通安装；</w:t>
      </w:r>
    </w:p>
    <w:p>
      <w:pPr>
        <w:pStyle w:val="5"/>
        <w:keepNext w:val="0"/>
        <w:keepLines w:val="0"/>
        <w:pageBreakBefore w:val="0"/>
        <w:widowControl/>
        <w:numPr>
          <w:ilvl w:val="-1"/>
          <w:numId w:val="0"/>
        </w:numPr>
        <w:kinsoku/>
        <w:wordWrap/>
        <w:overflowPunct/>
        <w:topLinePunct w:val="0"/>
        <w:autoSpaceDE/>
        <w:autoSpaceDN/>
        <w:bidi w:val="0"/>
        <w:adjustRightInd/>
        <w:snapToGrid/>
        <w:spacing w:line="360" w:lineRule="auto"/>
        <w:ind w:firstLine="480" w:firstLineChars="200"/>
        <w:jc w:val="left"/>
        <w:textAlignment w:val="auto"/>
        <w:outlineLvl w:val="1"/>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5.微环境控制设备调试试运行，检测验收；</w:t>
      </w:r>
    </w:p>
    <w:p>
      <w:pPr>
        <w:pStyle w:val="5"/>
        <w:keepNext w:val="0"/>
        <w:keepLines w:val="0"/>
        <w:pageBreakBefore w:val="0"/>
        <w:widowControl/>
        <w:numPr>
          <w:ilvl w:val="-1"/>
          <w:numId w:val="0"/>
        </w:numPr>
        <w:kinsoku/>
        <w:wordWrap/>
        <w:overflowPunct/>
        <w:topLinePunct w:val="0"/>
        <w:autoSpaceDE/>
        <w:autoSpaceDN/>
        <w:bidi w:val="0"/>
        <w:adjustRightInd/>
        <w:snapToGrid/>
        <w:spacing w:line="360" w:lineRule="auto"/>
        <w:ind w:firstLine="480" w:firstLineChars="200"/>
        <w:jc w:val="left"/>
        <w:textAlignment w:val="auto"/>
        <w:outlineLvl w:val="1"/>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6.孵化线设备带料调试、试运行，验收交付；</w:t>
      </w:r>
    </w:p>
    <w:p>
      <w:pPr>
        <w:pStyle w:val="5"/>
        <w:keepNext w:val="0"/>
        <w:keepLines w:val="0"/>
        <w:pageBreakBefore w:val="0"/>
        <w:widowControl/>
        <w:numPr>
          <w:ilvl w:val="-1"/>
          <w:numId w:val="0"/>
        </w:numPr>
        <w:kinsoku/>
        <w:wordWrap/>
        <w:overflowPunct/>
        <w:topLinePunct w:val="0"/>
        <w:autoSpaceDE/>
        <w:autoSpaceDN/>
        <w:bidi w:val="0"/>
        <w:adjustRightInd/>
        <w:snapToGrid/>
        <w:spacing w:line="360" w:lineRule="auto"/>
        <w:ind w:firstLine="480" w:firstLineChars="200"/>
        <w:jc w:val="left"/>
        <w:textAlignment w:val="auto"/>
        <w:outlineLvl w:val="1"/>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7.孵化线操作文件与蓝本电池文件定稿编写移交。</w:t>
      </w:r>
    </w:p>
    <w:p>
      <w:pPr>
        <w:pStyle w:val="5"/>
        <w:keepNext w:val="0"/>
        <w:keepLines w:val="0"/>
        <w:pageBreakBefore w:val="0"/>
        <w:widowControl/>
        <w:numPr>
          <w:ilvl w:val="-1"/>
          <w:numId w:val="0"/>
        </w:numPr>
        <w:kinsoku/>
        <w:wordWrap/>
        <w:overflowPunct/>
        <w:topLinePunct w:val="0"/>
        <w:autoSpaceDE/>
        <w:autoSpaceDN/>
        <w:bidi w:val="0"/>
        <w:adjustRightInd/>
        <w:snapToGrid/>
        <w:spacing w:line="360" w:lineRule="auto"/>
        <w:ind w:firstLine="480" w:firstLineChars="200"/>
        <w:jc w:val="left"/>
        <w:textAlignment w:val="auto"/>
        <w:outlineLvl w:val="1"/>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2、安装标准：符合我国国家有关技术规范要求和技术标准，所有的软件和硬件必须保证同时安装到位。</w:t>
      </w:r>
    </w:p>
    <w:p>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1"/>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3、投标人应完成孵化线设备电气管线布置安装，孵化线设备、动力设备机电气联动试车运行。</w:t>
      </w:r>
    </w:p>
    <w:p>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1"/>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4、备品备件及耗材：投标人须提供足够的备品备件、附件和耗材并保证是原厂生产，以满足设施正常运行的需要，质保期满后提供主要零部件报价单、质保期满后维护费、软件升级及其相关服务内容。</w:t>
      </w:r>
    </w:p>
    <w:p>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outlineLvl w:val="2"/>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五、培训与交付要求</w:t>
      </w:r>
    </w:p>
    <w:p>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2"/>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1、培训方式：现场设备基础安装、基础调试操作培训；</w:t>
      </w:r>
    </w:p>
    <w:p>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2"/>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2、培训地点：使用现场；</w:t>
      </w:r>
    </w:p>
    <w:p>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2"/>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3、培训时间与人员：采购人通知的时间为准，集中培训不少于3次。</w:t>
      </w:r>
    </w:p>
    <w:p>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outlineLvl w:val="2"/>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六、售后服务要求</w:t>
      </w:r>
    </w:p>
    <w:p>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2"/>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1、质保期：提供不少于五年的质保。产品验收合格交付使用后计算质保期。在质保期内如发现质量问题，实行包修、包换、包退，直至产品符合质量要求，由此所产生的一切费用和直接经济损失由投标人承担。</w:t>
      </w:r>
    </w:p>
    <w:p>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2"/>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投标人所提供的产品必须是原装正品、是全新的、未使用过的，并完全符合合同规定的质量、规格和性能的要求。质量要求合格，投标承诺符合采购文件要求以及国家、行业有关技术规范和标准。(投标文件中须有明确的质量目标、质量保证措施、详细可行的实施内容)。</w:t>
      </w:r>
    </w:p>
    <w:p>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2"/>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质保响应时间：提供7*24小时服务热线，接到采购人产品质量申告电话后30分钟以内响应，如产品质量未能在1小时内通过远程支持得到解决，投标人应安排维修人员在24小时内提出故障解决方案；并在72小时内完成维修工作。</w:t>
      </w:r>
    </w:p>
    <w:p>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2"/>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4、服务人员要求：投标人配备1名项目负责人和1名技术负责人，负责与采购人对接，对接处理技术、保养及其他售后问题，以保证采购人的正常使用。</w:t>
      </w:r>
    </w:p>
    <w:p>
      <w:pPr>
        <w:pStyle w:val="5"/>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1"/>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七</w:t>
      </w:r>
      <w:r>
        <w:rPr>
          <w:rFonts w:hint="eastAsia" w:ascii="仿宋" w:hAnsi="仿宋" w:eastAsia="仿宋" w:cs="仿宋"/>
          <w:b/>
          <w:bCs/>
          <w:sz w:val="24"/>
          <w:szCs w:val="24"/>
          <w:highlight w:val="none"/>
        </w:rPr>
        <w:t>、进度要求</w:t>
      </w:r>
    </w:p>
    <w:p>
      <w:pPr>
        <w:pStyle w:val="5"/>
        <w:spacing w:line="360" w:lineRule="auto"/>
        <w:ind w:firstLine="48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合同签订后1</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lang w:eastAsia="zh-CN"/>
        </w:rPr>
        <w:t>日历天内完成供货、安装和调试并通过采购人验收。</w:t>
      </w:r>
    </w:p>
    <w:p>
      <w:pPr>
        <w:pStyle w:val="5"/>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1"/>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八、付款方式</w:t>
      </w:r>
    </w:p>
    <w:p>
      <w:pPr>
        <w:pStyle w:val="5"/>
        <w:spacing w:line="360" w:lineRule="auto"/>
        <w:ind w:firstLine="48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付款方式分三期：</w:t>
      </w:r>
    </w:p>
    <w:p>
      <w:pPr>
        <w:pStyle w:val="5"/>
        <w:spacing w:line="360" w:lineRule="auto"/>
        <w:ind w:firstLine="48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第一期：合同签订后支付【50%】的货款；</w:t>
      </w:r>
    </w:p>
    <w:p>
      <w:pPr>
        <w:pStyle w:val="5"/>
        <w:spacing w:line="360" w:lineRule="auto"/>
        <w:ind w:firstLine="48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第二期：设备入场后支付【30%】的货款；</w:t>
      </w:r>
    </w:p>
    <w:p>
      <w:pPr>
        <w:pStyle w:val="5"/>
        <w:spacing w:line="360" w:lineRule="auto"/>
        <w:ind w:firstLine="48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第三期：货物试运行并经采购人验收合格后支付【20%】的余款。</w:t>
      </w:r>
    </w:p>
    <w:p>
      <w:pPr>
        <w:pStyle w:val="5"/>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1"/>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九、履约保证金</w:t>
      </w:r>
    </w:p>
    <w:p>
      <w:pPr>
        <w:pStyle w:val="5"/>
        <w:numPr>
          <w:ilvl w:val="0"/>
          <w:numId w:val="0"/>
        </w:numPr>
        <w:spacing w:line="360" w:lineRule="auto"/>
        <w:ind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1、履约保证金具体数额：采购合同履约保证金为合同标的的1%。（百分之一）。</w:t>
      </w:r>
    </w:p>
    <w:p>
      <w:pPr>
        <w:pStyle w:val="5"/>
        <w:numPr>
          <w:ilvl w:val="0"/>
          <w:numId w:val="0"/>
        </w:numPr>
        <w:spacing w:line="360" w:lineRule="auto"/>
        <w:ind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2、履约保证金交付时间：采购合同签订后甲方将【50%】货款打至乙方，乙方收到货款后3个工作日内将相应保证金打款至甲方。</w:t>
      </w:r>
    </w:p>
    <w:p>
      <w:pPr>
        <w:pStyle w:val="5"/>
        <w:numPr>
          <w:ilvl w:val="0"/>
          <w:numId w:val="0"/>
        </w:numPr>
        <w:spacing w:line="360" w:lineRule="auto"/>
        <w:ind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3、履约保证金退还时间：所有设备安装、调试，经验收合格后，甲方将全部保证金无息退还至乙方。</w:t>
      </w:r>
    </w:p>
    <w:p>
      <w:pPr>
        <w:pStyle w:val="5"/>
        <w:numPr>
          <w:ilvl w:val="0"/>
          <w:numId w:val="0"/>
        </w:numPr>
        <w:spacing w:line="360" w:lineRule="auto"/>
        <w:ind w:leftChars="0"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4、履约保证金效力：在合同履行期间，乙方出现任何违约行为，甲方可直接从履约保证金中扣除相应金额以弥补损失。保证金被扣除后三个工作日内，乙方须及时补足相应保证金。若无违约等特殊情形，甲方不可直接扣除相应保证金。</w:t>
      </w:r>
    </w:p>
    <w:p>
      <w:pPr>
        <w:pStyle w:val="5"/>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1"/>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十、其他</w:t>
      </w:r>
    </w:p>
    <w:p>
      <w:pPr>
        <w:pStyle w:val="5"/>
        <w:numPr>
          <w:ilvl w:val="0"/>
          <w:numId w:val="0"/>
        </w:numPr>
        <w:spacing w:line="360" w:lineRule="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 xml:space="preserve">  </w:t>
      </w:r>
      <w:r>
        <w:rPr>
          <w:rFonts w:hint="eastAsia" w:ascii="仿宋" w:hAnsi="仿宋" w:eastAsia="仿宋" w:cs="仿宋"/>
          <w:sz w:val="24"/>
          <w:szCs w:val="24"/>
          <w:highlight w:val="none"/>
          <w:lang w:val="en-US" w:eastAsia="zh-CN"/>
        </w:rPr>
        <w:t xml:space="preserve">  有关本项目实施所需的所有费用（含税费）均计入报价（包括所有产品的设计费、购置费、运输费、安装费、场地改造费、调试费、售后服务费及税金等所涉及的一切费用均计入报价等）。投标文件中价格全部采用人民币报价。招标文件未列明，而投标人认为必需的费用也需列入报价。</w:t>
      </w:r>
    </w:p>
    <w:p>
      <w:pPr>
        <w:spacing w:line="360" w:lineRule="auto"/>
        <w:rPr>
          <w:rFonts w:hint="eastAsia" w:ascii="仿宋" w:hAnsi="仿宋" w:eastAsia="仿宋" w:cs="仿宋"/>
          <w:b/>
          <w:snapToGrid w:val="0"/>
          <w:kern w:val="0"/>
          <w:sz w:val="32"/>
          <w:szCs w:val="32"/>
          <w:highlight w:val="none"/>
        </w:rPr>
      </w:pPr>
      <w:r>
        <w:rPr>
          <w:rFonts w:hint="eastAsia" w:ascii="仿宋" w:hAnsi="仿宋" w:eastAsia="仿宋" w:cs="仿宋"/>
          <w:b/>
          <w:snapToGrid w:val="0"/>
          <w:kern w:val="0"/>
          <w:sz w:val="32"/>
          <w:szCs w:val="32"/>
          <w:highlight w:val="none"/>
        </w:rPr>
        <w:br w:type="page"/>
      </w:r>
    </w:p>
    <w:p>
      <w:pPr>
        <w:spacing w:line="360" w:lineRule="auto"/>
        <w:jc w:val="center"/>
        <w:outlineLvl w:val="0"/>
        <w:rPr>
          <w:rFonts w:ascii="仿宋" w:hAnsi="仿宋" w:eastAsia="仿宋" w:cs="仿宋"/>
          <w:b/>
          <w:snapToGrid w:val="0"/>
          <w:kern w:val="0"/>
          <w:sz w:val="30"/>
          <w:szCs w:val="30"/>
          <w:highlight w:val="none"/>
        </w:rPr>
      </w:pPr>
      <w:bookmarkStart w:id="48" w:name="_Toc6521"/>
      <w:r>
        <w:rPr>
          <w:rFonts w:hint="eastAsia" w:ascii="仿宋" w:hAnsi="仿宋" w:eastAsia="仿宋" w:cs="仿宋"/>
          <w:b/>
          <w:snapToGrid w:val="0"/>
          <w:kern w:val="0"/>
          <w:sz w:val="32"/>
          <w:szCs w:val="32"/>
          <w:highlight w:val="none"/>
        </w:rPr>
        <w:t>第四部分  采购合同的一般和特殊条款</w:t>
      </w:r>
      <w:bookmarkEnd w:id="44"/>
      <w:bookmarkEnd w:id="48"/>
    </w:p>
    <w:p>
      <w:pPr>
        <w:spacing w:line="360" w:lineRule="auto"/>
        <w:jc w:val="center"/>
        <w:rPr>
          <w:rFonts w:hint="eastAsia" w:ascii="宋体" w:hAnsi="宋体" w:eastAsia="宋体" w:cs="宋体"/>
          <w:b/>
          <w:bCs/>
          <w:spacing w:val="20"/>
          <w:sz w:val="28"/>
          <w:szCs w:val="28"/>
          <w:highlight w:val="none"/>
        </w:rPr>
      </w:pPr>
      <w:r>
        <w:rPr>
          <w:rFonts w:hint="eastAsia" w:ascii="宋体" w:hAnsi="宋体" w:eastAsia="宋体" w:cs="宋体"/>
          <w:b/>
          <w:bCs/>
          <w:spacing w:val="20"/>
          <w:sz w:val="28"/>
          <w:szCs w:val="28"/>
          <w:highlight w:val="none"/>
          <w:lang w:val="en-US" w:eastAsia="zh-CN"/>
        </w:rPr>
        <w:t xml:space="preserve"> 衢州动力电池和储能研究院大型</w:t>
      </w:r>
      <w:r>
        <w:rPr>
          <w:rFonts w:hint="eastAsia" w:ascii="宋体" w:hAnsi="宋体" w:eastAsia="宋体" w:cs="宋体"/>
          <w:b/>
          <w:bCs/>
          <w:spacing w:val="20"/>
          <w:sz w:val="28"/>
          <w:szCs w:val="28"/>
          <w:highlight w:val="none"/>
        </w:rPr>
        <w:t>采购合同</w:t>
      </w:r>
    </w:p>
    <w:p>
      <w:pPr>
        <w:spacing w:line="360" w:lineRule="auto"/>
        <w:jc w:val="center"/>
        <w:rPr>
          <w:rFonts w:ascii="仿宋" w:hAnsi="仿宋" w:eastAsia="仿宋" w:cs="仿宋"/>
          <w:snapToGrid w:val="0"/>
          <w:kern w:val="0"/>
          <w:sz w:val="24"/>
          <w:szCs w:val="30"/>
          <w:highlight w:val="none"/>
        </w:rPr>
      </w:pPr>
      <w:r>
        <w:rPr>
          <w:rFonts w:hint="eastAsia" w:ascii="仿宋" w:hAnsi="仿宋" w:eastAsia="仿宋" w:cs="仿宋"/>
          <w:snapToGrid w:val="0"/>
          <w:kern w:val="0"/>
          <w:sz w:val="24"/>
          <w:szCs w:val="30"/>
          <w:highlight w:val="none"/>
        </w:rPr>
        <w:t>（供参考）</w:t>
      </w:r>
      <w:bookmarkStart w:id="49" w:name="_Toc489344517"/>
      <w:bookmarkStart w:id="50" w:name="_Toc508877832"/>
    </w:p>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（以最终签订版本为准）</w:t>
      </w:r>
    </w:p>
    <w:p>
      <w:pPr>
        <w:widowControl/>
        <w:overflowPunct w:val="0"/>
        <w:autoSpaceDE w:val="0"/>
        <w:autoSpaceDN w:val="0"/>
        <w:adjustRightInd w:val="0"/>
        <w:snapToGrid w:val="0"/>
        <w:spacing w:before="156" w:line="288" w:lineRule="auto"/>
        <w:jc w:val="center"/>
        <w:textAlignment w:val="baseline"/>
        <w:rPr>
          <w:rFonts w:hint="eastAsia" w:ascii="宋体" w:hAnsi="宋体" w:cs="宋体"/>
          <w:b/>
          <w:bCs/>
          <w:kern w:val="0"/>
          <w:sz w:val="21"/>
          <w:szCs w:val="21"/>
          <w:highlight w:val="none"/>
        </w:rPr>
      </w:pPr>
      <w:bookmarkStart w:id="51" w:name="_Toc5624554"/>
    </w:p>
    <w:tbl>
      <w:tblPr>
        <w:tblStyle w:val="48"/>
        <w:tblW w:w="0" w:type="auto"/>
        <w:tblInd w:w="0" w:type="dxa"/>
        <w:tblLayout w:type="fixed"/>
        <w:tblCellMar>
          <w:top w:w="0" w:type="dxa"/>
          <w:left w:w="108" w:type="dxa"/>
          <w:bottom w:w="0" w:type="dxa"/>
          <w:right w:w="108" w:type="dxa"/>
        </w:tblCellMar>
      </w:tblPr>
      <w:tblGrid>
        <w:gridCol w:w="4456"/>
        <w:gridCol w:w="4066"/>
      </w:tblGrid>
      <w:tr>
        <w:tblPrEx>
          <w:tblCellMar>
            <w:top w:w="0" w:type="dxa"/>
            <w:left w:w="108" w:type="dxa"/>
            <w:bottom w:w="0" w:type="dxa"/>
            <w:right w:w="108" w:type="dxa"/>
          </w:tblCellMar>
        </w:tblPrEx>
        <w:tc>
          <w:tcPr>
            <w:tcW w:w="4456" w:type="dxa"/>
            <w:noWrap w:val="0"/>
            <w:vAlign w:val="top"/>
          </w:tcPr>
          <w:p>
            <w:pPr>
              <w:spacing w:line="520" w:lineRule="exact"/>
              <w:rPr>
                <w:rFonts w:hint="default"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甲方（需方）</w:t>
            </w:r>
            <w:r>
              <w:rPr>
                <w:rFonts w:hint="eastAsia" w:ascii="宋体" w:hAnsi="宋体" w:eastAsia="宋体" w:cs="宋体"/>
                <w:color w:val="000000"/>
                <w:sz w:val="28"/>
                <w:szCs w:val="28"/>
                <w:highlight w:val="none"/>
              </w:rPr>
              <w:t>：</w:t>
            </w:r>
            <w:r>
              <w:rPr>
                <w:rFonts w:hint="eastAsia" w:ascii="宋体" w:hAnsi="宋体" w:cs="宋体"/>
                <w:color w:val="000000"/>
                <w:sz w:val="28"/>
                <w:szCs w:val="28"/>
                <w:highlight w:val="none"/>
                <w:lang w:val="en-US" w:eastAsia="zh-CN"/>
              </w:rPr>
              <w:t>衢州动力电池和储能研究院</w:t>
            </w:r>
          </w:p>
        </w:tc>
        <w:tc>
          <w:tcPr>
            <w:tcW w:w="4066" w:type="dxa"/>
            <w:noWrap w:val="0"/>
            <w:vAlign w:val="top"/>
          </w:tcPr>
          <w:p>
            <w:pPr>
              <w:spacing w:line="520" w:lineRule="exact"/>
              <w:rPr>
                <w:rFonts w:hint="eastAsia" w:ascii="宋体" w:hAnsi="宋体" w:eastAsia="宋体" w:cs="宋体"/>
                <w:color w:val="000000"/>
                <w:sz w:val="28"/>
                <w:szCs w:val="28"/>
                <w:highlight w:val="none"/>
                <w:lang w:val="zh-CN"/>
              </w:rPr>
            </w:pPr>
            <w:r>
              <w:rPr>
                <w:rFonts w:hint="eastAsia" w:ascii="宋体" w:hAnsi="宋体" w:eastAsia="宋体" w:cs="宋体"/>
                <w:color w:val="000000"/>
                <w:sz w:val="28"/>
                <w:szCs w:val="28"/>
                <w:highlight w:val="none"/>
                <w:lang w:val="zh-CN"/>
              </w:rPr>
              <w:t>合同编号：</w:t>
            </w:r>
          </w:p>
        </w:tc>
      </w:tr>
      <w:tr>
        <w:tblPrEx>
          <w:tblCellMar>
            <w:top w:w="0" w:type="dxa"/>
            <w:left w:w="108" w:type="dxa"/>
            <w:bottom w:w="0" w:type="dxa"/>
            <w:right w:w="108" w:type="dxa"/>
          </w:tblCellMar>
        </w:tblPrEx>
        <w:tc>
          <w:tcPr>
            <w:tcW w:w="4456" w:type="dxa"/>
            <w:noWrap w:val="0"/>
            <w:vAlign w:val="top"/>
          </w:tcPr>
          <w:p>
            <w:pPr>
              <w:spacing w:line="520" w:lineRule="exact"/>
              <w:rPr>
                <w:rFonts w:hint="eastAsia" w:ascii="宋体" w:hAnsi="宋体" w:eastAsia="宋体" w:cs="宋体"/>
                <w:color w:val="000000"/>
                <w:sz w:val="28"/>
                <w:szCs w:val="28"/>
                <w:highlight w:val="none"/>
                <w:lang w:val="zh-CN"/>
              </w:rPr>
            </w:pPr>
            <w:r>
              <w:rPr>
                <w:rFonts w:hint="eastAsia" w:ascii="宋体" w:hAnsi="宋体" w:eastAsia="宋体" w:cs="宋体"/>
                <w:color w:val="000000"/>
                <w:sz w:val="28"/>
                <w:szCs w:val="28"/>
                <w:highlight w:val="none"/>
                <w:lang w:val="en-US" w:eastAsia="zh-CN"/>
              </w:rPr>
              <w:t>乙</w:t>
            </w:r>
            <w:r>
              <w:rPr>
                <w:rFonts w:hint="eastAsia" w:ascii="宋体" w:hAnsi="宋体" w:eastAsia="宋体" w:cs="宋体"/>
                <w:color w:val="000000"/>
                <w:sz w:val="28"/>
                <w:szCs w:val="28"/>
                <w:highlight w:val="none"/>
                <w:lang w:val="zh-CN"/>
              </w:rPr>
              <w:t>方（</w:t>
            </w:r>
            <w:r>
              <w:rPr>
                <w:rFonts w:hint="eastAsia" w:ascii="宋体" w:hAnsi="宋体" w:eastAsia="宋体" w:cs="宋体"/>
                <w:color w:val="000000"/>
                <w:sz w:val="28"/>
                <w:szCs w:val="28"/>
                <w:highlight w:val="none"/>
                <w:lang w:val="en-US" w:eastAsia="zh-CN"/>
              </w:rPr>
              <w:t>供方）</w:t>
            </w:r>
            <w:r>
              <w:rPr>
                <w:rFonts w:hint="eastAsia" w:ascii="宋体" w:hAnsi="宋体" w:eastAsia="宋体" w:cs="宋体"/>
                <w:color w:val="000000"/>
                <w:sz w:val="28"/>
                <w:szCs w:val="28"/>
                <w:highlight w:val="none"/>
                <w:lang w:val="zh-CN"/>
              </w:rPr>
              <w:t>：</w:t>
            </w:r>
          </w:p>
        </w:tc>
        <w:tc>
          <w:tcPr>
            <w:tcW w:w="4066" w:type="dxa"/>
            <w:noWrap w:val="0"/>
            <w:vAlign w:val="top"/>
          </w:tcPr>
          <w:p>
            <w:pPr>
              <w:spacing w:line="520" w:lineRule="exact"/>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zh-CN"/>
              </w:rPr>
              <w:t>采购</w:t>
            </w:r>
            <w:r>
              <w:rPr>
                <w:rFonts w:hint="eastAsia" w:ascii="宋体" w:hAnsi="宋体" w:cs="宋体"/>
                <w:color w:val="000000"/>
                <w:sz w:val="28"/>
                <w:szCs w:val="28"/>
                <w:highlight w:val="none"/>
                <w:lang w:val="en-US" w:eastAsia="zh-CN"/>
              </w:rPr>
              <w:t>数量</w:t>
            </w:r>
            <w:r>
              <w:rPr>
                <w:rFonts w:hint="eastAsia" w:ascii="宋体" w:hAnsi="宋体" w:eastAsia="宋体" w:cs="宋体"/>
                <w:color w:val="000000"/>
                <w:sz w:val="28"/>
                <w:szCs w:val="28"/>
                <w:highlight w:val="none"/>
                <w:lang w:val="zh-CN"/>
              </w:rPr>
              <w:t>：</w:t>
            </w:r>
          </w:p>
        </w:tc>
      </w:tr>
      <w:tr>
        <w:tblPrEx>
          <w:tblCellMar>
            <w:top w:w="0" w:type="dxa"/>
            <w:left w:w="108" w:type="dxa"/>
            <w:bottom w:w="0" w:type="dxa"/>
            <w:right w:w="108" w:type="dxa"/>
          </w:tblCellMar>
        </w:tblPrEx>
        <w:trPr>
          <w:trHeight w:val="483" w:hRule="atLeast"/>
        </w:trPr>
        <w:tc>
          <w:tcPr>
            <w:tcW w:w="4456" w:type="dxa"/>
            <w:noWrap w:val="0"/>
            <w:vAlign w:val="top"/>
          </w:tcPr>
          <w:p>
            <w:pPr>
              <w:spacing w:line="520" w:lineRule="exact"/>
              <w:rPr>
                <w:rFonts w:hint="default"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zh-CN"/>
              </w:rPr>
              <w:t>采购方：</w:t>
            </w:r>
            <w:r>
              <w:rPr>
                <w:rFonts w:hint="eastAsia" w:ascii="宋体" w:hAnsi="宋体" w:cs="宋体"/>
                <w:color w:val="000000"/>
                <w:sz w:val="28"/>
                <w:szCs w:val="28"/>
                <w:highlight w:val="none"/>
                <w:lang w:val="en-US" w:eastAsia="zh-CN"/>
              </w:rPr>
              <w:t>衢州动力电池和储能研究院</w:t>
            </w:r>
          </w:p>
        </w:tc>
        <w:tc>
          <w:tcPr>
            <w:tcW w:w="4066" w:type="dxa"/>
            <w:noWrap w:val="0"/>
            <w:vAlign w:val="top"/>
          </w:tcPr>
          <w:p>
            <w:pPr>
              <w:spacing w:line="520" w:lineRule="exact"/>
              <w:jc w:val="left"/>
              <w:rPr>
                <w:rFonts w:hint="default"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rPr>
              <w:t>采购项目</w:t>
            </w:r>
            <w:r>
              <w:rPr>
                <w:rFonts w:hint="eastAsia" w:ascii="宋体" w:hAnsi="宋体" w:eastAsia="宋体" w:cs="宋体"/>
                <w:color w:val="000000"/>
                <w:sz w:val="28"/>
                <w:szCs w:val="28"/>
                <w:highlight w:val="none"/>
                <w:lang w:val="zh-CN"/>
              </w:rPr>
              <w:t>：</w:t>
            </w:r>
            <w:r>
              <w:rPr>
                <w:rFonts w:hint="eastAsia" w:ascii="宋体" w:hAnsi="宋体" w:cs="宋体"/>
                <w:color w:val="000000"/>
                <w:sz w:val="28"/>
                <w:szCs w:val="28"/>
                <w:highlight w:val="none"/>
                <w:lang w:val="en-US" w:eastAsia="zh-CN"/>
              </w:rPr>
              <w:t>衢州动力电池和储能研究院高能比硫化物全固态电池自动孵化线</w:t>
            </w:r>
          </w:p>
        </w:tc>
      </w:tr>
      <w:tr>
        <w:tblPrEx>
          <w:tblCellMar>
            <w:top w:w="0" w:type="dxa"/>
            <w:left w:w="108" w:type="dxa"/>
            <w:bottom w:w="0" w:type="dxa"/>
            <w:right w:w="108" w:type="dxa"/>
          </w:tblCellMar>
        </w:tblPrEx>
        <w:tc>
          <w:tcPr>
            <w:tcW w:w="4456" w:type="dxa"/>
            <w:noWrap w:val="0"/>
            <w:vAlign w:val="top"/>
          </w:tcPr>
          <w:p>
            <w:pPr>
              <w:spacing w:line="520" w:lineRule="exact"/>
              <w:rPr>
                <w:rFonts w:hint="default"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zh-CN"/>
              </w:rPr>
              <w:t>委托代理机构</w:t>
            </w:r>
            <w:r>
              <w:rPr>
                <w:rFonts w:hint="eastAsia" w:ascii="宋体" w:hAnsi="宋体" w:cs="宋体"/>
                <w:color w:val="000000"/>
                <w:sz w:val="28"/>
                <w:szCs w:val="28"/>
                <w:highlight w:val="none"/>
                <w:lang w:val="zh-CN"/>
              </w:rPr>
              <w:t>：</w:t>
            </w:r>
            <w:r>
              <w:rPr>
                <w:rFonts w:hint="eastAsia" w:ascii="宋体" w:hAnsi="宋体" w:cs="宋体"/>
                <w:color w:val="000000"/>
                <w:sz w:val="28"/>
                <w:szCs w:val="28"/>
                <w:highlight w:val="none"/>
                <w:lang w:val="en-US" w:eastAsia="zh-CN"/>
              </w:rPr>
              <w:t>浙江五石中正工程咨询有限公司</w:t>
            </w:r>
          </w:p>
        </w:tc>
        <w:tc>
          <w:tcPr>
            <w:tcW w:w="4066" w:type="dxa"/>
            <w:noWrap w:val="0"/>
            <w:vAlign w:val="top"/>
          </w:tcPr>
          <w:p>
            <w:pPr>
              <w:spacing w:line="520" w:lineRule="exact"/>
              <w:rPr>
                <w:rFonts w:hint="default" w:ascii="宋体" w:hAnsi="宋体" w:eastAsia="宋体" w:cs="宋体"/>
                <w:color w:val="000000"/>
                <w:sz w:val="28"/>
                <w:szCs w:val="28"/>
                <w:highlight w:val="none"/>
                <w:lang w:val="en-US" w:eastAsia="zh-CN"/>
              </w:rPr>
            </w:pPr>
            <w:r>
              <w:rPr>
                <w:rFonts w:hint="eastAsia" w:ascii="宋体" w:hAnsi="宋体" w:eastAsia="宋体" w:cs="宋体"/>
                <w:sz w:val="28"/>
                <w:szCs w:val="28"/>
                <w:highlight w:val="none"/>
              </w:rPr>
              <w:t>采购</w:t>
            </w:r>
            <w:r>
              <w:rPr>
                <w:rFonts w:hint="eastAsia" w:ascii="宋体" w:hAnsi="宋体" w:eastAsia="宋体" w:cs="宋体"/>
                <w:sz w:val="28"/>
                <w:szCs w:val="28"/>
                <w:highlight w:val="none"/>
                <w:lang w:val="zh-CN"/>
              </w:rPr>
              <w:t>标项：</w:t>
            </w:r>
          </w:p>
        </w:tc>
      </w:tr>
      <w:tr>
        <w:tblPrEx>
          <w:tblCellMar>
            <w:top w:w="0" w:type="dxa"/>
            <w:left w:w="108" w:type="dxa"/>
            <w:bottom w:w="0" w:type="dxa"/>
            <w:right w:w="108" w:type="dxa"/>
          </w:tblCellMar>
        </w:tblPrEx>
        <w:tc>
          <w:tcPr>
            <w:tcW w:w="4456" w:type="dxa"/>
            <w:noWrap w:val="0"/>
            <w:vAlign w:val="top"/>
          </w:tcPr>
          <w:p>
            <w:pPr>
              <w:spacing w:line="520" w:lineRule="exact"/>
              <w:rPr>
                <w:rFonts w:hint="default"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zh-CN"/>
              </w:rPr>
              <w:t>合同签约地</w:t>
            </w:r>
            <w:r>
              <w:rPr>
                <w:rFonts w:hint="eastAsia" w:ascii="宋体" w:hAnsi="宋体" w:cs="宋体"/>
                <w:color w:val="000000"/>
                <w:sz w:val="28"/>
                <w:szCs w:val="28"/>
                <w:highlight w:val="none"/>
                <w:lang w:val="zh-CN"/>
              </w:rPr>
              <w:t>：</w:t>
            </w:r>
            <w:r>
              <w:rPr>
                <w:rFonts w:hint="eastAsia" w:ascii="宋体" w:hAnsi="宋体" w:cs="宋体"/>
                <w:color w:val="000000"/>
                <w:sz w:val="28"/>
                <w:szCs w:val="28"/>
                <w:highlight w:val="none"/>
                <w:lang w:val="en-US" w:eastAsia="zh-CN"/>
              </w:rPr>
              <w:t>浙江省衢州市</w:t>
            </w:r>
          </w:p>
        </w:tc>
        <w:tc>
          <w:tcPr>
            <w:tcW w:w="4066" w:type="dxa"/>
            <w:noWrap w:val="0"/>
            <w:vAlign w:val="top"/>
          </w:tcPr>
          <w:p>
            <w:pPr>
              <w:spacing w:line="520" w:lineRule="exact"/>
              <w:rPr>
                <w:rFonts w:hint="eastAsia" w:ascii="宋体" w:hAnsi="宋体" w:eastAsia="宋体" w:cs="宋体"/>
                <w:color w:val="000000"/>
                <w:sz w:val="28"/>
                <w:szCs w:val="28"/>
                <w:highlight w:val="none"/>
                <w:lang w:val="zh-CN"/>
              </w:rPr>
            </w:pPr>
            <w:r>
              <w:rPr>
                <w:rFonts w:hint="eastAsia" w:ascii="宋体" w:hAnsi="宋体" w:eastAsia="宋体" w:cs="宋体"/>
                <w:color w:val="000000"/>
                <w:sz w:val="28"/>
                <w:szCs w:val="28"/>
                <w:highlight w:val="none"/>
                <w:lang w:val="zh-CN"/>
              </w:rPr>
              <w:t>合同打印日期：</w:t>
            </w:r>
          </w:p>
        </w:tc>
      </w:tr>
    </w:tbl>
    <w:p>
      <w:pPr>
        <w:spacing w:line="360" w:lineRule="auto"/>
        <w:ind w:firstLine="980" w:firstLineChars="350"/>
        <w:rPr>
          <w:rFonts w:hint="eastAsia" w:ascii="宋体" w:hAnsi="宋体" w:eastAsia="宋体" w:cs="宋体"/>
          <w:color w:val="000000"/>
          <w:sz w:val="28"/>
          <w:szCs w:val="28"/>
          <w:highlight w:val="none"/>
          <w:lang w:val="zh-CN"/>
        </w:rPr>
      </w:pPr>
    </w:p>
    <w:p>
      <w:pPr>
        <w:spacing w:line="360" w:lineRule="auto"/>
        <w:ind w:firstLine="560" w:firstLineChars="200"/>
        <w:rPr>
          <w:rFonts w:hint="eastAsia" w:ascii="宋体" w:hAnsi="宋体" w:eastAsia="宋体" w:cs="宋体"/>
          <w:color w:val="000000"/>
          <w:sz w:val="28"/>
          <w:szCs w:val="28"/>
          <w:highlight w:val="none"/>
          <w:lang w:val="zh-CN"/>
        </w:rPr>
      </w:pPr>
      <w:r>
        <w:rPr>
          <w:rFonts w:hint="eastAsia" w:ascii="宋体" w:hAnsi="宋体" w:eastAsia="宋体" w:cs="宋体"/>
          <w:color w:val="000000"/>
          <w:sz w:val="28"/>
          <w:szCs w:val="28"/>
          <w:highlight w:val="none"/>
          <w:lang w:val="zh-CN"/>
        </w:rPr>
        <w:t>根据《中华人民共和国民法典》、《中华人民共和国政府采购法</w:t>
      </w:r>
      <w:r>
        <w:rPr>
          <w:rFonts w:hint="eastAsia" w:ascii="宋体" w:hAnsi="宋体" w:cs="宋体"/>
          <w:color w:val="000000"/>
          <w:sz w:val="28"/>
          <w:szCs w:val="28"/>
          <w:highlight w:val="none"/>
          <w:lang w:val="zh-CN"/>
        </w:rPr>
        <w:t>》</w:t>
      </w:r>
      <w:r>
        <w:rPr>
          <w:rFonts w:hint="eastAsia" w:ascii="宋体" w:hAnsi="宋体" w:eastAsia="宋体" w:cs="宋体"/>
          <w:color w:val="000000"/>
          <w:sz w:val="28"/>
          <w:szCs w:val="28"/>
          <w:highlight w:val="none"/>
          <w:lang w:val="zh-CN"/>
        </w:rPr>
        <w:t>等有关法律法规，遵循平等自愿原则，经双方友好协商一致，达成以下合同条款：</w:t>
      </w:r>
    </w:p>
    <w:p>
      <w:pPr>
        <w:pStyle w:val="16"/>
        <w:numPr>
          <w:ilvl w:val="0"/>
          <w:numId w:val="4"/>
        </w:numPr>
        <w:spacing w:before="156" w:beforeLines="50" w:line="360" w:lineRule="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本次采购涉及的招标文件（或采购文件）、投标文件（或响应文件）及招标（或磋商）现场</w:t>
      </w:r>
      <w:r>
        <w:rPr>
          <w:rFonts w:hint="eastAsia" w:ascii="宋体" w:hAnsi="宋体" w:eastAsia="宋体" w:cs="宋体"/>
          <w:color w:val="000000"/>
          <w:sz w:val="28"/>
          <w:szCs w:val="28"/>
          <w:highlight w:val="none"/>
          <w:lang w:eastAsia="zh-CN"/>
        </w:rPr>
        <w:t>乙方</w:t>
      </w:r>
      <w:r>
        <w:rPr>
          <w:rFonts w:hint="eastAsia" w:ascii="宋体" w:hAnsi="宋体" w:eastAsia="宋体" w:cs="宋体"/>
          <w:color w:val="000000"/>
          <w:sz w:val="28"/>
          <w:szCs w:val="28"/>
          <w:highlight w:val="none"/>
        </w:rPr>
        <w:t>的询标记录（或补充承诺）与本合同具有同等法律效力，</w:t>
      </w:r>
      <w:r>
        <w:rPr>
          <w:rFonts w:hint="eastAsia" w:ascii="宋体" w:hAnsi="宋体" w:cs="宋体"/>
          <w:color w:val="000000"/>
          <w:sz w:val="28"/>
          <w:szCs w:val="28"/>
          <w:highlight w:val="none"/>
          <w:lang w:val="en-US" w:eastAsia="zh-CN"/>
        </w:rPr>
        <w:t>如与本合同条款有冲突部分则双方本着维护共同利益的原则进行友好协商，双方在协商过程均不可出现损害共同利益之行为，否则违约方一需赔付相应比例违约金给守约方。</w:t>
      </w:r>
    </w:p>
    <w:p>
      <w:pPr>
        <w:pStyle w:val="16"/>
        <w:numPr>
          <w:ilvl w:val="0"/>
          <w:numId w:val="0"/>
        </w:numPr>
        <w:spacing w:before="156" w:beforeLines="50" w:line="360" w:lineRule="auto"/>
        <w:rPr>
          <w:rFonts w:hint="eastAsia" w:ascii="宋体" w:hAnsi="宋体" w:cs="宋体"/>
          <w:color w:val="000000"/>
          <w:sz w:val="28"/>
          <w:szCs w:val="28"/>
          <w:highlight w:val="none"/>
          <w:lang w:val="en-US" w:eastAsia="zh-CN"/>
        </w:rPr>
      </w:pPr>
    </w:p>
    <w:p>
      <w:pPr>
        <w:pStyle w:val="16"/>
        <w:numPr>
          <w:ilvl w:val="-1"/>
          <w:numId w:val="0"/>
        </w:numPr>
        <w:spacing w:before="156" w:beforeLines="50" w:line="360" w:lineRule="auto"/>
        <w:rPr>
          <w:rFonts w:hint="default"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二、</w:t>
      </w:r>
      <w:r>
        <w:rPr>
          <w:rFonts w:hint="eastAsia" w:ascii="宋体" w:hAnsi="宋体" w:eastAsia="宋体" w:cs="宋体"/>
          <w:b/>
          <w:bCs/>
          <w:color w:val="000000"/>
          <w:sz w:val="28"/>
          <w:szCs w:val="28"/>
          <w:highlight w:val="none"/>
        </w:rPr>
        <w:t>货物名称、规格、数量、价格</w:t>
      </w:r>
    </w:p>
    <w:tbl>
      <w:tblPr>
        <w:tblStyle w:val="48"/>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992"/>
        <w:gridCol w:w="735"/>
        <w:gridCol w:w="1418"/>
        <w:gridCol w:w="1417"/>
        <w:gridCol w:w="709"/>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1" w:type="dxa"/>
            <w:tcBorders>
              <w:bottom w:val="single" w:color="auto" w:sz="4" w:space="0"/>
            </w:tcBorders>
            <w:vAlign w:val="center"/>
          </w:tcPr>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商品名称</w:t>
            </w:r>
          </w:p>
        </w:tc>
        <w:tc>
          <w:tcPr>
            <w:tcW w:w="992" w:type="dxa"/>
            <w:tcBorders>
              <w:bottom w:val="single" w:color="auto" w:sz="4" w:space="0"/>
            </w:tcBorders>
            <w:vAlign w:val="center"/>
          </w:tcPr>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品牌</w:t>
            </w:r>
          </w:p>
        </w:tc>
        <w:tc>
          <w:tcPr>
            <w:tcW w:w="735" w:type="dxa"/>
            <w:tcBorders>
              <w:bottom w:val="single" w:color="auto" w:sz="4" w:space="0"/>
            </w:tcBorders>
            <w:vAlign w:val="center"/>
          </w:tcPr>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产地</w:t>
            </w:r>
          </w:p>
        </w:tc>
        <w:tc>
          <w:tcPr>
            <w:tcW w:w="1418" w:type="dxa"/>
            <w:tcBorders>
              <w:bottom w:val="single" w:color="auto" w:sz="4" w:space="0"/>
            </w:tcBorders>
            <w:vAlign w:val="center"/>
          </w:tcPr>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规格型号</w:t>
            </w:r>
          </w:p>
        </w:tc>
        <w:tc>
          <w:tcPr>
            <w:tcW w:w="1417" w:type="dxa"/>
            <w:tcBorders>
              <w:bottom w:val="single" w:color="auto" w:sz="4" w:space="0"/>
            </w:tcBorders>
            <w:vAlign w:val="center"/>
          </w:tcPr>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单价（元）</w:t>
            </w:r>
          </w:p>
        </w:tc>
        <w:tc>
          <w:tcPr>
            <w:tcW w:w="709" w:type="dxa"/>
            <w:tcBorders>
              <w:bottom w:val="single" w:color="auto" w:sz="4" w:space="0"/>
            </w:tcBorders>
            <w:vAlign w:val="center"/>
          </w:tcPr>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数量</w:t>
            </w:r>
          </w:p>
        </w:tc>
        <w:tc>
          <w:tcPr>
            <w:tcW w:w="1286" w:type="dxa"/>
            <w:tcBorders>
              <w:bottom w:val="single" w:color="auto" w:sz="4" w:space="0"/>
            </w:tcBorders>
            <w:vAlign w:val="center"/>
          </w:tcPr>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381" w:type="dxa"/>
            <w:vAlign w:val="center"/>
          </w:tcPr>
          <w:p>
            <w:pPr>
              <w:widowControl/>
              <w:ind w:firstLine="280" w:firstLineChars="100"/>
              <w:jc w:val="center"/>
              <w:rPr>
                <w:rFonts w:hint="eastAsia" w:ascii="宋体" w:hAnsi="宋体" w:eastAsia="宋体" w:cs="宋体"/>
                <w:sz w:val="28"/>
                <w:szCs w:val="28"/>
                <w:highlight w:val="none"/>
              </w:rPr>
            </w:pPr>
          </w:p>
        </w:tc>
        <w:tc>
          <w:tcPr>
            <w:tcW w:w="992" w:type="dxa"/>
            <w:vAlign w:val="center"/>
          </w:tcPr>
          <w:p>
            <w:pPr>
              <w:widowControl/>
              <w:jc w:val="center"/>
              <w:rPr>
                <w:rFonts w:hint="eastAsia" w:ascii="宋体" w:hAnsi="宋体" w:eastAsia="宋体" w:cs="宋体"/>
                <w:sz w:val="28"/>
                <w:szCs w:val="28"/>
                <w:highlight w:val="none"/>
              </w:rPr>
            </w:pPr>
          </w:p>
        </w:tc>
        <w:tc>
          <w:tcPr>
            <w:tcW w:w="735" w:type="dxa"/>
            <w:vAlign w:val="center"/>
          </w:tcPr>
          <w:p>
            <w:pPr>
              <w:widowControl/>
              <w:jc w:val="center"/>
              <w:rPr>
                <w:rFonts w:hint="eastAsia" w:ascii="宋体" w:hAnsi="宋体" w:eastAsia="宋体" w:cs="宋体"/>
                <w:sz w:val="28"/>
                <w:szCs w:val="28"/>
                <w:highlight w:val="none"/>
              </w:rPr>
            </w:pPr>
          </w:p>
        </w:tc>
        <w:tc>
          <w:tcPr>
            <w:tcW w:w="1418" w:type="dxa"/>
            <w:vAlign w:val="center"/>
          </w:tcPr>
          <w:p>
            <w:pPr>
              <w:widowControl/>
              <w:jc w:val="center"/>
              <w:rPr>
                <w:rFonts w:hint="eastAsia" w:ascii="宋体" w:hAnsi="宋体" w:eastAsia="宋体" w:cs="宋体"/>
                <w:sz w:val="28"/>
                <w:szCs w:val="28"/>
                <w:highlight w:val="none"/>
              </w:rPr>
            </w:pPr>
          </w:p>
        </w:tc>
        <w:tc>
          <w:tcPr>
            <w:tcW w:w="1417" w:type="dxa"/>
            <w:vAlign w:val="center"/>
          </w:tcPr>
          <w:p>
            <w:pPr>
              <w:jc w:val="center"/>
              <w:rPr>
                <w:rFonts w:hint="eastAsia" w:ascii="宋体" w:hAnsi="宋体" w:eastAsia="宋体" w:cs="宋体"/>
                <w:sz w:val="28"/>
                <w:szCs w:val="28"/>
                <w:highlight w:val="none"/>
              </w:rPr>
            </w:pPr>
          </w:p>
        </w:tc>
        <w:tc>
          <w:tcPr>
            <w:tcW w:w="709" w:type="dxa"/>
            <w:vAlign w:val="center"/>
          </w:tcPr>
          <w:p>
            <w:pPr>
              <w:autoSpaceDE w:val="0"/>
              <w:autoSpaceDN w:val="0"/>
              <w:jc w:val="center"/>
              <w:rPr>
                <w:rFonts w:hint="eastAsia" w:ascii="宋体" w:hAnsi="宋体" w:eastAsia="宋体" w:cs="宋体"/>
                <w:sz w:val="28"/>
                <w:szCs w:val="28"/>
                <w:highlight w:val="none"/>
              </w:rPr>
            </w:pPr>
          </w:p>
        </w:tc>
        <w:tc>
          <w:tcPr>
            <w:tcW w:w="1286" w:type="dxa"/>
            <w:vAlign w:val="center"/>
          </w:tcPr>
          <w:p>
            <w:pPr>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938" w:type="dxa"/>
            <w:gridSpan w:val="7"/>
            <w:vAlign w:val="center"/>
          </w:tcPr>
          <w:p>
            <w:pPr>
              <w:rPr>
                <w:rFonts w:hint="eastAsia" w:ascii="宋体" w:hAnsi="宋体" w:eastAsia="宋体" w:cs="宋体"/>
                <w:sz w:val="28"/>
                <w:szCs w:val="28"/>
                <w:highlight w:val="none"/>
              </w:rPr>
            </w:pPr>
            <w:r>
              <w:rPr>
                <w:rFonts w:hint="eastAsia" w:ascii="宋体" w:hAnsi="宋体" w:eastAsia="宋体" w:cs="宋体"/>
                <w:sz w:val="28"/>
                <w:szCs w:val="28"/>
                <w:highlight w:val="none"/>
              </w:rPr>
              <w:t>合计金额（大写）：人民币</w:t>
            </w:r>
            <w:r>
              <w:rPr>
                <w:rFonts w:hint="eastAsia" w:ascii="宋体" w:hAnsi="宋体" w:cs="宋体"/>
                <w:sz w:val="28"/>
                <w:szCs w:val="28"/>
                <w:highlight w:val="none"/>
                <w:lang w:val="en-US" w:eastAsia="zh-CN"/>
              </w:rPr>
              <w:t xml:space="preserve">      </w:t>
            </w:r>
            <w:r>
              <w:rPr>
                <w:rFonts w:hint="eastAsia" w:ascii="宋体" w:hAnsi="宋体" w:eastAsia="宋体" w:cs="宋体"/>
                <w:sz w:val="28"/>
                <w:szCs w:val="28"/>
                <w:highlight w:val="none"/>
              </w:rPr>
              <w:t>圆整   RMB</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938" w:type="dxa"/>
            <w:gridSpan w:val="7"/>
            <w:tcBorders>
              <w:bottom w:val="single" w:color="auto" w:sz="4" w:space="0"/>
            </w:tcBorders>
            <w:vAlign w:val="center"/>
          </w:tcPr>
          <w:p>
            <w:pPr>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注：以上合同总价包含货物（包括主机、标准附件、备品备件、专用工具）价、货物杂运费、保险费、利润、税金等。</w:t>
            </w:r>
          </w:p>
        </w:tc>
      </w:tr>
    </w:tbl>
    <w:p>
      <w:pPr>
        <w:spacing w:before="156" w:beforeLines="50" w:line="360" w:lineRule="auto"/>
        <w:rPr>
          <w:rFonts w:hint="eastAsia" w:ascii="宋体" w:hAnsi="宋体" w:cs="宋体"/>
          <w:b/>
          <w:bCs/>
          <w:color w:val="000000"/>
          <w:sz w:val="21"/>
          <w:szCs w:val="21"/>
          <w:highlight w:val="none"/>
          <w:lang w:val="en-US" w:eastAsia="zh-CN"/>
        </w:rPr>
      </w:pPr>
      <w:r>
        <w:rPr>
          <w:rFonts w:hint="eastAsia" w:ascii="宋体" w:hAnsi="宋体" w:cs="宋体"/>
          <w:b/>
          <w:bCs/>
          <w:color w:val="000000"/>
          <w:sz w:val="21"/>
          <w:szCs w:val="21"/>
          <w:highlight w:val="none"/>
          <w:lang w:val="en-US" w:eastAsia="zh-CN"/>
        </w:rPr>
        <w:t>注：</w:t>
      </w:r>
    </w:p>
    <w:p>
      <w:pPr>
        <w:spacing w:before="156" w:beforeLines="50" w:line="360" w:lineRule="auto"/>
        <w:rPr>
          <w:rFonts w:hint="default" w:ascii="宋体" w:hAnsi="宋体" w:eastAsia="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1、以上合同总价包括货物运抵甲方指定地点并完成安装调试、质保及售后等乙方履行完毕本合同所需的一切费用。</w:t>
      </w:r>
    </w:p>
    <w:p>
      <w:pPr>
        <w:pStyle w:val="18"/>
        <w:numPr>
          <w:ilvl w:val="-1"/>
          <w:numId w:val="0"/>
        </w:numPr>
        <w:spacing w:line="360" w:lineRule="auto"/>
        <w:ind w:left="0" w:leftChars="0" w:firstLine="0" w:firstLineChars="0"/>
        <w:rPr>
          <w:rFonts w:hint="eastAsia"/>
          <w:color w:val="0D0D0D" w:themeColor="text1" w:themeTint="F2"/>
          <w:sz w:val="21"/>
          <w:szCs w:val="21"/>
          <w:highlight w:val="none"/>
          <w:lang w:val="en-US" w:eastAsia="zh-CN"/>
          <w14:textFill>
            <w14:solidFill>
              <w14:schemeClr w14:val="tx1">
                <w14:lumMod w14:val="95000"/>
                <w14:lumOff w14:val="5000"/>
              </w14:schemeClr>
            </w14:solidFill>
          </w14:textFill>
        </w:rPr>
      </w:pPr>
      <w:r>
        <w:rPr>
          <w:rFonts w:hint="eastAsia"/>
          <w:color w:val="0D0D0D" w:themeColor="text1" w:themeTint="F2"/>
          <w:sz w:val="21"/>
          <w:szCs w:val="21"/>
          <w:highlight w:val="none"/>
          <w:lang w:val="en-US" w:eastAsia="zh-CN"/>
          <w14:textFill>
            <w14:solidFill>
              <w14:schemeClr w14:val="tx1">
                <w14:lumMod w14:val="95000"/>
                <w14:lumOff w14:val="5000"/>
              </w14:schemeClr>
            </w14:solidFill>
          </w14:textFill>
        </w:rPr>
        <w:t>2、货物和服务的质量、技术标准：合同货物和服务的质量、技术标准如在采购合同中无相应说明，则按中华人民共和国有关部门颁发的最新的国际或专业标准执行。没有国家或专业标准的，按企业标准执行。</w:t>
      </w:r>
    </w:p>
    <w:p>
      <w:pPr>
        <w:spacing w:line="360" w:lineRule="auto"/>
        <w:rPr>
          <w:rFonts w:hint="default"/>
          <w:highlight w:val="none"/>
          <w:lang w:val="en-US"/>
        </w:rPr>
      </w:pPr>
      <w:r>
        <w:rPr>
          <w:rFonts w:hint="eastAsia"/>
          <w:color w:val="0D0D0D" w:themeColor="text1" w:themeTint="F2"/>
          <w:sz w:val="21"/>
          <w:szCs w:val="21"/>
          <w:highlight w:val="none"/>
          <w:lang w:val="en-US" w:eastAsia="zh-CN"/>
          <w14:textFill>
            <w14:solidFill>
              <w14:schemeClr w14:val="tx1">
                <w14:lumMod w14:val="95000"/>
                <w14:lumOff w14:val="5000"/>
              </w14:schemeClr>
            </w14:solidFill>
          </w14:textFill>
        </w:rPr>
        <w:t>3、合同价包含货物及其配送、装卸费用、安装、维修和保养、全额含税发票、服务费用、合同实施过程中的应预见和不可预见费用等所有费用。在合同服务期间内不得违反国家相关政策规定。（说明：如发生不可抗力及突发性事件，成交供应商要无条件听从采购人指挥，配合采购人。费用已包含在磋商报价内，采购人不再另行支付其他费用。）本项目采用固定单价方式结算，成交价为暂定合同价，合同最终支付金额依据成交单价和实际供货数量计算。</w:t>
      </w:r>
    </w:p>
    <w:p>
      <w:pPr>
        <w:rPr>
          <w:rFonts w:hint="eastAsia"/>
          <w:highlight w:val="none"/>
        </w:rPr>
      </w:pPr>
    </w:p>
    <w:p>
      <w:pPr>
        <w:autoSpaceDE w:val="0"/>
        <w:autoSpaceDN w:val="0"/>
        <w:adjustRightInd w:val="0"/>
        <w:spacing w:line="360" w:lineRule="auto"/>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三、质量保证</w:t>
      </w:r>
    </w:p>
    <w:p>
      <w:pPr>
        <w:spacing w:line="360" w:lineRule="auto"/>
        <w:rPr>
          <w:rFonts w:hint="eastAsia" w:ascii="宋体" w:hAnsi="宋体" w:eastAsia="宋体" w:cs="宋体"/>
          <w:bCs/>
          <w:color w:val="000000"/>
          <w:sz w:val="28"/>
          <w:szCs w:val="28"/>
          <w:highlight w:val="none"/>
        </w:rPr>
      </w:pPr>
      <w:bookmarkStart w:id="52" w:name="_Hlk103687979"/>
      <w:r>
        <w:rPr>
          <w:rFonts w:hint="eastAsia" w:ascii="宋体" w:hAnsi="宋体" w:eastAsia="宋体" w:cs="宋体"/>
          <w:bCs/>
          <w:color w:val="000000"/>
          <w:sz w:val="28"/>
          <w:szCs w:val="28"/>
          <w:highlight w:val="none"/>
        </w:rPr>
        <w:t>1、质量功能标准需符合</w:t>
      </w:r>
      <w:r>
        <w:rPr>
          <w:rFonts w:hint="eastAsia" w:ascii="宋体" w:hAnsi="宋体" w:eastAsia="宋体" w:cs="宋体"/>
          <w:bCs/>
          <w:color w:val="000000"/>
          <w:sz w:val="28"/>
          <w:szCs w:val="28"/>
          <w:highlight w:val="none"/>
          <w:lang w:val="en-US" w:eastAsia="zh-CN"/>
        </w:rPr>
        <w:t>甲方采购商品所在行业</w:t>
      </w:r>
      <w:r>
        <w:rPr>
          <w:rFonts w:hint="eastAsia" w:ascii="宋体" w:hAnsi="宋体" w:eastAsia="宋体" w:cs="宋体"/>
          <w:bCs/>
          <w:color w:val="000000"/>
          <w:sz w:val="28"/>
          <w:szCs w:val="28"/>
          <w:highlight w:val="none"/>
        </w:rPr>
        <w:t>规定的质量标准和双方商定的技术指标。</w:t>
      </w:r>
    </w:p>
    <w:p>
      <w:pPr>
        <w:spacing w:line="360" w:lineRule="auto"/>
        <w:rPr>
          <w:rFonts w:hint="eastAsia" w:ascii="宋体" w:hAnsi="宋体" w:eastAsia="宋体" w:cs="宋体"/>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Cs/>
          <w:color w:val="000000"/>
          <w:sz w:val="28"/>
          <w:szCs w:val="28"/>
          <w:highlight w:val="none"/>
        </w:rPr>
        <w:t>2、</w:t>
      </w:r>
      <w:r>
        <w:rPr>
          <w:rFonts w:hint="eastAsia" w:ascii="宋体" w:hAnsi="宋体" w:eastAsia="宋体" w:cs="宋体"/>
          <w:bCs/>
          <w:color w:val="000000"/>
          <w:sz w:val="28"/>
          <w:szCs w:val="28"/>
          <w:highlight w:val="none"/>
          <w:lang w:eastAsia="zh-CN"/>
        </w:rPr>
        <w:t>乙方</w:t>
      </w:r>
      <w:r>
        <w:rPr>
          <w:rFonts w:hint="eastAsia" w:ascii="宋体" w:hAnsi="宋体" w:eastAsia="宋体" w:cs="宋体"/>
          <w:bCs/>
          <w:color w:val="000000"/>
          <w:sz w:val="28"/>
          <w:szCs w:val="28"/>
          <w:highlight w:val="none"/>
        </w:rPr>
        <w:t>保证本合同中所供应的</w:t>
      </w:r>
      <w:r>
        <w:rPr>
          <w:rFonts w:hint="eastAsia" w:ascii="宋体" w:hAnsi="宋体" w:eastAsia="宋体" w:cs="宋体"/>
          <w:bCs/>
          <w:color w:val="000000"/>
          <w:sz w:val="28"/>
          <w:szCs w:val="28"/>
          <w:highlight w:val="none"/>
          <w:lang w:val="en-US" w:eastAsia="zh-CN"/>
        </w:rPr>
        <w:t>商品</w:t>
      </w:r>
      <w:r>
        <w:rPr>
          <w:rFonts w:hint="eastAsia" w:ascii="宋体" w:hAnsi="宋体" w:cs="宋体"/>
          <w:bCs/>
          <w:color w:val="000000" w:themeColor="text1"/>
          <w:sz w:val="28"/>
          <w:szCs w:val="28"/>
          <w:highlight w:val="none"/>
          <w:lang w:val="en-US" w:eastAsia="zh-CN"/>
          <w14:textFill>
            <w14:solidFill>
              <w14:schemeClr w14:val="tx1"/>
            </w14:solidFill>
          </w14:textFill>
        </w:rPr>
        <w:t>符</w:t>
      </w:r>
      <w:r>
        <w:rPr>
          <w:rFonts w:hint="eastAsia" w:ascii="宋体" w:hAnsi="宋体" w:eastAsia="宋体" w:cs="宋体"/>
          <w:bCs/>
          <w:color w:val="000000" w:themeColor="text1"/>
          <w:sz w:val="28"/>
          <w:szCs w:val="28"/>
          <w:highlight w:val="none"/>
          <w14:textFill>
            <w14:solidFill>
              <w14:schemeClr w14:val="tx1"/>
            </w14:solidFill>
          </w14:textFill>
        </w:rPr>
        <w:t>合</w:t>
      </w:r>
      <w:r>
        <w:rPr>
          <w:rFonts w:hint="eastAsia" w:ascii="宋体" w:hAnsi="宋体" w:eastAsia="宋体" w:cs="宋体"/>
          <w:bCs/>
          <w:color w:val="000000"/>
          <w:sz w:val="28"/>
          <w:szCs w:val="28"/>
          <w:highlight w:val="none"/>
        </w:rPr>
        <w:t>国家法律规定和技术规格、质量标准的出厂原装合格产</w:t>
      </w:r>
      <w:r>
        <w:rPr>
          <w:rFonts w:hint="eastAsia" w:ascii="宋体" w:hAnsi="宋体" w:cs="宋体"/>
          <w:bCs/>
          <w:color w:val="000000" w:themeColor="text1"/>
          <w:sz w:val="28"/>
          <w:szCs w:val="28"/>
          <w:highlight w:val="none"/>
          <w:lang w:val="en-US" w:eastAsia="zh-CN"/>
          <w14:textFill>
            <w14:solidFill>
              <w14:schemeClr w14:val="tx1"/>
            </w14:solidFill>
          </w14:textFill>
        </w:rPr>
        <w:t>品</w:t>
      </w:r>
      <w:r>
        <w:rPr>
          <w:rFonts w:hint="eastAsia" w:ascii="宋体" w:hAnsi="宋体" w:eastAsia="宋体" w:cs="宋体"/>
          <w:bCs/>
          <w:color w:val="000000"/>
          <w:sz w:val="28"/>
          <w:szCs w:val="28"/>
          <w:highlight w:val="none"/>
        </w:rPr>
        <w:t>；进口商品是获得国家商检局颁布安全许可证的出厂原装合格产品。如发生所供商品与合同（型号、指标、性能等）不符，</w:t>
      </w:r>
      <w:r>
        <w:rPr>
          <w:rFonts w:hint="eastAsia" w:ascii="宋体" w:hAnsi="宋体" w:eastAsia="宋体" w:cs="宋体"/>
          <w:bCs/>
          <w:color w:val="000000"/>
          <w:sz w:val="28"/>
          <w:szCs w:val="28"/>
          <w:highlight w:val="none"/>
          <w:lang w:eastAsia="zh-CN"/>
        </w:rPr>
        <w:t>甲方</w:t>
      </w:r>
      <w:r>
        <w:rPr>
          <w:rFonts w:hint="eastAsia" w:ascii="宋体" w:hAnsi="宋体" w:eastAsia="宋体" w:cs="宋体"/>
          <w:bCs/>
          <w:color w:val="000000"/>
          <w:sz w:val="28"/>
          <w:szCs w:val="28"/>
          <w:highlight w:val="none"/>
        </w:rPr>
        <w:t>有权拒收或退货，</w:t>
      </w:r>
      <w:r>
        <w:rPr>
          <w:rFonts w:hint="eastAsia" w:ascii="宋体" w:hAnsi="宋体" w:eastAsia="宋体" w:cs="宋体"/>
          <w:bCs/>
          <w:color w:val="000000" w:themeColor="text1"/>
          <w:sz w:val="28"/>
          <w:szCs w:val="28"/>
          <w:highlight w:val="none"/>
          <w14:textFill>
            <w14:solidFill>
              <w14:schemeClr w14:val="tx1"/>
            </w14:solidFill>
          </w14:textFill>
        </w:rPr>
        <w:t>由此产生的一切责任和后果</w:t>
      </w:r>
      <w:r>
        <w:rPr>
          <w:rFonts w:hint="eastAsia" w:ascii="宋体" w:hAnsi="宋体" w:eastAsia="宋体" w:cs="宋体"/>
          <w:bCs/>
          <w:color w:val="000000" w:themeColor="text1"/>
          <w:sz w:val="28"/>
          <w:szCs w:val="28"/>
          <w:highlight w:val="none"/>
          <w:lang w:val="en-US" w:eastAsia="zh-CN"/>
          <w14:textFill>
            <w14:solidFill>
              <w14:schemeClr w14:val="tx1"/>
            </w14:solidFill>
          </w14:textFill>
        </w:rPr>
        <w:t>及相关费用</w:t>
      </w:r>
      <w:r>
        <w:rPr>
          <w:rFonts w:hint="eastAsia" w:ascii="宋体" w:hAnsi="宋体" w:eastAsia="宋体" w:cs="宋体"/>
          <w:bCs/>
          <w:color w:val="000000" w:themeColor="text1"/>
          <w:sz w:val="28"/>
          <w:szCs w:val="28"/>
          <w:highlight w:val="none"/>
          <w14:textFill>
            <w14:solidFill>
              <w14:schemeClr w14:val="tx1"/>
            </w14:solidFill>
          </w14:textFill>
        </w:rPr>
        <w:t>由</w:t>
      </w:r>
      <w:r>
        <w:rPr>
          <w:rFonts w:hint="eastAsia" w:ascii="宋体" w:hAnsi="宋体" w:eastAsia="宋体" w:cs="宋体"/>
          <w:bCs/>
          <w:color w:val="000000" w:themeColor="text1"/>
          <w:sz w:val="28"/>
          <w:szCs w:val="28"/>
          <w:highlight w:val="none"/>
          <w:lang w:eastAsia="zh-CN"/>
          <w14:textFill>
            <w14:solidFill>
              <w14:schemeClr w14:val="tx1"/>
            </w14:solidFill>
          </w14:textFill>
        </w:rPr>
        <w:t>乙方</w:t>
      </w:r>
      <w:r>
        <w:rPr>
          <w:rFonts w:hint="eastAsia" w:ascii="宋体" w:hAnsi="宋体" w:eastAsia="宋体" w:cs="宋体"/>
          <w:bCs/>
          <w:color w:val="000000" w:themeColor="text1"/>
          <w:sz w:val="28"/>
          <w:szCs w:val="28"/>
          <w:highlight w:val="none"/>
          <w14:textFill>
            <w14:solidFill>
              <w14:schemeClr w14:val="tx1"/>
            </w14:solidFill>
          </w14:textFill>
        </w:rPr>
        <w:t>承担。</w:t>
      </w:r>
      <w:bookmarkEnd w:id="52"/>
      <w:r>
        <w:rPr>
          <w:rFonts w:hint="eastAsia" w:ascii="宋体" w:hAnsi="宋体" w:eastAsia="宋体" w:cs="宋体"/>
          <w:bCs/>
          <w:color w:val="000000" w:themeColor="text1"/>
          <w:sz w:val="28"/>
          <w:szCs w:val="28"/>
          <w:highlight w:val="none"/>
          <w:lang w:val="en-US" w:eastAsia="zh-CN"/>
          <w14:textFill>
            <w14:solidFill>
              <w14:schemeClr w14:val="tx1"/>
            </w14:solidFill>
          </w14:textFill>
        </w:rPr>
        <w:t>若属于普通快递或货运不予承运的产品，则由乙方在合理期限内负责上门取货。</w:t>
      </w:r>
    </w:p>
    <w:p>
      <w:pPr>
        <w:pageBreakBefore w:val="0"/>
        <w:widowControl w:val="0"/>
        <w:kinsoku/>
        <w:wordWrap/>
        <w:overflowPunct/>
        <w:topLinePunct w:val="0"/>
        <w:bidi w:val="0"/>
        <w:snapToGrid/>
        <w:spacing w:line="490" w:lineRule="exact"/>
        <w:ind w:firstLine="0" w:firstLineChars="0"/>
        <w:textAlignment w:val="auto"/>
        <w:rPr>
          <w:rFonts w:hint="eastAsia" w:asciiTheme="minorEastAsia" w:hAnsiTheme="minorEastAsia" w:eastAsiaTheme="minorEastAsia" w:cstheme="minorEastAsia"/>
          <w:bCs/>
          <w:color w:val="000000"/>
          <w:sz w:val="28"/>
          <w:szCs w:val="28"/>
          <w:highlight w:val="none"/>
          <w:lang w:val="en-US" w:eastAsia="zh-CN"/>
        </w:rPr>
      </w:pPr>
      <w:r>
        <w:rPr>
          <w:rFonts w:hint="eastAsia" w:asciiTheme="minorEastAsia" w:hAnsiTheme="minorEastAsia" w:eastAsiaTheme="minorEastAsia" w:cstheme="minorEastAsia"/>
          <w:bCs/>
          <w:color w:val="000000"/>
          <w:sz w:val="28"/>
          <w:szCs w:val="28"/>
          <w:highlight w:val="none"/>
          <w:lang w:val="en-US" w:eastAsia="zh-CN"/>
        </w:rPr>
        <w:t>3、乙方保证设备外观清洁，标记编号等字体清晰，明确。铭牌、使用指示、警告指示应以中文或英文及易懂的通用符号来表示；应准确地表明设备之规格、制造厂及生产或出厂日期。</w:t>
      </w:r>
    </w:p>
    <w:p>
      <w:pPr>
        <w:spacing w:line="490" w:lineRule="exact"/>
        <w:rPr>
          <w:rFonts w:hint="default" w:ascii="宋体" w:hAnsi="宋体" w:eastAsia="宋体" w:cs="宋体"/>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sz w:val="28"/>
          <w:szCs w:val="28"/>
          <w:highlight w:val="none"/>
          <w:lang w:val="en-US" w:eastAsia="zh-CN"/>
        </w:rPr>
        <w:t>4、对于影响正常使用的必要组成部分，无论在技术规范中指出与否，供应商都应承担违约责任。</w:t>
      </w:r>
    </w:p>
    <w:p>
      <w:pPr>
        <w:spacing w:line="360" w:lineRule="auto"/>
        <w:rPr>
          <w:rFonts w:hint="eastAsia" w:ascii="宋体" w:hAnsi="宋体" w:eastAsia="宋体" w:cs="宋体"/>
          <w:b w:val="0"/>
          <w:bCs/>
          <w:color w:val="000000"/>
          <w:sz w:val="28"/>
          <w:szCs w:val="28"/>
          <w:highlight w:val="none"/>
        </w:rPr>
      </w:pPr>
      <w:r>
        <w:rPr>
          <w:rFonts w:hint="eastAsia" w:ascii="宋体" w:hAnsi="宋体" w:eastAsia="宋体" w:cs="宋体"/>
          <w:b w:val="0"/>
          <w:bCs/>
          <w:color w:val="000000"/>
          <w:sz w:val="28"/>
          <w:szCs w:val="28"/>
          <w:highlight w:val="none"/>
          <w:lang w:val="en-US" w:eastAsia="zh-CN"/>
        </w:rPr>
        <w:t>四、</w:t>
      </w:r>
      <w:r>
        <w:rPr>
          <w:rFonts w:hint="eastAsia" w:ascii="宋体" w:hAnsi="宋体" w:eastAsia="宋体" w:cs="宋体"/>
          <w:b w:val="0"/>
          <w:bCs/>
          <w:color w:val="000000"/>
          <w:sz w:val="28"/>
          <w:szCs w:val="28"/>
          <w:highlight w:val="none"/>
          <w:lang w:val="zh-CN"/>
        </w:rPr>
        <w:t>技术性能指标</w:t>
      </w:r>
    </w:p>
    <w:p>
      <w:pPr>
        <w:autoSpaceDE w:val="0"/>
        <w:autoSpaceDN w:val="0"/>
        <w:adjustRightInd w:val="0"/>
        <w:spacing w:line="360" w:lineRule="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val="zh-CN"/>
        </w:rPr>
        <w:t>具体指标</w:t>
      </w:r>
      <w:r>
        <w:rPr>
          <w:rFonts w:hint="eastAsia" w:ascii="宋体" w:hAnsi="宋体" w:eastAsia="宋体" w:cs="宋体"/>
          <w:color w:val="000000"/>
          <w:sz w:val="28"/>
          <w:szCs w:val="28"/>
          <w:highlight w:val="none"/>
        </w:rPr>
        <w:t>详见第一条所述之相关文件。</w:t>
      </w:r>
    </w:p>
    <w:p>
      <w:pPr>
        <w:autoSpaceDE w:val="0"/>
        <w:autoSpaceDN w:val="0"/>
        <w:adjustRightInd w:val="0"/>
        <w:spacing w:line="360" w:lineRule="auto"/>
        <w:rPr>
          <w:rFonts w:hint="eastAsia" w:ascii="宋体" w:hAnsi="宋体" w:eastAsia="宋体" w:cs="宋体"/>
          <w:b w:val="0"/>
          <w:bCs/>
          <w:color w:val="000000"/>
          <w:sz w:val="28"/>
          <w:szCs w:val="28"/>
          <w:highlight w:val="none"/>
          <w:lang w:val="zh-CN"/>
        </w:rPr>
      </w:pPr>
      <w:r>
        <w:rPr>
          <w:rFonts w:hint="eastAsia" w:ascii="宋体" w:hAnsi="宋体" w:eastAsia="宋体" w:cs="宋体"/>
          <w:b w:val="0"/>
          <w:bCs/>
          <w:color w:val="000000"/>
          <w:sz w:val="28"/>
          <w:szCs w:val="28"/>
          <w:highlight w:val="none"/>
          <w:lang w:val="en-US" w:eastAsia="zh-CN"/>
        </w:rPr>
        <w:t>五、</w:t>
      </w:r>
      <w:r>
        <w:rPr>
          <w:rFonts w:hint="eastAsia" w:ascii="宋体" w:hAnsi="宋体" w:eastAsia="宋体" w:cs="宋体"/>
          <w:b w:val="0"/>
          <w:bCs/>
          <w:color w:val="000000"/>
          <w:sz w:val="28"/>
          <w:szCs w:val="28"/>
          <w:highlight w:val="none"/>
          <w:lang w:val="zh-CN"/>
        </w:rPr>
        <w:t>交货时间、地点</w:t>
      </w:r>
    </w:p>
    <w:p>
      <w:pPr>
        <w:autoSpaceDE w:val="0"/>
        <w:autoSpaceDN w:val="0"/>
        <w:adjustRightInd w:val="0"/>
        <w:spacing w:line="360" w:lineRule="auto"/>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zh-CN"/>
          <w14:textFill>
            <w14:solidFill>
              <w14:schemeClr w14:val="tx1"/>
            </w14:solidFill>
          </w14:textFill>
        </w:rPr>
        <w:t>最晚不迟于（</w:t>
      </w:r>
      <w:r>
        <w:rPr>
          <w:rFonts w:hint="eastAsia" w:ascii="宋体" w:hAnsi="宋体" w:eastAsia="宋体" w:cs="宋体"/>
          <w:bCs/>
          <w:color w:val="000000" w:themeColor="text1"/>
          <w:sz w:val="28"/>
          <w:szCs w:val="28"/>
          <w:highlight w:val="none"/>
          <w14:textFill>
            <w14:solidFill>
              <w14:schemeClr w14:val="tx1"/>
            </w14:solidFill>
          </w14:textFill>
        </w:rPr>
        <w:sym w:font="Wingdings" w:char="00FE"/>
      </w:r>
      <w:r>
        <w:rPr>
          <w:rFonts w:hint="eastAsia" w:ascii="宋体" w:hAnsi="宋体" w:eastAsia="宋体" w:cs="宋体"/>
          <w:bCs/>
          <w:color w:val="000000" w:themeColor="text1"/>
          <w:sz w:val="28"/>
          <w:szCs w:val="28"/>
          <w:highlight w:val="none"/>
          <w14:textFill>
            <w14:solidFill>
              <w14:schemeClr w14:val="tx1"/>
            </w14:solidFill>
          </w14:textFill>
        </w:rPr>
        <w:t>合同签订</w:t>
      </w:r>
      <w:r>
        <w:rPr>
          <w:rFonts w:hint="eastAsia" w:ascii="宋体" w:hAnsi="宋体" w:eastAsia="宋体" w:cs="宋体"/>
          <w:bCs/>
          <w:color w:val="000000" w:themeColor="text1"/>
          <w:sz w:val="28"/>
          <w:szCs w:val="28"/>
          <w:highlight w:val="none"/>
          <w14:textFill>
            <w14:solidFill>
              <w14:schemeClr w14:val="tx1"/>
            </w14:solidFill>
          </w14:textFill>
        </w:rPr>
        <w:sym w:font="Wingdings" w:char="00A8"/>
      </w:r>
      <w:r>
        <w:rPr>
          <w:rFonts w:hint="eastAsia" w:ascii="宋体" w:hAnsi="宋体" w:eastAsia="宋体" w:cs="宋体"/>
          <w:bCs/>
          <w:color w:val="000000" w:themeColor="text1"/>
          <w:sz w:val="28"/>
          <w:szCs w:val="28"/>
          <w:highlight w:val="none"/>
          <w14:textFill>
            <w14:solidFill>
              <w14:schemeClr w14:val="tx1"/>
            </w14:solidFill>
          </w14:textFill>
        </w:rPr>
        <w:t>取得免表</w:t>
      </w:r>
      <w:r>
        <w:rPr>
          <w:rFonts w:hint="eastAsia" w:ascii="宋体" w:hAnsi="宋体" w:eastAsia="宋体" w:cs="宋体"/>
          <w:bCs/>
          <w:color w:val="000000" w:themeColor="text1"/>
          <w:sz w:val="28"/>
          <w:szCs w:val="28"/>
          <w:highlight w:val="none"/>
          <w14:textFill>
            <w14:solidFill>
              <w14:schemeClr w14:val="tx1"/>
            </w14:solidFill>
          </w14:textFill>
        </w:rPr>
        <w:sym w:font="Wingdings" w:char="00A8"/>
      </w:r>
      <w:r>
        <w:rPr>
          <w:rFonts w:hint="eastAsia" w:ascii="宋体" w:hAnsi="宋体" w:eastAsia="宋体" w:cs="宋体"/>
          <w:bCs/>
          <w:color w:val="000000" w:themeColor="text1"/>
          <w:sz w:val="28"/>
          <w:szCs w:val="28"/>
          <w:highlight w:val="none"/>
          <w14:textFill>
            <w14:solidFill>
              <w14:schemeClr w14:val="tx1"/>
            </w14:solidFill>
          </w14:textFill>
        </w:rPr>
        <w:t>收到信用证</w:t>
      </w:r>
      <w:r>
        <w:rPr>
          <w:rFonts w:hint="eastAsia" w:ascii="宋体" w:hAnsi="宋体" w:eastAsia="宋体" w:cs="宋体"/>
          <w:color w:val="000000" w:themeColor="text1"/>
          <w:sz w:val="28"/>
          <w:szCs w:val="28"/>
          <w:highlight w:val="none"/>
          <w:lang w:val="zh-CN"/>
          <w14:textFill>
            <w14:solidFill>
              <w14:schemeClr w14:val="tx1"/>
            </w14:solidFill>
          </w14:textFill>
        </w:rPr>
        <w:t>）</w:t>
      </w:r>
      <w:r>
        <w:rPr>
          <w:rFonts w:hint="eastAsia"/>
          <w:color w:val="000000" w:themeColor="text1"/>
          <w:sz w:val="28"/>
          <w:szCs w:val="28"/>
          <w:highlight w:val="none"/>
          <w:lang w:val="en-US" w:eastAsia="zh-CN"/>
          <w14:textFill>
            <w14:solidFill>
              <w14:schemeClr w14:val="tx1"/>
            </w14:solidFill>
          </w14:textFill>
        </w:rPr>
        <w:t>后</w:t>
      </w:r>
      <w:r>
        <w:rPr>
          <w:rFonts w:hint="eastAsia" w:ascii="宋体" w:hAnsi="宋体" w:cs="宋体"/>
          <w:color w:val="000000" w:themeColor="text1"/>
          <w:sz w:val="28"/>
          <w:szCs w:val="28"/>
          <w:highlight w:val="none"/>
          <w:lang w:val="en-US" w:eastAsia="zh-CN"/>
          <w14:textFill>
            <w14:solidFill>
              <w14:schemeClr w14:val="tx1"/>
            </w14:solidFill>
          </w14:textFill>
        </w:rPr>
        <w:t>139日历天</w:t>
      </w:r>
      <w:r>
        <w:rPr>
          <w:rFonts w:hint="eastAsia" w:ascii="宋体" w:hAnsi="宋体" w:eastAsia="宋体" w:cs="宋体"/>
          <w:color w:val="000000" w:themeColor="text1"/>
          <w:sz w:val="28"/>
          <w:szCs w:val="28"/>
          <w:highlight w:val="none"/>
          <w:lang w:val="zh-CN"/>
          <w14:textFill>
            <w14:solidFill>
              <w14:schemeClr w14:val="tx1"/>
            </w14:solidFill>
          </w14:textFill>
        </w:rPr>
        <w:t>。</w:t>
      </w: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cs="宋体"/>
          <w:color w:val="000000" w:themeColor="text1"/>
          <w:sz w:val="28"/>
          <w:szCs w:val="28"/>
          <w:highlight w:val="none"/>
          <w:lang w:val="en-US" w:eastAsia="zh-CN"/>
          <w14:textFill>
            <w14:solidFill>
              <w14:schemeClr w14:val="tx1"/>
            </w14:solidFill>
          </w14:textFill>
        </w:rPr>
        <w:t>139日历天内完成调试并正常运行）</w:t>
      </w:r>
    </w:p>
    <w:p>
      <w:pPr>
        <w:autoSpaceDE w:val="0"/>
        <w:autoSpaceDN w:val="0"/>
        <w:adjustRightInd w:val="0"/>
        <w:spacing w:line="360" w:lineRule="auto"/>
        <w:rPr>
          <w:rFonts w:hint="eastAsia" w:ascii="宋体" w:hAnsi="宋体" w:cs="宋体"/>
          <w:color w:val="000000" w:themeColor="text1"/>
          <w:sz w:val="28"/>
          <w:szCs w:val="28"/>
          <w:highlight w:val="none"/>
          <w:u w:val="singl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zh-CN"/>
          <w14:textFill>
            <w14:solidFill>
              <w14:schemeClr w14:val="tx1"/>
            </w14:solidFill>
          </w14:textFill>
        </w:rPr>
        <w:t>货物交付地点（送货前再确认，可经双方同意后变更至其他地址）：</w:t>
      </w:r>
      <w:r>
        <w:rPr>
          <w:rFonts w:hint="eastAsia" w:ascii="宋体" w:hAnsi="宋体" w:cs="宋体"/>
          <w:color w:val="000000" w:themeColor="text1"/>
          <w:sz w:val="28"/>
          <w:szCs w:val="28"/>
          <w:highlight w:val="none"/>
          <w:u w:val="single"/>
          <w:lang w:val="en-US" w:eastAsia="zh-CN"/>
          <w14:textFill>
            <w14:solidFill>
              <w14:schemeClr w14:val="tx1"/>
            </w14:solidFill>
          </w14:textFill>
        </w:rPr>
        <w:t>浙江省衢州市柯城区衢州智能制造产业园</w:t>
      </w:r>
    </w:p>
    <w:p>
      <w:pPr>
        <w:autoSpaceDE w:val="0"/>
        <w:autoSpaceDN w:val="0"/>
        <w:adjustRightInd w:val="0"/>
        <w:spacing w:line="360" w:lineRule="auto"/>
        <w:rPr>
          <w:rFonts w:hint="default" w:ascii="宋体" w:hAnsi="宋体" w:cs="宋体"/>
          <w:color w:val="000000" w:themeColor="text1"/>
          <w:sz w:val="28"/>
          <w:szCs w:val="28"/>
          <w:highlight w:val="none"/>
          <w:u w:val="single"/>
          <w:lang w:val="en-US" w:eastAsia="zh-CN"/>
          <w14:textFill>
            <w14:solidFill>
              <w14:schemeClr w14:val="tx1"/>
            </w14:solidFill>
          </w14:textFill>
        </w:rPr>
      </w:pPr>
      <w:r>
        <w:rPr>
          <w:rFonts w:hint="eastAsia" w:ascii="宋体" w:hAnsi="宋体" w:cs="宋体"/>
          <w:color w:val="000000" w:themeColor="text1"/>
          <w:sz w:val="28"/>
          <w:szCs w:val="28"/>
          <w:highlight w:val="none"/>
          <w:u w:val="single"/>
          <w:lang w:val="en-US" w:eastAsia="zh-CN"/>
          <w14:textFill>
            <w14:solidFill>
              <w14:schemeClr w14:val="tx1"/>
            </w14:solidFill>
          </w14:textFill>
        </w:rPr>
        <w:t>1、乙方保证为甲方提供合理范围内最短的供货周期，若甲方从乙方处了解并确认的供货周期明显不符合前述要求，乙方需承担对应违约责任。</w:t>
      </w:r>
    </w:p>
    <w:p>
      <w:pPr>
        <w:autoSpaceDE w:val="0"/>
        <w:autoSpaceDN w:val="0"/>
        <w:adjustRightInd w:val="0"/>
        <w:spacing w:line="360" w:lineRule="auto"/>
        <w:rPr>
          <w:rFonts w:hint="eastAsia" w:ascii="宋体" w:hAnsi="宋体" w:eastAsia="宋体" w:cs="宋体"/>
          <w:color w:val="000000"/>
          <w:sz w:val="28"/>
          <w:szCs w:val="28"/>
          <w:highlight w:val="none"/>
          <w:lang w:val="zh-CN"/>
        </w:rPr>
      </w:pPr>
      <w:r>
        <w:rPr>
          <w:rFonts w:hint="eastAsia" w:ascii="宋体" w:hAnsi="宋体" w:cs="宋体"/>
          <w:color w:val="000000"/>
          <w:sz w:val="28"/>
          <w:szCs w:val="28"/>
          <w:highlight w:val="none"/>
          <w:lang w:val="en-US" w:eastAsia="zh-CN"/>
        </w:rPr>
        <w:t>2</w:t>
      </w:r>
      <w:r>
        <w:rPr>
          <w:rFonts w:hint="eastAsia" w:ascii="宋体" w:hAnsi="宋体" w:eastAsia="宋体" w:cs="宋体"/>
          <w:color w:val="000000"/>
          <w:sz w:val="28"/>
          <w:szCs w:val="28"/>
          <w:highlight w:val="none"/>
          <w:lang w:val="zh-CN"/>
        </w:rPr>
        <w:t>、乙方在合同签订后，按照其与使用单位事先直接联系约定，将所供商品安全运至指定地点，并负责安装调试。</w:t>
      </w:r>
    </w:p>
    <w:p>
      <w:pPr>
        <w:autoSpaceDE w:val="0"/>
        <w:autoSpaceDN w:val="0"/>
        <w:adjustRightInd w:val="0"/>
        <w:spacing w:line="360" w:lineRule="auto"/>
        <w:rPr>
          <w:rFonts w:hint="eastAsia" w:ascii="宋体" w:hAnsi="宋体" w:eastAsia="宋体" w:cs="宋体"/>
          <w:color w:val="000000"/>
          <w:sz w:val="28"/>
          <w:szCs w:val="28"/>
          <w:highlight w:val="none"/>
          <w:lang w:val="zh-CN"/>
        </w:rPr>
      </w:pPr>
      <w:r>
        <w:rPr>
          <w:rFonts w:hint="eastAsia" w:ascii="宋体" w:hAnsi="宋体" w:cs="宋体"/>
          <w:color w:val="000000"/>
          <w:sz w:val="28"/>
          <w:szCs w:val="28"/>
          <w:highlight w:val="none"/>
          <w:lang w:val="en-US" w:eastAsia="zh-CN"/>
        </w:rPr>
        <w:t>3</w:t>
      </w:r>
      <w:r>
        <w:rPr>
          <w:rFonts w:hint="eastAsia" w:ascii="宋体" w:hAnsi="宋体" w:eastAsia="宋体" w:cs="宋体"/>
          <w:color w:val="000000"/>
          <w:sz w:val="28"/>
          <w:szCs w:val="28"/>
          <w:highlight w:val="none"/>
          <w:lang w:val="zh-CN"/>
        </w:rPr>
        <w:t>、在所供商品交付使用时，乙方必须向使用方提供产品说明书、质量保证书、保修卡等必须具备的相关资料和必备的附件，</w:t>
      </w:r>
      <w:r>
        <w:rPr>
          <w:rFonts w:hint="eastAsia" w:ascii="宋体" w:hAnsi="宋体" w:eastAsia="宋体" w:cs="宋体"/>
          <w:color w:val="000000"/>
          <w:sz w:val="28"/>
          <w:szCs w:val="28"/>
          <w:highlight w:val="none"/>
        </w:rPr>
        <w:t>并对使用单位人员进行培训</w:t>
      </w:r>
      <w:r>
        <w:rPr>
          <w:rFonts w:hint="eastAsia" w:ascii="宋体" w:hAnsi="宋体" w:eastAsia="宋体" w:cs="宋体"/>
          <w:color w:val="000000"/>
          <w:sz w:val="28"/>
          <w:szCs w:val="28"/>
          <w:highlight w:val="none"/>
          <w:lang w:val="zh-CN"/>
        </w:rPr>
        <w:t>。</w:t>
      </w:r>
    </w:p>
    <w:p>
      <w:pPr>
        <w:autoSpaceDE w:val="0"/>
        <w:autoSpaceDN w:val="0"/>
        <w:adjustRightInd w:val="0"/>
        <w:spacing w:line="360" w:lineRule="auto"/>
        <w:rPr>
          <w:rFonts w:hint="eastAsia" w:ascii="宋体" w:hAnsi="宋体" w:cs="宋体"/>
          <w:color w:val="000000"/>
          <w:sz w:val="28"/>
          <w:szCs w:val="28"/>
          <w:highlight w:val="none"/>
          <w:lang w:val="en-US" w:eastAsia="zh-CN"/>
        </w:rPr>
      </w:pPr>
      <w:r>
        <w:rPr>
          <w:rFonts w:hint="eastAsia" w:ascii="宋体" w:hAnsi="宋体" w:cs="宋体"/>
          <w:color w:val="000000"/>
          <w:sz w:val="28"/>
          <w:szCs w:val="28"/>
          <w:highlight w:val="none"/>
          <w:lang w:val="en-US" w:eastAsia="zh-CN"/>
        </w:rPr>
        <w:t>4、乙方在货物发运手续办理完毕后24小时内或货到甲方48小时前通知甲方，确保甲方有充足时间安排相关事宜。</w:t>
      </w:r>
    </w:p>
    <w:p>
      <w:pPr>
        <w:autoSpaceDE w:val="0"/>
        <w:autoSpaceDN w:val="0"/>
        <w:adjustRightInd w:val="0"/>
        <w:spacing w:line="360" w:lineRule="auto"/>
        <w:rPr>
          <w:rFonts w:hint="eastAsia" w:ascii="宋体" w:hAnsi="宋体" w:cs="宋体"/>
          <w:color w:val="000000"/>
          <w:sz w:val="28"/>
          <w:szCs w:val="28"/>
          <w:highlight w:val="none"/>
          <w:lang w:val="en-US" w:eastAsia="zh-CN"/>
        </w:rPr>
      </w:pPr>
      <w:r>
        <w:rPr>
          <w:rFonts w:hint="eastAsia" w:ascii="宋体" w:hAnsi="宋体" w:cs="宋体"/>
          <w:color w:val="000000"/>
          <w:sz w:val="28"/>
          <w:szCs w:val="28"/>
          <w:highlight w:val="none"/>
          <w:lang w:val="en-US" w:eastAsia="zh-CN"/>
        </w:rPr>
        <w:t>5、货物在甲方场地交付前发生的风险均由乙方承担。乙方需确保货物安全无损运抵现场，货物在移交甲方之前因包装不善造成的锈蚀、破损、丢失等均由乙方承担责任。</w:t>
      </w:r>
    </w:p>
    <w:p>
      <w:pPr>
        <w:autoSpaceDE w:val="0"/>
        <w:autoSpaceDN w:val="0"/>
        <w:adjustRightInd w:val="0"/>
        <w:spacing w:line="360" w:lineRule="auto"/>
        <w:rPr>
          <w:rFonts w:hint="eastAsia" w:ascii="宋体" w:hAnsi="宋体" w:cs="宋体"/>
          <w:color w:val="000000"/>
          <w:sz w:val="28"/>
          <w:szCs w:val="28"/>
          <w:highlight w:val="none"/>
          <w:lang w:val="en-US" w:eastAsia="zh-CN"/>
        </w:rPr>
      </w:pPr>
      <w:r>
        <w:rPr>
          <w:rFonts w:hint="eastAsia" w:ascii="宋体" w:hAnsi="宋体" w:cs="宋体"/>
          <w:color w:val="000000"/>
          <w:sz w:val="28"/>
          <w:szCs w:val="28"/>
          <w:highlight w:val="none"/>
          <w:lang w:val="en-US" w:eastAsia="zh-CN"/>
        </w:rPr>
        <w:t>6、货物在装卸、运输中发生损坏或短缺后，若甲方不以验收不合格为由要求解除合同，则乙方需在15日内给予调换和补齐缺件，不管其造成的原因如何，也不以办理索赔为由而拖延。</w:t>
      </w:r>
    </w:p>
    <w:p>
      <w:pPr>
        <w:autoSpaceDE w:val="0"/>
        <w:autoSpaceDN w:val="0"/>
        <w:adjustRightInd w:val="0"/>
        <w:spacing w:line="360" w:lineRule="auto"/>
        <w:rPr>
          <w:rFonts w:hint="default" w:ascii="宋体" w:hAnsi="宋体" w:cs="宋体"/>
          <w:color w:val="000000"/>
          <w:sz w:val="28"/>
          <w:szCs w:val="28"/>
          <w:highlight w:val="none"/>
          <w:lang w:val="en-US" w:eastAsia="zh-CN"/>
        </w:rPr>
      </w:pPr>
      <w:r>
        <w:rPr>
          <w:rFonts w:hint="eastAsia" w:ascii="宋体" w:hAnsi="宋体" w:cs="宋体"/>
          <w:color w:val="000000"/>
          <w:sz w:val="28"/>
          <w:szCs w:val="28"/>
          <w:highlight w:val="none"/>
          <w:lang w:val="en-US" w:eastAsia="zh-CN"/>
        </w:rPr>
        <w:t>7、无论乙方是否自办运输事宜，运输过程的风险均由乙方单独承担。不管其造成的原因如何，乙方不得以办理索赔为由而拖延。</w:t>
      </w:r>
    </w:p>
    <w:p>
      <w:pPr>
        <w:autoSpaceDE w:val="0"/>
        <w:autoSpaceDN w:val="0"/>
        <w:adjustRightInd w:val="0"/>
        <w:spacing w:line="360" w:lineRule="auto"/>
        <w:rPr>
          <w:rFonts w:hint="default" w:ascii="宋体" w:hAnsi="宋体" w:eastAsia="宋体" w:cs="宋体"/>
          <w:color w:val="000000"/>
          <w:sz w:val="28"/>
          <w:szCs w:val="28"/>
          <w:highlight w:val="none"/>
          <w:lang w:val="en-US" w:eastAsia="zh-CN"/>
        </w:rPr>
      </w:pPr>
      <w:r>
        <w:rPr>
          <w:rFonts w:hint="eastAsia" w:ascii="宋体" w:hAnsi="宋体" w:cs="宋体"/>
          <w:color w:val="000000"/>
          <w:sz w:val="28"/>
          <w:szCs w:val="28"/>
          <w:highlight w:val="none"/>
          <w:lang w:val="en-US" w:eastAsia="zh-CN"/>
        </w:rPr>
        <w:t>8、本合同履行期限：合同签订后120日历天内完成供货、安装和调试并通过采购人验收。</w:t>
      </w:r>
    </w:p>
    <w:p>
      <w:pPr>
        <w:autoSpaceDE w:val="0"/>
        <w:autoSpaceDN w:val="0"/>
        <w:adjustRightInd w:val="0"/>
        <w:spacing w:line="490" w:lineRule="exact"/>
        <w:ind w:firstLine="0" w:firstLineChars="0"/>
        <w:rPr>
          <w:rFonts w:hint="eastAsia" w:ascii="宋体" w:hAnsi="宋体" w:eastAsia="宋体" w:cs="宋体"/>
          <w:color w:val="000000"/>
          <w:sz w:val="28"/>
          <w:szCs w:val="28"/>
          <w:highlight w:val="none"/>
          <w:lang w:val="zh-CN" w:eastAsia="zh-CN"/>
        </w:rPr>
      </w:pPr>
      <w:r>
        <w:rPr>
          <w:rFonts w:hint="eastAsia" w:ascii="宋体" w:hAnsi="宋体" w:eastAsia="宋体" w:cs="宋体"/>
          <w:color w:val="000000"/>
          <w:sz w:val="28"/>
          <w:szCs w:val="28"/>
          <w:highlight w:val="none"/>
          <w:lang w:val="zh-CN" w:eastAsia="zh-CN"/>
        </w:rPr>
        <w:t>六、安装调试</w:t>
      </w:r>
    </w:p>
    <w:p>
      <w:pPr>
        <w:numPr>
          <w:ilvl w:val="0"/>
          <w:numId w:val="0"/>
        </w:numPr>
        <w:autoSpaceDE w:val="0"/>
        <w:autoSpaceDN w:val="0"/>
        <w:adjustRightInd w:val="0"/>
        <w:spacing w:line="490" w:lineRule="exact"/>
        <w:ind w:firstLine="560" w:firstLineChars="200"/>
        <w:rPr>
          <w:rFonts w:hint="eastAsia" w:ascii="宋体" w:hAnsi="宋体" w:eastAsia="宋体" w:cs="宋体"/>
          <w:color w:val="000000"/>
          <w:sz w:val="28"/>
          <w:szCs w:val="28"/>
          <w:highlight w:val="none"/>
          <w:lang w:val="zh-CN" w:eastAsia="zh-CN"/>
        </w:rPr>
      </w:pPr>
      <w:r>
        <w:rPr>
          <w:rFonts w:hint="eastAsia" w:ascii="宋体" w:hAnsi="宋体" w:eastAsia="宋体" w:cs="宋体"/>
          <w:color w:val="000000"/>
          <w:sz w:val="28"/>
          <w:szCs w:val="28"/>
          <w:highlight w:val="none"/>
          <w:lang w:val="en-US" w:eastAsia="zh-CN"/>
        </w:rPr>
        <w:t>1、</w:t>
      </w:r>
      <w:r>
        <w:rPr>
          <w:rFonts w:hint="eastAsia" w:ascii="宋体" w:hAnsi="宋体" w:eastAsia="宋体" w:cs="宋体"/>
          <w:color w:val="000000"/>
          <w:sz w:val="28"/>
          <w:szCs w:val="28"/>
          <w:highlight w:val="none"/>
          <w:lang w:val="zh-CN" w:eastAsia="zh-CN"/>
        </w:rPr>
        <w:t>安装地点：甲方指定地点。</w:t>
      </w:r>
    </w:p>
    <w:p>
      <w:pPr>
        <w:numPr>
          <w:ilvl w:val="0"/>
          <w:numId w:val="0"/>
        </w:numPr>
        <w:autoSpaceDE w:val="0"/>
        <w:autoSpaceDN w:val="0"/>
        <w:adjustRightInd w:val="0"/>
        <w:spacing w:line="490" w:lineRule="exact"/>
        <w:ind w:firstLine="560" w:firstLineChars="200"/>
        <w:rPr>
          <w:rFonts w:hint="eastAsia" w:ascii="宋体" w:hAnsi="宋体" w:eastAsia="宋体" w:cs="宋体"/>
          <w:color w:val="000000"/>
          <w:sz w:val="28"/>
          <w:szCs w:val="28"/>
          <w:highlight w:val="none"/>
          <w:lang w:val="zh-CN" w:eastAsia="zh-CN"/>
        </w:rPr>
      </w:pPr>
      <w:r>
        <w:rPr>
          <w:rFonts w:hint="eastAsia" w:ascii="宋体" w:hAnsi="宋体" w:eastAsia="宋体" w:cs="宋体"/>
          <w:color w:val="000000"/>
          <w:sz w:val="28"/>
          <w:szCs w:val="28"/>
          <w:highlight w:val="none"/>
          <w:lang w:val="en-US" w:eastAsia="zh-CN"/>
        </w:rPr>
        <w:t>2、</w:t>
      </w:r>
      <w:r>
        <w:rPr>
          <w:rFonts w:hint="eastAsia" w:ascii="宋体" w:hAnsi="宋体" w:eastAsia="宋体" w:cs="宋体"/>
          <w:color w:val="000000"/>
          <w:sz w:val="28"/>
          <w:szCs w:val="28"/>
          <w:highlight w:val="none"/>
          <w:lang w:val="zh-CN" w:eastAsia="zh-CN"/>
        </w:rPr>
        <w:t>安装完成时间：接到甲方通知后在规定时间内完成安装和调试，如在规定的时间内由于乙方的原因不能完成安装和调试，乙方应承担由此给甲方造成的损失。</w:t>
      </w:r>
    </w:p>
    <w:p>
      <w:pPr>
        <w:numPr>
          <w:ilvl w:val="0"/>
          <w:numId w:val="0"/>
        </w:numPr>
        <w:autoSpaceDE w:val="0"/>
        <w:autoSpaceDN w:val="0"/>
        <w:adjustRightInd w:val="0"/>
        <w:spacing w:line="490" w:lineRule="exact"/>
        <w:ind w:firstLine="560" w:firstLineChars="200"/>
        <w:rPr>
          <w:rFonts w:hint="eastAsia" w:ascii="宋体" w:hAnsi="宋体" w:eastAsia="宋体" w:cs="宋体"/>
          <w:color w:val="000000"/>
          <w:sz w:val="28"/>
          <w:szCs w:val="28"/>
          <w:highlight w:val="none"/>
          <w:lang w:val="zh-CN" w:eastAsia="zh-CN"/>
        </w:rPr>
      </w:pPr>
      <w:r>
        <w:rPr>
          <w:rFonts w:hint="eastAsia" w:ascii="宋体" w:hAnsi="宋体" w:eastAsia="宋体" w:cs="宋体"/>
          <w:color w:val="000000"/>
          <w:sz w:val="28"/>
          <w:szCs w:val="28"/>
          <w:highlight w:val="none"/>
          <w:lang w:val="en-US" w:eastAsia="zh-CN"/>
        </w:rPr>
        <w:t>3、</w:t>
      </w:r>
      <w:r>
        <w:rPr>
          <w:rFonts w:hint="eastAsia" w:ascii="宋体" w:hAnsi="宋体" w:eastAsia="宋体" w:cs="宋体"/>
          <w:color w:val="000000"/>
          <w:sz w:val="28"/>
          <w:szCs w:val="28"/>
          <w:highlight w:val="none"/>
          <w:lang w:val="zh-CN" w:eastAsia="zh-CN"/>
        </w:rPr>
        <w:t>如乙方委托国内代理（或其他机构）负责安装或配合安装应在签约时指明，但乙方仍要对合同货物及其安装质量负全部责任。</w:t>
      </w:r>
    </w:p>
    <w:p>
      <w:pPr>
        <w:numPr>
          <w:ilvl w:val="0"/>
          <w:numId w:val="0"/>
        </w:numPr>
        <w:autoSpaceDE w:val="0"/>
        <w:autoSpaceDN w:val="0"/>
        <w:adjustRightInd w:val="0"/>
        <w:spacing w:line="490" w:lineRule="exact"/>
        <w:ind w:firstLine="560" w:firstLineChars="200"/>
        <w:rPr>
          <w:rFonts w:hint="eastAsia" w:ascii="宋体" w:hAnsi="宋体" w:eastAsia="宋体" w:cs="宋体"/>
          <w:color w:val="000000"/>
          <w:sz w:val="28"/>
          <w:szCs w:val="28"/>
          <w:highlight w:val="none"/>
          <w:lang w:val="zh-CN" w:eastAsia="zh-CN"/>
        </w:rPr>
      </w:pPr>
      <w:r>
        <w:rPr>
          <w:rFonts w:hint="eastAsia" w:ascii="宋体" w:hAnsi="宋体" w:eastAsia="宋体" w:cs="宋体"/>
          <w:color w:val="000000"/>
          <w:sz w:val="28"/>
          <w:szCs w:val="28"/>
          <w:highlight w:val="none"/>
          <w:lang w:val="en-US" w:eastAsia="zh-CN"/>
        </w:rPr>
        <w:t>4、</w:t>
      </w:r>
      <w:r>
        <w:rPr>
          <w:rFonts w:hint="eastAsia" w:ascii="宋体" w:hAnsi="宋体" w:eastAsia="宋体" w:cs="宋体"/>
          <w:color w:val="000000"/>
          <w:sz w:val="28"/>
          <w:szCs w:val="28"/>
          <w:highlight w:val="none"/>
          <w:lang w:val="zh-CN" w:eastAsia="zh-CN"/>
        </w:rPr>
        <w:t>安装标准：</w:t>
      </w:r>
      <w:r>
        <w:rPr>
          <w:rFonts w:hint="eastAsia" w:ascii="宋体" w:hAnsi="宋体" w:cs="宋体"/>
          <w:color w:val="000000"/>
          <w:sz w:val="28"/>
          <w:szCs w:val="28"/>
          <w:highlight w:val="none"/>
          <w:lang w:val="en-US" w:eastAsia="zh-CN"/>
        </w:rPr>
        <w:t>乙方应派经甲方认可的有经验和能力、具有相应资质的技术人员，负责安装工作，在安装期间充分了解安装进度要求，解决安装中出现的技术问题。</w:t>
      </w:r>
      <w:r>
        <w:rPr>
          <w:rFonts w:hint="eastAsia" w:ascii="宋体" w:hAnsi="宋体" w:eastAsia="宋体" w:cs="宋体"/>
          <w:color w:val="000000"/>
          <w:sz w:val="28"/>
          <w:szCs w:val="28"/>
          <w:highlight w:val="none"/>
          <w:lang w:val="zh-CN" w:eastAsia="zh-CN"/>
        </w:rPr>
        <w:t>符合我国国家有关技术规范要求和技术标准，所有的软件和硬件必须保证同时安装到位。</w:t>
      </w:r>
    </w:p>
    <w:p>
      <w:pPr>
        <w:numPr>
          <w:ilvl w:val="0"/>
          <w:numId w:val="0"/>
        </w:numPr>
        <w:autoSpaceDE w:val="0"/>
        <w:autoSpaceDN w:val="0"/>
        <w:adjustRightInd w:val="0"/>
        <w:spacing w:line="490" w:lineRule="exact"/>
        <w:ind w:firstLine="560" w:firstLineChars="200"/>
        <w:rPr>
          <w:rFonts w:hint="eastAsia" w:ascii="宋体" w:hAnsi="宋体" w:eastAsia="宋体" w:cs="宋体"/>
          <w:color w:val="000000"/>
          <w:sz w:val="28"/>
          <w:szCs w:val="28"/>
          <w:highlight w:val="none"/>
          <w:lang w:val="zh-CN" w:eastAsia="zh-CN"/>
        </w:rPr>
      </w:pPr>
      <w:r>
        <w:rPr>
          <w:rFonts w:hint="eastAsia" w:ascii="宋体" w:hAnsi="宋体" w:eastAsia="宋体" w:cs="宋体"/>
          <w:color w:val="000000"/>
          <w:sz w:val="28"/>
          <w:szCs w:val="28"/>
          <w:highlight w:val="none"/>
          <w:lang w:val="en-US" w:eastAsia="zh-CN"/>
        </w:rPr>
        <w:t>5、</w:t>
      </w:r>
      <w:r>
        <w:rPr>
          <w:rFonts w:hint="eastAsia" w:ascii="宋体" w:hAnsi="宋体" w:eastAsia="宋体" w:cs="宋体"/>
          <w:color w:val="000000"/>
          <w:sz w:val="28"/>
          <w:szCs w:val="28"/>
          <w:highlight w:val="none"/>
          <w:lang w:val="zh-CN" w:eastAsia="zh-CN"/>
        </w:rPr>
        <w:t>乙方免费提供合同货物的安装服务，并保质保量完成安装服务。</w:t>
      </w:r>
    </w:p>
    <w:p>
      <w:pPr>
        <w:numPr>
          <w:ilvl w:val="0"/>
          <w:numId w:val="0"/>
        </w:numPr>
        <w:autoSpaceDE w:val="0"/>
        <w:autoSpaceDN w:val="0"/>
        <w:adjustRightInd w:val="0"/>
        <w:spacing w:line="490" w:lineRule="exact"/>
        <w:ind w:firstLine="560" w:firstLineChars="200"/>
        <w:rPr>
          <w:rFonts w:hint="eastAsia" w:ascii="宋体" w:hAnsi="宋体" w:eastAsia="宋体" w:cs="宋体"/>
          <w:color w:val="000000"/>
          <w:sz w:val="28"/>
          <w:szCs w:val="28"/>
          <w:highlight w:val="none"/>
          <w:lang w:val="zh-CN" w:eastAsia="zh-CN"/>
        </w:rPr>
      </w:pPr>
      <w:r>
        <w:rPr>
          <w:rFonts w:hint="eastAsia" w:ascii="宋体" w:hAnsi="宋体" w:eastAsia="宋体" w:cs="宋体"/>
          <w:color w:val="000000"/>
          <w:sz w:val="28"/>
          <w:szCs w:val="28"/>
          <w:highlight w:val="none"/>
          <w:lang w:val="en-US" w:eastAsia="zh-CN"/>
        </w:rPr>
        <w:t>6、</w:t>
      </w:r>
      <w:r>
        <w:rPr>
          <w:rFonts w:hint="eastAsia" w:ascii="宋体" w:hAnsi="宋体" w:eastAsia="宋体" w:cs="宋体"/>
          <w:color w:val="000000"/>
          <w:sz w:val="28"/>
          <w:szCs w:val="28"/>
          <w:highlight w:val="none"/>
          <w:lang w:val="zh-CN" w:eastAsia="zh-CN"/>
        </w:rPr>
        <w:t>乙方应提供安装调试计划、对安装场地和环境的要求。</w:t>
      </w:r>
    </w:p>
    <w:p>
      <w:pPr>
        <w:numPr>
          <w:ilvl w:val="0"/>
          <w:numId w:val="0"/>
        </w:numPr>
        <w:autoSpaceDE w:val="0"/>
        <w:autoSpaceDN w:val="0"/>
        <w:adjustRightInd w:val="0"/>
        <w:spacing w:line="490" w:lineRule="exact"/>
        <w:ind w:firstLine="560" w:firstLineChars="200"/>
        <w:rPr>
          <w:rFonts w:hint="eastAsia" w:ascii="宋体" w:hAnsi="宋体" w:eastAsia="宋体" w:cs="宋体"/>
          <w:color w:val="000000"/>
          <w:sz w:val="28"/>
          <w:szCs w:val="28"/>
          <w:highlight w:val="none"/>
          <w:lang w:val="zh-CN" w:eastAsia="zh-CN"/>
        </w:rPr>
      </w:pPr>
      <w:r>
        <w:rPr>
          <w:rFonts w:hint="eastAsia" w:ascii="宋体" w:hAnsi="宋体" w:eastAsia="宋体" w:cs="宋体"/>
          <w:color w:val="000000"/>
          <w:sz w:val="28"/>
          <w:szCs w:val="28"/>
          <w:highlight w:val="none"/>
          <w:lang w:val="en-US" w:eastAsia="zh-CN"/>
        </w:rPr>
        <w:t>7、</w:t>
      </w:r>
      <w:r>
        <w:rPr>
          <w:rFonts w:hint="eastAsia" w:ascii="宋体" w:hAnsi="宋体" w:eastAsia="宋体" w:cs="宋体"/>
          <w:color w:val="000000"/>
          <w:sz w:val="28"/>
          <w:szCs w:val="28"/>
          <w:highlight w:val="none"/>
          <w:lang w:val="zh-CN" w:eastAsia="zh-CN"/>
        </w:rPr>
        <w:t>乙方应提供质保期满后主要零部件报价单、质保期满后维护费、软件升级及其相关服务内容。</w:t>
      </w:r>
    </w:p>
    <w:p>
      <w:pPr>
        <w:numPr>
          <w:ilvl w:val="0"/>
          <w:numId w:val="0"/>
        </w:numPr>
        <w:autoSpaceDE w:val="0"/>
        <w:autoSpaceDN w:val="0"/>
        <w:adjustRightInd w:val="0"/>
        <w:spacing w:line="490" w:lineRule="exact"/>
        <w:ind w:firstLine="560" w:firstLineChars="200"/>
        <w:rPr>
          <w:rFonts w:hint="eastAsia" w:ascii="宋体" w:hAnsi="宋体" w:eastAsia="宋体" w:cs="宋体"/>
          <w:color w:val="000000"/>
          <w:sz w:val="28"/>
          <w:szCs w:val="28"/>
          <w:highlight w:val="none"/>
          <w:lang w:val="zh-CN" w:eastAsia="zh-CN"/>
        </w:rPr>
      </w:pPr>
      <w:r>
        <w:rPr>
          <w:rFonts w:hint="eastAsia" w:ascii="宋体" w:hAnsi="宋体" w:eastAsia="宋体" w:cs="宋体"/>
          <w:color w:val="000000"/>
          <w:sz w:val="28"/>
          <w:szCs w:val="28"/>
          <w:highlight w:val="none"/>
          <w:lang w:val="en-US" w:eastAsia="zh-CN"/>
        </w:rPr>
        <w:t>8、</w:t>
      </w:r>
      <w:r>
        <w:rPr>
          <w:rFonts w:hint="eastAsia" w:ascii="宋体" w:hAnsi="宋体" w:eastAsia="宋体" w:cs="宋体"/>
          <w:color w:val="000000"/>
          <w:sz w:val="28"/>
          <w:szCs w:val="28"/>
          <w:highlight w:val="none"/>
          <w:lang w:val="zh-CN" w:eastAsia="zh-CN"/>
        </w:rPr>
        <w:t>乙方供货时提供有关的全套技术文件。</w:t>
      </w:r>
    </w:p>
    <w:p>
      <w:pPr>
        <w:numPr>
          <w:ilvl w:val="0"/>
          <w:numId w:val="0"/>
        </w:numPr>
        <w:autoSpaceDE w:val="0"/>
        <w:autoSpaceDN w:val="0"/>
        <w:adjustRightInd w:val="0"/>
        <w:spacing w:line="490" w:lineRule="exact"/>
        <w:ind w:firstLine="560" w:firstLineChars="200"/>
        <w:rPr>
          <w:rFonts w:hint="eastAsia" w:ascii="宋体" w:hAnsi="宋体" w:cs="宋体"/>
          <w:color w:val="000000"/>
          <w:sz w:val="28"/>
          <w:szCs w:val="28"/>
          <w:highlight w:val="none"/>
          <w:lang w:val="en-US" w:eastAsia="zh-CN"/>
        </w:rPr>
      </w:pPr>
      <w:r>
        <w:rPr>
          <w:rFonts w:hint="eastAsia" w:ascii="宋体" w:hAnsi="宋体" w:cs="宋体"/>
          <w:color w:val="000000"/>
          <w:sz w:val="28"/>
          <w:szCs w:val="28"/>
          <w:highlight w:val="none"/>
          <w:lang w:val="en-US" w:eastAsia="zh-CN"/>
        </w:rPr>
        <w:t>9、调试所需专用工具的设施物料由成交人自备、自费运到现场，完工后自费搬走。</w:t>
      </w:r>
    </w:p>
    <w:p>
      <w:pPr>
        <w:numPr>
          <w:ilvl w:val="0"/>
          <w:numId w:val="0"/>
        </w:numPr>
        <w:autoSpaceDE w:val="0"/>
        <w:autoSpaceDN w:val="0"/>
        <w:adjustRightInd w:val="0"/>
        <w:spacing w:line="490" w:lineRule="exact"/>
        <w:ind w:firstLine="560" w:firstLineChars="200"/>
        <w:rPr>
          <w:rFonts w:hint="eastAsia" w:ascii="宋体" w:hAnsi="宋体" w:cs="宋体"/>
          <w:color w:val="000000"/>
          <w:sz w:val="28"/>
          <w:szCs w:val="28"/>
          <w:highlight w:val="none"/>
          <w:lang w:val="en-US" w:eastAsia="zh-CN"/>
        </w:rPr>
      </w:pPr>
      <w:r>
        <w:rPr>
          <w:rFonts w:hint="eastAsia" w:ascii="宋体" w:hAnsi="宋体" w:cs="宋体"/>
          <w:color w:val="000000"/>
          <w:sz w:val="28"/>
          <w:szCs w:val="28"/>
          <w:highlight w:val="none"/>
          <w:lang w:val="en-US" w:eastAsia="zh-CN"/>
        </w:rPr>
        <w:t>10、安装完成后进行调试，调试按国家有关规范标准（国家无验收规范标准的按双方合同规定的要求）进行。</w:t>
      </w:r>
    </w:p>
    <w:p>
      <w:pPr>
        <w:numPr>
          <w:ilvl w:val="0"/>
          <w:numId w:val="0"/>
        </w:numPr>
        <w:autoSpaceDE w:val="0"/>
        <w:autoSpaceDN w:val="0"/>
        <w:adjustRightInd w:val="0"/>
        <w:spacing w:line="490" w:lineRule="exact"/>
        <w:ind w:firstLine="560" w:firstLineChars="200"/>
        <w:rPr>
          <w:rFonts w:hint="eastAsia" w:ascii="宋体" w:hAnsi="宋体" w:cs="宋体"/>
          <w:color w:val="000000"/>
          <w:sz w:val="28"/>
          <w:szCs w:val="28"/>
          <w:highlight w:val="none"/>
          <w:lang w:val="en-US" w:eastAsia="zh-CN"/>
        </w:rPr>
      </w:pPr>
      <w:r>
        <w:rPr>
          <w:rFonts w:hint="eastAsia" w:ascii="宋体" w:hAnsi="宋体" w:cs="宋体"/>
          <w:color w:val="000000"/>
          <w:sz w:val="28"/>
          <w:szCs w:val="28"/>
          <w:highlight w:val="none"/>
          <w:lang w:val="en-US" w:eastAsia="zh-CN"/>
        </w:rPr>
        <w:t>11、设备的拆箱、调试等各项工作由乙方负责，但必须在甲方指定人员的参与下进行。在实际实施前必须先经采购人同意方可进行。调试的原始记录须经各方签字后作为验收的文件之一。</w:t>
      </w:r>
    </w:p>
    <w:p>
      <w:pPr>
        <w:numPr>
          <w:ilvl w:val="0"/>
          <w:numId w:val="0"/>
        </w:numPr>
        <w:autoSpaceDE w:val="0"/>
        <w:autoSpaceDN w:val="0"/>
        <w:adjustRightInd w:val="0"/>
        <w:spacing w:line="490" w:lineRule="exact"/>
        <w:ind w:firstLine="560" w:firstLineChars="200"/>
        <w:rPr>
          <w:rFonts w:hint="eastAsia" w:ascii="宋体" w:hAnsi="宋体" w:eastAsia="宋体" w:cs="宋体"/>
          <w:color w:val="000000"/>
          <w:sz w:val="28"/>
          <w:szCs w:val="28"/>
          <w:highlight w:val="none"/>
          <w:lang w:val="zh-CN"/>
        </w:rPr>
      </w:pPr>
      <w:r>
        <w:rPr>
          <w:rFonts w:hint="eastAsia" w:ascii="宋体" w:hAnsi="宋体" w:cs="宋体"/>
          <w:color w:val="000000"/>
          <w:sz w:val="28"/>
          <w:szCs w:val="28"/>
          <w:highlight w:val="none"/>
          <w:lang w:val="en-US" w:eastAsia="zh-CN"/>
        </w:rPr>
        <w:t>12、因乙方安装、调试不当造成的货物损坏风险一律由乙方单独承担，甲方对此不承担任何责任。</w:t>
      </w:r>
    </w:p>
    <w:p>
      <w:pPr>
        <w:spacing w:line="360" w:lineRule="auto"/>
        <w:rPr>
          <w:rFonts w:hint="eastAsia" w:ascii="宋体" w:hAnsi="宋体" w:eastAsia="宋体" w:cs="宋体"/>
          <w:b w:val="0"/>
          <w:bCs w:val="0"/>
          <w:color w:val="000000"/>
          <w:sz w:val="28"/>
          <w:szCs w:val="28"/>
          <w:highlight w:val="none"/>
          <w:lang w:val="en-US" w:eastAsia="zh-CN"/>
        </w:rPr>
      </w:pPr>
      <w:r>
        <w:rPr>
          <w:rFonts w:hint="eastAsia" w:ascii="宋体" w:hAnsi="宋体" w:cs="宋体"/>
          <w:b w:val="0"/>
          <w:bCs w:val="0"/>
          <w:color w:val="000000"/>
          <w:sz w:val="28"/>
          <w:szCs w:val="28"/>
          <w:highlight w:val="none"/>
          <w:lang w:val="en-US" w:eastAsia="zh-CN"/>
        </w:rPr>
        <w:t>七、</w:t>
      </w:r>
      <w:r>
        <w:rPr>
          <w:rFonts w:hint="eastAsia" w:ascii="宋体" w:hAnsi="宋体" w:eastAsia="宋体" w:cs="宋体"/>
          <w:b w:val="0"/>
          <w:bCs w:val="0"/>
          <w:color w:val="000000"/>
          <w:sz w:val="28"/>
          <w:szCs w:val="28"/>
          <w:highlight w:val="none"/>
          <w:lang w:val="en-US" w:eastAsia="zh-CN"/>
        </w:rPr>
        <w:t>验收</w:t>
      </w:r>
    </w:p>
    <w:p>
      <w:pPr>
        <w:spacing w:line="360" w:lineRule="auto"/>
        <w:rPr>
          <w:rFonts w:hint="eastAsia" w:ascii="宋体" w:hAnsi="宋体" w:eastAsia="宋体" w:cs="宋体"/>
          <w:bCs/>
          <w:color w:val="000000"/>
          <w:sz w:val="28"/>
          <w:szCs w:val="28"/>
          <w:highlight w:val="none"/>
        </w:rPr>
      </w:pPr>
      <w:r>
        <w:rPr>
          <w:rFonts w:hint="eastAsia" w:ascii="宋体" w:hAnsi="宋体" w:cs="宋体"/>
          <w:bCs/>
          <w:color w:val="000000"/>
          <w:sz w:val="28"/>
          <w:szCs w:val="28"/>
          <w:highlight w:val="none"/>
          <w:lang w:val="en-US" w:eastAsia="zh-CN"/>
        </w:rPr>
        <w:t>1、</w:t>
      </w:r>
      <w:r>
        <w:rPr>
          <w:rFonts w:hint="eastAsia" w:ascii="宋体" w:hAnsi="宋体" w:eastAsia="宋体" w:cs="宋体"/>
          <w:bCs/>
          <w:color w:val="000000"/>
          <w:sz w:val="28"/>
          <w:szCs w:val="28"/>
          <w:highlight w:val="none"/>
          <w:lang w:eastAsia="zh-CN"/>
        </w:rPr>
        <w:t>乙方</w:t>
      </w:r>
      <w:r>
        <w:rPr>
          <w:rFonts w:hint="eastAsia" w:ascii="宋体" w:hAnsi="宋体" w:eastAsia="宋体" w:cs="宋体"/>
          <w:bCs/>
          <w:color w:val="000000"/>
          <w:sz w:val="28"/>
          <w:szCs w:val="28"/>
          <w:highlight w:val="none"/>
        </w:rPr>
        <w:t>将所供商品运至交货地点并安装调试完毕后，</w:t>
      </w:r>
      <w:r>
        <w:rPr>
          <w:rFonts w:hint="eastAsia" w:ascii="宋体" w:hAnsi="宋体" w:eastAsia="宋体" w:cs="宋体"/>
          <w:bCs/>
          <w:color w:val="000000"/>
          <w:sz w:val="28"/>
          <w:szCs w:val="28"/>
          <w:highlight w:val="none"/>
          <w:lang w:val="en-US" w:eastAsia="zh-CN"/>
        </w:rPr>
        <w:t>由甲方</w:t>
      </w:r>
      <w:r>
        <w:rPr>
          <w:rFonts w:hint="eastAsia" w:ascii="宋体" w:hAnsi="宋体" w:cs="宋体"/>
          <w:bCs/>
          <w:color w:val="000000"/>
          <w:sz w:val="28"/>
          <w:szCs w:val="28"/>
          <w:highlight w:val="none"/>
          <w:lang w:val="en-US" w:eastAsia="zh-CN"/>
        </w:rPr>
        <w:t>按照研究院内控要进行</w:t>
      </w:r>
      <w:r>
        <w:rPr>
          <w:rFonts w:hint="eastAsia" w:ascii="宋体" w:hAnsi="宋体" w:eastAsia="宋体" w:cs="宋体"/>
          <w:bCs/>
          <w:color w:val="000000"/>
          <w:sz w:val="28"/>
          <w:szCs w:val="28"/>
          <w:highlight w:val="none"/>
          <w:lang w:val="en-US" w:eastAsia="zh-CN"/>
        </w:rPr>
        <w:t>验收</w:t>
      </w:r>
      <w:r>
        <w:rPr>
          <w:rFonts w:hint="eastAsia" w:ascii="宋体" w:hAnsi="宋体" w:eastAsia="宋体" w:cs="宋体"/>
          <w:bCs/>
          <w:color w:val="000000"/>
          <w:sz w:val="28"/>
          <w:szCs w:val="28"/>
          <w:highlight w:val="none"/>
        </w:rPr>
        <w:t>。如发现质量问题，双方另行约定再次验收条件及时间。因此导致逾期的，</w:t>
      </w:r>
      <w:r>
        <w:rPr>
          <w:rFonts w:hint="eastAsia" w:ascii="宋体" w:hAnsi="宋体" w:eastAsia="宋体" w:cs="宋体"/>
          <w:bCs/>
          <w:color w:val="000000"/>
          <w:sz w:val="28"/>
          <w:szCs w:val="28"/>
          <w:highlight w:val="none"/>
          <w:lang w:eastAsia="zh-CN"/>
        </w:rPr>
        <w:t>乙方</w:t>
      </w:r>
      <w:r>
        <w:rPr>
          <w:rFonts w:hint="eastAsia" w:ascii="宋体" w:hAnsi="宋体" w:eastAsia="宋体" w:cs="宋体"/>
          <w:bCs/>
          <w:color w:val="000000"/>
          <w:sz w:val="28"/>
          <w:szCs w:val="28"/>
          <w:highlight w:val="none"/>
        </w:rPr>
        <w:t>按照第九条第2款约定承担逾期违约责任，双方另有约定的除外。</w:t>
      </w:r>
    </w:p>
    <w:p>
      <w:pPr>
        <w:spacing w:line="360" w:lineRule="auto"/>
        <w:rPr>
          <w:rFonts w:hint="eastAsia" w:ascii="宋体" w:hAnsi="宋体" w:eastAsia="宋体" w:cs="宋体"/>
          <w:bCs/>
          <w:color w:val="000000"/>
          <w:sz w:val="28"/>
          <w:szCs w:val="28"/>
          <w:highlight w:val="none"/>
        </w:rPr>
      </w:pPr>
      <w:r>
        <w:rPr>
          <w:rFonts w:hint="eastAsia" w:ascii="宋体" w:hAnsi="宋体" w:cs="宋体"/>
          <w:bCs/>
          <w:color w:val="000000"/>
          <w:sz w:val="28"/>
          <w:szCs w:val="28"/>
          <w:highlight w:val="none"/>
          <w:lang w:val="en-US" w:eastAsia="zh-CN"/>
        </w:rPr>
        <w:t>2、</w:t>
      </w:r>
      <w:r>
        <w:rPr>
          <w:rFonts w:hint="eastAsia" w:ascii="宋体" w:hAnsi="宋体" w:eastAsia="宋体" w:cs="宋体"/>
          <w:bCs/>
          <w:color w:val="000000"/>
          <w:sz w:val="28"/>
          <w:szCs w:val="28"/>
          <w:highlight w:val="none"/>
        </w:rPr>
        <w:t>验收标准</w:t>
      </w:r>
      <w:r>
        <w:rPr>
          <w:rFonts w:hint="eastAsia" w:ascii="宋体" w:hAnsi="宋体" w:eastAsia="宋体" w:cs="宋体"/>
          <w:color w:val="000000"/>
          <w:sz w:val="28"/>
          <w:szCs w:val="28"/>
          <w:highlight w:val="none"/>
        </w:rPr>
        <w:t>详见第一条所述之相关文件。</w:t>
      </w:r>
    </w:p>
    <w:p>
      <w:pPr>
        <w:spacing w:line="360" w:lineRule="auto"/>
        <w:rPr>
          <w:rFonts w:hint="eastAsia" w:ascii="宋体" w:hAnsi="宋体" w:eastAsia="宋体" w:cs="宋体"/>
          <w:bCs/>
          <w:color w:val="000000"/>
          <w:sz w:val="28"/>
          <w:szCs w:val="28"/>
          <w:highlight w:val="none"/>
        </w:rPr>
      </w:pPr>
      <w:r>
        <w:rPr>
          <w:rFonts w:hint="eastAsia" w:ascii="宋体" w:hAnsi="宋体" w:cs="宋体"/>
          <w:bCs/>
          <w:color w:val="000000"/>
          <w:sz w:val="28"/>
          <w:szCs w:val="28"/>
          <w:highlight w:val="none"/>
          <w:lang w:val="en-US" w:eastAsia="zh-CN"/>
        </w:rPr>
        <w:t>3、</w:t>
      </w:r>
      <w:r>
        <w:rPr>
          <w:rFonts w:hint="eastAsia" w:ascii="宋体" w:hAnsi="宋体" w:eastAsia="宋体" w:cs="宋体"/>
          <w:bCs/>
          <w:color w:val="000000"/>
          <w:sz w:val="28"/>
          <w:szCs w:val="28"/>
          <w:highlight w:val="none"/>
        </w:rPr>
        <w:t>如货物确实内在存在质量瑕疵，即使通过了本条第1款的验收，</w:t>
      </w:r>
      <w:r>
        <w:rPr>
          <w:rFonts w:hint="eastAsia" w:ascii="宋体" w:hAnsi="宋体" w:eastAsia="宋体" w:cs="宋体"/>
          <w:bCs/>
          <w:color w:val="000000"/>
          <w:sz w:val="28"/>
          <w:szCs w:val="28"/>
          <w:highlight w:val="none"/>
          <w:lang w:eastAsia="zh-CN"/>
        </w:rPr>
        <w:t>甲方</w:t>
      </w:r>
      <w:r>
        <w:rPr>
          <w:rFonts w:hint="eastAsia" w:ascii="宋体" w:hAnsi="宋体" w:eastAsia="宋体" w:cs="宋体"/>
          <w:bCs/>
          <w:color w:val="000000"/>
          <w:sz w:val="28"/>
          <w:szCs w:val="28"/>
          <w:highlight w:val="none"/>
        </w:rPr>
        <w:t>仍有权在任何时间包括质保期内或质保期满后使用寿命期内提出异议，</w:t>
      </w:r>
      <w:r>
        <w:rPr>
          <w:rFonts w:hint="eastAsia" w:ascii="宋体" w:hAnsi="宋体" w:cs="宋体"/>
          <w:bCs/>
          <w:color w:val="000000"/>
          <w:sz w:val="28"/>
          <w:szCs w:val="28"/>
          <w:highlight w:val="none"/>
          <w:lang w:val="en-US" w:eastAsia="zh-CN"/>
        </w:rPr>
        <w:t>同时甲方仍可以验收不合格为由追究乙方责任。</w:t>
      </w:r>
      <w:r>
        <w:rPr>
          <w:rFonts w:hint="eastAsia" w:ascii="宋体" w:hAnsi="宋体" w:eastAsia="宋体" w:cs="宋体"/>
          <w:bCs/>
          <w:color w:val="000000"/>
          <w:sz w:val="28"/>
          <w:szCs w:val="28"/>
          <w:highlight w:val="none"/>
        </w:rPr>
        <w:t>如果查明确实属于</w:t>
      </w:r>
      <w:r>
        <w:rPr>
          <w:rFonts w:hint="eastAsia" w:ascii="宋体" w:hAnsi="宋体" w:eastAsia="宋体" w:cs="宋体"/>
          <w:bCs/>
          <w:color w:val="000000"/>
          <w:sz w:val="28"/>
          <w:szCs w:val="28"/>
          <w:highlight w:val="none"/>
          <w:lang w:val="en-US" w:eastAsia="zh-CN"/>
        </w:rPr>
        <w:t>产品</w:t>
      </w:r>
      <w:r>
        <w:rPr>
          <w:rFonts w:hint="eastAsia" w:ascii="宋体" w:hAnsi="宋体" w:eastAsia="宋体" w:cs="宋体"/>
          <w:bCs/>
          <w:color w:val="000000"/>
          <w:sz w:val="28"/>
          <w:szCs w:val="28"/>
          <w:highlight w:val="none"/>
        </w:rPr>
        <w:t>质量问题，</w:t>
      </w:r>
      <w:r>
        <w:rPr>
          <w:rFonts w:hint="eastAsia" w:ascii="宋体" w:hAnsi="宋体" w:eastAsia="宋体" w:cs="宋体"/>
          <w:bCs/>
          <w:color w:val="000000"/>
          <w:sz w:val="28"/>
          <w:szCs w:val="28"/>
          <w:highlight w:val="none"/>
          <w:lang w:eastAsia="zh-CN"/>
        </w:rPr>
        <w:t>乙方</w:t>
      </w:r>
      <w:r>
        <w:rPr>
          <w:rFonts w:hint="eastAsia" w:ascii="宋体" w:hAnsi="宋体" w:eastAsia="宋体" w:cs="宋体"/>
          <w:bCs/>
          <w:color w:val="000000"/>
          <w:sz w:val="28"/>
          <w:szCs w:val="28"/>
          <w:highlight w:val="none"/>
        </w:rPr>
        <w:t>仍应对此负责。</w:t>
      </w:r>
    </w:p>
    <w:p>
      <w:pPr>
        <w:spacing w:line="360" w:lineRule="auto"/>
        <w:rPr>
          <w:rFonts w:hint="default" w:ascii="宋体" w:hAnsi="宋体" w:eastAsia="宋体" w:cs="宋体"/>
          <w:bCs/>
          <w:color w:val="000000"/>
          <w:sz w:val="28"/>
          <w:szCs w:val="28"/>
          <w:highlight w:val="none"/>
          <w:lang w:val="en-US" w:eastAsia="zh-CN"/>
        </w:rPr>
      </w:pPr>
      <w:r>
        <w:rPr>
          <w:rFonts w:hint="eastAsia" w:ascii="宋体" w:hAnsi="宋体" w:eastAsia="宋体" w:cs="宋体"/>
          <w:bCs/>
          <w:color w:val="000000"/>
          <w:sz w:val="28"/>
          <w:szCs w:val="28"/>
          <w:highlight w:val="none"/>
          <w:lang w:val="en-US" w:eastAsia="zh-CN"/>
        </w:rPr>
        <w:t>4、设备</w:t>
      </w:r>
      <w:r>
        <w:rPr>
          <w:rFonts w:hint="eastAsia" w:ascii="宋体" w:hAnsi="宋体" w:cs="宋体"/>
          <w:bCs/>
          <w:color w:val="000000"/>
          <w:sz w:val="28"/>
          <w:szCs w:val="28"/>
          <w:highlight w:val="none"/>
          <w:lang w:val="en-US" w:eastAsia="zh-CN"/>
        </w:rPr>
        <w:t>存在</w:t>
      </w:r>
      <w:r>
        <w:rPr>
          <w:rFonts w:hint="eastAsia" w:ascii="宋体" w:hAnsi="宋体" w:eastAsia="宋体" w:cs="宋体"/>
          <w:bCs/>
          <w:color w:val="000000"/>
          <w:sz w:val="28"/>
          <w:szCs w:val="28"/>
          <w:highlight w:val="none"/>
          <w:lang w:val="en-US" w:eastAsia="zh-CN"/>
        </w:rPr>
        <w:t>验收不合格的，乙方需承担相应违约责任，向甲方支付</w:t>
      </w:r>
      <w:r>
        <w:rPr>
          <w:rFonts w:hint="eastAsia" w:ascii="宋体" w:hAnsi="宋体" w:cs="宋体"/>
          <w:bCs/>
          <w:color w:val="000000"/>
          <w:sz w:val="28"/>
          <w:szCs w:val="28"/>
          <w:highlight w:val="none"/>
          <w:lang w:val="en-US" w:eastAsia="zh-CN"/>
        </w:rPr>
        <w:t>25%</w:t>
      </w:r>
      <w:r>
        <w:rPr>
          <w:rFonts w:hint="eastAsia" w:ascii="宋体" w:hAnsi="宋体" w:eastAsia="宋体" w:cs="宋体"/>
          <w:bCs/>
          <w:color w:val="000000"/>
          <w:sz w:val="28"/>
          <w:szCs w:val="28"/>
          <w:highlight w:val="none"/>
          <w:lang w:val="en-US" w:eastAsia="zh-CN"/>
        </w:rPr>
        <w:t>的违约金，同时甲方有权选择要求乙方继续或者</w:t>
      </w:r>
      <w:r>
        <w:rPr>
          <w:rFonts w:hint="eastAsia" w:ascii="宋体" w:hAnsi="宋体" w:cs="宋体"/>
          <w:bCs/>
          <w:color w:val="000000"/>
          <w:sz w:val="28"/>
          <w:szCs w:val="28"/>
          <w:highlight w:val="none"/>
          <w:lang w:val="en-US" w:eastAsia="zh-CN"/>
        </w:rPr>
        <w:t>解除</w:t>
      </w:r>
      <w:r>
        <w:rPr>
          <w:rFonts w:hint="eastAsia" w:ascii="宋体" w:hAnsi="宋体" w:eastAsia="宋体" w:cs="宋体"/>
          <w:bCs/>
          <w:color w:val="000000"/>
          <w:sz w:val="28"/>
          <w:szCs w:val="28"/>
          <w:highlight w:val="none"/>
          <w:lang w:val="en-US" w:eastAsia="zh-CN"/>
        </w:rPr>
        <w:t>该合同。</w:t>
      </w:r>
      <w:r>
        <w:rPr>
          <w:rFonts w:hint="eastAsia" w:ascii="宋体" w:hAnsi="宋体" w:cs="宋体"/>
          <w:bCs/>
          <w:color w:val="000000"/>
          <w:sz w:val="28"/>
          <w:szCs w:val="28"/>
          <w:highlight w:val="none"/>
          <w:lang w:val="en-US" w:eastAsia="zh-CN"/>
        </w:rPr>
        <w:t>若甲方选择要求乙方继续履行该合同，则于甲方收到乙方所支付违约金之日起，该合同履行期限重新计算。若甲方选择要求同乙方解除合同，则乙方需全额返还甲方所支付全部货款。</w:t>
      </w:r>
    </w:p>
    <w:p>
      <w:pPr>
        <w:pStyle w:val="18"/>
        <w:rPr>
          <w:rFonts w:hint="eastAsia" w:ascii="宋体" w:hAnsi="宋体" w:eastAsia="宋体" w:cs="宋体"/>
          <w:b w:val="0"/>
          <w:kern w:val="2"/>
          <w:sz w:val="28"/>
          <w:szCs w:val="28"/>
          <w:highlight w:val="none"/>
        </w:rPr>
      </w:pPr>
      <w:r>
        <w:rPr>
          <w:rFonts w:hint="eastAsia" w:ascii="宋体" w:hAnsi="宋体" w:cs="宋体"/>
          <w:b w:val="0"/>
          <w:kern w:val="2"/>
          <w:sz w:val="28"/>
          <w:szCs w:val="28"/>
          <w:highlight w:val="none"/>
          <w:lang w:val="en-US" w:eastAsia="zh-CN"/>
        </w:rPr>
        <w:t>八、</w:t>
      </w:r>
      <w:r>
        <w:rPr>
          <w:rFonts w:hint="eastAsia" w:ascii="宋体" w:hAnsi="宋体" w:eastAsia="宋体" w:cs="宋体"/>
          <w:b w:val="0"/>
          <w:kern w:val="2"/>
          <w:sz w:val="28"/>
          <w:szCs w:val="28"/>
          <w:highlight w:val="none"/>
          <w:lang w:eastAsia="zh-CN"/>
        </w:rPr>
        <w:t>甲方</w:t>
      </w:r>
      <w:r>
        <w:rPr>
          <w:rFonts w:hint="eastAsia" w:ascii="宋体" w:hAnsi="宋体" w:eastAsia="宋体" w:cs="宋体"/>
          <w:b w:val="0"/>
          <w:kern w:val="2"/>
          <w:sz w:val="28"/>
          <w:szCs w:val="28"/>
          <w:highlight w:val="none"/>
        </w:rPr>
        <w:t>向</w:t>
      </w:r>
      <w:r>
        <w:rPr>
          <w:rFonts w:hint="eastAsia" w:ascii="宋体" w:hAnsi="宋体" w:eastAsia="宋体" w:cs="宋体"/>
          <w:b w:val="0"/>
          <w:kern w:val="2"/>
          <w:sz w:val="28"/>
          <w:szCs w:val="28"/>
          <w:highlight w:val="none"/>
          <w:lang w:eastAsia="zh-CN"/>
        </w:rPr>
        <w:t>乙方</w:t>
      </w:r>
      <w:r>
        <w:rPr>
          <w:rFonts w:hint="eastAsia" w:ascii="宋体" w:hAnsi="宋体" w:eastAsia="宋体" w:cs="宋体"/>
          <w:b w:val="0"/>
          <w:kern w:val="2"/>
          <w:sz w:val="28"/>
          <w:szCs w:val="28"/>
          <w:highlight w:val="none"/>
        </w:rPr>
        <w:t>的付款计划安排如下：</w:t>
      </w:r>
    </w:p>
    <w:p>
      <w:pPr>
        <w:numPr>
          <w:ilvl w:val="0"/>
          <w:numId w:val="0"/>
        </w:numPr>
        <w:spacing w:line="360" w:lineRule="auto"/>
        <w:rPr>
          <w:rFonts w:hint="eastAsia" w:ascii="宋体" w:hAnsi="宋体" w:cs="宋体"/>
          <w:color w:val="000000"/>
          <w:sz w:val="28"/>
          <w:szCs w:val="28"/>
          <w:highlight w:val="none"/>
          <w:lang w:val="en-US" w:eastAsia="zh-CN"/>
        </w:rPr>
      </w:pPr>
      <w:r>
        <w:rPr>
          <w:rFonts w:hint="eastAsia" w:ascii="宋体" w:hAnsi="宋体" w:cs="宋体"/>
          <w:color w:val="000000"/>
          <w:sz w:val="28"/>
          <w:szCs w:val="28"/>
          <w:highlight w:val="none"/>
          <w:lang w:val="en-US" w:eastAsia="zh-CN"/>
        </w:rPr>
        <w:t>1、付款要求：</w:t>
      </w:r>
    </w:p>
    <w:p>
      <w:pPr>
        <w:numPr>
          <w:ilvl w:val="0"/>
          <w:numId w:val="0"/>
        </w:numPr>
        <w:spacing w:line="360" w:lineRule="auto"/>
        <w:rPr>
          <w:rFonts w:hint="eastAsia" w:ascii="宋体" w:hAnsi="宋体" w:eastAsia="宋体" w:cs="宋体"/>
          <w:color w:val="000000"/>
          <w:sz w:val="28"/>
          <w:szCs w:val="28"/>
          <w:highlight w:val="none"/>
          <w:lang w:val="en-US" w:eastAsia="zh-CN"/>
        </w:rPr>
      </w:pPr>
      <w:r>
        <w:rPr>
          <w:rFonts w:hint="eastAsia" w:ascii="宋体" w:hAnsi="宋体" w:cs="宋体"/>
          <w:color w:val="000000"/>
          <w:sz w:val="28"/>
          <w:szCs w:val="28"/>
          <w:highlight w:val="none"/>
          <w:lang w:val="en-US" w:eastAsia="zh-CN"/>
        </w:rPr>
        <w:t>合同签订后分三期付款。</w:t>
      </w:r>
    </w:p>
    <w:p>
      <w:pPr>
        <w:numPr>
          <w:ilvl w:val="0"/>
          <w:numId w:val="5"/>
        </w:numPr>
        <w:spacing w:line="360" w:lineRule="auto"/>
        <w:rPr>
          <w:rFonts w:hint="eastAsia" w:ascii="宋体" w:hAnsi="宋体" w:cs="宋体"/>
          <w:color w:val="000000"/>
          <w:sz w:val="28"/>
          <w:szCs w:val="28"/>
          <w:highlight w:val="none"/>
          <w:lang w:val="en-US" w:eastAsia="zh-CN"/>
        </w:rPr>
      </w:pPr>
      <w:r>
        <w:rPr>
          <w:rFonts w:hint="eastAsia" w:ascii="宋体" w:hAnsi="宋体" w:cs="宋体"/>
          <w:color w:val="000000"/>
          <w:sz w:val="28"/>
          <w:szCs w:val="28"/>
          <w:highlight w:val="none"/>
          <w:lang w:val="en-US" w:eastAsia="zh-CN"/>
        </w:rPr>
        <w:t>付款时间：</w:t>
      </w:r>
    </w:p>
    <w:p>
      <w:pPr>
        <w:numPr>
          <w:ilvl w:val="-1"/>
          <w:numId w:val="0"/>
        </w:numPr>
        <w:spacing w:line="360" w:lineRule="auto"/>
        <w:rPr>
          <w:rFonts w:hint="eastAsia" w:ascii="宋体" w:hAnsi="宋体" w:cs="宋体"/>
          <w:color w:val="000000"/>
          <w:sz w:val="28"/>
          <w:szCs w:val="28"/>
          <w:highlight w:val="none"/>
          <w:lang w:val="en-US" w:eastAsia="zh-CN"/>
        </w:rPr>
      </w:pPr>
      <w:r>
        <w:rPr>
          <w:rFonts w:hint="eastAsia" w:ascii="宋体" w:hAnsi="宋体" w:cs="宋体"/>
          <w:color w:val="000000"/>
          <w:sz w:val="28"/>
          <w:szCs w:val="28"/>
          <w:highlight w:val="none"/>
          <w:lang w:val="en-US" w:eastAsia="zh-CN"/>
        </w:rPr>
        <w:t>第一期：合同签订后支付【50%】的货款；</w:t>
      </w:r>
    </w:p>
    <w:p>
      <w:pPr>
        <w:numPr>
          <w:ilvl w:val="-1"/>
          <w:numId w:val="0"/>
        </w:numPr>
        <w:spacing w:line="360" w:lineRule="auto"/>
        <w:rPr>
          <w:rFonts w:hint="eastAsia" w:ascii="宋体" w:hAnsi="宋体" w:cs="宋体"/>
          <w:color w:val="000000"/>
          <w:sz w:val="28"/>
          <w:szCs w:val="28"/>
          <w:highlight w:val="none"/>
          <w:lang w:val="en-US" w:eastAsia="zh-CN"/>
        </w:rPr>
      </w:pPr>
      <w:r>
        <w:rPr>
          <w:rFonts w:hint="eastAsia" w:ascii="宋体" w:hAnsi="宋体" w:cs="宋体"/>
          <w:color w:val="000000"/>
          <w:sz w:val="28"/>
          <w:szCs w:val="28"/>
          <w:highlight w:val="none"/>
          <w:lang w:val="en-US" w:eastAsia="zh-CN"/>
        </w:rPr>
        <w:t>第二期：设备入场后支付【30%】的货款；</w:t>
      </w:r>
    </w:p>
    <w:p>
      <w:pPr>
        <w:numPr>
          <w:ilvl w:val="-1"/>
          <w:numId w:val="0"/>
        </w:numPr>
        <w:spacing w:line="360" w:lineRule="auto"/>
        <w:rPr>
          <w:rFonts w:hint="eastAsia" w:ascii="宋体" w:hAnsi="宋体" w:cs="宋体"/>
          <w:color w:val="000000"/>
          <w:sz w:val="28"/>
          <w:szCs w:val="28"/>
          <w:highlight w:val="none"/>
          <w:lang w:val="en-US" w:eastAsia="zh-CN"/>
        </w:rPr>
      </w:pPr>
      <w:r>
        <w:rPr>
          <w:rFonts w:hint="eastAsia" w:ascii="宋体" w:hAnsi="宋体" w:cs="宋体"/>
          <w:color w:val="000000"/>
          <w:sz w:val="28"/>
          <w:szCs w:val="28"/>
          <w:highlight w:val="none"/>
          <w:lang w:val="en-US" w:eastAsia="zh-CN"/>
        </w:rPr>
        <w:t>第三期：货物试运行并经采购人验收合格后支付【20%】的余款。</w:t>
      </w:r>
    </w:p>
    <w:p>
      <w:pPr>
        <w:numPr>
          <w:ilvl w:val="0"/>
          <w:numId w:val="0"/>
        </w:numPr>
        <w:rPr>
          <w:rFonts w:hint="eastAsia" w:ascii="宋体" w:hAnsi="宋体" w:eastAsia="宋体" w:cs="宋体"/>
          <w:color w:val="000000"/>
          <w:sz w:val="28"/>
          <w:szCs w:val="28"/>
          <w:highlight w:val="none"/>
        </w:rPr>
      </w:pPr>
      <w:r>
        <w:rPr>
          <w:rFonts w:hint="eastAsia" w:ascii="宋体" w:hAnsi="宋体" w:cs="宋体"/>
          <w:b w:val="0"/>
          <w:bCs/>
          <w:sz w:val="28"/>
          <w:szCs w:val="28"/>
          <w:highlight w:val="none"/>
          <w:lang w:val="en-US" w:eastAsia="zh-CN"/>
        </w:rPr>
        <w:t>3、</w:t>
      </w:r>
      <w:r>
        <w:rPr>
          <w:rFonts w:hint="eastAsia" w:ascii="宋体" w:hAnsi="宋体" w:eastAsia="宋体" w:cs="宋体"/>
          <w:b w:val="0"/>
          <w:kern w:val="2"/>
          <w:sz w:val="28"/>
          <w:szCs w:val="28"/>
          <w:highlight w:val="none"/>
          <w:lang w:eastAsia="zh-CN"/>
        </w:rPr>
        <w:t>乙方</w:t>
      </w:r>
      <w:r>
        <w:rPr>
          <w:rFonts w:hint="eastAsia" w:ascii="宋体" w:hAnsi="宋体" w:eastAsia="宋体" w:cs="宋体"/>
          <w:b w:val="0"/>
          <w:kern w:val="2"/>
          <w:sz w:val="28"/>
          <w:szCs w:val="28"/>
          <w:highlight w:val="none"/>
        </w:rPr>
        <w:t>须提供增值税专用发票、验收合格报告和原产地证明等材料。因</w:t>
      </w:r>
      <w:r>
        <w:rPr>
          <w:rFonts w:hint="eastAsia" w:ascii="宋体" w:hAnsi="宋体" w:eastAsia="宋体" w:cs="宋体"/>
          <w:b w:val="0"/>
          <w:kern w:val="2"/>
          <w:sz w:val="28"/>
          <w:szCs w:val="28"/>
          <w:highlight w:val="none"/>
          <w:lang w:eastAsia="zh-CN"/>
        </w:rPr>
        <w:t>乙方</w:t>
      </w:r>
      <w:r>
        <w:rPr>
          <w:rFonts w:hint="eastAsia" w:ascii="宋体" w:hAnsi="宋体" w:eastAsia="宋体" w:cs="宋体"/>
          <w:b w:val="0"/>
          <w:kern w:val="2"/>
          <w:sz w:val="28"/>
          <w:szCs w:val="28"/>
          <w:highlight w:val="none"/>
        </w:rPr>
        <w:t>未按约及时提供相关材料导致</w:t>
      </w:r>
      <w:r>
        <w:rPr>
          <w:rFonts w:hint="eastAsia" w:ascii="宋体" w:hAnsi="宋体" w:eastAsia="宋体" w:cs="宋体"/>
          <w:b w:val="0"/>
          <w:kern w:val="2"/>
          <w:sz w:val="28"/>
          <w:szCs w:val="28"/>
          <w:highlight w:val="none"/>
          <w:lang w:eastAsia="zh-CN"/>
        </w:rPr>
        <w:t>甲方</w:t>
      </w:r>
      <w:r>
        <w:rPr>
          <w:rFonts w:hint="eastAsia" w:ascii="宋体" w:hAnsi="宋体" w:eastAsia="宋体" w:cs="宋体"/>
          <w:b w:val="0"/>
          <w:kern w:val="2"/>
          <w:sz w:val="28"/>
          <w:szCs w:val="28"/>
          <w:highlight w:val="none"/>
        </w:rPr>
        <w:t>迟延付款的，不视为</w:t>
      </w:r>
      <w:r>
        <w:rPr>
          <w:rFonts w:hint="eastAsia" w:ascii="宋体" w:hAnsi="宋体" w:eastAsia="宋体" w:cs="宋体"/>
          <w:b w:val="0"/>
          <w:kern w:val="2"/>
          <w:sz w:val="28"/>
          <w:szCs w:val="28"/>
          <w:highlight w:val="none"/>
          <w:lang w:eastAsia="zh-CN"/>
        </w:rPr>
        <w:t>甲方</w:t>
      </w:r>
      <w:r>
        <w:rPr>
          <w:rFonts w:hint="eastAsia" w:ascii="宋体" w:hAnsi="宋体" w:eastAsia="宋体" w:cs="宋体"/>
          <w:b w:val="0"/>
          <w:kern w:val="2"/>
          <w:sz w:val="28"/>
          <w:szCs w:val="28"/>
          <w:highlight w:val="none"/>
        </w:rPr>
        <w:t>逾期付款，</w:t>
      </w:r>
      <w:r>
        <w:rPr>
          <w:rFonts w:hint="eastAsia" w:ascii="宋体" w:hAnsi="宋体" w:eastAsia="宋体" w:cs="宋体"/>
          <w:b w:val="0"/>
          <w:kern w:val="2"/>
          <w:sz w:val="28"/>
          <w:szCs w:val="28"/>
          <w:highlight w:val="none"/>
          <w:lang w:eastAsia="zh-CN"/>
        </w:rPr>
        <w:t>乙方</w:t>
      </w:r>
      <w:r>
        <w:rPr>
          <w:rFonts w:hint="eastAsia" w:ascii="宋体" w:hAnsi="宋体" w:eastAsia="宋体" w:cs="宋体"/>
          <w:b w:val="0"/>
          <w:kern w:val="2"/>
          <w:sz w:val="28"/>
          <w:szCs w:val="28"/>
          <w:highlight w:val="none"/>
        </w:rPr>
        <w:t>不得因此向</w:t>
      </w:r>
      <w:r>
        <w:rPr>
          <w:rFonts w:hint="eastAsia" w:ascii="宋体" w:hAnsi="宋体" w:eastAsia="宋体" w:cs="宋体"/>
          <w:b w:val="0"/>
          <w:kern w:val="2"/>
          <w:sz w:val="28"/>
          <w:szCs w:val="28"/>
          <w:highlight w:val="none"/>
          <w:lang w:eastAsia="zh-CN"/>
        </w:rPr>
        <w:t>甲方</w:t>
      </w:r>
      <w:r>
        <w:rPr>
          <w:rFonts w:hint="eastAsia" w:ascii="宋体" w:hAnsi="宋体" w:eastAsia="宋体" w:cs="宋体"/>
          <w:b w:val="0"/>
          <w:kern w:val="2"/>
          <w:sz w:val="28"/>
          <w:szCs w:val="28"/>
          <w:highlight w:val="none"/>
        </w:rPr>
        <w:t>主张承担逾期付款违约责任。</w:t>
      </w:r>
    </w:p>
    <w:p>
      <w:pPr>
        <w:tabs>
          <w:tab w:val="left" w:pos="360"/>
        </w:tabs>
        <w:spacing w:line="360" w:lineRule="auto"/>
        <w:rPr>
          <w:rFonts w:hint="eastAsia" w:ascii="宋体" w:hAnsi="宋体" w:eastAsia="宋体" w:cs="宋体"/>
          <w:b w:val="0"/>
          <w:bCs w:val="0"/>
          <w:color w:val="000000"/>
          <w:sz w:val="28"/>
          <w:szCs w:val="28"/>
          <w:highlight w:val="none"/>
        </w:rPr>
      </w:pPr>
      <w:r>
        <w:rPr>
          <w:rFonts w:hint="eastAsia" w:ascii="宋体" w:hAnsi="宋体" w:cs="宋体"/>
          <w:b w:val="0"/>
          <w:bCs w:val="0"/>
          <w:color w:val="000000"/>
          <w:sz w:val="28"/>
          <w:szCs w:val="28"/>
          <w:highlight w:val="none"/>
          <w:lang w:val="en-US" w:eastAsia="zh-CN"/>
        </w:rPr>
        <w:t>九、</w:t>
      </w:r>
      <w:r>
        <w:rPr>
          <w:rFonts w:hint="eastAsia" w:ascii="宋体" w:hAnsi="宋体" w:eastAsia="宋体" w:cs="宋体"/>
          <w:b w:val="0"/>
          <w:bCs w:val="0"/>
          <w:color w:val="000000"/>
          <w:sz w:val="28"/>
          <w:szCs w:val="28"/>
          <w:highlight w:val="none"/>
        </w:rPr>
        <w:t>质保期及售后服务承诺</w:t>
      </w:r>
    </w:p>
    <w:p>
      <w:pPr>
        <w:pStyle w:val="18"/>
        <w:rPr>
          <w:rFonts w:hint="default"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1、乙方为甲方提供为期</w:t>
      </w:r>
      <w:r>
        <w:rPr>
          <w:rFonts w:hint="eastAsia" w:ascii="宋体" w:hAnsi="宋体" w:cs="宋体"/>
          <w:color w:val="000000"/>
          <w:sz w:val="28"/>
          <w:szCs w:val="28"/>
          <w:highlight w:val="none"/>
          <w:lang w:val="en-US" w:eastAsia="zh-CN"/>
        </w:rPr>
        <w:t>_</w:t>
      </w:r>
      <w:r>
        <w:rPr>
          <w:rFonts w:hint="eastAsia" w:ascii="宋体" w:hAnsi="宋体" w:cs="宋体"/>
          <w:color w:val="000000"/>
          <w:sz w:val="28"/>
          <w:szCs w:val="28"/>
          <w:highlight w:val="none"/>
          <w:u w:val="single"/>
          <w:lang w:val="en-US" w:eastAsia="zh-CN"/>
        </w:rPr>
        <w:t xml:space="preserve"> 五年  </w:t>
      </w:r>
      <w:r>
        <w:rPr>
          <w:rFonts w:hint="eastAsia" w:ascii="宋体" w:hAnsi="宋体" w:eastAsia="宋体" w:cs="宋体"/>
          <w:color w:val="000000"/>
          <w:sz w:val="28"/>
          <w:szCs w:val="28"/>
          <w:highlight w:val="none"/>
          <w:lang w:val="en-US" w:eastAsia="zh-CN"/>
        </w:rPr>
        <w:t>的质保期。该期限自货物验收合格之日起计算，具体起算日期以甲方出具的纸质版货物验收合格证明为准</w:t>
      </w:r>
      <w:r>
        <w:rPr>
          <w:rFonts w:hint="eastAsia" w:ascii="宋体" w:hAnsi="宋体" w:cs="宋体"/>
          <w:color w:val="000000"/>
          <w:sz w:val="28"/>
          <w:szCs w:val="28"/>
          <w:highlight w:val="none"/>
          <w:lang w:val="en-US" w:eastAsia="zh-CN"/>
        </w:rPr>
        <w:t>。若不同设备质保期不同，经甲方确认后相应设备的具体质保期限以附件形式置于合同最后，该附件与合同正文具有同等效力。</w:t>
      </w:r>
    </w:p>
    <w:p>
      <w:pPr>
        <w:rPr>
          <w:rFonts w:hint="eastAsia" w:ascii="宋体" w:hAnsi="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2、在质保期内，乙方需积极为甲方提供设备或相关材料的维修工作，对于甲方提出的维修要求需</w:t>
      </w:r>
      <w:r>
        <w:rPr>
          <w:rFonts w:hint="eastAsia" w:ascii="宋体" w:hAnsi="宋体" w:cs="宋体"/>
          <w:color w:val="000000"/>
          <w:sz w:val="28"/>
          <w:szCs w:val="28"/>
          <w:highlight w:val="none"/>
          <w:lang w:val="en-US" w:eastAsia="zh-CN"/>
        </w:rPr>
        <w:t>求在30分钟</w:t>
      </w:r>
      <w:r>
        <w:rPr>
          <w:rFonts w:hint="eastAsia" w:ascii="宋体" w:hAnsi="宋体" w:eastAsia="宋体" w:cs="宋体"/>
          <w:color w:val="000000"/>
          <w:sz w:val="28"/>
          <w:szCs w:val="28"/>
          <w:highlight w:val="none"/>
          <w:lang w:val="en-US" w:eastAsia="zh-CN"/>
        </w:rPr>
        <w:t>内积极响应，</w:t>
      </w:r>
      <w:r>
        <w:rPr>
          <w:rFonts w:hint="eastAsia" w:ascii="宋体" w:hAnsi="宋体" w:cs="宋体"/>
          <w:color w:val="000000"/>
          <w:sz w:val="28"/>
          <w:szCs w:val="28"/>
          <w:highlight w:val="none"/>
          <w:lang w:val="en-US" w:eastAsia="zh-CN"/>
        </w:rPr>
        <w:t>在24小时内提出故障解决方案，</w:t>
      </w:r>
      <w:r>
        <w:rPr>
          <w:rFonts w:hint="eastAsia" w:ascii="宋体" w:hAnsi="宋体" w:eastAsia="宋体" w:cs="宋体"/>
          <w:color w:val="000000"/>
          <w:sz w:val="28"/>
          <w:szCs w:val="28"/>
          <w:highlight w:val="none"/>
          <w:lang w:val="en-US" w:eastAsia="zh-CN"/>
        </w:rPr>
        <w:t>并在</w:t>
      </w:r>
      <w:r>
        <w:rPr>
          <w:rFonts w:hint="eastAsia" w:ascii="宋体" w:hAnsi="宋体" w:cs="宋体"/>
          <w:color w:val="000000"/>
          <w:sz w:val="28"/>
          <w:szCs w:val="28"/>
          <w:highlight w:val="none"/>
          <w:lang w:val="en-US" w:eastAsia="zh-CN"/>
        </w:rPr>
        <w:t>72小时</w:t>
      </w:r>
      <w:r>
        <w:rPr>
          <w:rFonts w:hint="eastAsia" w:ascii="宋体" w:hAnsi="宋体" w:eastAsia="宋体" w:cs="宋体"/>
          <w:color w:val="000000"/>
          <w:sz w:val="28"/>
          <w:szCs w:val="28"/>
          <w:highlight w:val="none"/>
          <w:lang w:val="en-US" w:eastAsia="zh-CN"/>
        </w:rPr>
        <w:t>内安排专业人员到达甲方现场，进行相应的维修工作。因后续维修所产生的一切费用均由乙方单独承担。对于后续的维修，甲方均有权再次验收，直至甲方出具二次合格验收单后，乙方相应人员方能离去。</w:t>
      </w:r>
      <w:r>
        <w:rPr>
          <w:rFonts w:hint="eastAsia" w:ascii="宋体" w:hAnsi="宋体" w:cs="宋体"/>
          <w:color w:val="000000"/>
          <w:sz w:val="28"/>
          <w:szCs w:val="28"/>
          <w:highlight w:val="none"/>
          <w:lang w:val="en-US" w:eastAsia="zh-CN"/>
        </w:rPr>
        <w:t>若含一些特殊设备维修响应期限同此条款不同，经甲方确认后乙方须以附件形式附于合同最后，该附件与合同正文具有同等效力。</w:t>
      </w:r>
    </w:p>
    <w:p>
      <w:pPr>
        <w:rPr>
          <w:rFonts w:hint="eastAsia" w:ascii="宋体" w:hAnsi="宋体" w:cs="宋体"/>
          <w:color w:val="000000"/>
          <w:sz w:val="28"/>
          <w:szCs w:val="28"/>
          <w:highlight w:val="none"/>
          <w:lang w:val="en-US" w:eastAsia="zh-CN"/>
        </w:rPr>
      </w:pPr>
      <w:r>
        <w:rPr>
          <w:rFonts w:hint="eastAsia" w:ascii="宋体" w:hAnsi="宋体" w:cs="宋体"/>
          <w:color w:val="000000"/>
          <w:sz w:val="28"/>
          <w:szCs w:val="28"/>
          <w:highlight w:val="none"/>
          <w:lang w:val="en-US" w:eastAsia="zh-CN"/>
        </w:rPr>
        <w:t>3、售后服务内容以乙方承诺及相关要求等为准。备品备件的替换应按同等性能、同等配置要求进行。</w:t>
      </w:r>
    </w:p>
    <w:p>
      <w:pPr>
        <w:rPr>
          <w:rFonts w:hint="eastAsia" w:ascii="宋体" w:hAnsi="宋体" w:cs="宋体"/>
          <w:color w:val="000000"/>
          <w:sz w:val="28"/>
          <w:szCs w:val="28"/>
          <w:highlight w:val="none"/>
          <w:lang w:val="en-US" w:eastAsia="zh-CN"/>
        </w:rPr>
      </w:pPr>
      <w:r>
        <w:rPr>
          <w:rFonts w:hint="eastAsia" w:ascii="宋体" w:hAnsi="宋体" w:cs="宋体"/>
          <w:color w:val="000000"/>
          <w:sz w:val="28"/>
          <w:szCs w:val="28"/>
          <w:highlight w:val="none"/>
          <w:lang w:val="en-US" w:eastAsia="zh-CN"/>
        </w:rPr>
        <w:t>4、乙方应明确承诺售后服务保证，提供详细的服务地点、联系人、电话等有关资料。</w:t>
      </w:r>
    </w:p>
    <w:p>
      <w:pPr>
        <w:rPr>
          <w:rFonts w:hint="eastAsia" w:ascii="宋体" w:hAnsi="宋体" w:cs="宋体"/>
          <w:color w:val="000000"/>
          <w:sz w:val="28"/>
          <w:szCs w:val="28"/>
          <w:highlight w:val="none"/>
          <w:lang w:val="en-US" w:eastAsia="zh-CN"/>
        </w:rPr>
      </w:pPr>
      <w:r>
        <w:rPr>
          <w:rFonts w:hint="eastAsia" w:ascii="宋体" w:hAnsi="宋体" w:cs="宋体"/>
          <w:color w:val="000000"/>
          <w:sz w:val="28"/>
          <w:szCs w:val="28"/>
          <w:highlight w:val="none"/>
          <w:lang w:val="en-US" w:eastAsia="zh-CN"/>
        </w:rPr>
        <w:t>5、乙方在质保期内为甲方提供相关设备的免费保养服务。（具体保养以设备需求及双方协商为准）</w:t>
      </w:r>
    </w:p>
    <w:p>
      <w:pPr>
        <w:rPr>
          <w:rFonts w:hint="eastAsia" w:ascii="宋体" w:hAnsi="宋体" w:cs="宋体"/>
          <w:color w:val="000000"/>
          <w:sz w:val="28"/>
          <w:szCs w:val="28"/>
          <w:highlight w:val="none"/>
          <w:lang w:val="en-US" w:eastAsia="zh-CN"/>
        </w:rPr>
      </w:pPr>
      <w:r>
        <w:rPr>
          <w:rFonts w:hint="eastAsia" w:ascii="宋体" w:hAnsi="宋体" w:cs="宋体"/>
          <w:color w:val="000000"/>
          <w:sz w:val="28"/>
          <w:szCs w:val="28"/>
          <w:highlight w:val="none"/>
          <w:lang w:val="en-US" w:eastAsia="zh-CN"/>
        </w:rPr>
        <w:t>6、乙方应于本合同签约后的合理期限内向甲方提交售后服务承诺书。</w:t>
      </w:r>
    </w:p>
    <w:p>
      <w:pPr>
        <w:rPr>
          <w:rFonts w:hint="eastAsia" w:ascii="宋体" w:hAnsi="宋体" w:cs="宋体"/>
          <w:color w:val="000000"/>
          <w:sz w:val="28"/>
          <w:szCs w:val="28"/>
          <w:highlight w:val="none"/>
          <w:lang w:val="en-US" w:eastAsia="zh-CN"/>
        </w:rPr>
      </w:pPr>
      <w:r>
        <w:rPr>
          <w:rFonts w:hint="eastAsia" w:ascii="宋体" w:hAnsi="宋体" w:cs="宋体"/>
          <w:color w:val="000000"/>
          <w:sz w:val="28"/>
          <w:szCs w:val="28"/>
          <w:highlight w:val="none"/>
          <w:lang w:val="en-US" w:eastAsia="zh-CN"/>
        </w:rPr>
        <w:t>7、质保期满后，乙方继续为甲方服务，仅收取零配件成本费。</w:t>
      </w:r>
    </w:p>
    <w:p>
      <w:pPr>
        <w:rPr>
          <w:rFonts w:hint="eastAsia" w:ascii="宋体" w:hAnsi="宋体" w:cs="宋体"/>
          <w:color w:val="000000"/>
          <w:sz w:val="28"/>
          <w:szCs w:val="28"/>
          <w:highlight w:val="none"/>
          <w:lang w:val="en-US" w:eastAsia="zh-CN"/>
        </w:rPr>
      </w:pPr>
      <w:r>
        <w:rPr>
          <w:rFonts w:hint="eastAsia" w:ascii="宋体" w:hAnsi="宋体" w:cs="宋体"/>
          <w:color w:val="000000"/>
          <w:sz w:val="28"/>
          <w:szCs w:val="28"/>
          <w:highlight w:val="none"/>
          <w:lang w:val="en-US" w:eastAsia="zh-CN"/>
        </w:rPr>
        <w:t>十、知识产权</w:t>
      </w:r>
    </w:p>
    <w:p>
      <w:pPr>
        <w:rPr>
          <w:rFonts w:hint="eastAsia" w:ascii="宋体" w:hAnsi="宋体" w:cs="宋体"/>
          <w:color w:val="000000"/>
          <w:sz w:val="28"/>
          <w:szCs w:val="28"/>
          <w:highlight w:val="none"/>
          <w:lang w:val="en-US" w:eastAsia="zh-CN"/>
        </w:rPr>
      </w:pPr>
      <w:r>
        <w:rPr>
          <w:rFonts w:hint="eastAsia" w:ascii="宋体" w:hAnsi="宋体" w:cs="宋体"/>
          <w:color w:val="000000"/>
          <w:sz w:val="28"/>
          <w:szCs w:val="28"/>
          <w:highlight w:val="none"/>
          <w:lang w:val="en-US" w:eastAsia="zh-CN"/>
        </w:rPr>
        <w:t>1、乙方应保证所提供的货物或其中任何一部分均不会侵犯第三方的知识产权。</w:t>
      </w:r>
    </w:p>
    <w:p>
      <w:pPr>
        <w:rPr>
          <w:rFonts w:hint="default" w:ascii="宋体" w:hAnsi="宋体" w:cs="宋体"/>
          <w:color w:val="000000"/>
          <w:sz w:val="28"/>
          <w:szCs w:val="28"/>
          <w:highlight w:val="none"/>
          <w:lang w:val="en-US" w:eastAsia="zh-CN"/>
        </w:rPr>
      </w:pPr>
      <w:r>
        <w:rPr>
          <w:rFonts w:hint="eastAsia" w:ascii="宋体" w:hAnsi="宋体" w:cs="宋体"/>
          <w:color w:val="000000"/>
          <w:sz w:val="28"/>
          <w:szCs w:val="28"/>
          <w:highlight w:val="none"/>
          <w:lang w:val="en-US" w:eastAsia="zh-CN"/>
        </w:rPr>
        <w:t>2、乙方对一切可能的侵权指控负责。</w:t>
      </w:r>
    </w:p>
    <w:p>
      <w:pPr>
        <w:rPr>
          <w:rFonts w:hint="eastAsia" w:ascii="宋体" w:hAnsi="宋体" w:cs="宋体"/>
          <w:color w:val="000000"/>
          <w:sz w:val="28"/>
          <w:szCs w:val="28"/>
          <w:highlight w:val="none"/>
          <w:lang w:val="en-US" w:eastAsia="zh-CN"/>
        </w:rPr>
      </w:pPr>
      <w:r>
        <w:rPr>
          <w:rFonts w:hint="eastAsia" w:ascii="宋体" w:hAnsi="宋体" w:cs="宋体"/>
          <w:color w:val="000000"/>
          <w:sz w:val="28"/>
          <w:szCs w:val="28"/>
          <w:highlight w:val="none"/>
          <w:lang w:val="en-US" w:eastAsia="zh-CN"/>
        </w:rPr>
        <w:t>十一、合同履约保证金</w:t>
      </w:r>
    </w:p>
    <w:p>
      <w:pPr>
        <w:pStyle w:val="5"/>
        <w:numPr>
          <w:ilvl w:val="0"/>
          <w:numId w:val="0"/>
        </w:numPr>
        <w:spacing w:line="360" w:lineRule="auto"/>
        <w:ind w:leftChars="0" w:firstLine="0" w:firstLineChars="0"/>
        <w:rPr>
          <w:rFonts w:hint="eastAsia" w:ascii="宋体" w:hAnsi="宋体" w:cs="宋体"/>
          <w:color w:val="000000"/>
          <w:kern w:val="2"/>
          <w:sz w:val="28"/>
          <w:szCs w:val="28"/>
          <w:highlight w:val="none"/>
          <w:lang w:val="en-US" w:eastAsia="zh-CN"/>
        </w:rPr>
      </w:pPr>
      <w:r>
        <w:rPr>
          <w:rFonts w:hint="eastAsia" w:ascii="宋体" w:hAnsi="宋体" w:cs="宋体"/>
          <w:color w:val="000000"/>
          <w:kern w:val="2"/>
          <w:sz w:val="28"/>
          <w:szCs w:val="28"/>
          <w:highlight w:val="none"/>
          <w:lang w:val="en-US" w:eastAsia="zh-CN"/>
        </w:rPr>
        <w:t>1、履约保证金具体数额：采购合同履约保证金为合同标的的1%。（百分之一）。</w:t>
      </w:r>
    </w:p>
    <w:p>
      <w:pPr>
        <w:pStyle w:val="5"/>
        <w:numPr>
          <w:ilvl w:val="0"/>
          <w:numId w:val="0"/>
        </w:numPr>
        <w:spacing w:line="360" w:lineRule="auto"/>
        <w:ind w:leftChars="0" w:firstLine="0" w:firstLineChars="0"/>
        <w:rPr>
          <w:rFonts w:hint="eastAsia" w:ascii="宋体" w:hAnsi="宋体" w:cs="宋体"/>
          <w:color w:val="000000"/>
          <w:kern w:val="2"/>
          <w:sz w:val="28"/>
          <w:szCs w:val="28"/>
          <w:highlight w:val="none"/>
          <w:lang w:val="en-US" w:eastAsia="zh-CN"/>
        </w:rPr>
      </w:pPr>
      <w:r>
        <w:rPr>
          <w:rFonts w:hint="eastAsia" w:ascii="宋体" w:hAnsi="宋体" w:cs="宋体"/>
          <w:color w:val="000000"/>
          <w:kern w:val="2"/>
          <w:sz w:val="28"/>
          <w:szCs w:val="28"/>
          <w:highlight w:val="none"/>
          <w:lang w:val="en-US" w:eastAsia="zh-CN"/>
        </w:rPr>
        <w:t>2、履约保证金交付时间：采购合同签订后甲方将【50%】货款打至乙方，乙方收到货款后3个工作日内将相应保证金打款至甲方。</w:t>
      </w:r>
    </w:p>
    <w:p>
      <w:pPr>
        <w:pStyle w:val="5"/>
        <w:numPr>
          <w:ilvl w:val="0"/>
          <w:numId w:val="0"/>
        </w:numPr>
        <w:spacing w:line="360" w:lineRule="auto"/>
        <w:ind w:leftChars="0" w:firstLine="0" w:firstLineChars="0"/>
        <w:rPr>
          <w:rFonts w:hint="eastAsia" w:ascii="宋体" w:hAnsi="宋体" w:cs="宋体"/>
          <w:color w:val="000000"/>
          <w:kern w:val="2"/>
          <w:sz w:val="28"/>
          <w:szCs w:val="28"/>
          <w:highlight w:val="none"/>
          <w:lang w:val="en-US" w:eastAsia="zh-CN"/>
        </w:rPr>
      </w:pPr>
      <w:r>
        <w:rPr>
          <w:rFonts w:hint="eastAsia" w:ascii="宋体" w:hAnsi="宋体" w:cs="宋体"/>
          <w:color w:val="000000"/>
          <w:kern w:val="2"/>
          <w:sz w:val="28"/>
          <w:szCs w:val="28"/>
          <w:highlight w:val="none"/>
          <w:lang w:val="en-US" w:eastAsia="zh-CN"/>
        </w:rPr>
        <w:t>3、履约保证金退还时间：所有设备安装、调试，经验收合格后，甲方将全部保证金无息退还至乙方。</w:t>
      </w:r>
    </w:p>
    <w:p>
      <w:pPr>
        <w:pStyle w:val="5"/>
        <w:numPr>
          <w:ilvl w:val="0"/>
          <w:numId w:val="0"/>
        </w:numPr>
        <w:spacing w:line="360" w:lineRule="auto"/>
        <w:rPr>
          <w:rFonts w:hint="default" w:ascii="宋体" w:hAnsi="宋体" w:cs="宋体"/>
          <w:color w:val="000000"/>
          <w:sz w:val="28"/>
          <w:szCs w:val="28"/>
          <w:highlight w:val="none"/>
          <w:lang w:val="en-US" w:eastAsia="zh-CN"/>
        </w:rPr>
      </w:pPr>
      <w:r>
        <w:rPr>
          <w:rFonts w:hint="eastAsia" w:ascii="宋体" w:hAnsi="宋体" w:eastAsia="宋体" w:cs="宋体"/>
          <w:color w:val="000000"/>
          <w:kern w:val="2"/>
          <w:sz w:val="28"/>
          <w:szCs w:val="28"/>
          <w:highlight w:val="none"/>
          <w:lang w:val="en-US" w:eastAsia="zh-CN"/>
        </w:rPr>
        <w:t>4、履约保证金效力：在合同履行期间，乙方出现任何违约行为，甲方可直接从履约保证金中扣除相应金额以弥补损失。保证金被扣除后三个工作日内，乙方须及时补足相应保证金。若无违约等特殊情形，甲方不可直接扣除相应保证金。</w:t>
      </w:r>
    </w:p>
    <w:p>
      <w:pPr>
        <w:spacing w:line="360" w:lineRule="auto"/>
        <w:rPr>
          <w:rFonts w:hint="default" w:ascii="宋体" w:hAnsi="宋体" w:eastAsia="宋体" w:cs="宋体"/>
          <w:b w:val="0"/>
          <w:bCs w:val="0"/>
          <w:color w:val="000000"/>
          <w:sz w:val="28"/>
          <w:szCs w:val="28"/>
          <w:highlight w:val="none"/>
          <w:lang w:val="en-US" w:eastAsia="zh-CN"/>
        </w:rPr>
      </w:pPr>
      <w:r>
        <w:rPr>
          <w:rFonts w:hint="eastAsia" w:ascii="宋体" w:hAnsi="宋体" w:cs="宋体"/>
          <w:b w:val="0"/>
          <w:bCs w:val="0"/>
          <w:color w:val="000000"/>
          <w:sz w:val="28"/>
          <w:szCs w:val="28"/>
          <w:highlight w:val="none"/>
          <w:lang w:val="en-US" w:eastAsia="zh-CN"/>
        </w:rPr>
        <w:t>十二、</w:t>
      </w:r>
      <w:r>
        <w:rPr>
          <w:rFonts w:hint="eastAsia" w:ascii="宋体" w:hAnsi="宋体" w:eastAsia="宋体" w:cs="宋体"/>
          <w:b w:val="0"/>
          <w:bCs w:val="0"/>
          <w:color w:val="000000"/>
          <w:sz w:val="28"/>
          <w:szCs w:val="28"/>
          <w:highlight w:val="none"/>
        </w:rPr>
        <w:t>违约处理</w:t>
      </w:r>
      <w:r>
        <w:rPr>
          <w:rFonts w:hint="eastAsia" w:ascii="宋体" w:hAnsi="宋体" w:eastAsia="宋体" w:cs="宋体"/>
          <w:b w:val="0"/>
          <w:bCs w:val="0"/>
          <w:color w:val="000000"/>
          <w:sz w:val="28"/>
          <w:szCs w:val="28"/>
          <w:highlight w:val="none"/>
          <w:lang w:val="en-US" w:eastAsia="zh-CN"/>
        </w:rPr>
        <w:t>及风险责任</w:t>
      </w:r>
    </w:p>
    <w:p>
      <w:pPr>
        <w:tabs>
          <w:tab w:val="left" w:pos="360"/>
        </w:tabs>
        <w:spacing w:line="360" w:lineRule="auto"/>
        <w:rPr>
          <w:rFonts w:hint="eastAsia" w:ascii="宋体" w:hAnsi="宋体" w:eastAsia="宋体" w:cs="宋体"/>
          <w:bCs/>
          <w:color w:val="000000"/>
          <w:sz w:val="28"/>
          <w:szCs w:val="28"/>
          <w:highlight w:val="none"/>
        </w:rPr>
      </w:pPr>
      <w:r>
        <w:rPr>
          <w:rFonts w:hint="eastAsia" w:ascii="宋体" w:hAnsi="宋体" w:cs="宋体"/>
          <w:bCs/>
          <w:color w:val="000000"/>
          <w:sz w:val="28"/>
          <w:szCs w:val="28"/>
          <w:highlight w:val="none"/>
          <w:lang w:val="en-US" w:eastAsia="zh-CN"/>
        </w:rPr>
        <w:t>1、</w:t>
      </w:r>
      <w:r>
        <w:rPr>
          <w:rFonts w:hint="eastAsia" w:ascii="宋体" w:hAnsi="宋体" w:eastAsia="宋体" w:cs="宋体"/>
          <w:bCs/>
          <w:color w:val="000000"/>
          <w:sz w:val="28"/>
          <w:szCs w:val="28"/>
          <w:highlight w:val="none"/>
        </w:rPr>
        <w:t>如</w:t>
      </w:r>
      <w:r>
        <w:rPr>
          <w:rFonts w:hint="eastAsia" w:ascii="宋体" w:hAnsi="宋体" w:eastAsia="宋体" w:cs="宋体"/>
          <w:bCs/>
          <w:color w:val="000000"/>
          <w:sz w:val="28"/>
          <w:szCs w:val="28"/>
          <w:highlight w:val="none"/>
          <w:lang w:eastAsia="zh-CN"/>
        </w:rPr>
        <w:t>乙方</w:t>
      </w:r>
      <w:r>
        <w:rPr>
          <w:rFonts w:hint="eastAsia" w:ascii="宋体" w:hAnsi="宋体" w:eastAsia="宋体" w:cs="宋体"/>
          <w:bCs/>
          <w:color w:val="000000"/>
          <w:sz w:val="28"/>
          <w:szCs w:val="28"/>
          <w:highlight w:val="none"/>
        </w:rPr>
        <w:t>提供的货物全部或部分验收不合格，</w:t>
      </w:r>
      <w:r>
        <w:rPr>
          <w:rFonts w:hint="eastAsia" w:ascii="宋体" w:hAnsi="宋体" w:eastAsia="宋体" w:cs="宋体"/>
          <w:bCs/>
          <w:color w:val="000000"/>
          <w:sz w:val="28"/>
          <w:szCs w:val="28"/>
          <w:highlight w:val="none"/>
          <w:lang w:eastAsia="zh-CN"/>
        </w:rPr>
        <w:t>甲方</w:t>
      </w:r>
      <w:r>
        <w:rPr>
          <w:rFonts w:hint="eastAsia" w:ascii="宋体" w:hAnsi="宋体" w:eastAsia="宋体" w:cs="宋体"/>
          <w:bCs/>
          <w:color w:val="000000"/>
          <w:sz w:val="28"/>
          <w:szCs w:val="28"/>
          <w:highlight w:val="none"/>
        </w:rPr>
        <w:t>有权解除本合同，</w:t>
      </w:r>
      <w:r>
        <w:rPr>
          <w:rFonts w:hint="eastAsia" w:ascii="宋体" w:hAnsi="宋体" w:eastAsia="宋体" w:cs="宋体"/>
          <w:bCs/>
          <w:color w:val="000000"/>
          <w:sz w:val="28"/>
          <w:szCs w:val="28"/>
          <w:highlight w:val="none"/>
          <w:lang w:eastAsia="zh-CN"/>
        </w:rPr>
        <w:t>乙方</w:t>
      </w:r>
      <w:r>
        <w:rPr>
          <w:rFonts w:hint="eastAsia" w:ascii="宋体" w:hAnsi="宋体" w:eastAsia="宋体" w:cs="宋体"/>
          <w:bCs/>
          <w:color w:val="000000"/>
          <w:sz w:val="28"/>
          <w:szCs w:val="28"/>
          <w:highlight w:val="none"/>
        </w:rPr>
        <w:t>应在接到</w:t>
      </w:r>
      <w:r>
        <w:rPr>
          <w:rFonts w:hint="eastAsia" w:ascii="宋体" w:hAnsi="宋体" w:eastAsia="宋体" w:cs="宋体"/>
          <w:bCs/>
          <w:color w:val="000000"/>
          <w:sz w:val="28"/>
          <w:szCs w:val="28"/>
          <w:highlight w:val="none"/>
          <w:lang w:eastAsia="zh-CN"/>
        </w:rPr>
        <w:t>甲方</w:t>
      </w:r>
      <w:r>
        <w:rPr>
          <w:rFonts w:hint="eastAsia" w:ascii="宋体" w:hAnsi="宋体" w:eastAsia="宋体" w:cs="宋体"/>
          <w:bCs/>
          <w:color w:val="000000"/>
          <w:sz w:val="28"/>
          <w:szCs w:val="28"/>
          <w:highlight w:val="none"/>
        </w:rPr>
        <w:t>的通知后</w:t>
      </w:r>
      <w:r>
        <w:rPr>
          <w:rFonts w:hint="eastAsia" w:ascii="宋体" w:hAnsi="宋体" w:cs="宋体"/>
          <w:bCs/>
          <w:color w:val="000000"/>
          <w:sz w:val="28"/>
          <w:szCs w:val="28"/>
          <w:highlight w:val="none"/>
          <w:lang w:val="en-US" w:eastAsia="zh-CN"/>
        </w:rPr>
        <w:t>7</w:t>
      </w:r>
      <w:r>
        <w:rPr>
          <w:rFonts w:hint="eastAsia" w:ascii="宋体" w:hAnsi="宋体" w:eastAsia="宋体" w:cs="宋体"/>
          <w:bCs/>
          <w:color w:val="000000"/>
          <w:sz w:val="28"/>
          <w:szCs w:val="28"/>
          <w:highlight w:val="none"/>
        </w:rPr>
        <w:t>天内将不合格的货物撤出现场，</w:t>
      </w:r>
      <w:r>
        <w:rPr>
          <w:rFonts w:hint="eastAsia" w:ascii="宋体" w:hAnsi="宋体" w:cs="宋体"/>
          <w:bCs/>
          <w:color w:val="000000"/>
          <w:sz w:val="28"/>
          <w:szCs w:val="28"/>
          <w:highlight w:val="none"/>
          <w:lang w:val="en-US" w:eastAsia="zh-CN"/>
        </w:rPr>
        <w:t>退还全部货款的基础上，</w:t>
      </w:r>
      <w:r>
        <w:rPr>
          <w:rFonts w:hint="eastAsia" w:ascii="宋体" w:hAnsi="宋体" w:eastAsia="宋体" w:cs="宋体"/>
          <w:bCs/>
          <w:color w:val="000000"/>
          <w:sz w:val="28"/>
          <w:szCs w:val="28"/>
          <w:highlight w:val="none"/>
        </w:rPr>
        <w:t>并向</w:t>
      </w:r>
      <w:r>
        <w:rPr>
          <w:rFonts w:hint="eastAsia" w:ascii="宋体" w:hAnsi="宋体" w:eastAsia="宋体" w:cs="宋体"/>
          <w:bCs/>
          <w:color w:val="000000"/>
          <w:sz w:val="28"/>
          <w:szCs w:val="28"/>
          <w:highlight w:val="none"/>
          <w:lang w:eastAsia="zh-CN"/>
        </w:rPr>
        <w:t>甲方</w:t>
      </w:r>
      <w:r>
        <w:rPr>
          <w:rFonts w:hint="eastAsia" w:ascii="宋体" w:hAnsi="宋体" w:eastAsia="宋体" w:cs="宋体"/>
          <w:bCs/>
          <w:color w:val="000000"/>
          <w:sz w:val="28"/>
          <w:szCs w:val="28"/>
          <w:highlight w:val="none"/>
        </w:rPr>
        <w:t>支付不合格货物总价的</w:t>
      </w:r>
      <w:r>
        <w:rPr>
          <w:rFonts w:hint="eastAsia" w:ascii="宋体" w:hAnsi="宋体" w:cs="宋体"/>
          <w:bCs/>
          <w:color w:val="000000"/>
          <w:sz w:val="28"/>
          <w:szCs w:val="28"/>
          <w:highlight w:val="none"/>
          <w:lang w:val="en-US" w:eastAsia="zh-CN"/>
        </w:rPr>
        <w:t>25%</w:t>
      </w:r>
      <w:r>
        <w:rPr>
          <w:rFonts w:hint="eastAsia" w:ascii="宋体" w:hAnsi="宋体" w:eastAsia="宋体" w:cs="宋体"/>
          <w:bCs/>
          <w:color w:val="000000"/>
          <w:sz w:val="28"/>
          <w:szCs w:val="28"/>
          <w:highlight w:val="none"/>
        </w:rPr>
        <w:t>作为违约金。</w:t>
      </w:r>
    </w:p>
    <w:p>
      <w:pPr>
        <w:tabs>
          <w:tab w:val="left" w:pos="360"/>
        </w:tabs>
        <w:spacing w:line="360" w:lineRule="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cs="宋体"/>
          <w:bCs/>
          <w:color w:val="000000"/>
          <w:sz w:val="28"/>
          <w:szCs w:val="28"/>
          <w:highlight w:val="none"/>
          <w:lang w:val="en-US" w:eastAsia="zh-CN"/>
        </w:rPr>
        <w:t>2、</w:t>
      </w:r>
      <w:r>
        <w:rPr>
          <w:rFonts w:hint="eastAsia" w:ascii="宋体" w:hAnsi="宋体" w:eastAsia="宋体" w:cs="宋体"/>
          <w:bCs/>
          <w:color w:val="000000"/>
          <w:sz w:val="28"/>
          <w:szCs w:val="28"/>
          <w:highlight w:val="none"/>
          <w:lang w:eastAsia="zh-CN"/>
        </w:rPr>
        <w:t>乙方</w:t>
      </w:r>
      <w:r>
        <w:rPr>
          <w:rFonts w:hint="eastAsia" w:ascii="宋体" w:hAnsi="宋体" w:eastAsia="宋体" w:cs="宋体"/>
          <w:bCs/>
          <w:color w:val="000000"/>
          <w:sz w:val="28"/>
          <w:szCs w:val="28"/>
          <w:highlight w:val="none"/>
        </w:rPr>
        <w:t>逾期供货，自逾期之日起，每天应向</w:t>
      </w:r>
      <w:r>
        <w:rPr>
          <w:rFonts w:hint="eastAsia" w:ascii="宋体" w:hAnsi="宋体" w:eastAsia="宋体" w:cs="宋体"/>
          <w:bCs/>
          <w:color w:val="000000"/>
          <w:sz w:val="28"/>
          <w:szCs w:val="28"/>
          <w:highlight w:val="none"/>
          <w:lang w:eastAsia="zh-CN"/>
        </w:rPr>
        <w:t>甲方</w:t>
      </w:r>
      <w:r>
        <w:rPr>
          <w:rFonts w:hint="eastAsia" w:ascii="宋体" w:hAnsi="宋体" w:eastAsia="宋体" w:cs="宋体"/>
          <w:bCs/>
          <w:color w:val="000000"/>
          <w:sz w:val="28"/>
          <w:szCs w:val="28"/>
          <w:highlight w:val="none"/>
        </w:rPr>
        <w:t>支付合同总价</w:t>
      </w:r>
      <w:r>
        <w:rPr>
          <w:rFonts w:hint="eastAsia" w:ascii="宋体" w:hAnsi="宋体" w:cs="宋体"/>
          <w:bCs/>
          <w:color w:val="000000"/>
          <w:sz w:val="28"/>
          <w:szCs w:val="28"/>
          <w:highlight w:val="none"/>
          <w:lang w:val="en-US" w:eastAsia="zh-CN"/>
        </w:rPr>
        <w:t>0.5%的滞纳金</w:t>
      </w:r>
      <w:r>
        <w:rPr>
          <w:rFonts w:hint="eastAsia" w:ascii="宋体" w:hAnsi="宋体" w:eastAsia="宋体" w:cs="宋体"/>
          <w:bCs/>
          <w:color w:val="000000" w:themeColor="text1"/>
          <w:sz w:val="28"/>
          <w:szCs w:val="28"/>
          <w:highlight w:val="none"/>
          <w14:textFill>
            <w14:solidFill>
              <w14:schemeClr w14:val="tx1"/>
            </w14:solidFill>
          </w14:textFill>
        </w:rPr>
        <w:t>。如逾期超过</w:t>
      </w:r>
      <w:r>
        <w:rPr>
          <w:rFonts w:hint="eastAsia" w:ascii="宋体" w:hAnsi="宋体" w:cs="宋体"/>
          <w:bCs/>
          <w:color w:val="000000" w:themeColor="text1"/>
          <w:sz w:val="28"/>
          <w:szCs w:val="28"/>
          <w:highlight w:val="none"/>
          <w:lang w:val="en-US" w:eastAsia="zh-CN"/>
          <w14:textFill>
            <w14:solidFill>
              <w14:schemeClr w14:val="tx1"/>
            </w14:solidFill>
          </w14:textFill>
        </w:rPr>
        <w:t>15</w:t>
      </w:r>
      <w:r>
        <w:rPr>
          <w:rFonts w:hint="eastAsia" w:ascii="宋体" w:hAnsi="宋体" w:eastAsia="宋体" w:cs="宋体"/>
          <w:bCs/>
          <w:color w:val="000000" w:themeColor="text1"/>
          <w:sz w:val="28"/>
          <w:szCs w:val="28"/>
          <w:highlight w:val="none"/>
          <w14:textFill>
            <w14:solidFill>
              <w14:schemeClr w14:val="tx1"/>
            </w14:solidFill>
          </w14:textFill>
        </w:rPr>
        <w:t>天，</w:t>
      </w:r>
      <w:r>
        <w:rPr>
          <w:rFonts w:hint="eastAsia" w:ascii="宋体" w:hAnsi="宋体" w:eastAsia="宋体" w:cs="宋体"/>
          <w:bCs/>
          <w:color w:val="000000" w:themeColor="text1"/>
          <w:sz w:val="28"/>
          <w:szCs w:val="28"/>
          <w:highlight w:val="none"/>
          <w:lang w:eastAsia="zh-CN"/>
          <w14:textFill>
            <w14:solidFill>
              <w14:schemeClr w14:val="tx1"/>
            </w14:solidFill>
          </w14:textFill>
        </w:rPr>
        <w:t>甲方</w:t>
      </w:r>
      <w:r>
        <w:rPr>
          <w:rFonts w:hint="eastAsia" w:ascii="宋体" w:hAnsi="宋体" w:eastAsia="宋体" w:cs="宋体"/>
          <w:bCs/>
          <w:color w:val="000000" w:themeColor="text1"/>
          <w:sz w:val="28"/>
          <w:szCs w:val="28"/>
          <w:highlight w:val="none"/>
          <w14:textFill>
            <w14:solidFill>
              <w14:schemeClr w14:val="tx1"/>
            </w14:solidFill>
          </w14:textFill>
        </w:rPr>
        <w:t>有权解除本合同，</w:t>
      </w:r>
      <w:r>
        <w:rPr>
          <w:rFonts w:hint="eastAsia" w:ascii="宋体" w:hAnsi="宋体" w:eastAsia="宋体" w:cs="宋体"/>
          <w:bCs/>
          <w:color w:val="000000" w:themeColor="text1"/>
          <w:sz w:val="28"/>
          <w:szCs w:val="28"/>
          <w:highlight w:val="none"/>
          <w:lang w:eastAsia="zh-CN"/>
          <w14:textFill>
            <w14:solidFill>
              <w14:schemeClr w14:val="tx1"/>
            </w14:solidFill>
          </w14:textFill>
        </w:rPr>
        <w:t>乙方</w:t>
      </w:r>
      <w:r>
        <w:rPr>
          <w:rFonts w:hint="eastAsia" w:ascii="宋体" w:hAnsi="宋体" w:eastAsia="宋体" w:cs="宋体"/>
          <w:bCs/>
          <w:color w:val="000000" w:themeColor="text1"/>
          <w:sz w:val="28"/>
          <w:szCs w:val="28"/>
          <w:highlight w:val="none"/>
          <w14:textFill>
            <w14:solidFill>
              <w14:schemeClr w14:val="tx1"/>
            </w14:solidFill>
          </w14:textFill>
        </w:rPr>
        <w:t>还应向</w:t>
      </w:r>
      <w:r>
        <w:rPr>
          <w:rFonts w:hint="eastAsia" w:ascii="宋体" w:hAnsi="宋体" w:eastAsia="宋体" w:cs="宋体"/>
          <w:bCs/>
          <w:color w:val="000000" w:themeColor="text1"/>
          <w:sz w:val="28"/>
          <w:szCs w:val="28"/>
          <w:highlight w:val="none"/>
          <w:lang w:eastAsia="zh-CN"/>
          <w14:textFill>
            <w14:solidFill>
              <w14:schemeClr w14:val="tx1"/>
            </w14:solidFill>
          </w14:textFill>
        </w:rPr>
        <w:t>甲方</w:t>
      </w:r>
      <w:r>
        <w:rPr>
          <w:rFonts w:hint="eastAsia" w:ascii="宋体" w:hAnsi="宋体" w:eastAsia="宋体" w:cs="宋体"/>
          <w:bCs/>
          <w:color w:val="000000" w:themeColor="text1"/>
          <w:sz w:val="28"/>
          <w:szCs w:val="28"/>
          <w:highlight w:val="none"/>
          <w14:textFill>
            <w14:solidFill>
              <w14:schemeClr w14:val="tx1"/>
            </w14:solidFill>
          </w14:textFill>
        </w:rPr>
        <w:t>支付合同总价</w:t>
      </w:r>
      <w:r>
        <w:rPr>
          <w:rFonts w:hint="eastAsia" w:ascii="宋体" w:hAnsi="宋体" w:cs="宋体"/>
          <w:bCs/>
          <w:color w:val="000000" w:themeColor="text1"/>
          <w:sz w:val="28"/>
          <w:szCs w:val="28"/>
          <w:highlight w:val="none"/>
          <w:lang w:val="en-US" w:eastAsia="zh-CN"/>
          <w14:textFill>
            <w14:solidFill>
              <w14:schemeClr w14:val="tx1"/>
            </w14:solidFill>
          </w14:textFill>
        </w:rPr>
        <w:t>25%</w:t>
      </w:r>
      <w:r>
        <w:rPr>
          <w:rFonts w:hint="eastAsia" w:ascii="宋体" w:hAnsi="宋体" w:eastAsia="宋体" w:cs="宋体"/>
          <w:bCs/>
          <w:color w:val="000000" w:themeColor="text1"/>
          <w:sz w:val="28"/>
          <w:szCs w:val="28"/>
          <w:highlight w:val="none"/>
          <w14:textFill>
            <w14:solidFill>
              <w14:schemeClr w14:val="tx1"/>
            </w14:solidFill>
          </w14:textFill>
        </w:rPr>
        <w:t>的违约金。</w:t>
      </w:r>
    </w:p>
    <w:p>
      <w:pPr>
        <w:tabs>
          <w:tab w:val="left" w:pos="360"/>
        </w:tabs>
        <w:spacing w:line="360" w:lineRule="auto"/>
        <w:rPr>
          <w:rFonts w:hint="eastAsia" w:ascii="宋体" w:hAnsi="宋体" w:eastAsia="宋体" w:cs="宋体"/>
          <w:bCs/>
          <w:color w:val="000000"/>
          <w:sz w:val="28"/>
          <w:szCs w:val="28"/>
          <w:highlight w:val="none"/>
        </w:rPr>
      </w:pPr>
      <w:r>
        <w:rPr>
          <w:rFonts w:hint="eastAsia" w:ascii="宋体" w:hAnsi="宋体" w:cs="宋体"/>
          <w:bCs/>
          <w:color w:val="000000"/>
          <w:sz w:val="28"/>
          <w:szCs w:val="28"/>
          <w:highlight w:val="none"/>
          <w:lang w:val="en-US" w:eastAsia="zh-CN"/>
        </w:rPr>
        <w:t>3、</w:t>
      </w:r>
      <w:r>
        <w:rPr>
          <w:rFonts w:hint="eastAsia" w:ascii="宋体" w:hAnsi="宋体" w:eastAsia="宋体" w:cs="宋体"/>
          <w:bCs/>
          <w:color w:val="000000"/>
          <w:sz w:val="28"/>
          <w:szCs w:val="28"/>
          <w:highlight w:val="none"/>
          <w:lang w:eastAsia="zh-CN"/>
        </w:rPr>
        <w:t>乙方</w:t>
      </w:r>
      <w:r>
        <w:rPr>
          <w:rFonts w:hint="eastAsia" w:ascii="宋体" w:hAnsi="宋体" w:eastAsia="宋体" w:cs="宋体"/>
          <w:bCs/>
          <w:color w:val="000000"/>
          <w:sz w:val="28"/>
          <w:szCs w:val="28"/>
          <w:highlight w:val="none"/>
        </w:rPr>
        <w:t>保证其交付的全部货物不会侵犯任何第三方的著作权、商标权、专利权等其他合法权利，否则，</w:t>
      </w:r>
      <w:r>
        <w:rPr>
          <w:rFonts w:hint="eastAsia" w:ascii="宋体" w:hAnsi="宋体" w:eastAsia="宋体" w:cs="宋体"/>
          <w:bCs/>
          <w:color w:val="000000"/>
          <w:sz w:val="28"/>
          <w:szCs w:val="28"/>
          <w:highlight w:val="none"/>
          <w:lang w:eastAsia="zh-CN"/>
        </w:rPr>
        <w:t>乙方</w:t>
      </w:r>
      <w:r>
        <w:rPr>
          <w:rFonts w:hint="eastAsia" w:ascii="宋体" w:hAnsi="宋体" w:eastAsia="宋体" w:cs="宋体"/>
          <w:bCs/>
          <w:color w:val="000000"/>
          <w:sz w:val="28"/>
          <w:szCs w:val="28"/>
          <w:highlight w:val="none"/>
        </w:rPr>
        <w:t>应承担全部法律责任。如</w:t>
      </w:r>
      <w:r>
        <w:rPr>
          <w:rFonts w:hint="eastAsia" w:ascii="宋体" w:hAnsi="宋体" w:eastAsia="宋体" w:cs="宋体"/>
          <w:bCs/>
          <w:color w:val="000000"/>
          <w:sz w:val="28"/>
          <w:szCs w:val="28"/>
          <w:highlight w:val="none"/>
          <w:lang w:eastAsia="zh-CN"/>
        </w:rPr>
        <w:t>甲方</w:t>
      </w:r>
      <w:r>
        <w:rPr>
          <w:rFonts w:hint="eastAsia" w:ascii="宋体" w:hAnsi="宋体" w:eastAsia="宋体" w:cs="宋体"/>
          <w:bCs/>
          <w:color w:val="000000"/>
          <w:sz w:val="28"/>
          <w:szCs w:val="28"/>
          <w:highlight w:val="none"/>
        </w:rPr>
        <w:t>因此遭受任何第三方的追索、索赔或诉讼的，则因此加诸于</w:t>
      </w:r>
      <w:r>
        <w:rPr>
          <w:rFonts w:hint="eastAsia" w:ascii="宋体" w:hAnsi="宋体" w:eastAsia="宋体" w:cs="宋体"/>
          <w:bCs/>
          <w:color w:val="000000"/>
          <w:sz w:val="28"/>
          <w:szCs w:val="28"/>
          <w:highlight w:val="none"/>
          <w:lang w:eastAsia="zh-CN"/>
        </w:rPr>
        <w:t>甲方</w:t>
      </w:r>
      <w:r>
        <w:rPr>
          <w:rFonts w:hint="eastAsia" w:ascii="宋体" w:hAnsi="宋体" w:eastAsia="宋体" w:cs="宋体"/>
          <w:bCs/>
          <w:color w:val="000000"/>
          <w:sz w:val="28"/>
          <w:szCs w:val="28"/>
          <w:highlight w:val="none"/>
        </w:rPr>
        <w:t>的一切责任及全部债务均由</w:t>
      </w:r>
      <w:r>
        <w:rPr>
          <w:rFonts w:hint="eastAsia" w:ascii="宋体" w:hAnsi="宋体" w:eastAsia="宋体" w:cs="宋体"/>
          <w:bCs/>
          <w:color w:val="000000"/>
          <w:sz w:val="28"/>
          <w:szCs w:val="28"/>
          <w:highlight w:val="none"/>
          <w:lang w:eastAsia="zh-CN"/>
        </w:rPr>
        <w:t>乙方</w:t>
      </w:r>
      <w:r>
        <w:rPr>
          <w:rFonts w:hint="eastAsia" w:ascii="宋体" w:hAnsi="宋体" w:eastAsia="宋体" w:cs="宋体"/>
          <w:bCs/>
          <w:color w:val="000000"/>
          <w:sz w:val="28"/>
          <w:szCs w:val="28"/>
          <w:highlight w:val="none"/>
        </w:rPr>
        <w:t>承担并清偿，</w:t>
      </w:r>
      <w:r>
        <w:rPr>
          <w:rFonts w:hint="eastAsia" w:ascii="宋体" w:hAnsi="宋体" w:eastAsia="宋体" w:cs="宋体"/>
          <w:bCs/>
          <w:color w:val="000000"/>
          <w:sz w:val="28"/>
          <w:szCs w:val="28"/>
          <w:highlight w:val="none"/>
          <w:lang w:eastAsia="zh-CN"/>
        </w:rPr>
        <w:t>乙方</w:t>
      </w:r>
      <w:r>
        <w:rPr>
          <w:rFonts w:hint="eastAsia" w:ascii="宋体" w:hAnsi="宋体" w:eastAsia="宋体" w:cs="宋体"/>
          <w:bCs/>
          <w:color w:val="000000"/>
          <w:sz w:val="28"/>
          <w:szCs w:val="28"/>
          <w:highlight w:val="none"/>
        </w:rPr>
        <w:t>并愿意赔偿</w:t>
      </w:r>
      <w:r>
        <w:rPr>
          <w:rFonts w:hint="eastAsia" w:ascii="宋体" w:hAnsi="宋体" w:eastAsia="宋体" w:cs="宋体"/>
          <w:bCs/>
          <w:color w:val="000000"/>
          <w:sz w:val="28"/>
          <w:szCs w:val="28"/>
          <w:highlight w:val="none"/>
          <w:lang w:eastAsia="zh-CN"/>
        </w:rPr>
        <w:t>甲方</w:t>
      </w:r>
      <w:r>
        <w:rPr>
          <w:rFonts w:hint="eastAsia" w:ascii="宋体" w:hAnsi="宋体" w:eastAsia="宋体" w:cs="宋体"/>
          <w:bCs/>
          <w:color w:val="000000"/>
          <w:sz w:val="28"/>
          <w:szCs w:val="28"/>
          <w:highlight w:val="none"/>
        </w:rPr>
        <w:t>因此受到的全部损失。</w:t>
      </w:r>
    </w:p>
    <w:p>
      <w:pPr>
        <w:tabs>
          <w:tab w:val="left" w:pos="360"/>
        </w:tabs>
        <w:spacing w:line="360" w:lineRule="auto"/>
        <w:rPr>
          <w:rFonts w:hint="eastAsia" w:ascii="宋体" w:hAnsi="宋体" w:eastAsia="宋体" w:cs="宋体"/>
          <w:bCs/>
          <w:color w:val="000000"/>
          <w:sz w:val="28"/>
          <w:szCs w:val="28"/>
          <w:highlight w:val="none"/>
        </w:rPr>
      </w:pPr>
      <w:r>
        <w:rPr>
          <w:rFonts w:hint="eastAsia" w:ascii="宋体" w:hAnsi="宋体" w:cs="宋体"/>
          <w:bCs/>
          <w:color w:val="000000"/>
          <w:sz w:val="28"/>
          <w:szCs w:val="28"/>
          <w:highlight w:val="none"/>
          <w:lang w:val="en-US" w:eastAsia="zh-CN"/>
        </w:rPr>
        <w:t>4、</w:t>
      </w:r>
      <w:r>
        <w:rPr>
          <w:rFonts w:hint="eastAsia" w:ascii="宋体" w:hAnsi="宋体" w:eastAsia="宋体" w:cs="宋体"/>
          <w:bCs/>
          <w:color w:val="000000"/>
          <w:sz w:val="28"/>
          <w:szCs w:val="28"/>
          <w:highlight w:val="none"/>
          <w:lang w:eastAsia="zh-CN"/>
        </w:rPr>
        <w:t>乙方</w:t>
      </w:r>
      <w:r>
        <w:rPr>
          <w:rFonts w:hint="eastAsia" w:ascii="宋体" w:hAnsi="宋体" w:eastAsia="宋体" w:cs="宋体"/>
          <w:bCs/>
          <w:color w:val="000000"/>
          <w:sz w:val="28"/>
          <w:szCs w:val="28"/>
          <w:highlight w:val="none"/>
        </w:rPr>
        <w:t>或</w:t>
      </w:r>
      <w:r>
        <w:rPr>
          <w:rFonts w:hint="eastAsia" w:ascii="宋体" w:hAnsi="宋体" w:eastAsia="宋体" w:cs="宋体"/>
          <w:bCs/>
          <w:color w:val="000000"/>
          <w:sz w:val="28"/>
          <w:szCs w:val="28"/>
          <w:highlight w:val="none"/>
          <w:lang w:eastAsia="zh-CN"/>
        </w:rPr>
        <w:t>乙方</w:t>
      </w:r>
      <w:r>
        <w:rPr>
          <w:rFonts w:hint="eastAsia" w:ascii="宋体" w:hAnsi="宋体" w:eastAsia="宋体" w:cs="宋体"/>
          <w:bCs/>
          <w:color w:val="000000"/>
          <w:sz w:val="28"/>
          <w:szCs w:val="28"/>
          <w:highlight w:val="none"/>
        </w:rPr>
        <w:t>人员违反本合同约定的任何义务的，应承担</w:t>
      </w:r>
      <w:r>
        <w:rPr>
          <w:rFonts w:hint="eastAsia" w:ascii="宋体" w:hAnsi="宋体" w:eastAsia="宋体" w:cs="宋体"/>
          <w:bCs/>
          <w:color w:val="000000"/>
          <w:sz w:val="28"/>
          <w:szCs w:val="28"/>
          <w:highlight w:val="none"/>
          <w:lang w:eastAsia="zh-CN"/>
        </w:rPr>
        <w:t>甲方</w:t>
      </w:r>
      <w:r>
        <w:rPr>
          <w:rFonts w:hint="eastAsia" w:ascii="宋体" w:hAnsi="宋体" w:eastAsia="宋体" w:cs="宋体"/>
          <w:bCs/>
          <w:color w:val="000000"/>
          <w:sz w:val="28"/>
          <w:szCs w:val="28"/>
          <w:highlight w:val="none"/>
        </w:rPr>
        <w:t>因实现权利所支付的所有费用，包括但不限于调查取证费、鉴定费、公证费、评估费、担保费、律师费、仲裁费/诉讼费、公告费、保全费、执行费、律师代理费、差旅费等。</w:t>
      </w:r>
    </w:p>
    <w:p>
      <w:pPr>
        <w:pStyle w:val="18"/>
        <w:rPr>
          <w:rFonts w:hint="eastAsia" w:ascii="宋体" w:hAnsi="宋体" w:eastAsia="宋体" w:cs="宋体"/>
          <w:bCs/>
          <w:color w:val="000000"/>
          <w:sz w:val="28"/>
          <w:szCs w:val="28"/>
          <w:highlight w:val="none"/>
          <w:lang w:val="en-US" w:eastAsia="zh-CN"/>
        </w:rPr>
      </w:pPr>
      <w:r>
        <w:rPr>
          <w:rFonts w:hint="eastAsia" w:ascii="宋体" w:hAnsi="宋体" w:cs="宋体"/>
          <w:bCs/>
          <w:color w:val="000000"/>
          <w:sz w:val="28"/>
          <w:szCs w:val="28"/>
          <w:highlight w:val="none"/>
          <w:lang w:val="en-US" w:eastAsia="zh-CN"/>
        </w:rPr>
        <w:t>5</w:t>
      </w:r>
      <w:r>
        <w:rPr>
          <w:rFonts w:hint="eastAsia" w:ascii="宋体" w:hAnsi="宋体" w:eastAsia="宋体" w:cs="宋体"/>
          <w:bCs/>
          <w:color w:val="000000"/>
          <w:sz w:val="28"/>
          <w:szCs w:val="28"/>
          <w:highlight w:val="none"/>
          <w:lang w:val="en-US" w:eastAsia="zh-CN"/>
        </w:rPr>
        <w:t>、执行本合同的过程中，确因在现有水平和条件下难以克服的技术困难，导致部分或全部失败所造成的损失，风险责任由乙方全部承担。</w:t>
      </w:r>
    </w:p>
    <w:p>
      <w:pPr>
        <w:rPr>
          <w:rFonts w:hint="eastAsia" w:ascii="宋体" w:hAnsi="宋体" w:eastAsia="宋体" w:cs="宋体"/>
          <w:bCs/>
          <w:color w:val="000000"/>
          <w:sz w:val="28"/>
          <w:szCs w:val="28"/>
          <w:highlight w:val="none"/>
          <w:lang w:val="en-US" w:eastAsia="zh-CN"/>
        </w:rPr>
      </w:pPr>
      <w:r>
        <w:rPr>
          <w:rFonts w:hint="eastAsia" w:ascii="宋体" w:hAnsi="宋体" w:cs="宋体"/>
          <w:bCs/>
          <w:color w:val="000000"/>
          <w:sz w:val="28"/>
          <w:szCs w:val="28"/>
          <w:highlight w:val="none"/>
          <w:lang w:val="en-US" w:eastAsia="zh-CN"/>
        </w:rPr>
        <w:t>6</w:t>
      </w:r>
      <w:r>
        <w:rPr>
          <w:rFonts w:hint="eastAsia" w:ascii="宋体" w:hAnsi="宋体" w:eastAsia="宋体" w:cs="宋体"/>
          <w:bCs/>
          <w:color w:val="000000"/>
          <w:sz w:val="28"/>
          <w:szCs w:val="28"/>
          <w:highlight w:val="none"/>
          <w:lang w:val="en-US" w:eastAsia="zh-CN"/>
        </w:rPr>
        <w:t>、乙方在交付货物和服务后发现有瑕疵条款或漏项的，乙方应负担由此而产生的一切损失。</w:t>
      </w:r>
    </w:p>
    <w:p>
      <w:pPr>
        <w:rPr>
          <w:rFonts w:hint="eastAsia" w:ascii="宋体" w:hAnsi="宋体" w:cs="宋体"/>
          <w:bCs/>
          <w:color w:val="000000"/>
          <w:sz w:val="28"/>
          <w:szCs w:val="28"/>
          <w:highlight w:val="none"/>
          <w:lang w:val="en-US" w:eastAsia="zh-CN"/>
        </w:rPr>
      </w:pPr>
      <w:r>
        <w:rPr>
          <w:rFonts w:hint="eastAsia" w:ascii="宋体" w:hAnsi="宋体" w:cs="宋体"/>
          <w:bCs/>
          <w:color w:val="000000"/>
          <w:sz w:val="28"/>
          <w:szCs w:val="28"/>
          <w:highlight w:val="none"/>
          <w:lang w:val="en-US" w:eastAsia="zh-CN"/>
        </w:rPr>
        <w:t>十三、单位变动情况处理</w:t>
      </w:r>
    </w:p>
    <w:p>
      <w:pPr>
        <w:rPr>
          <w:rFonts w:hint="default" w:ascii="宋体" w:hAnsi="宋体" w:cs="宋体"/>
          <w:bCs/>
          <w:color w:val="000000"/>
          <w:sz w:val="28"/>
          <w:szCs w:val="28"/>
          <w:highlight w:val="none"/>
          <w:lang w:val="en-US" w:eastAsia="zh-CN"/>
        </w:rPr>
      </w:pPr>
      <w:r>
        <w:rPr>
          <w:rFonts w:hint="eastAsia" w:ascii="宋体" w:hAnsi="宋体" w:cs="宋体"/>
          <w:bCs/>
          <w:color w:val="000000"/>
          <w:sz w:val="28"/>
          <w:szCs w:val="28"/>
          <w:highlight w:val="none"/>
          <w:lang w:val="en-US" w:eastAsia="zh-CN"/>
        </w:rPr>
        <w:t>乙方发生收购、兼并、重组等单位变动情况，责任顺延至收购方、兼并方、重组方等新主体。</w:t>
      </w:r>
    </w:p>
    <w:p>
      <w:pPr>
        <w:pStyle w:val="18"/>
        <w:rPr>
          <w:rFonts w:hint="eastAsia" w:ascii="宋体" w:hAnsi="宋体" w:eastAsia="宋体" w:cs="宋体"/>
          <w:bCs/>
          <w:color w:val="000000"/>
          <w:sz w:val="28"/>
          <w:szCs w:val="28"/>
          <w:highlight w:val="none"/>
          <w:lang w:val="en-US" w:eastAsia="zh-CN"/>
        </w:rPr>
      </w:pPr>
      <w:r>
        <w:rPr>
          <w:rFonts w:hint="eastAsia" w:ascii="宋体" w:hAnsi="宋体" w:cs="宋体"/>
          <w:bCs/>
          <w:color w:val="000000"/>
          <w:sz w:val="28"/>
          <w:szCs w:val="28"/>
          <w:highlight w:val="none"/>
          <w:lang w:val="en-US" w:eastAsia="zh-CN"/>
        </w:rPr>
        <w:t>十四、</w:t>
      </w:r>
      <w:r>
        <w:rPr>
          <w:rFonts w:hint="eastAsia" w:ascii="宋体" w:hAnsi="宋体" w:eastAsia="宋体" w:cs="宋体"/>
          <w:bCs/>
          <w:color w:val="000000"/>
          <w:sz w:val="28"/>
          <w:szCs w:val="28"/>
          <w:highlight w:val="none"/>
          <w:lang w:val="en-US" w:eastAsia="zh-CN"/>
        </w:rPr>
        <w:t>关于不可抗力</w:t>
      </w:r>
    </w:p>
    <w:p>
      <w:pPr>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不可抗力的定义</w:t>
      </w:r>
    </w:p>
    <w:p>
      <w:pPr>
        <w:rPr>
          <w:rFonts w:hint="eastAsia" w:ascii="宋体" w:hAnsi="宋体" w:eastAsia="宋体" w:cs="宋体"/>
          <w:sz w:val="28"/>
          <w:szCs w:val="28"/>
          <w:highlight w:val="none"/>
        </w:rPr>
      </w:pPr>
      <w:r>
        <w:rPr>
          <w:rFonts w:hint="eastAsia" w:ascii="宋体" w:hAnsi="宋体" w:eastAsia="宋体" w:cs="宋体"/>
          <w:sz w:val="28"/>
          <w:szCs w:val="28"/>
          <w:highlight w:val="none"/>
        </w:rPr>
        <w:t>“不可抗力“是指超出本合同双方控制范围的，不能预见、不能避免或不能克服是所有事件，该事件使得本合同任何一方部分或者完全不能履行本合同。这类事件包括但不限于地震、台风、洪水、火灾、战争、罢工、暴动、政府管制或其他政府行为、传染性疾病或者其他任何无法预见、无法避免或者控制的事件</w:t>
      </w:r>
    </w:p>
    <w:p>
      <w:pPr>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不可抗力的后果</w:t>
      </w:r>
    </w:p>
    <w:p>
      <w:pPr>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2.1</w:t>
      </w:r>
      <w:r>
        <w:rPr>
          <w:rFonts w:hint="eastAsia" w:ascii="宋体" w:hAnsi="宋体" w:eastAsia="宋体" w:cs="宋体"/>
          <w:sz w:val="28"/>
          <w:szCs w:val="28"/>
          <w:highlight w:val="none"/>
        </w:rPr>
        <w:t>如果发生不可抗力事件，一方在本合同项下的受不可抗力影响的义务在不可抗力造成的延误期间自动中止，并且其履行期限应自动延长，延长期间为中止的期间，该方无须为此承担违约责任</w:t>
      </w:r>
    </w:p>
    <w:p>
      <w:pPr>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2.2</w:t>
      </w:r>
      <w:r>
        <w:rPr>
          <w:rFonts w:hint="eastAsia" w:ascii="宋体" w:hAnsi="宋体" w:eastAsia="宋体" w:cs="宋体"/>
          <w:sz w:val="28"/>
          <w:szCs w:val="28"/>
          <w:highlight w:val="none"/>
        </w:rPr>
        <w:t>提出受不可抗力影响的一方应及时书面通知对方，并且在随后的十五个</w:t>
      </w:r>
      <w:r>
        <w:rPr>
          <w:rFonts w:hint="eastAsia" w:ascii="宋体" w:hAnsi="宋体" w:eastAsia="宋体" w:cs="宋体"/>
          <w:sz w:val="28"/>
          <w:szCs w:val="28"/>
          <w:highlight w:val="none"/>
          <w:lang w:val="en-US" w:eastAsia="zh-CN"/>
        </w:rPr>
        <w:t>工作日</w:t>
      </w:r>
      <w:r>
        <w:rPr>
          <w:rFonts w:hint="eastAsia" w:ascii="宋体" w:hAnsi="宋体" w:eastAsia="宋体" w:cs="宋体"/>
          <w:sz w:val="28"/>
          <w:szCs w:val="28"/>
          <w:highlight w:val="none"/>
        </w:rPr>
        <w:t>内向对方提供不可抗力发生以及持续期间的充分证据。提出受不可抗力影响的一方还应尽一切努力排除不可抗力，避免损失的进一步扩大</w:t>
      </w:r>
    </w:p>
    <w:p>
      <w:pPr>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2.3不可抗力事件持续60天以上，双方应通过友好协商，确定是否继续履行合同。</w:t>
      </w:r>
    </w:p>
    <w:p>
      <w:pPr>
        <w:spacing w:line="360" w:lineRule="auto"/>
        <w:rPr>
          <w:rFonts w:hint="eastAsia" w:ascii="宋体" w:hAnsi="宋体" w:eastAsia="宋体" w:cs="宋体"/>
          <w:b w:val="0"/>
          <w:bCs w:val="0"/>
          <w:color w:val="000000"/>
          <w:sz w:val="28"/>
          <w:szCs w:val="28"/>
          <w:highlight w:val="none"/>
        </w:rPr>
      </w:pPr>
      <w:r>
        <w:rPr>
          <w:rFonts w:hint="eastAsia" w:ascii="宋体" w:hAnsi="宋体" w:cs="宋体"/>
          <w:b w:val="0"/>
          <w:bCs w:val="0"/>
          <w:color w:val="000000"/>
          <w:sz w:val="28"/>
          <w:szCs w:val="28"/>
          <w:highlight w:val="none"/>
          <w:lang w:val="en-US" w:eastAsia="zh-CN"/>
        </w:rPr>
        <w:t>十五、</w:t>
      </w:r>
      <w:r>
        <w:rPr>
          <w:rFonts w:hint="eastAsia" w:ascii="宋体" w:hAnsi="宋体" w:eastAsia="宋体" w:cs="宋体"/>
          <w:b w:val="0"/>
          <w:bCs w:val="0"/>
          <w:color w:val="000000"/>
          <w:sz w:val="28"/>
          <w:szCs w:val="28"/>
          <w:highlight w:val="none"/>
        </w:rPr>
        <w:t>其他约定事项</w:t>
      </w:r>
    </w:p>
    <w:p>
      <w:pPr>
        <w:tabs>
          <w:tab w:val="left" w:pos="360"/>
        </w:tabs>
        <w:spacing w:line="360" w:lineRule="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w:t>
      </w:r>
      <w:r>
        <w:rPr>
          <w:rFonts w:hint="eastAsia" w:ascii="宋体" w:hAnsi="宋体" w:eastAsia="宋体" w:cs="宋体"/>
          <w:color w:val="000000"/>
          <w:sz w:val="28"/>
          <w:szCs w:val="28"/>
          <w:highlight w:val="none"/>
          <w:lang w:eastAsia="zh-CN"/>
        </w:rPr>
        <w:t>甲方</w:t>
      </w:r>
      <w:r>
        <w:rPr>
          <w:rFonts w:hint="eastAsia" w:ascii="宋体" w:hAnsi="宋体" w:eastAsia="宋体" w:cs="宋体"/>
          <w:color w:val="000000"/>
          <w:sz w:val="28"/>
          <w:szCs w:val="28"/>
          <w:highlight w:val="none"/>
        </w:rPr>
        <w:t>负责按本合同第一条所述相应文本中的约定提供货物的存放和现场施工条件（电、水、工作时间及工具和材料的存放房间）。</w:t>
      </w:r>
    </w:p>
    <w:p>
      <w:pPr>
        <w:tabs>
          <w:tab w:val="left" w:pos="360"/>
        </w:tabs>
        <w:spacing w:line="360" w:lineRule="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w:t>
      </w:r>
      <w:r>
        <w:rPr>
          <w:rFonts w:hint="eastAsia" w:ascii="宋体" w:hAnsi="宋体" w:eastAsia="宋体" w:cs="宋体"/>
          <w:color w:val="000000"/>
          <w:sz w:val="28"/>
          <w:szCs w:val="28"/>
          <w:highlight w:val="none"/>
          <w:lang w:eastAsia="zh-CN"/>
        </w:rPr>
        <w:t>乙方</w:t>
      </w:r>
      <w:r>
        <w:rPr>
          <w:rFonts w:hint="eastAsia" w:ascii="宋体" w:hAnsi="宋体" w:eastAsia="宋体" w:cs="宋体"/>
          <w:color w:val="000000"/>
          <w:sz w:val="28"/>
          <w:szCs w:val="28"/>
          <w:highlight w:val="none"/>
        </w:rPr>
        <w:t>应指定专人负责与</w:t>
      </w:r>
      <w:r>
        <w:rPr>
          <w:rFonts w:hint="eastAsia" w:ascii="宋体" w:hAnsi="宋体" w:eastAsia="宋体" w:cs="宋体"/>
          <w:color w:val="000000"/>
          <w:sz w:val="28"/>
          <w:szCs w:val="28"/>
          <w:highlight w:val="none"/>
          <w:lang w:eastAsia="zh-CN"/>
        </w:rPr>
        <w:t>甲方</w:t>
      </w:r>
      <w:r>
        <w:rPr>
          <w:rFonts w:hint="eastAsia" w:ascii="宋体" w:hAnsi="宋体" w:eastAsia="宋体" w:cs="宋体"/>
          <w:color w:val="000000"/>
          <w:sz w:val="28"/>
          <w:szCs w:val="28"/>
          <w:highlight w:val="none"/>
        </w:rPr>
        <w:t>的联络和安装现场协调事宜。</w:t>
      </w:r>
    </w:p>
    <w:p>
      <w:pPr>
        <w:tabs>
          <w:tab w:val="left" w:pos="360"/>
        </w:tabs>
        <w:spacing w:line="360" w:lineRule="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sz w:val="28"/>
          <w:szCs w:val="28"/>
          <w:highlight w:val="none"/>
        </w:rPr>
        <w:t xml:space="preserve">3. </w:t>
      </w:r>
      <w:r>
        <w:rPr>
          <w:rFonts w:hint="eastAsia" w:ascii="宋体" w:hAnsi="宋体" w:eastAsia="宋体" w:cs="宋体"/>
          <w:color w:val="000000"/>
          <w:sz w:val="28"/>
          <w:szCs w:val="28"/>
          <w:highlight w:val="none"/>
          <w:lang w:eastAsia="zh-CN"/>
        </w:rPr>
        <w:t>乙方</w:t>
      </w:r>
      <w:r>
        <w:rPr>
          <w:rFonts w:hint="eastAsia" w:ascii="宋体" w:hAnsi="宋体" w:eastAsia="宋体" w:cs="宋体"/>
          <w:color w:val="000000"/>
          <w:sz w:val="28"/>
          <w:szCs w:val="28"/>
          <w:highlight w:val="none"/>
        </w:rPr>
        <w:t>应当对在签订、履行本合同过程中知悉或获得的所有有关</w:t>
      </w:r>
      <w:r>
        <w:rPr>
          <w:rFonts w:hint="eastAsia" w:ascii="宋体" w:hAnsi="宋体" w:eastAsia="宋体" w:cs="宋体"/>
          <w:color w:val="000000"/>
          <w:sz w:val="28"/>
          <w:szCs w:val="28"/>
          <w:highlight w:val="none"/>
          <w:lang w:eastAsia="zh-CN"/>
        </w:rPr>
        <w:t>甲方</w:t>
      </w:r>
      <w:r>
        <w:rPr>
          <w:rFonts w:hint="eastAsia" w:ascii="宋体" w:hAnsi="宋体" w:eastAsia="宋体" w:cs="宋体"/>
          <w:color w:val="000000"/>
          <w:sz w:val="28"/>
          <w:szCs w:val="28"/>
          <w:highlight w:val="none"/>
        </w:rPr>
        <w:t>的信息、文件、资料、数据，以及</w:t>
      </w:r>
      <w:r>
        <w:rPr>
          <w:rFonts w:hint="eastAsia" w:ascii="宋体" w:hAnsi="宋体" w:eastAsia="宋体" w:cs="宋体"/>
          <w:color w:val="000000"/>
          <w:sz w:val="28"/>
          <w:szCs w:val="28"/>
          <w:highlight w:val="none"/>
          <w:lang w:eastAsia="zh-CN"/>
        </w:rPr>
        <w:t>甲方</w:t>
      </w:r>
      <w:r>
        <w:rPr>
          <w:rFonts w:hint="eastAsia" w:ascii="宋体" w:hAnsi="宋体" w:eastAsia="宋体" w:cs="宋体"/>
          <w:color w:val="000000"/>
          <w:sz w:val="28"/>
          <w:szCs w:val="28"/>
          <w:highlight w:val="none"/>
        </w:rPr>
        <w:t>提供的数据等信息（即“保密信息”）予以保密，未经</w:t>
      </w:r>
      <w:r>
        <w:rPr>
          <w:rFonts w:hint="eastAsia" w:ascii="宋体" w:hAnsi="宋体" w:eastAsia="宋体" w:cs="宋体"/>
          <w:color w:val="000000"/>
          <w:sz w:val="28"/>
          <w:szCs w:val="28"/>
          <w:highlight w:val="none"/>
          <w:lang w:eastAsia="zh-CN"/>
        </w:rPr>
        <w:t>甲方</w:t>
      </w:r>
      <w:r>
        <w:rPr>
          <w:rFonts w:hint="eastAsia" w:ascii="宋体" w:hAnsi="宋体" w:eastAsia="宋体" w:cs="宋体"/>
          <w:color w:val="000000"/>
          <w:sz w:val="28"/>
          <w:szCs w:val="28"/>
          <w:highlight w:val="none"/>
        </w:rPr>
        <w:t>书面同意，</w:t>
      </w:r>
      <w:r>
        <w:rPr>
          <w:rFonts w:hint="eastAsia" w:ascii="宋体" w:hAnsi="宋体" w:eastAsia="宋体" w:cs="宋体"/>
          <w:color w:val="000000"/>
          <w:sz w:val="28"/>
          <w:szCs w:val="28"/>
          <w:highlight w:val="none"/>
          <w:lang w:eastAsia="zh-CN"/>
        </w:rPr>
        <w:t>乙方</w:t>
      </w:r>
      <w:r>
        <w:rPr>
          <w:rFonts w:hint="eastAsia" w:ascii="宋体" w:hAnsi="宋体" w:eastAsia="宋体" w:cs="宋体"/>
          <w:color w:val="000000"/>
          <w:sz w:val="28"/>
          <w:szCs w:val="28"/>
          <w:highlight w:val="none"/>
        </w:rPr>
        <w:t>不得将保密信息用于本合同以外的目的，并不得将其泄漏给任何第三方。</w:t>
      </w:r>
    </w:p>
    <w:p>
      <w:pPr>
        <w:pStyle w:val="18"/>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4、关于合同转让及分包：本合同不得转让。未经甲方书面同意，乙方不得将合同内容分包给第三方。</w:t>
      </w:r>
    </w:p>
    <w:p>
      <w:pP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5、关于合同修改：甲方与乙方双方的任何一方对合同内容提出修改，均应以书面形式通知对方，并达成由双方签署的合同修改书。原则性条款不允许修改。</w:t>
      </w:r>
    </w:p>
    <w:p>
      <w:pPr>
        <w:rPr>
          <w:rFonts w:hint="default"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6、本合同与标书约定不一致的，优先由双方协商，不愿协商或协商不成的应以本合同为准。</w:t>
      </w:r>
    </w:p>
    <w:p>
      <w:pPr>
        <w:spacing w:line="360" w:lineRule="auto"/>
        <w:rPr>
          <w:rFonts w:hint="eastAsia" w:ascii="宋体" w:hAnsi="宋体" w:eastAsia="宋体" w:cs="宋体"/>
          <w:b w:val="0"/>
          <w:bCs w:val="0"/>
          <w:color w:val="000000"/>
          <w:sz w:val="28"/>
          <w:szCs w:val="28"/>
          <w:highlight w:val="none"/>
        </w:rPr>
      </w:pPr>
      <w:r>
        <w:rPr>
          <w:rFonts w:hint="eastAsia" w:ascii="宋体" w:hAnsi="宋体" w:cs="宋体"/>
          <w:b w:val="0"/>
          <w:bCs w:val="0"/>
          <w:color w:val="000000"/>
          <w:sz w:val="28"/>
          <w:szCs w:val="28"/>
          <w:highlight w:val="none"/>
          <w:lang w:val="en-US" w:eastAsia="zh-CN"/>
        </w:rPr>
        <w:t>十六、</w:t>
      </w:r>
      <w:r>
        <w:rPr>
          <w:rFonts w:hint="eastAsia" w:ascii="宋体" w:hAnsi="宋体" w:eastAsia="宋体" w:cs="宋体"/>
          <w:b w:val="0"/>
          <w:bCs w:val="0"/>
          <w:color w:val="000000"/>
          <w:sz w:val="28"/>
          <w:szCs w:val="28"/>
          <w:highlight w:val="none"/>
        </w:rPr>
        <w:t>争议解决</w:t>
      </w:r>
    </w:p>
    <w:p>
      <w:pPr>
        <w:spacing w:line="360" w:lineRule="auto"/>
        <w:rPr>
          <w:rFonts w:hint="default"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rPr>
        <w:t>本合同，在发生所供商品的质量、售后服务等问题时，</w:t>
      </w:r>
      <w:r>
        <w:rPr>
          <w:rFonts w:hint="eastAsia" w:ascii="宋体" w:hAnsi="宋体" w:eastAsia="宋体" w:cs="宋体"/>
          <w:color w:val="000000"/>
          <w:sz w:val="28"/>
          <w:szCs w:val="28"/>
          <w:highlight w:val="none"/>
          <w:lang w:eastAsia="zh-CN"/>
        </w:rPr>
        <w:t>甲方</w:t>
      </w:r>
      <w:r>
        <w:rPr>
          <w:rFonts w:hint="eastAsia" w:ascii="宋体" w:hAnsi="宋体" w:eastAsia="宋体" w:cs="宋体"/>
          <w:color w:val="000000"/>
          <w:sz w:val="28"/>
          <w:szCs w:val="28"/>
          <w:highlight w:val="none"/>
        </w:rPr>
        <w:t>有权直接向</w:t>
      </w:r>
      <w:r>
        <w:rPr>
          <w:rFonts w:hint="eastAsia" w:ascii="宋体" w:hAnsi="宋体" w:eastAsia="宋体" w:cs="宋体"/>
          <w:color w:val="000000"/>
          <w:sz w:val="28"/>
          <w:szCs w:val="28"/>
          <w:highlight w:val="none"/>
          <w:lang w:eastAsia="zh-CN"/>
        </w:rPr>
        <w:t>乙方</w:t>
      </w:r>
      <w:r>
        <w:rPr>
          <w:rFonts w:hint="eastAsia" w:ascii="宋体" w:hAnsi="宋体" w:eastAsia="宋体" w:cs="宋体"/>
          <w:color w:val="000000"/>
          <w:sz w:val="28"/>
          <w:szCs w:val="28"/>
          <w:highlight w:val="none"/>
        </w:rPr>
        <w:t>索赔，签订必要的书面处理协议，如协商不成，</w:t>
      </w:r>
      <w:r>
        <w:rPr>
          <w:rFonts w:hint="eastAsia" w:ascii="宋体" w:hAnsi="宋体" w:eastAsia="宋体" w:cs="宋体"/>
          <w:color w:val="000000"/>
          <w:sz w:val="28"/>
          <w:szCs w:val="28"/>
          <w:highlight w:val="none"/>
          <w:lang w:val="en-US" w:eastAsia="zh-CN"/>
        </w:rPr>
        <w:t>可以直接向合同签订地人民法院起诉。</w:t>
      </w:r>
    </w:p>
    <w:p>
      <w:pPr>
        <w:numPr>
          <w:ilvl w:val="0"/>
          <w:numId w:val="0"/>
        </w:numPr>
        <w:spacing w:line="360" w:lineRule="auto"/>
        <w:rPr>
          <w:rFonts w:hint="eastAsia" w:ascii="宋体" w:hAnsi="宋体" w:eastAsia="宋体" w:cs="宋体"/>
          <w:b w:val="0"/>
          <w:bCs/>
          <w:color w:val="000000"/>
          <w:sz w:val="28"/>
          <w:szCs w:val="28"/>
          <w:highlight w:val="none"/>
        </w:rPr>
      </w:pPr>
      <w:r>
        <w:rPr>
          <w:rFonts w:hint="eastAsia" w:ascii="宋体" w:hAnsi="宋体" w:cs="宋体"/>
          <w:b w:val="0"/>
          <w:bCs/>
          <w:color w:val="000000"/>
          <w:sz w:val="28"/>
          <w:szCs w:val="28"/>
          <w:highlight w:val="none"/>
          <w:lang w:val="en-US" w:eastAsia="zh-CN"/>
        </w:rPr>
        <w:t>十七、</w:t>
      </w:r>
      <w:r>
        <w:rPr>
          <w:rFonts w:hint="eastAsia" w:ascii="宋体" w:hAnsi="宋体" w:eastAsia="宋体" w:cs="宋体"/>
          <w:b w:val="0"/>
          <w:bCs/>
          <w:color w:val="000000"/>
          <w:sz w:val="28"/>
          <w:szCs w:val="28"/>
          <w:highlight w:val="none"/>
        </w:rPr>
        <w:t>合同生效</w:t>
      </w:r>
    </w:p>
    <w:p>
      <w:pPr>
        <w:numPr>
          <w:ilvl w:val="0"/>
          <w:numId w:val="0"/>
        </w:numPr>
        <w:spacing w:line="360" w:lineRule="auto"/>
        <w:rPr>
          <w:rFonts w:hint="default" w:ascii="宋体" w:hAnsi="宋体" w:eastAsia="宋体" w:cs="宋体"/>
          <w:b w:val="0"/>
          <w:bCs/>
          <w:color w:val="000000"/>
          <w:sz w:val="28"/>
          <w:szCs w:val="28"/>
          <w:highlight w:val="none"/>
          <w:lang w:val="en-US" w:eastAsia="zh-CN"/>
        </w:rPr>
      </w:pPr>
      <w:r>
        <w:rPr>
          <w:rFonts w:hint="eastAsia" w:ascii="宋体" w:hAnsi="宋体" w:eastAsia="宋体" w:cs="宋体"/>
          <w:b w:val="0"/>
          <w:bCs/>
          <w:color w:val="000000"/>
          <w:sz w:val="28"/>
          <w:szCs w:val="28"/>
          <w:highlight w:val="none"/>
          <w:lang w:val="en-US" w:eastAsia="zh-CN"/>
        </w:rPr>
        <w:t>1、本合同正文及附件共______页。</w:t>
      </w:r>
    </w:p>
    <w:p>
      <w:pP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本合同未经双方协商一致，不得进行修改和提前终止</w:t>
      </w:r>
      <w:r>
        <w:rPr>
          <w:rFonts w:hint="eastAsia" w:ascii="宋体" w:hAnsi="宋体" w:eastAsia="宋体" w:cs="宋体"/>
          <w:sz w:val="28"/>
          <w:szCs w:val="28"/>
          <w:highlight w:val="none"/>
          <w:lang w:eastAsia="zh-CN"/>
        </w:rPr>
        <w:t>。</w:t>
      </w:r>
    </w:p>
    <w:p>
      <w:pP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本合同未尽事宜，由双方协商一致，签订补充协议，该等补充协议将被视为本合同的组成部分，与本合同具有同等的法律效力</w:t>
      </w:r>
      <w:r>
        <w:rPr>
          <w:rFonts w:hint="eastAsia" w:ascii="宋体" w:hAnsi="宋体" w:eastAsia="宋体" w:cs="宋体"/>
          <w:sz w:val="28"/>
          <w:szCs w:val="28"/>
          <w:highlight w:val="none"/>
          <w:lang w:eastAsia="zh-CN"/>
        </w:rPr>
        <w:t>。</w:t>
      </w:r>
    </w:p>
    <w:p>
      <w:pP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由本合同引起的一切争议，首先应由双方通过友好协商予以解决，协商不成的，通过诉讼方式解决</w:t>
      </w:r>
      <w:r>
        <w:rPr>
          <w:rFonts w:hint="eastAsia" w:ascii="宋体" w:hAnsi="宋体" w:eastAsia="宋体" w:cs="宋体"/>
          <w:sz w:val="28"/>
          <w:szCs w:val="28"/>
          <w:highlight w:val="none"/>
          <w:lang w:eastAsia="zh-CN"/>
        </w:rPr>
        <w:t>。</w:t>
      </w:r>
    </w:p>
    <w:p>
      <w:pP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本合同适用中华人民共和国现行有效的法律</w:t>
      </w:r>
      <w:r>
        <w:rPr>
          <w:rFonts w:hint="eastAsia" w:ascii="宋体" w:hAnsi="宋体" w:eastAsia="宋体" w:cs="宋体"/>
          <w:sz w:val="28"/>
          <w:szCs w:val="28"/>
          <w:highlight w:val="none"/>
          <w:lang w:eastAsia="zh-CN"/>
        </w:rPr>
        <w:t>。</w:t>
      </w:r>
    </w:p>
    <w:p>
      <w:pP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t>本合同自双方签字盖章之日起生效，有效期为永久</w:t>
      </w:r>
      <w:r>
        <w:rPr>
          <w:rFonts w:hint="eastAsia" w:ascii="宋体" w:hAnsi="宋体" w:eastAsia="宋体" w:cs="宋体"/>
          <w:sz w:val="28"/>
          <w:szCs w:val="28"/>
          <w:highlight w:val="none"/>
          <w:lang w:eastAsia="zh-CN"/>
        </w:rPr>
        <w:t>。</w:t>
      </w:r>
    </w:p>
    <w:p>
      <w:pP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7、</w:t>
      </w:r>
      <w:r>
        <w:rPr>
          <w:rFonts w:hint="eastAsia" w:ascii="宋体" w:hAnsi="宋体" w:eastAsia="宋体" w:cs="宋体"/>
          <w:sz w:val="28"/>
          <w:szCs w:val="28"/>
          <w:highlight w:val="none"/>
        </w:rPr>
        <w:t>本合同一式</w:t>
      </w:r>
      <w:r>
        <w:rPr>
          <w:rFonts w:hint="eastAsia" w:ascii="宋体" w:hAnsi="宋体" w:cs="宋体"/>
          <w:sz w:val="28"/>
          <w:szCs w:val="28"/>
          <w:highlight w:val="none"/>
          <w:lang w:val="en-US" w:eastAsia="zh-CN"/>
        </w:rPr>
        <w:t>四</w:t>
      </w:r>
      <w:r>
        <w:rPr>
          <w:rFonts w:hint="eastAsia" w:ascii="宋体" w:hAnsi="宋体" w:eastAsia="宋体" w:cs="宋体"/>
          <w:sz w:val="28"/>
          <w:szCs w:val="28"/>
          <w:highlight w:val="none"/>
        </w:rPr>
        <w:t>份，</w:t>
      </w:r>
      <w:r>
        <w:rPr>
          <w:rFonts w:hint="eastAsia" w:ascii="宋体" w:hAnsi="宋体" w:cs="宋体"/>
          <w:sz w:val="28"/>
          <w:szCs w:val="28"/>
          <w:highlight w:val="none"/>
          <w:lang w:val="en-US" w:eastAsia="zh-CN"/>
        </w:rPr>
        <w:t>甲方执三份，乙方执一份。</w:t>
      </w:r>
    </w:p>
    <w:p>
      <w:pPr>
        <w:pStyle w:val="59"/>
        <w:rPr>
          <w:rFonts w:hint="eastAsia"/>
          <w:highlight w:val="none"/>
        </w:rPr>
      </w:pPr>
    </w:p>
    <w:p>
      <w:pPr>
        <w:rPr>
          <w:rFonts w:hint="eastAsia"/>
          <w:highlight w:val="none"/>
        </w:rPr>
      </w:pPr>
    </w:p>
    <w:p>
      <w:pPr>
        <w:pStyle w:val="59"/>
        <w:rPr>
          <w:rFonts w:hint="eastAsia"/>
          <w:highlight w:val="none"/>
        </w:rPr>
      </w:pPr>
    </w:p>
    <w:p>
      <w:pPr>
        <w:rPr>
          <w:rFonts w:hint="eastAsia"/>
          <w:highlight w:val="none"/>
        </w:rPr>
      </w:pPr>
    </w:p>
    <w:p>
      <w:pPr>
        <w:pStyle w:val="59"/>
        <w:rPr>
          <w:rFonts w:hint="eastAsia"/>
          <w:highlight w:val="none"/>
        </w:rPr>
      </w:pPr>
    </w:p>
    <w:p>
      <w:pPr>
        <w:rPr>
          <w:rFonts w:hint="eastAsia" w:ascii="宋体" w:hAnsi="宋体" w:eastAsia="宋体" w:cs="宋体"/>
          <w:color w:val="000000"/>
          <w:sz w:val="28"/>
          <w:szCs w:val="28"/>
          <w:highlight w:val="none"/>
        </w:rPr>
      </w:pPr>
    </w:p>
    <w:p>
      <w:pPr>
        <w:pStyle w:val="18"/>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sz w:val="28"/>
          <w:szCs w:val="28"/>
          <w:highlight w:val="none"/>
        </w:rPr>
        <w:t>--</w:t>
      </w:r>
      <w:r>
        <w:rPr>
          <w:rFonts w:hint="eastAsia" w:ascii="宋体" w:hAnsi="宋体" w:eastAsia="宋体" w:cs="宋体"/>
          <w:color w:val="000000" w:themeColor="text1"/>
          <w:sz w:val="28"/>
          <w:szCs w:val="28"/>
          <w:highlight w:val="none"/>
          <w14:textFill>
            <w14:solidFill>
              <w14:schemeClr w14:val="tx1"/>
            </w14:solidFill>
          </w14:textFill>
        </w:rPr>
        <w:t>以下无正文，转签章页--</w:t>
      </w:r>
    </w:p>
    <w:tbl>
      <w:tblPr>
        <w:tblStyle w:val="48"/>
        <w:tblW w:w="828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5"/>
        <w:gridCol w:w="4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75" w:type="dxa"/>
            <w:noWrap w:val="0"/>
            <w:vAlign w:val="center"/>
          </w:tcPr>
          <w:p>
            <w:pPr>
              <w:spacing w:line="490" w:lineRule="exact"/>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甲方（需方）：</w:t>
            </w:r>
            <w:r>
              <w:rPr>
                <w:rFonts w:hint="eastAsia" w:asciiTheme="minorEastAsia" w:hAnsiTheme="minorEastAsia" w:eastAsiaTheme="minorEastAsia" w:cstheme="minorEastAsia"/>
                <w:sz w:val="28"/>
                <w:szCs w:val="28"/>
                <w:highlight w:val="none"/>
              </w:rPr>
              <w:t>衢州动力电池和储能研究院</w:t>
            </w:r>
          </w:p>
        </w:tc>
        <w:tc>
          <w:tcPr>
            <w:tcW w:w="4105" w:type="dxa"/>
            <w:noWrap w:val="0"/>
            <w:vAlign w:val="center"/>
          </w:tcPr>
          <w:p>
            <w:pPr>
              <w:adjustRightInd/>
              <w:snapToGrid/>
              <w:spacing w:line="490" w:lineRule="exact"/>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乙方（供方）</w:t>
            </w:r>
            <w:r>
              <w:rPr>
                <w:rFonts w:hint="eastAsia" w:asciiTheme="minorEastAsia" w:hAnsiTheme="minorEastAsia" w:eastAsiaTheme="minorEastAsia" w:cstheme="minorEastAsia"/>
                <w:spacing w:val="0"/>
                <w:sz w:val="28"/>
                <w:szCs w:val="28"/>
                <w:highlight w:val="none"/>
                <w:lang w:eastAsia="zh-CN"/>
              </w:rPr>
              <w:t>：</w:t>
            </w:r>
            <w:r>
              <w:rPr>
                <w:rFonts w:hint="eastAsia" w:asciiTheme="minorEastAsia" w:hAnsiTheme="minorEastAsia" w:eastAsiaTheme="minorEastAsia" w:cstheme="minorEastAsia"/>
                <w:spacing w:val="0"/>
                <w:sz w:val="28"/>
                <w:szCs w:val="28"/>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75" w:type="dxa"/>
            <w:noWrap w:val="0"/>
            <w:vAlign w:val="center"/>
          </w:tcPr>
          <w:p>
            <w:pPr>
              <w:adjustRightInd/>
              <w:snapToGrid/>
              <w:spacing w:line="490" w:lineRule="exact"/>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甲方代表：</w:t>
            </w:r>
          </w:p>
          <w:p>
            <w:pPr>
              <w:adjustRightInd/>
              <w:snapToGrid/>
              <w:spacing w:line="490" w:lineRule="exact"/>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（签名）</w:t>
            </w:r>
          </w:p>
        </w:tc>
        <w:tc>
          <w:tcPr>
            <w:tcW w:w="4105" w:type="dxa"/>
            <w:noWrap w:val="0"/>
            <w:vAlign w:val="center"/>
          </w:tcPr>
          <w:p>
            <w:pPr>
              <w:adjustRightInd/>
              <w:snapToGrid/>
              <w:spacing w:line="490" w:lineRule="exact"/>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乙方代表：（签名）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75" w:type="dxa"/>
            <w:noWrap w:val="0"/>
            <w:vAlign w:val="center"/>
          </w:tcPr>
          <w:p>
            <w:pPr>
              <w:numPr>
                <w:ilvl w:val="0"/>
                <w:numId w:val="0"/>
              </w:numPr>
              <w:tabs>
                <w:tab w:val="left" w:pos="709"/>
              </w:tabs>
              <w:snapToGrid/>
              <w:spacing w:line="490" w:lineRule="exact"/>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地址：</w:t>
            </w:r>
            <w:r>
              <w:rPr>
                <w:rFonts w:hint="eastAsia" w:asciiTheme="minorEastAsia" w:hAnsiTheme="minorEastAsia" w:eastAsiaTheme="minorEastAsia" w:cstheme="minorEastAsia"/>
                <w:color w:val="auto"/>
                <w:sz w:val="28"/>
                <w:szCs w:val="28"/>
                <w:highlight w:val="none"/>
              </w:rPr>
              <w:t>浙江大学衢州研究院(常山港院区) 浙江省衢州市柯城区浙大路99号，创新楼西3</w:t>
            </w:r>
            <w:r>
              <w:rPr>
                <w:rFonts w:hint="eastAsia" w:asciiTheme="minorEastAsia" w:hAnsiTheme="minorEastAsia" w:eastAsiaTheme="minorEastAsia" w:cstheme="minorEastAsia"/>
                <w:color w:val="auto"/>
                <w:sz w:val="28"/>
                <w:szCs w:val="28"/>
                <w:highlight w:val="none"/>
                <w:lang w:val="en-US" w:eastAsia="zh-CN"/>
              </w:rPr>
              <w:t>楼</w:t>
            </w:r>
          </w:p>
        </w:tc>
        <w:tc>
          <w:tcPr>
            <w:tcW w:w="4105" w:type="dxa"/>
            <w:noWrap w:val="0"/>
            <w:vAlign w:val="center"/>
          </w:tcPr>
          <w:p>
            <w:pPr>
              <w:adjustRightInd/>
              <w:snapToGrid/>
              <w:spacing w:line="490" w:lineRule="exact"/>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地址</w:t>
            </w:r>
            <w:r>
              <w:rPr>
                <w:rFonts w:hint="eastAsia" w:asciiTheme="minorEastAsia" w:hAnsiTheme="minorEastAsia" w:eastAsiaTheme="minorEastAsia" w:cstheme="minorEastAsia"/>
                <w:spacing w:val="0"/>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75" w:type="dxa"/>
            <w:noWrap w:val="0"/>
            <w:vAlign w:val="center"/>
          </w:tcPr>
          <w:p>
            <w:pPr>
              <w:adjustRightInd/>
              <w:snapToGrid/>
              <w:spacing w:line="490" w:lineRule="exac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电话：13206593230</w:t>
            </w:r>
          </w:p>
        </w:tc>
        <w:tc>
          <w:tcPr>
            <w:tcW w:w="4105" w:type="dxa"/>
            <w:noWrap w:val="0"/>
            <w:vAlign w:val="center"/>
          </w:tcPr>
          <w:p>
            <w:pPr>
              <w:adjustRightInd/>
              <w:snapToGrid/>
              <w:spacing w:line="490" w:lineRule="exact"/>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75" w:type="dxa"/>
            <w:noWrap w:val="0"/>
            <w:vAlign w:val="center"/>
          </w:tcPr>
          <w:p>
            <w:pPr>
              <w:adjustRightInd/>
              <w:snapToGrid/>
              <w:spacing w:line="490" w:lineRule="exac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开户银行：中国银行衢州市分行营业部</w:t>
            </w:r>
          </w:p>
        </w:tc>
        <w:tc>
          <w:tcPr>
            <w:tcW w:w="4105" w:type="dxa"/>
            <w:noWrap w:val="0"/>
            <w:vAlign w:val="center"/>
          </w:tcPr>
          <w:p>
            <w:pPr>
              <w:adjustRightInd/>
              <w:snapToGrid/>
              <w:spacing w:line="490" w:lineRule="exact"/>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75" w:type="dxa"/>
            <w:noWrap w:val="0"/>
            <w:vAlign w:val="center"/>
          </w:tcPr>
          <w:p>
            <w:pPr>
              <w:adjustRightInd/>
              <w:snapToGrid/>
              <w:spacing w:line="490" w:lineRule="exact"/>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账号：</w:t>
            </w:r>
            <w:r>
              <w:rPr>
                <w:rFonts w:hint="eastAsia" w:asciiTheme="minorEastAsia" w:hAnsiTheme="minorEastAsia" w:eastAsiaTheme="minorEastAsia" w:cstheme="minorEastAsia"/>
                <w:sz w:val="28"/>
                <w:szCs w:val="28"/>
                <w:highlight w:val="none"/>
                <w:lang w:val="en-US" w:eastAsia="zh-CN"/>
              </w:rPr>
              <w:t>3623 8314 2882</w:t>
            </w:r>
          </w:p>
        </w:tc>
        <w:tc>
          <w:tcPr>
            <w:tcW w:w="4105" w:type="dxa"/>
            <w:noWrap w:val="0"/>
            <w:vAlign w:val="center"/>
          </w:tcPr>
          <w:p>
            <w:pPr>
              <w:adjustRightInd/>
              <w:snapToGrid/>
              <w:spacing w:line="490" w:lineRule="exact"/>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75" w:type="dxa"/>
            <w:noWrap w:val="0"/>
            <w:vAlign w:val="center"/>
          </w:tcPr>
          <w:p>
            <w:pPr>
              <w:adjustRightInd/>
              <w:snapToGrid/>
              <w:spacing w:line="490" w:lineRule="exact"/>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签名日期：    年    月    日</w:t>
            </w:r>
          </w:p>
        </w:tc>
        <w:tc>
          <w:tcPr>
            <w:tcW w:w="4105" w:type="dxa"/>
            <w:noWrap w:val="0"/>
            <w:vAlign w:val="center"/>
          </w:tcPr>
          <w:p>
            <w:pPr>
              <w:adjustRightInd/>
              <w:snapToGrid/>
              <w:spacing w:line="490" w:lineRule="exact"/>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签名日期：    年    月    日</w:t>
            </w:r>
          </w:p>
        </w:tc>
      </w:tr>
    </w:tbl>
    <w:p>
      <w:pPr>
        <w:pStyle w:val="18"/>
        <w:rPr>
          <w:rFonts w:hint="eastAsia" w:ascii="宋体" w:hAnsi="宋体" w:eastAsia="宋体" w:cs="宋体"/>
          <w:sz w:val="32"/>
          <w:szCs w:val="32"/>
          <w:highlight w:val="none"/>
        </w:rPr>
      </w:pPr>
    </w:p>
    <w:p>
      <w:pPr>
        <w:rPr>
          <w:rFonts w:hint="eastAsia" w:ascii="宋体" w:hAnsi="宋体" w:eastAsia="宋体" w:cs="宋体"/>
          <w:sz w:val="32"/>
          <w:szCs w:val="32"/>
          <w:highlight w:val="none"/>
        </w:rPr>
      </w:pPr>
    </w:p>
    <w:p>
      <w:pPr>
        <w:rPr>
          <w:rFonts w:hint="eastAsia" w:ascii="宋体" w:hAnsi="宋体" w:eastAsia="宋体" w:cs="宋体"/>
          <w:sz w:val="32"/>
          <w:szCs w:val="32"/>
          <w:highlight w:val="none"/>
        </w:rPr>
      </w:pPr>
    </w:p>
    <w:p>
      <w:pPr>
        <w:rPr>
          <w:rFonts w:hint="eastAsia" w:ascii="宋体" w:hAnsi="宋体" w:eastAsia="宋体" w:cs="宋体"/>
          <w:sz w:val="32"/>
          <w:szCs w:val="32"/>
          <w:highlight w:val="none"/>
        </w:rPr>
      </w:pPr>
    </w:p>
    <w:p>
      <w:pPr>
        <w:pStyle w:val="59"/>
        <w:rPr>
          <w:rFonts w:hint="eastAsia"/>
          <w:highlight w:val="none"/>
        </w:rPr>
      </w:pPr>
    </w:p>
    <w:p>
      <w:pPr>
        <w:rPr>
          <w:rFonts w:hint="eastAsia" w:ascii="宋体" w:hAnsi="宋体" w:eastAsia="宋体" w:cs="宋体"/>
          <w:highlight w:val="none"/>
        </w:rPr>
      </w:pPr>
    </w:p>
    <w:p>
      <w:pPr>
        <w:autoSpaceDE w:val="0"/>
        <w:autoSpaceDN w:val="0"/>
        <w:adjustRightInd w:val="0"/>
        <w:ind w:right="-67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附件1</w:t>
      </w:r>
    </w:p>
    <w:p>
      <w:pPr>
        <w:autoSpaceDE w:val="0"/>
        <w:autoSpaceDN w:val="0"/>
        <w:adjustRightInd w:val="0"/>
        <w:ind w:left="540" w:firstLine="30"/>
        <w:jc w:val="center"/>
        <w:rPr>
          <w:rFonts w:hint="eastAsia" w:ascii="宋体" w:hAnsi="宋体" w:eastAsia="宋体" w:cs="宋体"/>
          <w:b/>
          <w:color w:val="000000" w:themeColor="text1"/>
          <w:sz w:val="28"/>
          <w:szCs w:val="28"/>
          <w:highlight w:val="none"/>
          <w:lang w:val="zh-CN"/>
          <w14:textFill>
            <w14:solidFill>
              <w14:schemeClr w14:val="tx1"/>
            </w14:solidFill>
          </w14:textFill>
        </w:rPr>
      </w:pPr>
      <w:r>
        <w:rPr>
          <w:rFonts w:hint="eastAsia" w:ascii="宋体" w:hAnsi="宋体" w:eastAsia="宋体" w:cs="宋体"/>
          <w:b/>
          <w:color w:val="000000" w:themeColor="text1"/>
          <w:sz w:val="28"/>
          <w:szCs w:val="28"/>
          <w:highlight w:val="none"/>
          <w:lang w:val="zh-CN"/>
          <w14:textFill>
            <w14:solidFill>
              <w14:schemeClr w14:val="tx1"/>
            </w14:solidFill>
          </w14:textFill>
        </w:rPr>
        <w:t>报价明细表</w:t>
      </w:r>
    </w:p>
    <w:p>
      <w:pPr>
        <w:autoSpaceDE w:val="0"/>
        <w:autoSpaceDN w:val="0"/>
        <w:adjustRightInd w:val="0"/>
        <w:ind w:left="540" w:firstLine="30"/>
        <w:jc w:val="center"/>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单价不能为0。</w:t>
      </w:r>
      <w:r>
        <w:rPr>
          <w:rFonts w:hint="eastAsia" w:ascii="宋体" w:hAnsi="宋体" w:eastAsia="宋体" w:cs="宋体"/>
          <w:color w:val="000000" w:themeColor="text1"/>
          <w:sz w:val="21"/>
          <w:szCs w:val="21"/>
          <w:highlight w:val="none"/>
          <w14:textFill>
            <w14:solidFill>
              <w14:schemeClr w14:val="tx1"/>
            </w14:solidFill>
          </w14:textFill>
        </w:rPr>
        <w:t>如包含进口减免税货物请按</w:t>
      </w:r>
      <w:r>
        <w:rPr>
          <w:rFonts w:hint="eastAsia" w:ascii="宋体" w:hAnsi="宋体" w:eastAsia="宋体" w:cs="宋体"/>
          <w:color w:val="000000" w:themeColor="text1"/>
          <w:sz w:val="21"/>
          <w:szCs w:val="21"/>
          <w:highlight w:val="none"/>
          <w:lang w:val="en-US" w:eastAsia="zh-CN"/>
          <w14:textFill>
            <w14:solidFill>
              <w14:schemeClr w14:val="tx1"/>
            </w14:solidFill>
          </w14:textFill>
        </w:rPr>
        <w:t>海关</w:t>
      </w:r>
      <w:r>
        <w:rPr>
          <w:rFonts w:hint="eastAsia" w:ascii="宋体" w:hAnsi="宋体" w:eastAsia="宋体" w:cs="宋体"/>
          <w:color w:val="000000" w:themeColor="text1"/>
          <w:sz w:val="21"/>
          <w:szCs w:val="21"/>
          <w:highlight w:val="none"/>
          <w14:textFill>
            <w14:solidFill>
              <w14:schemeClr w14:val="tx1"/>
            </w14:solidFill>
          </w14:textFill>
        </w:rPr>
        <w:t>报关要求单列，此表系申报减免税的依据，不再作拆分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t>
      </w:r>
    </w:p>
    <w:tbl>
      <w:tblPr>
        <w:tblStyle w:val="48"/>
        <w:tblW w:w="4997" w:type="pct"/>
        <w:jc w:val="center"/>
        <w:tblLayout w:type="autofit"/>
        <w:tblCellMar>
          <w:top w:w="0" w:type="dxa"/>
          <w:left w:w="108" w:type="dxa"/>
          <w:bottom w:w="0" w:type="dxa"/>
          <w:right w:w="108" w:type="dxa"/>
        </w:tblCellMar>
      </w:tblPr>
      <w:tblGrid>
        <w:gridCol w:w="759"/>
        <w:gridCol w:w="1903"/>
        <w:gridCol w:w="1871"/>
        <w:gridCol w:w="925"/>
        <w:gridCol w:w="787"/>
        <w:gridCol w:w="665"/>
        <w:gridCol w:w="1095"/>
        <w:gridCol w:w="1282"/>
      </w:tblGrid>
      <w:tr>
        <w:tblPrEx>
          <w:tblCellMar>
            <w:top w:w="0" w:type="dxa"/>
            <w:left w:w="108" w:type="dxa"/>
            <w:bottom w:w="0" w:type="dxa"/>
            <w:right w:w="108" w:type="dxa"/>
          </w:tblCellMar>
        </w:tblPrEx>
        <w:trPr>
          <w:trHeight w:val="567" w:hRule="atLeast"/>
          <w:jc w:val="center"/>
        </w:trPr>
        <w:tc>
          <w:tcPr>
            <w:tcW w:w="385" w:type="pct"/>
            <w:tcBorders>
              <w:top w:val="single" w:color="auto" w:sz="6" w:space="0"/>
              <w:left w:val="single" w:color="auto" w:sz="6" w:space="0"/>
              <w:bottom w:val="single" w:color="auto" w:sz="6" w:space="0"/>
              <w:right w:val="single" w:color="auto" w:sz="6" w:space="0"/>
            </w:tcBorders>
            <w:noWrap/>
            <w:vAlign w:val="top"/>
          </w:tcPr>
          <w:p>
            <w:pPr>
              <w:autoSpaceDE w:val="0"/>
              <w:autoSpaceDN w:val="0"/>
              <w:adjustRightInd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序号</w:t>
            </w:r>
          </w:p>
        </w:tc>
        <w:tc>
          <w:tcPr>
            <w:tcW w:w="1068" w:type="pct"/>
            <w:tcBorders>
              <w:top w:val="single" w:color="auto" w:sz="6" w:space="0"/>
              <w:left w:val="single" w:color="auto" w:sz="6" w:space="0"/>
              <w:bottom w:val="single" w:color="auto" w:sz="6" w:space="0"/>
              <w:right w:val="single" w:color="auto" w:sz="6" w:space="0"/>
            </w:tcBorders>
            <w:noWrap/>
            <w:vAlign w:val="top"/>
          </w:tcPr>
          <w:p>
            <w:pPr>
              <w:autoSpaceDE w:val="0"/>
              <w:autoSpaceDN w:val="0"/>
              <w:adjustRightInd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货物</w:t>
            </w:r>
            <w:r>
              <w:rPr>
                <w:rFonts w:hint="eastAsia" w:ascii="宋体" w:hAnsi="宋体" w:eastAsia="宋体" w:cs="宋体"/>
                <w:color w:val="000000" w:themeColor="text1"/>
                <w:sz w:val="24"/>
                <w:highlight w:val="none"/>
                <w:lang w:val="zh-CN"/>
                <w14:textFill>
                  <w14:solidFill>
                    <w14:schemeClr w14:val="tx1"/>
                  </w14:solidFill>
                </w14:textFill>
              </w:rPr>
              <w:t>名称</w:t>
            </w:r>
          </w:p>
        </w:tc>
        <w:tc>
          <w:tcPr>
            <w:tcW w:w="1049" w:type="pct"/>
            <w:tcBorders>
              <w:top w:val="single" w:color="auto" w:sz="6" w:space="0"/>
              <w:left w:val="single" w:color="auto" w:sz="6" w:space="0"/>
              <w:bottom w:val="single" w:color="auto" w:sz="6" w:space="0"/>
              <w:right w:val="single" w:color="auto" w:sz="4" w:space="0"/>
            </w:tcBorders>
            <w:noWrap/>
            <w:vAlign w:val="top"/>
          </w:tcPr>
          <w:p>
            <w:pPr>
              <w:autoSpaceDE w:val="0"/>
              <w:autoSpaceDN w:val="0"/>
              <w:adjustRightInd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品牌</w:t>
            </w:r>
            <w:r>
              <w:rPr>
                <w:rFonts w:hint="eastAsia" w:ascii="宋体" w:hAnsi="宋体" w:eastAsia="宋体" w:cs="宋体"/>
                <w:color w:val="000000" w:themeColor="text1"/>
                <w:sz w:val="24"/>
                <w:highlight w:val="none"/>
                <w:lang w:val="zh-CN"/>
                <w14:textFill>
                  <w14:solidFill>
                    <w14:schemeClr w14:val="tx1"/>
                  </w14:solidFill>
                </w14:textFill>
              </w:rPr>
              <w:t>型号规格</w:t>
            </w:r>
          </w:p>
        </w:tc>
        <w:tc>
          <w:tcPr>
            <w:tcW w:w="484" w:type="pct"/>
            <w:tcBorders>
              <w:top w:val="single" w:color="auto" w:sz="6" w:space="0"/>
              <w:left w:val="single" w:color="auto" w:sz="4" w:space="0"/>
              <w:bottom w:val="single" w:color="auto" w:sz="6" w:space="0"/>
              <w:right w:val="single" w:color="auto" w:sz="6" w:space="0"/>
            </w:tcBorders>
            <w:noWrap/>
            <w:vAlign w:val="top"/>
          </w:tcPr>
          <w:p>
            <w:pPr>
              <w:autoSpaceDE w:val="0"/>
              <w:autoSpaceDN w:val="0"/>
              <w:adjustRightInd w:val="0"/>
              <w:spacing w:line="500" w:lineRule="exact"/>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供货方式</w:t>
            </w:r>
          </w:p>
        </w:tc>
        <w:tc>
          <w:tcPr>
            <w:tcW w:w="402" w:type="pct"/>
            <w:tcBorders>
              <w:top w:val="single" w:color="auto" w:sz="6" w:space="0"/>
              <w:left w:val="single" w:color="auto" w:sz="6" w:space="0"/>
              <w:bottom w:val="single" w:color="auto" w:sz="6" w:space="0"/>
              <w:right w:val="single" w:color="auto" w:sz="6" w:space="0"/>
            </w:tcBorders>
            <w:noWrap/>
            <w:vAlign w:val="top"/>
          </w:tcPr>
          <w:p>
            <w:pPr>
              <w:autoSpaceDE w:val="0"/>
              <w:autoSpaceDN w:val="0"/>
              <w:adjustRightInd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数量</w:t>
            </w:r>
          </w:p>
        </w:tc>
        <w:tc>
          <w:tcPr>
            <w:tcW w:w="329" w:type="pct"/>
            <w:tcBorders>
              <w:top w:val="single" w:color="auto" w:sz="6" w:space="0"/>
              <w:left w:val="single" w:color="auto" w:sz="6" w:space="0"/>
              <w:bottom w:val="single" w:color="auto" w:sz="6" w:space="0"/>
              <w:right w:val="single" w:color="auto" w:sz="6" w:space="0"/>
            </w:tcBorders>
            <w:noWrap/>
            <w:vAlign w:val="top"/>
          </w:tcPr>
          <w:p>
            <w:pPr>
              <w:autoSpaceDE w:val="0"/>
              <w:autoSpaceDN w:val="0"/>
              <w:adjustRightInd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单</w:t>
            </w:r>
            <w:r>
              <w:rPr>
                <w:rFonts w:hint="eastAsia" w:ascii="宋体" w:hAnsi="宋体" w:eastAsia="宋体" w:cs="宋体"/>
                <w:color w:val="000000" w:themeColor="text1"/>
                <w:sz w:val="24"/>
                <w:highlight w:val="none"/>
                <w14:textFill>
                  <w14:solidFill>
                    <w14:schemeClr w14:val="tx1"/>
                  </w14:solidFill>
                </w14:textFill>
              </w:rPr>
              <w:t>位</w:t>
            </w:r>
          </w:p>
        </w:tc>
        <w:tc>
          <w:tcPr>
            <w:tcW w:w="586" w:type="pct"/>
            <w:tcBorders>
              <w:top w:val="single" w:color="auto" w:sz="6" w:space="0"/>
              <w:left w:val="single" w:color="auto" w:sz="6" w:space="0"/>
              <w:bottom w:val="single" w:color="auto" w:sz="6" w:space="0"/>
              <w:right w:val="single" w:color="auto" w:sz="6" w:space="0"/>
            </w:tcBorders>
            <w:noWrap/>
            <w:vAlign w:val="top"/>
          </w:tcPr>
          <w:p>
            <w:pPr>
              <w:autoSpaceDE w:val="0"/>
              <w:autoSpaceDN w:val="0"/>
              <w:adjustRightInd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单价（元）</w:t>
            </w:r>
          </w:p>
        </w:tc>
        <w:tc>
          <w:tcPr>
            <w:tcW w:w="693" w:type="pct"/>
            <w:tcBorders>
              <w:top w:val="single" w:color="auto" w:sz="6" w:space="0"/>
              <w:left w:val="single" w:color="auto" w:sz="6" w:space="0"/>
              <w:bottom w:val="single" w:color="auto" w:sz="6" w:space="0"/>
              <w:right w:val="single" w:color="auto" w:sz="6" w:space="0"/>
            </w:tcBorders>
            <w:noWrap/>
            <w:vAlign w:val="top"/>
          </w:tcPr>
          <w:p>
            <w:pPr>
              <w:autoSpaceDE w:val="0"/>
              <w:autoSpaceDN w:val="0"/>
              <w:adjustRightInd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金额（元）</w:t>
            </w:r>
          </w:p>
        </w:tc>
      </w:tr>
      <w:tr>
        <w:tblPrEx>
          <w:tblCellMar>
            <w:top w:w="0" w:type="dxa"/>
            <w:left w:w="108" w:type="dxa"/>
            <w:bottom w:w="0" w:type="dxa"/>
            <w:right w:w="108" w:type="dxa"/>
          </w:tblCellMar>
        </w:tblPrEx>
        <w:trPr>
          <w:trHeight w:val="567" w:hRule="atLeast"/>
          <w:jc w:val="center"/>
        </w:trPr>
        <w:tc>
          <w:tcPr>
            <w:tcW w:w="385" w:type="pct"/>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068" w:type="pct"/>
            <w:tcBorders>
              <w:top w:val="single" w:color="auto" w:sz="6" w:space="0"/>
              <w:left w:val="single" w:color="auto" w:sz="6" w:space="0"/>
              <w:bottom w:val="single" w:color="auto" w:sz="6" w:space="0"/>
              <w:right w:val="single" w:color="auto" w:sz="6" w:space="0"/>
            </w:tcBorders>
            <w:noWrap/>
            <w:vAlign w:val="center"/>
          </w:tcPr>
          <w:p>
            <w:pPr>
              <w:keepNext w:val="0"/>
              <w:keepLines w:val="0"/>
              <w:suppressLineNumbers w:val="0"/>
              <w:autoSpaceDE w:val="0"/>
              <w:autoSpaceDN w:val="0"/>
              <w:adjustRightInd w:val="0"/>
              <w:spacing w:before="0" w:beforeAutospacing="0" w:after="0" w:afterAutospacing="0" w:line="500" w:lineRule="exact"/>
              <w:ind w:left="0" w:leftChars="0" w:right="0" w:rightChars="0"/>
              <w:jc w:val="both"/>
              <w:rPr>
                <w:rFonts w:hint="eastAsia" w:ascii="宋体" w:hAnsi="宋体" w:eastAsia="宋体" w:cs="宋体"/>
                <w:color w:val="000000" w:themeColor="text1"/>
                <w:sz w:val="24"/>
                <w:highlight w:val="none"/>
                <w14:textFill>
                  <w14:solidFill>
                    <w14:schemeClr w14:val="tx1"/>
                  </w14:solidFill>
                </w14:textFill>
              </w:rPr>
            </w:pPr>
          </w:p>
        </w:tc>
        <w:tc>
          <w:tcPr>
            <w:tcW w:w="1049" w:type="pct"/>
            <w:tcBorders>
              <w:top w:val="single" w:color="auto" w:sz="6" w:space="0"/>
              <w:left w:val="single" w:color="auto" w:sz="6" w:space="0"/>
              <w:bottom w:val="single" w:color="auto" w:sz="6" w:space="0"/>
              <w:right w:val="single" w:color="auto" w:sz="4" w:space="0"/>
            </w:tcBorders>
            <w:noWrap/>
            <w:vAlign w:val="center"/>
          </w:tcPr>
          <w:p>
            <w:pPr>
              <w:keepNext w:val="0"/>
              <w:keepLines w:val="0"/>
              <w:suppressLineNumbers w:val="0"/>
              <w:autoSpaceDE w:val="0"/>
              <w:autoSpaceDN w:val="0"/>
              <w:adjustRightInd w:val="0"/>
              <w:spacing w:before="0" w:beforeAutospacing="0" w:after="0" w:afterAutospacing="0" w:line="500" w:lineRule="exact"/>
              <w:ind w:left="0" w:leftChars="0" w:right="0" w:rightChars="0"/>
              <w:jc w:val="center"/>
              <w:rPr>
                <w:rFonts w:hint="eastAsia" w:ascii="宋体" w:hAnsi="宋体" w:eastAsia="宋体" w:cs="宋体"/>
                <w:color w:val="000000" w:themeColor="text1"/>
                <w:sz w:val="24"/>
                <w:highlight w:val="none"/>
                <w14:textFill>
                  <w14:solidFill>
                    <w14:schemeClr w14:val="tx1"/>
                  </w14:solidFill>
                </w14:textFill>
              </w:rPr>
            </w:pPr>
          </w:p>
        </w:tc>
        <w:tc>
          <w:tcPr>
            <w:tcW w:w="484" w:type="pct"/>
            <w:tcBorders>
              <w:top w:val="single" w:color="auto" w:sz="6" w:space="0"/>
              <w:left w:val="single" w:color="auto" w:sz="4" w:space="0"/>
              <w:bottom w:val="single" w:color="auto" w:sz="6" w:space="0"/>
              <w:right w:val="single" w:color="auto" w:sz="6" w:space="0"/>
            </w:tcBorders>
            <w:noWrap/>
            <w:vAlign w:val="center"/>
          </w:tcPr>
          <w:p>
            <w:pPr>
              <w:keepNext w:val="0"/>
              <w:keepLines w:val="0"/>
              <w:suppressLineNumbers w:val="0"/>
              <w:autoSpaceDE w:val="0"/>
              <w:autoSpaceDN w:val="0"/>
              <w:adjustRightInd w:val="0"/>
              <w:spacing w:before="0" w:beforeAutospacing="0" w:after="0" w:afterAutospacing="0" w:line="500" w:lineRule="exact"/>
              <w:ind w:left="0" w:leftChars="0" w:right="0" w:rightChars="0"/>
              <w:jc w:val="center"/>
              <w:rPr>
                <w:rFonts w:hint="eastAsia" w:ascii="宋体" w:hAnsi="宋体" w:eastAsia="宋体" w:cs="宋体"/>
                <w:color w:val="000000" w:themeColor="text1"/>
                <w:sz w:val="24"/>
                <w:highlight w:val="none"/>
                <w:lang w:val="en-US" w:eastAsia="zh-CN"/>
                <w14:textFill>
                  <w14:solidFill>
                    <w14:schemeClr w14:val="tx1"/>
                  </w14:solidFill>
                </w14:textFill>
              </w:rPr>
            </w:pPr>
          </w:p>
        </w:tc>
        <w:tc>
          <w:tcPr>
            <w:tcW w:w="402" w:type="pct"/>
            <w:tcBorders>
              <w:top w:val="single" w:color="auto" w:sz="6" w:space="0"/>
              <w:left w:val="single" w:color="auto" w:sz="6" w:space="0"/>
              <w:bottom w:val="single" w:color="auto" w:sz="6" w:space="0"/>
              <w:right w:val="single" w:color="auto" w:sz="6" w:space="0"/>
            </w:tcBorders>
            <w:noWrap/>
            <w:vAlign w:val="center"/>
          </w:tcPr>
          <w:p>
            <w:pPr>
              <w:keepNext w:val="0"/>
              <w:keepLines w:val="0"/>
              <w:suppressLineNumbers w:val="0"/>
              <w:autoSpaceDE w:val="0"/>
              <w:autoSpaceDN w:val="0"/>
              <w:adjustRightInd w:val="0"/>
              <w:spacing w:before="0" w:beforeAutospacing="0" w:after="0" w:afterAutospacing="0" w:line="500" w:lineRule="exact"/>
              <w:ind w:left="0" w:leftChars="0" w:right="0" w:rightChars="0"/>
              <w:jc w:val="center"/>
              <w:rPr>
                <w:rFonts w:hint="eastAsia" w:ascii="宋体" w:hAnsi="宋体" w:eastAsia="宋体" w:cs="宋体"/>
                <w:color w:val="000000" w:themeColor="text1"/>
                <w:sz w:val="24"/>
                <w:highlight w:val="none"/>
                <w14:textFill>
                  <w14:solidFill>
                    <w14:schemeClr w14:val="tx1"/>
                  </w14:solidFill>
                </w14:textFill>
              </w:rPr>
            </w:pPr>
          </w:p>
        </w:tc>
        <w:tc>
          <w:tcPr>
            <w:tcW w:w="329" w:type="pct"/>
            <w:tcBorders>
              <w:top w:val="single" w:color="auto" w:sz="6" w:space="0"/>
              <w:left w:val="single" w:color="auto" w:sz="6" w:space="0"/>
              <w:bottom w:val="single" w:color="auto" w:sz="6" w:space="0"/>
              <w:right w:val="single" w:color="auto" w:sz="6" w:space="0"/>
            </w:tcBorders>
            <w:noWrap/>
            <w:vAlign w:val="center"/>
          </w:tcPr>
          <w:p>
            <w:pPr>
              <w:keepNext w:val="0"/>
              <w:keepLines w:val="0"/>
              <w:suppressLineNumbers w:val="0"/>
              <w:autoSpaceDE w:val="0"/>
              <w:autoSpaceDN w:val="0"/>
              <w:adjustRightInd w:val="0"/>
              <w:spacing w:before="0" w:beforeAutospacing="0" w:after="0" w:afterAutospacing="0" w:line="500" w:lineRule="exact"/>
              <w:ind w:left="0" w:leftChars="0" w:right="0" w:rightChars="0"/>
              <w:jc w:val="center"/>
              <w:rPr>
                <w:rFonts w:hint="eastAsia" w:ascii="宋体" w:hAnsi="宋体" w:eastAsia="宋体" w:cs="宋体"/>
                <w:color w:val="000000" w:themeColor="text1"/>
                <w:sz w:val="24"/>
                <w:highlight w:val="none"/>
                <w14:textFill>
                  <w14:solidFill>
                    <w14:schemeClr w14:val="tx1"/>
                  </w14:solidFill>
                </w14:textFill>
              </w:rPr>
            </w:pPr>
          </w:p>
        </w:tc>
        <w:tc>
          <w:tcPr>
            <w:tcW w:w="586" w:type="pct"/>
            <w:tcBorders>
              <w:top w:val="single" w:color="auto" w:sz="6" w:space="0"/>
              <w:left w:val="single" w:color="auto" w:sz="6" w:space="0"/>
              <w:bottom w:val="single" w:color="auto" w:sz="6" w:space="0"/>
              <w:right w:val="single" w:color="auto" w:sz="6" w:space="0"/>
            </w:tcBorders>
            <w:noWrap/>
            <w:vAlign w:val="center"/>
          </w:tcPr>
          <w:p>
            <w:pPr>
              <w:keepNext w:val="0"/>
              <w:keepLines w:val="0"/>
              <w:suppressLineNumbers w:val="0"/>
              <w:autoSpaceDE w:val="0"/>
              <w:autoSpaceDN w:val="0"/>
              <w:adjustRightInd w:val="0"/>
              <w:spacing w:before="0" w:beforeAutospacing="0" w:after="0" w:afterAutospacing="0" w:line="500" w:lineRule="exact"/>
              <w:ind w:left="0" w:leftChars="0" w:right="0" w:rightChars="0"/>
              <w:jc w:val="center"/>
              <w:rPr>
                <w:rFonts w:hint="eastAsia" w:ascii="宋体" w:hAnsi="宋体" w:eastAsia="宋体" w:cs="宋体"/>
                <w:color w:val="000000" w:themeColor="text1"/>
                <w:sz w:val="24"/>
                <w:highlight w:val="none"/>
                <w14:textFill>
                  <w14:solidFill>
                    <w14:schemeClr w14:val="tx1"/>
                  </w14:solidFill>
                </w14:textFill>
              </w:rPr>
            </w:pPr>
          </w:p>
        </w:tc>
        <w:tc>
          <w:tcPr>
            <w:tcW w:w="693" w:type="pct"/>
            <w:tcBorders>
              <w:top w:val="single" w:color="auto" w:sz="6" w:space="0"/>
              <w:left w:val="single" w:color="auto" w:sz="6" w:space="0"/>
              <w:bottom w:val="single" w:color="auto" w:sz="6" w:space="0"/>
              <w:right w:val="single" w:color="auto" w:sz="6" w:space="0"/>
            </w:tcBorders>
            <w:noWrap/>
            <w:vAlign w:val="center"/>
          </w:tcPr>
          <w:p>
            <w:pPr>
              <w:keepNext w:val="0"/>
              <w:keepLines w:val="0"/>
              <w:suppressLineNumbers w:val="0"/>
              <w:autoSpaceDE w:val="0"/>
              <w:autoSpaceDN w:val="0"/>
              <w:adjustRightInd w:val="0"/>
              <w:spacing w:before="0" w:beforeAutospacing="0" w:after="0" w:afterAutospacing="0" w:line="500" w:lineRule="exact"/>
              <w:ind w:left="0" w:leftChars="0" w:right="0" w:rightChars="0"/>
              <w:jc w:val="center"/>
              <w:rPr>
                <w:rFonts w:hint="eastAsia" w:ascii="宋体" w:hAnsi="宋体" w:eastAsia="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385" w:type="pct"/>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068" w:type="pct"/>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hint="eastAsia" w:ascii="宋体" w:hAnsi="宋体" w:eastAsia="宋体" w:cs="宋体"/>
                <w:color w:val="000000" w:themeColor="text1"/>
                <w:sz w:val="24"/>
                <w:highlight w:val="none"/>
                <w14:textFill>
                  <w14:solidFill>
                    <w14:schemeClr w14:val="tx1"/>
                  </w14:solidFill>
                </w14:textFill>
              </w:rPr>
            </w:pPr>
          </w:p>
        </w:tc>
        <w:tc>
          <w:tcPr>
            <w:tcW w:w="1049" w:type="pct"/>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pacing w:line="500" w:lineRule="exact"/>
              <w:rPr>
                <w:rFonts w:hint="eastAsia" w:ascii="宋体" w:hAnsi="宋体" w:eastAsia="宋体" w:cs="宋体"/>
                <w:color w:val="000000" w:themeColor="text1"/>
                <w:sz w:val="24"/>
                <w:highlight w:val="none"/>
                <w14:textFill>
                  <w14:solidFill>
                    <w14:schemeClr w14:val="tx1"/>
                  </w14:solidFill>
                </w14:textFill>
              </w:rPr>
            </w:pPr>
          </w:p>
        </w:tc>
        <w:tc>
          <w:tcPr>
            <w:tcW w:w="484" w:type="pct"/>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pacing w:line="500" w:lineRule="exact"/>
              <w:rPr>
                <w:rFonts w:hint="eastAsia" w:ascii="宋体" w:hAnsi="宋体" w:eastAsia="宋体" w:cs="宋体"/>
                <w:color w:val="000000" w:themeColor="text1"/>
                <w:sz w:val="24"/>
                <w:highlight w:val="none"/>
                <w14:textFill>
                  <w14:solidFill>
                    <w14:schemeClr w14:val="tx1"/>
                  </w14:solidFill>
                </w14:textFill>
              </w:rPr>
            </w:pPr>
          </w:p>
        </w:tc>
        <w:tc>
          <w:tcPr>
            <w:tcW w:w="402" w:type="pct"/>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hint="eastAsia" w:ascii="宋体" w:hAnsi="宋体" w:eastAsia="宋体" w:cs="宋体"/>
                <w:color w:val="000000" w:themeColor="text1"/>
                <w:sz w:val="24"/>
                <w:highlight w:val="none"/>
                <w14:textFill>
                  <w14:solidFill>
                    <w14:schemeClr w14:val="tx1"/>
                  </w14:solidFill>
                </w14:textFill>
              </w:rPr>
            </w:pPr>
          </w:p>
        </w:tc>
        <w:tc>
          <w:tcPr>
            <w:tcW w:w="329" w:type="pct"/>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hint="eastAsia" w:ascii="宋体" w:hAnsi="宋体" w:eastAsia="宋体" w:cs="宋体"/>
                <w:color w:val="000000" w:themeColor="text1"/>
                <w:sz w:val="24"/>
                <w:highlight w:val="none"/>
                <w14:textFill>
                  <w14:solidFill>
                    <w14:schemeClr w14:val="tx1"/>
                  </w14:solidFill>
                </w14:textFill>
              </w:rPr>
            </w:pPr>
          </w:p>
        </w:tc>
        <w:tc>
          <w:tcPr>
            <w:tcW w:w="586" w:type="pct"/>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hint="eastAsia" w:ascii="宋体" w:hAnsi="宋体" w:eastAsia="宋体" w:cs="宋体"/>
                <w:color w:val="000000" w:themeColor="text1"/>
                <w:sz w:val="24"/>
                <w:highlight w:val="none"/>
                <w14:textFill>
                  <w14:solidFill>
                    <w14:schemeClr w14:val="tx1"/>
                  </w14:solidFill>
                </w14:textFill>
              </w:rPr>
            </w:pPr>
          </w:p>
        </w:tc>
        <w:tc>
          <w:tcPr>
            <w:tcW w:w="693" w:type="pct"/>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hint="eastAsia" w:ascii="宋体" w:hAnsi="宋体" w:eastAsia="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385" w:type="pct"/>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总价</w:t>
            </w:r>
          </w:p>
        </w:tc>
        <w:tc>
          <w:tcPr>
            <w:tcW w:w="4614" w:type="pct"/>
            <w:gridSpan w:val="7"/>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大写：           小写：          </w:t>
            </w:r>
            <w:r>
              <w:rPr>
                <w:rFonts w:hint="eastAsia" w:ascii="宋体" w:hAnsi="宋体" w:eastAsia="宋体" w:cs="宋体"/>
                <w:b/>
                <w:bCs/>
                <w:color w:val="000000" w:themeColor="text1"/>
                <w:sz w:val="24"/>
                <w:szCs w:val="24"/>
                <w:highlight w:val="none"/>
                <w14:textFill>
                  <w14:solidFill>
                    <w14:schemeClr w14:val="tx1"/>
                  </w14:solidFill>
                </w14:textFill>
              </w:rPr>
              <w:t>元</w:t>
            </w:r>
          </w:p>
        </w:tc>
      </w:tr>
      <w:tr>
        <w:tblPrEx>
          <w:tblCellMar>
            <w:top w:w="0" w:type="dxa"/>
            <w:left w:w="108" w:type="dxa"/>
            <w:bottom w:w="0" w:type="dxa"/>
            <w:right w:w="108" w:type="dxa"/>
          </w:tblCellMar>
        </w:tblPrEx>
        <w:trPr>
          <w:trHeight w:val="567" w:hRule="atLeast"/>
          <w:jc w:val="center"/>
        </w:trPr>
        <w:tc>
          <w:tcPr>
            <w:tcW w:w="5000" w:type="pct"/>
            <w:gridSpan w:val="8"/>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项目采用公开招标方式采购时，以下不需要填写。</w:t>
            </w:r>
          </w:p>
        </w:tc>
      </w:tr>
      <w:tr>
        <w:tblPrEx>
          <w:tblCellMar>
            <w:top w:w="0" w:type="dxa"/>
            <w:left w:w="108" w:type="dxa"/>
            <w:bottom w:w="0" w:type="dxa"/>
            <w:right w:w="108" w:type="dxa"/>
          </w:tblCellMar>
        </w:tblPrEx>
        <w:trPr>
          <w:trHeight w:val="567" w:hRule="atLeast"/>
          <w:jc w:val="center"/>
        </w:trPr>
        <w:tc>
          <w:tcPr>
            <w:tcW w:w="5000" w:type="pct"/>
            <w:gridSpan w:val="8"/>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sym w:font="Wingdings" w:char="00A8"/>
            </w:r>
            <w:r>
              <w:rPr>
                <w:rFonts w:hint="eastAsia" w:ascii="宋体" w:hAnsi="宋体" w:eastAsia="宋体" w:cs="宋体"/>
                <w:color w:val="000000" w:themeColor="text1"/>
                <w:sz w:val="24"/>
                <w:highlight w:val="none"/>
                <w14:textFill>
                  <w14:solidFill>
                    <w14:schemeClr w14:val="tx1"/>
                  </w14:solidFill>
                </w14:textFill>
              </w:rPr>
              <w:t>本项目采用竞争性磋商、单一来源谈判等方式采购，表中报价为初次报价时的明细清单，实际按最终报价进行相应折扣处理。另，供应商承诺免费赠送的货物如下：</w:t>
            </w:r>
          </w:p>
        </w:tc>
      </w:tr>
      <w:tr>
        <w:tblPrEx>
          <w:tblCellMar>
            <w:top w:w="0" w:type="dxa"/>
            <w:left w:w="108" w:type="dxa"/>
            <w:bottom w:w="0" w:type="dxa"/>
            <w:right w:w="108" w:type="dxa"/>
          </w:tblCellMar>
        </w:tblPrEx>
        <w:trPr>
          <w:trHeight w:val="567" w:hRule="atLeast"/>
          <w:jc w:val="center"/>
        </w:trPr>
        <w:tc>
          <w:tcPr>
            <w:tcW w:w="385" w:type="pct"/>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068" w:type="pct"/>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hint="eastAsia" w:ascii="宋体" w:hAnsi="宋体" w:eastAsia="宋体" w:cs="宋体"/>
                <w:color w:val="000000" w:themeColor="text1"/>
                <w:sz w:val="24"/>
                <w:highlight w:val="none"/>
                <w14:textFill>
                  <w14:solidFill>
                    <w14:schemeClr w14:val="tx1"/>
                  </w14:solidFill>
                </w14:textFill>
              </w:rPr>
            </w:pPr>
          </w:p>
        </w:tc>
        <w:tc>
          <w:tcPr>
            <w:tcW w:w="1533" w:type="pct"/>
            <w:gridSpan w:val="2"/>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hint="eastAsia" w:ascii="宋体" w:hAnsi="宋体" w:eastAsia="宋体" w:cs="宋体"/>
                <w:color w:val="000000" w:themeColor="text1"/>
                <w:sz w:val="24"/>
                <w:highlight w:val="none"/>
                <w14:textFill>
                  <w14:solidFill>
                    <w14:schemeClr w14:val="tx1"/>
                  </w14:solidFill>
                </w14:textFill>
              </w:rPr>
            </w:pPr>
          </w:p>
        </w:tc>
        <w:tc>
          <w:tcPr>
            <w:tcW w:w="402" w:type="pct"/>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hint="eastAsia" w:ascii="宋体" w:hAnsi="宋体" w:eastAsia="宋体" w:cs="宋体"/>
                <w:color w:val="000000" w:themeColor="text1"/>
                <w:sz w:val="24"/>
                <w:highlight w:val="none"/>
                <w14:textFill>
                  <w14:solidFill>
                    <w14:schemeClr w14:val="tx1"/>
                  </w14:solidFill>
                </w14:textFill>
              </w:rPr>
            </w:pPr>
          </w:p>
        </w:tc>
        <w:tc>
          <w:tcPr>
            <w:tcW w:w="329" w:type="pct"/>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hint="eastAsia" w:ascii="宋体" w:hAnsi="宋体" w:eastAsia="宋体" w:cs="宋体"/>
                <w:color w:val="000000" w:themeColor="text1"/>
                <w:sz w:val="24"/>
                <w:highlight w:val="none"/>
                <w14:textFill>
                  <w14:solidFill>
                    <w14:schemeClr w14:val="tx1"/>
                  </w14:solidFill>
                </w14:textFill>
              </w:rPr>
            </w:pPr>
          </w:p>
        </w:tc>
        <w:tc>
          <w:tcPr>
            <w:tcW w:w="586" w:type="pct"/>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赠</w:t>
            </w:r>
            <w:r>
              <w:rPr>
                <w:rFonts w:hint="eastAsia" w:ascii="宋体" w:hAnsi="宋体" w:eastAsia="宋体" w:cs="宋体"/>
                <w:color w:val="000000" w:themeColor="text1"/>
                <w:sz w:val="24"/>
                <w:highlight w:val="none"/>
                <w:lang w:val="en-US" w:eastAsia="zh-CN"/>
                <w14:textFill>
                  <w14:solidFill>
                    <w14:schemeClr w14:val="tx1"/>
                  </w14:solidFill>
                </w14:textFill>
              </w:rPr>
              <w:t>品无单价</w:t>
            </w:r>
          </w:p>
        </w:tc>
        <w:tc>
          <w:tcPr>
            <w:tcW w:w="693" w:type="pct"/>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赠</w:t>
            </w:r>
            <w:r>
              <w:rPr>
                <w:rFonts w:hint="eastAsia" w:ascii="宋体" w:hAnsi="宋体" w:eastAsia="宋体" w:cs="宋体"/>
                <w:color w:val="000000" w:themeColor="text1"/>
                <w:sz w:val="24"/>
                <w:highlight w:val="none"/>
                <w:lang w:val="en-US" w:eastAsia="zh-CN"/>
                <w14:textFill>
                  <w14:solidFill>
                    <w14:schemeClr w14:val="tx1"/>
                  </w14:solidFill>
                </w14:textFill>
              </w:rPr>
              <w:t>品无单价</w:t>
            </w:r>
          </w:p>
        </w:tc>
      </w:tr>
      <w:tr>
        <w:tblPrEx>
          <w:tblCellMar>
            <w:top w:w="0" w:type="dxa"/>
            <w:left w:w="108" w:type="dxa"/>
            <w:bottom w:w="0" w:type="dxa"/>
            <w:right w:w="108" w:type="dxa"/>
          </w:tblCellMar>
        </w:tblPrEx>
        <w:trPr>
          <w:trHeight w:val="567" w:hRule="atLeast"/>
          <w:jc w:val="center"/>
        </w:trPr>
        <w:tc>
          <w:tcPr>
            <w:tcW w:w="385" w:type="pct"/>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068" w:type="pct"/>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hint="eastAsia" w:ascii="宋体" w:hAnsi="宋体" w:eastAsia="宋体" w:cs="宋体"/>
                <w:color w:val="000000" w:themeColor="text1"/>
                <w:sz w:val="24"/>
                <w:highlight w:val="none"/>
                <w14:textFill>
                  <w14:solidFill>
                    <w14:schemeClr w14:val="tx1"/>
                  </w14:solidFill>
                </w14:textFill>
              </w:rPr>
            </w:pPr>
          </w:p>
        </w:tc>
        <w:tc>
          <w:tcPr>
            <w:tcW w:w="1533" w:type="pct"/>
            <w:gridSpan w:val="2"/>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hint="eastAsia" w:ascii="宋体" w:hAnsi="宋体" w:eastAsia="宋体" w:cs="宋体"/>
                <w:color w:val="000000" w:themeColor="text1"/>
                <w:sz w:val="24"/>
                <w:highlight w:val="none"/>
                <w14:textFill>
                  <w14:solidFill>
                    <w14:schemeClr w14:val="tx1"/>
                  </w14:solidFill>
                </w14:textFill>
              </w:rPr>
            </w:pPr>
          </w:p>
        </w:tc>
        <w:tc>
          <w:tcPr>
            <w:tcW w:w="402" w:type="pct"/>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hint="eastAsia" w:ascii="宋体" w:hAnsi="宋体" w:eastAsia="宋体" w:cs="宋体"/>
                <w:color w:val="000000" w:themeColor="text1"/>
                <w:sz w:val="24"/>
                <w:highlight w:val="none"/>
                <w14:textFill>
                  <w14:solidFill>
                    <w14:schemeClr w14:val="tx1"/>
                  </w14:solidFill>
                </w14:textFill>
              </w:rPr>
            </w:pPr>
          </w:p>
        </w:tc>
        <w:tc>
          <w:tcPr>
            <w:tcW w:w="329" w:type="pct"/>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hint="eastAsia" w:ascii="宋体" w:hAnsi="宋体" w:eastAsia="宋体" w:cs="宋体"/>
                <w:color w:val="000000" w:themeColor="text1"/>
                <w:sz w:val="24"/>
                <w:highlight w:val="none"/>
                <w14:textFill>
                  <w14:solidFill>
                    <w14:schemeClr w14:val="tx1"/>
                  </w14:solidFill>
                </w14:textFill>
              </w:rPr>
            </w:pPr>
          </w:p>
        </w:tc>
        <w:tc>
          <w:tcPr>
            <w:tcW w:w="586" w:type="pct"/>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赠</w:t>
            </w:r>
            <w:r>
              <w:rPr>
                <w:rFonts w:hint="eastAsia" w:ascii="宋体" w:hAnsi="宋体" w:eastAsia="宋体" w:cs="宋体"/>
                <w:color w:val="000000" w:themeColor="text1"/>
                <w:sz w:val="24"/>
                <w:highlight w:val="none"/>
                <w:lang w:val="en-US" w:eastAsia="zh-CN"/>
                <w14:textFill>
                  <w14:solidFill>
                    <w14:schemeClr w14:val="tx1"/>
                  </w14:solidFill>
                </w14:textFill>
              </w:rPr>
              <w:t>品无单价</w:t>
            </w:r>
          </w:p>
        </w:tc>
        <w:tc>
          <w:tcPr>
            <w:tcW w:w="693" w:type="pct"/>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赠</w:t>
            </w:r>
            <w:r>
              <w:rPr>
                <w:rFonts w:hint="eastAsia" w:ascii="宋体" w:hAnsi="宋体" w:eastAsia="宋体" w:cs="宋体"/>
                <w:color w:val="000000" w:themeColor="text1"/>
                <w:sz w:val="24"/>
                <w:highlight w:val="none"/>
                <w:lang w:val="en-US" w:eastAsia="zh-CN"/>
                <w14:textFill>
                  <w14:solidFill>
                    <w14:schemeClr w14:val="tx1"/>
                  </w14:solidFill>
                </w14:textFill>
              </w:rPr>
              <w:t>品无单价</w:t>
            </w:r>
          </w:p>
        </w:tc>
      </w:tr>
      <w:tr>
        <w:tblPrEx>
          <w:tblCellMar>
            <w:top w:w="0" w:type="dxa"/>
            <w:left w:w="108" w:type="dxa"/>
            <w:bottom w:w="0" w:type="dxa"/>
            <w:right w:w="108" w:type="dxa"/>
          </w:tblCellMar>
        </w:tblPrEx>
        <w:trPr>
          <w:trHeight w:val="567" w:hRule="atLeast"/>
          <w:jc w:val="center"/>
        </w:trPr>
        <w:tc>
          <w:tcPr>
            <w:tcW w:w="385" w:type="pct"/>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hint="eastAsia" w:ascii="宋体" w:hAnsi="宋体" w:eastAsia="宋体" w:cs="宋体"/>
                <w:color w:val="000000" w:themeColor="text1"/>
                <w:sz w:val="24"/>
                <w:highlight w:val="none"/>
                <w14:textFill>
                  <w14:solidFill>
                    <w14:schemeClr w14:val="tx1"/>
                  </w14:solidFill>
                </w14:textFill>
              </w:rPr>
            </w:pPr>
          </w:p>
        </w:tc>
        <w:tc>
          <w:tcPr>
            <w:tcW w:w="1068" w:type="pct"/>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hint="eastAsia" w:ascii="宋体" w:hAnsi="宋体" w:eastAsia="宋体" w:cs="宋体"/>
                <w:color w:val="000000" w:themeColor="text1"/>
                <w:sz w:val="24"/>
                <w:highlight w:val="none"/>
                <w14:textFill>
                  <w14:solidFill>
                    <w14:schemeClr w14:val="tx1"/>
                  </w14:solidFill>
                </w14:textFill>
              </w:rPr>
            </w:pPr>
          </w:p>
        </w:tc>
        <w:tc>
          <w:tcPr>
            <w:tcW w:w="1533" w:type="pct"/>
            <w:gridSpan w:val="2"/>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hint="eastAsia" w:ascii="宋体" w:hAnsi="宋体" w:eastAsia="宋体" w:cs="宋体"/>
                <w:color w:val="000000" w:themeColor="text1"/>
                <w:sz w:val="24"/>
                <w:highlight w:val="none"/>
                <w14:textFill>
                  <w14:solidFill>
                    <w14:schemeClr w14:val="tx1"/>
                  </w14:solidFill>
                </w14:textFill>
              </w:rPr>
            </w:pPr>
          </w:p>
        </w:tc>
        <w:tc>
          <w:tcPr>
            <w:tcW w:w="402" w:type="pct"/>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hint="eastAsia" w:ascii="宋体" w:hAnsi="宋体" w:eastAsia="宋体" w:cs="宋体"/>
                <w:color w:val="000000" w:themeColor="text1"/>
                <w:sz w:val="24"/>
                <w:highlight w:val="none"/>
                <w14:textFill>
                  <w14:solidFill>
                    <w14:schemeClr w14:val="tx1"/>
                  </w14:solidFill>
                </w14:textFill>
              </w:rPr>
            </w:pPr>
          </w:p>
        </w:tc>
        <w:tc>
          <w:tcPr>
            <w:tcW w:w="329" w:type="pct"/>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hint="eastAsia" w:ascii="宋体" w:hAnsi="宋体" w:eastAsia="宋体" w:cs="宋体"/>
                <w:color w:val="000000" w:themeColor="text1"/>
                <w:sz w:val="24"/>
                <w:highlight w:val="none"/>
                <w14:textFill>
                  <w14:solidFill>
                    <w14:schemeClr w14:val="tx1"/>
                  </w14:solidFill>
                </w14:textFill>
              </w:rPr>
            </w:pPr>
          </w:p>
        </w:tc>
        <w:tc>
          <w:tcPr>
            <w:tcW w:w="586" w:type="pct"/>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hint="eastAsia" w:ascii="宋体" w:hAnsi="宋体" w:eastAsia="宋体" w:cs="宋体"/>
                <w:color w:val="000000" w:themeColor="text1"/>
                <w:sz w:val="24"/>
                <w:highlight w:val="none"/>
                <w14:textFill>
                  <w14:solidFill>
                    <w14:schemeClr w14:val="tx1"/>
                  </w14:solidFill>
                </w14:textFill>
              </w:rPr>
            </w:pPr>
          </w:p>
        </w:tc>
        <w:tc>
          <w:tcPr>
            <w:tcW w:w="693" w:type="pct"/>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hint="eastAsia" w:ascii="宋体" w:hAnsi="宋体" w:eastAsia="宋体" w:cs="宋体"/>
                <w:color w:val="000000" w:themeColor="text1"/>
                <w:sz w:val="24"/>
                <w:highlight w:val="none"/>
                <w14:textFill>
                  <w14:solidFill>
                    <w14:schemeClr w14:val="tx1"/>
                  </w14:solidFill>
                </w14:textFill>
              </w:rPr>
            </w:pPr>
          </w:p>
        </w:tc>
      </w:tr>
    </w:tbl>
    <w:p>
      <w:pPr>
        <w:pStyle w:val="18"/>
        <w:rPr>
          <w:rFonts w:hint="eastAsia"/>
          <w:highlight w:val="none"/>
        </w:rPr>
      </w:pPr>
    </w:p>
    <w:p>
      <w:pPr>
        <w:widowControl/>
        <w:overflowPunct w:val="0"/>
        <w:autoSpaceDE w:val="0"/>
        <w:autoSpaceDN w:val="0"/>
        <w:adjustRightInd w:val="0"/>
        <w:snapToGrid w:val="0"/>
        <w:spacing w:before="156" w:line="288" w:lineRule="auto"/>
        <w:jc w:val="center"/>
        <w:textAlignment w:val="baseline"/>
        <w:rPr>
          <w:rFonts w:hint="eastAsia" w:ascii="宋体" w:hAnsi="宋体" w:cs="宋体"/>
          <w:b/>
          <w:bCs/>
          <w:kern w:val="0"/>
          <w:sz w:val="21"/>
          <w:szCs w:val="21"/>
          <w:highlight w:val="none"/>
        </w:rPr>
      </w:pPr>
      <w:r>
        <w:rPr>
          <w:rFonts w:hint="eastAsia" w:ascii="宋体" w:hAnsi="宋体" w:cs="宋体"/>
          <w:b/>
          <w:bCs/>
          <w:kern w:val="0"/>
          <w:sz w:val="21"/>
          <w:szCs w:val="21"/>
          <w:highlight w:val="none"/>
        </w:rPr>
        <w:t>（本合同为合同样稿，最终稿由双方协商后确定）</w:t>
      </w:r>
    </w:p>
    <w:p>
      <w:pPr>
        <w:rPr>
          <w:rFonts w:hAnsi="宋体"/>
          <w:b/>
          <w:spacing w:val="-6"/>
          <w:sz w:val="32"/>
          <w:szCs w:val="32"/>
          <w:highlight w:val="none"/>
        </w:rPr>
      </w:pPr>
      <w:r>
        <w:rPr>
          <w:rFonts w:hAnsi="宋体"/>
          <w:b/>
          <w:spacing w:val="-6"/>
          <w:sz w:val="32"/>
          <w:szCs w:val="32"/>
          <w:highlight w:val="none"/>
        </w:rPr>
        <w:br w:type="page"/>
      </w:r>
    </w:p>
    <w:p>
      <w:pPr>
        <w:spacing w:line="360" w:lineRule="auto"/>
        <w:jc w:val="center"/>
        <w:outlineLvl w:val="0"/>
        <w:rPr>
          <w:rFonts w:ascii="仿宋" w:hAnsi="仿宋" w:eastAsia="仿宋" w:cs="仿宋"/>
          <w:b/>
          <w:snapToGrid w:val="0"/>
          <w:kern w:val="0"/>
          <w:sz w:val="30"/>
          <w:szCs w:val="30"/>
          <w:highlight w:val="none"/>
        </w:rPr>
      </w:pPr>
      <w:bookmarkStart w:id="53" w:name="_Toc24310"/>
      <w:r>
        <w:rPr>
          <w:rFonts w:hint="eastAsia" w:ascii="仿宋" w:hAnsi="仿宋" w:eastAsia="仿宋" w:cs="仿宋"/>
          <w:b/>
          <w:snapToGrid w:val="0"/>
          <w:kern w:val="0"/>
          <w:sz w:val="30"/>
          <w:szCs w:val="30"/>
          <w:highlight w:val="none"/>
        </w:rPr>
        <w:t>第五部分</w:t>
      </w:r>
      <w:bookmarkEnd w:id="49"/>
      <w:r>
        <w:rPr>
          <w:rFonts w:hint="eastAsia" w:ascii="仿宋" w:hAnsi="仿宋" w:eastAsia="仿宋" w:cs="仿宋"/>
          <w:b/>
          <w:snapToGrid w:val="0"/>
          <w:kern w:val="0"/>
          <w:sz w:val="30"/>
          <w:szCs w:val="30"/>
          <w:highlight w:val="none"/>
        </w:rPr>
        <w:t xml:space="preserve">  评标办法（综合评分法）</w:t>
      </w:r>
      <w:bookmarkEnd w:id="50"/>
      <w:bookmarkEnd w:id="51"/>
      <w:bookmarkEnd w:id="53"/>
    </w:p>
    <w:bookmarkEnd w:id="35"/>
    <w:p>
      <w:pPr>
        <w:pStyle w:val="3"/>
        <w:snapToGrid w:val="0"/>
        <w:spacing w:before="0" w:after="0" w:line="360" w:lineRule="auto"/>
        <w:rPr>
          <w:rFonts w:ascii="仿宋" w:hAnsi="仿宋" w:eastAsia="仿宋" w:cs="仿宋"/>
          <w:snapToGrid w:val="0"/>
          <w:kern w:val="0"/>
          <w:sz w:val="24"/>
          <w:szCs w:val="24"/>
          <w:highlight w:val="none"/>
        </w:rPr>
      </w:pPr>
      <w:bookmarkStart w:id="54" w:name="_Toc295465366"/>
      <w:bookmarkStart w:id="55" w:name="_Toc20632"/>
      <w:bookmarkStart w:id="56" w:name="_Toc5624555"/>
      <w:bookmarkStart w:id="57" w:name="_Toc249760791"/>
      <w:bookmarkStart w:id="58" w:name="_Toc415734846"/>
      <w:bookmarkStart w:id="59" w:name="_Toc251566662"/>
      <w:bookmarkStart w:id="60" w:name="_Toc251566668"/>
      <w:bookmarkStart w:id="61" w:name="_Toc234764855"/>
      <w:bookmarkStart w:id="62" w:name="_Toc249760797"/>
      <w:r>
        <w:rPr>
          <w:rFonts w:hint="eastAsia" w:ascii="仿宋" w:hAnsi="仿宋" w:eastAsia="仿宋" w:cs="仿宋"/>
          <w:snapToGrid w:val="0"/>
          <w:kern w:val="0"/>
          <w:sz w:val="24"/>
          <w:szCs w:val="24"/>
          <w:highlight w:val="none"/>
        </w:rPr>
        <w:t>一、总则</w:t>
      </w:r>
      <w:bookmarkEnd w:id="54"/>
      <w:bookmarkEnd w:id="55"/>
      <w:bookmarkEnd w:id="56"/>
      <w:bookmarkEnd w:id="57"/>
      <w:bookmarkEnd w:id="58"/>
      <w:bookmarkEnd w:id="59"/>
    </w:p>
    <w:p>
      <w:pPr>
        <w:adjustRightInd w:val="0"/>
        <w:snapToGrid w:val="0"/>
        <w:spacing w:line="360" w:lineRule="auto"/>
        <w:ind w:firstLine="480" w:firstLineChars="200"/>
        <w:rPr>
          <w:rFonts w:ascii="仿宋" w:hAnsi="仿宋" w:eastAsia="仿宋" w:cs="仿宋"/>
          <w:snapToGrid w:val="0"/>
          <w:kern w:val="0"/>
          <w:sz w:val="24"/>
          <w:highlight w:val="none"/>
        </w:rPr>
      </w:pPr>
      <w:r>
        <w:rPr>
          <w:rFonts w:hint="eastAsia" w:ascii="仿宋" w:hAnsi="仿宋" w:eastAsia="仿宋" w:cs="仿宋"/>
          <w:snapToGrid w:val="0"/>
          <w:kern w:val="0"/>
          <w:sz w:val="24"/>
          <w:highlight w:val="none"/>
        </w:rPr>
        <w:t>评标工作必须遵循公平、公正的竞争原则。评标委员会必须公平、公正、客观。</w:t>
      </w:r>
    </w:p>
    <w:p>
      <w:pPr>
        <w:pStyle w:val="3"/>
        <w:snapToGrid w:val="0"/>
        <w:spacing w:before="0" w:after="0" w:line="360" w:lineRule="auto"/>
        <w:rPr>
          <w:rFonts w:ascii="仿宋" w:hAnsi="仿宋" w:eastAsia="仿宋" w:cs="仿宋"/>
          <w:snapToGrid w:val="0"/>
          <w:kern w:val="0"/>
          <w:sz w:val="24"/>
          <w:szCs w:val="24"/>
          <w:highlight w:val="none"/>
        </w:rPr>
      </w:pPr>
      <w:bookmarkStart w:id="63" w:name="_Toc251566663"/>
      <w:bookmarkStart w:id="64" w:name="_Toc295465367"/>
      <w:bookmarkStart w:id="65" w:name="_Toc415734847"/>
      <w:bookmarkStart w:id="66" w:name="_Toc249760792"/>
      <w:bookmarkStart w:id="67" w:name="_Toc7509"/>
      <w:bookmarkStart w:id="68" w:name="_Toc5624556"/>
      <w:r>
        <w:rPr>
          <w:rFonts w:hint="eastAsia" w:ascii="仿宋" w:hAnsi="仿宋" w:eastAsia="仿宋" w:cs="仿宋"/>
          <w:snapToGrid w:val="0"/>
          <w:kern w:val="0"/>
          <w:sz w:val="24"/>
          <w:szCs w:val="24"/>
          <w:highlight w:val="none"/>
        </w:rPr>
        <w:t>二、评标组织</w:t>
      </w:r>
      <w:bookmarkEnd w:id="63"/>
      <w:bookmarkEnd w:id="64"/>
      <w:bookmarkEnd w:id="65"/>
      <w:bookmarkEnd w:id="66"/>
      <w:bookmarkEnd w:id="67"/>
      <w:bookmarkEnd w:id="68"/>
    </w:p>
    <w:p>
      <w:pPr>
        <w:adjustRightInd w:val="0"/>
        <w:snapToGrid w:val="0"/>
        <w:spacing w:line="360" w:lineRule="auto"/>
        <w:ind w:firstLine="480" w:firstLineChars="200"/>
        <w:jc w:val="left"/>
        <w:rPr>
          <w:rFonts w:ascii="仿宋" w:hAnsi="仿宋" w:eastAsia="仿宋" w:cs="仿宋"/>
          <w:snapToGrid w:val="0"/>
          <w:kern w:val="0"/>
          <w:sz w:val="24"/>
          <w:highlight w:val="none"/>
        </w:rPr>
      </w:pPr>
      <w:bookmarkStart w:id="69" w:name="_Toc251566664"/>
      <w:bookmarkStart w:id="70" w:name="_Toc295465368"/>
      <w:bookmarkStart w:id="71" w:name="_Toc249760793"/>
      <w:bookmarkStart w:id="72" w:name="_Toc415734848"/>
      <w:r>
        <w:rPr>
          <w:rFonts w:hint="eastAsia" w:ascii="仿宋" w:hAnsi="仿宋" w:eastAsia="仿宋" w:cs="仿宋"/>
          <w:snapToGrid w:val="0"/>
          <w:kern w:val="0"/>
          <w:sz w:val="24"/>
          <w:highlight w:val="none"/>
        </w:rPr>
        <w:t>评标工作由采购代理机构负责组织，依法组建由</w:t>
      </w:r>
      <w:r>
        <w:rPr>
          <w:rFonts w:hint="eastAsia" w:ascii="仿宋" w:hAnsi="仿宋" w:eastAsia="仿宋" w:cs="仿宋"/>
          <w:snapToGrid w:val="0"/>
          <w:kern w:val="0"/>
          <w:sz w:val="24"/>
          <w:highlight w:val="none"/>
          <w:lang w:val="en-US" w:eastAsia="zh-CN"/>
        </w:rPr>
        <w:t>5</w:t>
      </w:r>
      <w:r>
        <w:rPr>
          <w:rFonts w:hint="eastAsia" w:ascii="仿宋" w:hAnsi="仿宋" w:eastAsia="仿宋" w:cs="仿宋"/>
          <w:snapToGrid w:val="0"/>
          <w:kern w:val="0"/>
          <w:sz w:val="24"/>
          <w:highlight w:val="none"/>
        </w:rPr>
        <w:t>人及以上奇数人员组成的评标委员会，负责对投标文件进行审查、质询、评审等。评标委员会由相关专家等组成，其中专家不得少于成员总数的三分之二。</w:t>
      </w:r>
    </w:p>
    <w:p>
      <w:pPr>
        <w:pStyle w:val="3"/>
        <w:snapToGrid w:val="0"/>
        <w:spacing w:before="0" w:after="0" w:line="360" w:lineRule="auto"/>
        <w:rPr>
          <w:rFonts w:ascii="仿宋" w:hAnsi="仿宋" w:eastAsia="仿宋" w:cs="仿宋"/>
          <w:snapToGrid w:val="0"/>
          <w:kern w:val="0"/>
          <w:sz w:val="24"/>
          <w:szCs w:val="24"/>
          <w:highlight w:val="none"/>
        </w:rPr>
      </w:pPr>
      <w:bookmarkStart w:id="73" w:name="_Toc5624557"/>
      <w:bookmarkStart w:id="74" w:name="_Toc23139"/>
      <w:r>
        <w:rPr>
          <w:rFonts w:hint="eastAsia" w:ascii="仿宋" w:hAnsi="仿宋" w:eastAsia="仿宋" w:cs="仿宋"/>
          <w:snapToGrid w:val="0"/>
          <w:kern w:val="0"/>
          <w:sz w:val="24"/>
          <w:szCs w:val="24"/>
          <w:highlight w:val="none"/>
        </w:rPr>
        <w:t>三、</w:t>
      </w:r>
      <w:bookmarkEnd w:id="69"/>
      <w:bookmarkEnd w:id="70"/>
      <w:bookmarkEnd w:id="71"/>
      <w:bookmarkStart w:id="75" w:name="_Toc249760794"/>
      <w:bookmarkStart w:id="76" w:name="_Toc251566665"/>
      <w:bookmarkStart w:id="77" w:name="_Toc295465369"/>
      <w:r>
        <w:rPr>
          <w:rFonts w:hint="eastAsia" w:ascii="仿宋" w:hAnsi="仿宋" w:eastAsia="仿宋" w:cs="仿宋"/>
          <w:snapToGrid w:val="0"/>
          <w:kern w:val="0"/>
          <w:sz w:val="24"/>
          <w:szCs w:val="24"/>
          <w:highlight w:val="none"/>
        </w:rPr>
        <w:t>评标程序</w:t>
      </w:r>
      <w:bookmarkEnd w:id="72"/>
      <w:bookmarkEnd w:id="73"/>
      <w:bookmarkEnd w:id="74"/>
      <w:bookmarkEnd w:id="75"/>
      <w:bookmarkEnd w:id="76"/>
      <w:bookmarkEnd w:id="77"/>
    </w:p>
    <w:p>
      <w:pPr>
        <w:adjustRightInd w:val="0"/>
        <w:snapToGrid w:val="0"/>
        <w:spacing w:line="360" w:lineRule="auto"/>
        <w:ind w:firstLine="480" w:firstLineChars="200"/>
        <w:rPr>
          <w:rFonts w:ascii="仿宋" w:hAnsi="仿宋" w:eastAsia="仿宋" w:cs="仿宋"/>
          <w:snapToGrid w:val="0"/>
          <w:kern w:val="0"/>
          <w:sz w:val="24"/>
          <w:highlight w:val="none"/>
        </w:rPr>
      </w:pPr>
      <w:r>
        <w:rPr>
          <w:rFonts w:hint="eastAsia" w:ascii="仿宋" w:hAnsi="仿宋" w:eastAsia="仿宋" w:cs="仿宋"/>
          <w:snapToGrid w:val="0"/>
          <w:kern w:val="0"/>
          <w:sz w:val="24"/>
          <w:highlight w:val="none"/>
        </w:rPr>
        <w:t>1．本项目评标的依据为招标文件和投标文件</w:t>
      </w:r>
    </w:p>
    <w:p>
      <w:pPr>
        <w:adjustRightInd w:val="0"/>
        <w:snapToGrid w:val="0"/>
        <w:spacing w:line="360" w:lineRule="auto"/>
        <w:ind w:firstLine="480" w:firstLineChars="200"/>
        <w:rPr>
          <w:rFonts w:ascii="仿宋" w:hAnsi="仿宋" w:eastAsia="仿宋" w:cs="仿宋"/>
          <w:snapToGrid w:val="0"/>
          <w:kern w:val="0"/>
          <w:sz w:val="24"/>
          <w:highlight w:val="none"/>
        </w:rPr>
      </w:pPr>
      <w:r>
        <w:rPr>
          <w:rFonts w:hint="eastAsia" w:ascii="仿宋" w:hAnsi="仿宋" w:eastAsia="仿宋" w:cs="仿宋"/>
          <w:snapToGrid w:val="0"/>
          <w:kern w:val="0"/>
          <w:sz w:val="24"/>
          <w:highlight w:val="none"/>
        </w:rPr>
        <w:t>2．熟悉招标文件和评标办法。</w:t>
      </w:r>
    </w:p>
    <w:p>
      <w:pPr>
        <w:adjustRightInd w:val="0"/>
        <w:snapToGrid w:val="0"/>
        <w:spacing w:line="360" w:lineRule="auto"/>
        <w:ind w:firstLine="480" w:firstLineChars="200"/>
        <w:rPr>
          <w:rFonts w:ascii="仿宋" w:hAnsi="仿宋" w:eastAsia="仿宋" w:cs="仿宋"/>
          <w:snapToGrid w:val="0"/>
          <w:kern w:val="0"/>
          <w:sz w:val="24"/>
          <w:highlight w:val="none"/>
        </w:rPr>
      </w:pPr>
      <w:r>
        <w:rPr>
          <w:rFonts w:hint="eastAsia" w:ascii="仿宋" w:hAnsi="仿宋" w:eastAsia="仿宋" w:cs="仿宋"/>
          <w:snapToGrid w:val="0"/>
          <w:kern w:val="0"/>
          <w:sz w:val="24"/>
          <w:highlight w:val="none"/>
        </w:rPr>
        <w:t>3．投标文件的初审。初审分为资格性检查和符合性检查。</w:t>
      </w:r>
    </w:p>
    <w:p>
      <w:pPr>
        <w:adjustRightInd w:val="0"/>
        <w:snapToGrid w:val="0"/>
        <w:spacing w:line="360" w:lineRule="auto"/>
        <w:ind w:firstLine="480" w:firstLineChars="200"/>
        <w:rPr>
          <w:rFonts w:ascii="仿宋" w:hAnsi="仿宋" w:eastAsia="仿宋" w:cs="仿宋"/>
          <w:snapToGrid w:val="0"/>
          <w:kern w:val="0"/>
          <w:sz w:val="24"/>
          <w:highlight w:val="none"/>
        </w:rPr>
      </w:pPr>
      <w:r>
        <w:rPr>
          <w:rFonts w:hint="eastAsia" w:ascii="仿宋" w:hAnsi="仿宋" w:eastAsia="仿宋" w:cs="仿宋"/>
          <w:snapToGrid w:val="0"/>
          <w:kern w:val="0"/>
          <w:sz w:val="24"/>
          <w:highlight w:val="none"/>
        </w:rPr>
        <w:t>（1）资格性检查。</w:t>
      </w:r>
    </w:p>
    <w:p>
      <w:pPr>
        <w:adjustRightInd w:val="0"/>
        <w:snapToGrid w:val="0"/>
        <w:spacing w:line="360" w:lineRule="auto"/>
        <w:ind w:firstLine="480" w:firstLineChars="200"/>
        <w:rPr>
          <w:rFonts w:ascii="仿宋" w:hAnsi="仿宋" w:eastAsia="仿宋" w:cs="仿宋"/>
          <w:snapToGrid w:val="0"/>
          <w:kern w:val="0"/>
          <w:sz w:val="24"/>
          <w:highlight w:val="none"/>
        </w:rPr>
      </w:pPr>
      <w:r>
        <w:rPr>
          <w:rFonts w:hint="eastAsia" w:ascii="仿宋" w:hAnsi="仿宋" w:eastAsia="仿宋" w:cs="仿宋"/>
          <w:snapToGrid w:val="0"/>
          <w:kern w:val="0"/>
          <w:sz w:val="24"/>
          <w:highlight w:val="none"/>
          <w:lang w:eastAsia="zh-CN"/>
        </w:rPr>
        <w:t>采购人或者采购代理机构</w:t>
      </w:r>
      <w:r>
        <w:rPr>
          <w:rFonts w:hint="eastAsia" w:ascii="仿宋" w:hAnsi="仿宋" w:eastAsia="仿宋" w:cs="仿宋"/>
          <w:snapToGrid w:val="0"/>
          <w:kern w:val="0"/>
          <w:sz w:val="24"/>
          <w:highlight w:val="none"/>
        </w:rPr>
        <w:t>依据法律法规和招标文件的规定，对投标文件中的资格条件等进行审查，以确定供应商是否具备投标资格。</w:t>
      </w:r>
    </w:p>
    <w:p>
      <w:pPr>
        <w:adjustRightInd w:val="0"/>
        <w:snapToGrid w:val="0"/>
        <w:spacing w:line="360" w:lineRule="auto"/>
        <w:ind w:firstLine="480" w:firstLineChars="200"/>
        <w:rPr>
          <w:rFonts w:ascii="仿宋" w:hAnsi="仿宋" w:eastAsia="仿宋" w:cs="仿宋"/>
          <w:snapToGrid w:val="0"/>
          <w:kern w:val="0"/>
          <w:sz w:val="24"/>
          <w:highlight w:val="none"/>
        </w:rPr>
      </w:pPr>
      <w:r>
        <w:rPr>
          <w:rFonts w:hint="eastAsia" w:ascii="仿宋" w:hAnsi="仿宋" w:eastAsia="仿宋" w:cs="仿宋"/>
          <w:snapToGrid w:val="0"/>
          <w:kern w:val="0"/>
          <w:sz w:val="24"/>
          <w:highlight w:val="none"/>
        </w:rPr>
        <w:t>（2）符合性检查。</w:t>
      </w:r>
    </w:p>
    <w:p>
      <w:pPr>
        <w:adjustRightInd w:val="0"/>
        <w:snapToGrid w:val="0"/>
        <w:spacing w:line="360" w:lineRule="auto"/>
        <w:ind w:firstLine="480" w:firstLineChars="200"/>
        <w:rPr>
          <w:rFonts w:ascii="仿宋" w:hAnsi="仿宋" w:eastAsia="仿宋" w:cs="仿宋"/>
          <w:snapToGrid w:val="0"/>
          <w:kern w:val="0"/>
          <w:sz w:val="24"/>
          <w:highlight w:val="none"/>
        </w:rPr>
      </w:pPr>
      <w:r>
        <w:rPr>
          <w:rFonts w:hint="eastAsia" w:ascii="仿宋" w:hAnsi="仿宋" w:eastAsia="仿宋" w:cs="仿宋"/>
          <w:snapToGrid w:val="0"/>
          <w:kern w:val="0"/>
          <w:sz w:val="24"/>
          <w:highlight w:val="none"/>
        </w:rPr>
        <w:t>详细评标之前，评委会依据招标文件的规定，从投标文件的有效性、完整性和对招标文件的响应程度进行审查，以确定是否对招标文件的实质性要求作出响应。评委会决定投标文件的响应性只根据投标文件本身的内容，而不寻求外部证据。</w:t>
      </w:r>
    </w:p>
    <w:p>
      <w:pPr>
        <w:adjustRightInd w:val="0"/>
        <w:snapToGrid w:val="0"/>
        <w:spacing w:line="360" w:lineRule="auto"/>
        <w:ind w:firstLine="480" w:firstLineChars="200"/>
        <w:rPr>
          <w:rFonts w:ascii="仿宋" w:hAnsi="仿宋" w:eastAsia="仿宋" w:cs="仿宋"/>
          <w:snapToGrid w:val="0"/>
          <w:kern w:val="0"/>
          <w:sz w:val="24"/>
          <w:highlight w:val="none"/>
        </w:rPr>
      </w:pPr>
      <w:r>
        <w:rPr>
          <w:rFonts w:hint="eastAsia" w:ascii="仿宋" w:hAnsi="仿宋" w:eastAsia="仿宋" w:cs="仿宋"/>
          <w:snapToGrid w:val="0"/>
          <w:kern w:val="0"/>
          <w:sz w:val="24"/>
          <w:highlight w:val="none"/>
        </w:rPr>
        <w:t>如果投标文件没有响应招标文件的实质性条款要求，评委会将予以拒绝，供应商不得通过修改或撤销不合要求的偏离或保留而使其投标成为实质性响应的投标。</w:t>
      </w:r>
    </w:p>
    <w:p>
      <w:pPr>
        <w:adjustRightInd w:val="0"/>
        <w:snapToGrid w:val="0"/>
        <w:spacing w:line="360" w:lineRule="auto"/>
        <w:ind w:firstLine="480" w:firstLineChars="200"/>
        <w:rPr>
          <w:rFonts w:ascii="仿宋" w:hAnsi="仿宋" w:eastAsia="仿宋" w:cs="仿宋"/>
          <w:snapToGrid w:val="0"/>
          <w:kern w:val="0"/>
          <w:sz w:val="24"/>
          <w:highlight w:val="none"/>
        </w:rPr>
      </w:pPr>
      <w:r>
        <w:rPr>
          <w:rFonts w:hint="eastAsia" w:ascii="仿宋" w:hAnsi="仿宋" w:eastAsia="仿宋" w:cs="仿宋"/>
          <w:snapToGrid w:val="0"/>
          <w:kern w:val="0"/>
          <w:sz w:val="24"/>
          <w:highlight w:val="none"/>
        </w:rPr>
        <w:t>评委会将允许修正投标文件中不构成重大偏离的、微小的、非正规的、不一致的或不规则的地方，但这些修改不能影响任何供应商相应的名次排列。</w:t>
      </w:r>
    </w:p>
    <w:p>
      <w:pPr>
        <w:adjustRightInd w:val="0"/>
        <w:snapToGrid w:val="0"/>
        <w:spacing w:line="360" w:lineRule="auto"/>
        <w:ind w:firstLine="480" w:firstLineChars="200"/>
        <w:rPr>
          <w:rFonts w:ascii="仿宋" w:hAnsi="仿宋" w:eastAsia="仿宋" w:cs="仿宋"/>
          <w:snapToGrid w:val="0"/>
          <w:kern w:val="0"/>
          <w:sz w:val="24"/>
          <w:highlight w:val="none"/>
        </w:rPr>
      </w:pPr>
      <w:r>
        <w:rPr>
          <w:rFonts w:hint="eastAsia" w:ascii="仿宋" w:hAnsi="仿宋" w:eastAsia="仿宋" w:cs="仿宋"/>
          <w:snapToGrid w:val="0"/>
          <w:kern w:val="0"/>
          <w:sz w:val="24"/>
          <w:highlight w:val="none"/>
        </w:rPr>
        <w:t>4．澄清有关问题。</w:t>
      </w:r>
    </w:p>
    <w:p>
      <w:pPr>
        <w:adjustRightInd w:val="0"/>
        <w:snapToGrid w:val="0"/>
        <w:spacing w:line="360" w:lineRule="auto"/>
        <w:ind w:firstLine="480" w:firstLineChars="200"/>
        <w:rPr>
          <w:rFonts w:ascii="仿宋" w:hAnsi="仿宋" w:eastAsia="仿宋" w:cs="仿宋"/>
          <w:snapToGrid w:val="0"/>
          <w:kern w:val="0"/>
          <w:sz w:val="24"/>
          <w:highlight w:val="none"/>
        </w:rPr>
      </w:pPr>
      <w:r>
        <w:rPr>
          <w:rFonts w:hint="eastAsia" w:ascii="仿宋" w:hAnsi="仿宋" w:eastAsia="仿宋" w:cs="仿宋"/>
          <w:snapToGrid w:val="0"/>
          <w:kern w:val="0"/>
          <w:sz w:val="24"/>
          <w:highlight w:val="none"/>
        </w:rPr>
        <w:t>评标期间，为有助于对投标文件的审查、评价和比较，评委会有权要求供应商对其投标文件进行澄清，但并非对每个供应商都做澄清要求。接到评委会澄清要求的供应商应派人安评委会通知的时间和地点作出书面澄清，书面澄清的内容必须由供应商法定代表人或授权代表签署，并作为投标文件的补充部分，但投标价格和实质性的内容不得做任何更改。</w:t>
      </w:r>
    </w:p>
    <w:p>
      <w:pPr>
        <w:adjustRightInd w:val="0"/>
        <w:snapToGrid w:val="0"/>
        <w:spacing w:line="360" w:lineRule="auto"/>
        <w:ind w:firstLine="480" w:firstLineChars="200"/>
        <w:rPr>
          <w:rFonts w:ascii="仿宋" w:hAnsi="仿宋" w:eastAsia="仿宋" w:cs="仿宋"/>
          <w:snapToGrid w:val="0"/>
          <w:kern w:val="0"/>
          <w:sz w:val="24"/>
          <w:highlight w:val="none"/>
        </w:rPr>
      </w:pPr>
      <w:r>
        <w:rPr>
          <w:rFonts w:hint="eastAsia" w:ascii="仿宋" w:hAnsi="仿宋" w:eastAsia="仿宋" w:cs="仿宋"/>
          <w:snapToGrid w:val="0"/>
          <w:kern w:val="0"/>
          <w:sz w:val="24"/>
          <w:highlight w:val="none"/>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adjustRightInd w:val="0"/>
        <w:snapToGrid w:val="0"/>
        <w:spacing w:line="360" w:lineRule="auto"/>
        <w:ind w:firstLine="480" w:firstLineChars="200"/>
        <w:rPr>
          <w:rFonts w:ascii="仿宋" w:hAnsi="仿宋" w:eastAsia="仿宋" w:cs="仿宋"/>
          <w:snapToGrid w:val="0"/>
          <w:kern w:val="0"/>
          <w:sz w:val="24"/>
          <w:highlight w:val="none"/>
        </w:rPr>
      </w:pPr>
      <w:r>
        <w:rPr>
          <w:rFonts w:hint="eastAsia" w:ascii="仿宋" w:hAnsi="仿宋" w:eastAsia="仿宋" w:cs="仿宋"/>
          <w:snapToGrid w:val="0"/>
          <w:kern w:val="0"/>
          <w:sz w:val="24"/>
          <w:highlight w:val="none"/>
        </w:rPr>
        <w:t>5．比较与评价。按招标文件中规定的评标方法和标准，对初审检查合格的投标文件进行商务和技术评估，综合比较与评价，并按照评标细则进行打分。</w:t>
      </w:r>
    </w:p>
    <w:p>
      <w:pPr>
        <w:adjustRightInd w:val="0"/>
        <w:snapToGrid w:val="0"/>
        <w:spacing w:line="360" w:lineRule="auto"/>
        <w:ind w:firstLine="480" w:firstLineChars="200"/>
        <w:rPr>
          <w:rFonts w:ascii="仿宋" w:hAnsi="仿宋" w:eastAsia="仿宋" w:cs="仿宋"/>
          <w:snapToGrid w:val="0"/>
          <w:kern w:val="0"/>
          <w:sz w:val="24"/>
          <w:highlight w:val="none"/>
        </w:rPr>
      </w:pPr>
      <w:r>
        <w:rPr>
          <w:rFonts w:hint="eastAsia" w:ascii="仿宋" w:hAnsi="仿宋" w:eastAsia="仿宋" w:cs="仿宋"/>
          <w:snapToGrid w:val="0"/>
          <w:kern w:val="0"/>
          <w:sz w:val="24"/>
          <w:highlight w:val="none"/>
        </w:rPr>
        <w:t>6．推荐中标候选人。评标委员会根据评审后的得分由高至低顺序排列，并推荐排名第一的为中标候选人。得分相同的，按投标报价由低到高顺序排列，得分且投标报价相同的，按技术指标优劣顺序排列。</w:t>
      </w:r>
    </w:p>
    <w:p>
      <w:pPr>
        <w:adjustRightInd w:val="0"/>
        <w:snapToGrid w:val="0"/>
        <w:spacing w:line="360" w:lineRule="auto"/>
        <w:ind w:firstLine="480" w:firstLineChars="200"/>
        <w:rPr>
          <w:rFonts w:ascii="仿宋" w:hAnsi="仿宋" w:eastAsia="仿宋" w:cs="仿宋"/>
          <w:snapToGrid w:val="0"/>
          <w:kern w:val="0"/>
          <w:sz w:val="24"/>
          <w:highlight w:val="none"/>
        </w:rPr>
      </w:pPr>
      <w:r>
        <w:rPr>
          <w:rFonts w:hint="eastAsia" w:ascii="仿宋" w:hAnsi="仿宋" w:eastAsia="仿宋" w:cs="仿宋"/>
          <w:snapToGrid w:val="0"/>
          <w:kern w:val="0"/>
          <w:sz w:val="24"/>
          <w:highlight w:val="none"/>
        </w:rPr>
        <w:t>7．完成评标报告。评标报告是评标委员会根据全体评标成员签字的原始评标记录和评标结果编写的报告，其主要内容包括：</w:t>
      </w:r>
    </w:p>
    <w:p>
      <w:pPr>
        <w:adjustRightInd w:val="0"/>
        <w:snapToGrid w:val="0"/>
        <w:spacing w:line="360" w:lineRule="auto"/>
        <w:ind w:firstLine="480" w:firstLineChars="200"/>
        <w:rPr>
          <w:rFonts w:ascii="仿宋" w:hAnsi="仿宋" w:eastAsia="仿宋" w:cs="仿宋"/>
          <w:snapToGrid w:val="0"/>
          <w:kern w:val="0"/>
          <w:sz w:val="24"/>
          <w:highlight w:val="none"/>
        </w:rPr>
      </w:pPr>
      <w:r>
        <w:rPr>
          <w:rFonts w:hint="eastAsia" w:ascii="仿宋" w:hAnsi="仿宋" w:eastAsia="仿宋" w:cs="仿宋"/>
          <w:snapToGrid w:val="0"/>
          <w:kern w:val="0"/>
          <w:sz w:val="24"/>
          <w:highlight w:val="none"/>
        </w:rPr>
        <w:t>（1）招标公告刊登的媒体名称、开标日期和地点；</w:t>
      </w:r>
    </w:p>
    <w:p>
      <w:pPr>
        <w:adjustRightInd w:val="0"/>
        <w:snapToGrid w:val="0"/>
        <w:spacing w:line="360" w:lineRule="auto"/>
        <w:ind w:firstLine="480" w:firstLineChars="200"/>
        <w:rPr>
          <w:rFonts w:ascii="仿宋" w:hAnsi="仿宋" w:eastAsia="仿宋" w:cs="仿宋"/>
          <w:snapToGrid w:val="0"/>
          <w:kern w:val="0"/>
          <w:sz w:val="24"/>
          <w:highlight w:val="none"/>
        </w:rPr>
      </w:pPr>
      <w:r>
        <w:rPr>
          <w:rFonts w:hint="eastAsia" w:ascii="仿宋" w:hAnsi="仿宋" w:eastAsia="仿宋" w:cs="仿宋"/>
          <w:snapToGrid w:val="0"/>
          <w:kern w:val="0"/>
          <w:sz w:val="24"/>
          <w:highlight w:val="none"/>
        </w:rPr>
        <w:t>（2）购买招标文件的供应商名单和评标委员会成员名单；</w:t>
      </w:r>
    </w:p>
    <w:p>
      <w:pPr>
        <w:adjustRightInd w:val="0"/>
        <w:snapToGrid w:val="0"/>
        <w:spacing w:line="360" w:lineRule="auto"/>
        <w:ind w:firstLine="480" w:firstLineChars="200"/>
        <w:rPr>
          <w:rFonts w:ascii="仿宋" w:hAnsi="仿宋" w:eastAsia="仿宋" w:cs="仿宋"/>
          <w:snapToGrid w:val="0"/>
          <w:kern w:val="0"/>
          <w:sz w:val="24"/>
          <w:highlight w:val="none"/>
        </w:rPr>
      </w:pPr>
      <w:r>
        <w:rPr>
          <w:rFonts w:hint="eastAsia" w:ascii="仿宋" w:hAnsi="仿宋" w:eastAsia="仿宋" w:cs="仿宋"/>
          <w:snapToGrid w:val="0"/>
          <w:kern w:val="0"/>
          <w:sz w:val="24"/>
          <w:highlight w:val="none"/>
        </w:rPr>
        <w:t>（3）评标方法和标准；</w:t>
      </w:r>
    </w:p>
    <w:p>
      <w:pPr>
        <w:adjustRightInd w:val="0"/>
        <w:snapToGrid w:val="0"/>
        <w:spacing w:line="360" w:lineRule="auto"/>
        <w:ind w:firstLine="480" w:firstLineChars="200"/>
        <w:rPr>
          <w:rFonts w:ascii="仿宋" w:hAnsi="仿宋" w:eastAsia="仿宋" w:cs="仿宋"/>
          <w:snapToGrid w:val="0"/>
          <w:kern w:val="0"/>
          <w:sz w:val="24"/>
          <w:highlight w:val="none"/>
        </w:rPr>
      </w:pPr>
      <w:r>
        <w:rPr>
          <w:rFonts w:hint="eastAsia" w:ascii="仿宋" w:hAnsi="仿宋" w:eastAsia="仿宋" w:cs="仿宋"/>
          <w:snapToGrid w:val="0"/>
          <w:kern w:val="0"/>
          <w:sz w:val="24"/>
          <w:highlight w:val="none"/>
        </w:rPr>
        <w:t>（4）开标记录和评标情况及说明，包括投标无效供应商名单及原因；</w:t>
      </w:r>
    </w:p>
    <w:p>
      <w:pPr>
        <w:adjustRightInd w:val="0"/>
        <w:snapToGrid w:val="0"/>
        <w:spacing w:line="360" w:lineRule="auto"/>
        <w:ind w:firstLine="480" w:firstLineChars="200"/>
        <w:rPr>
          <w:rFonts w:ascii="仿宋" w:hAnsi="仿宋" w:eastAsia="仿宋" w:cs="仿宋"/>
          <w:snapToGrid w:val="0"/>
          <w:kern w:val="0"/>
          <w:sz w:val="24"/>
          <w:highlight w:val="none"/>
        </w:rPr>
      </w:pPr>
      <w:r>
        <w:rPr>
          <w:rFonts w:hint="eastAsia" w:ascii="仿宋" w:hAnsi="仿宋" w:eastAsia="仿宋" w:cs="仿宋"/>
          <w:snapToGrid w:val="0"/>
          <w:kern w:val="0"/>
          <w:sz w:val="24"/>
          <w:highlight w:val="none"/>
        </w:rPr>
        <w:t>（5）评标结果和中标候选人排序；</w:t>
      </w:r>
    </w:p>
    <w:p>
      <w:pPr>
        <w:adjustRightInd w:val="0"/>
        <w:snapToGrid w:val="0"/>
        <w:spacing w:line="360" w:lineRule="auto"/>
        <w:ind w:firstLine="480" w:firstLineChars="200"/>
        <w:rPr>
          <w:rFonts w:ascii="仿宋" w:hAnsi="仿宋" w:eastAsia="仿宋" w:cs="仿宋"/>
          <w:snapToGrid w:val="0"/>
          <w:kern w:val="0"/>
          <w:sz w:val="24"/>
          <w:highlight w:val="none"/>
        </w:rPr>
      </w:pPr>
      <w:r>
        <w:rPr>
          <w:rFonts w:hint="eastAsia" w:ascii="仿宋" w:hAnsi="仿宋" w:eastAsia="仿宋" w:cs="仿宋"/>
          <w:snapToGrid w:val="0"/>
          <w:kern w:val="0"/>
          <w:sz w:val="24"/>
          <w:highlight w:val="none"/>
        </w:rPr>
        <w:t>（6）评标委员会的授标建议。</w:t>
      </w:r>
    </w:p>
    <w:p>
      <w:pPr>
        <w:pStyle w:val="3"/>
        <w:snapToGrid w:val="0"/>
        <w:spacing w:before="0" w:after="0" w:line="360" w:lineRule="auto"/>
        <w:rPr>
          <w:rFonts w:ascii="仿宋" w:hAnsi="仿宋" w:eastAsia="仿宋" w:cs="仿宋"/>
          <w:snapToGrid w:val="0"/>
          <w:kern w:val="0"/>
          <w:sz w:val="24"/>
          <w:szCs w:val="24"/>
          <w:highlight w:val="none"/>
        </w:rPr>
      </w:pPr>
      <w:bookmarkStart w:id="78" w:name="_Toc24799"/>
      <w:bookmarkStart w:id="79" w:name="_Toc5624558"/>
      <w:bookmarkStart w:id="80" w:name="_Toc415734849"/>
      <w:bookmarkStart w:id="81" w:name="_Toc249760795"/>
      <w:bookmarkStart w:id="82" w:name="_Toc350861670"/>
      <w:bookmarkStart w:id="83" w:name="_Toc295465370"/>
      <w:bookmarkStart w:id="84" w:name="_Toc251566666"/>
      <w:r>
        <w:rPr>
          <w:rFonts w:hint="eastAsia" w:ascii="仿宋" w:hAnsi="仿宋" w:eastAsia="仿宋" w:cs="仿宋"/>
          <w:snapToGrid w:val="0"/>
          <w:kern w:val="0"/>
          <w:sz w:val="24"/>
          <w:szCs w:val="24"/>
          <w:highlight w:val="none"/>
        </w:rPr>
        <w:t>四、评标细则及标准</w:t>
      </w:r>
      <w:bookmarkEnd w:id="78"/>
      <w:bookmarkEnd w:id="79"/>
    </w:p>
    <w:p>
      <w:pPr>
        <w:pStyle w:val="25"/>
        <w:snapToGrid w:val="0"/>
        <w:spacing w:line="360" w:lineRule="auto"/>
        <w:ind w:firstLine="470" w:firstLineChars="196"/>
        <w:rPr>
          <w:rFonts w:ascii="仿宋" w:hAnsi="仿宋" w:eastAsia="仿宋" w:cs="仿宋"/>
          <w:sz w:val="24"/>
          <w:szCs w:val="24"/>
          <w:highlight w:val="none"/>
        </w:rPr>
      </w:pPr>
      <w:r>
        <w:rPr>
          <w:rFonts w:hint="eastAsia" w:ascii="仿宋" w:hAnsi="仿宋" w:eastAsia="仿宋" w:cs="仿宋"/>
          <w:sz w:val="24"/>
          <w:szCs w:val="24"/>
          <w:highlight w:val="none"/>
        </w:rPr>
        <w:t>本次评标采用</w:t>
      </w:r>
      <w:r>
        <w:rPr>
          <w:rFonts w:hint="eastAsia" w:ascii="仿宋" w:hAnsi="仿宋" w:eastAsia="仿宋" w:cs="仿宋"/>
          <w:b/>
          <w:bCs/>
          <w:sz w:val="24"/>
          <w:szCs w:val="24"/>
          <w:highlight w:val="none"/>
          <w:u w:val="single"/>
        </w:rPr>
        <w:t>综合评分法</w:t>
      </w:r>
      <w:r>
        <w:rPr>
          <w:rFonts w:hint="eastAsia" w:ascii="仿宋" w:hAnsi="仿宋" w:eastAsia="仿宋" w:cs="仿宋"/>
          <w:sz w:val="24"/>
          <w:szCs w:val="24"/>
          <w:highlight w:val="none"/>
        </w:rPr>
        <w:t>，总分为</w:t>
      </w:r>
      <w:r>
        <w:rPr>
          <w:rFonts w:hint="eastAsia" w:ascii="仿宋" w:hAnsi="仿宋" w:eastAsia="仿宋" w:cs="仿宋"/>
          <w:sz w:val="24"/>
          <w:szCs w:val="24"/>
          <w:highlight w:val="none"/>
          <w:u w:val="single"/>
        </w:rPr>
        <w:t>100</w:t>
      </w:r>
      <w:r>
        <w:rPr>
          <w:rFonts w:hint="eastAsia" w:ascii="仿宋" w:hAnsi="仿宋" w:eastAsia="仿宋" w:cs="仿宋"/>
          <w:sz w:val="24"/>
          <w:szCs w:val="24"/>
          <w:highlight w:val="none"/>
        </w:rPr>
        <w:t>分。合格投标人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25"/>
        <w:snapToGrid w:val="0"/>
        <w:spacing w:line="360" w:lineRule="auto"/>
        <w:ind w:firstLine="470" w:firstLineChars="196"/>
        <w:rPr>
          <w:rFonts w:hint="eastAsia" w:ascii="仿宋" w:hAnsi="仿宋" w:eastAsia="仿宋" w:cs="仿宋"/>
          <w:sz w:val="24"/>
          <w:szCs w:val="24"/>
          <w:highlight w:val="none"/>
        </w:rPr>
      </w:pPr>
      <w:r>
        <w:rPr>
          <w:rFonts w:hint="eastAsia" w:ascii="仿宋" w:hAnsi="仿宋" w:eastAsia="仿宋" w:cs="仿宋"/>
          <w:sz w:val="24"/>
          <w:szCs w:val="24"/>
          <w:highlight w:val="none"/>
        </w:rPr>
        <w:t>评分过程中采用四舍五入法，并保留小数2位。</w:t>
      </w:r>
    </w:p>
    <w:p>
      <w:pPr>
        <w:pStyle w:val="25"/>
        <w:snapToGrid w:val="0"/>
        <w:spacing w:line="360" w:lineRule="auto"/>
        <w:ind w:firstLine="470" w:firstLineChars="196"/>
        <w:rPr>
          <w:rFonts w:hint="eastAsia" w:ascii="仿宋" w:hAnsi="仿宋" w:eastAsia="仿宋" w:cs="仿宋"/>
          <w:sz w:val="24"/>
          <w:szCs w:val="24"/>
          <w:highlight w:val="none"/>
        </w:rPr>
      </w:pPr>
      <w:r>
        <w:rPr>
          <w:rFonts w:hint="eastAsia" w:ascii="仿宋" w:hAnsi="仿宋" w:eastAsia="仿宋" w:cs="仿宋"/>
          <w:sz w:val="24"/>
          <w:szCs w:val="24"/>
          <w:highlight w:val="none"/>
        </w:rPr>
        <w:t>投标人评标综合得分=商务技术分+价格分</w:t>
      </w:r>
    </w:p>
    <w:p>
      <w:pPr>
        <w:pStyle w:val="25"/>
        <w:snapToGrid w:val="0"/>
        <w:spacing w:line="360" w:lineRule="auto"/>
        <w:ind w:firstLine="470" w:firstLineChars="196"/>
        <w:rPr>
          <w:rFonts w:ascii="仿宋" w:hAnsi="仿宋" w:eastAsia="仿宋" w:cs="仿宋"/>
          <w:sz w:val="24"/>
          <w:szCs w:val="24"/>
          <w:highlight w:val="none"/>
        </w:rPr>
      </w:pPr>
      <w:r>
        <w:rPr>
          <w:rFonts w:hint="eastAsia" w:ascii="仿宋" w:hAnsi="仿宋" w:eastAsia="仿宋" w:cs="仿宋"/>
          <w:sz w:val="24"/>
          <w:szCs w:val="24"/>
          <w:highlight w:val="none"/>
        </w:rPr>
        <w:t>商务和技术分按照评标委员会成员的独立评分结果的算术平均分计算，计算公式为：商务分</w:t>
      </w:r>
      <w:r>
        <w:rPr>
          <w:rFonts w:ascii="仿宋" w:hAnsi="仿宋" w:eastAsia="仿宋" w:cs="仿宋"/>
          <w:sz w:val="24"/>
          <w:szCs w:val="24"/>
          <w:highlight w:val="none"/>
        </w:rPr>
        <w:t>、</w:t>
      </w:r>
      <w:r>
        <w:rPr>
          <w:rFonts w:hint="eastAsia" w:ascii="仿宋" w:hAnsi="仿宋" w:eastAsia="仿宋" w:cs="仿宋"/>
          <w:sz w:val="24"/>
          <w:szCs w:val="24"/>
          <w:highlight w:val="none"/>
        </w:rPr>
        <w:t>技术分=（评标委员会所有成员评分合计数）</w:t>
      </w:r>
      <w:r>
        <w:rPr>
          <w:rFonts w:ascii="仿宋" w:hAnsi="仿宋" w:eastAsia="仿宋" w:cs="仿宋"/>
          <w:sz w:val="24"/>
          <w:szCs w:val="24"/>
          <w:highlight w:val="none"/>
        </w:rPr>
        <w:t>/（</w:t>
      </w:r>
      <w:r>
        <w:rPr>
          <w:rFonts w:hint="eastAsia" w:ascii="仿宋" w:hAnsi="仿宋" w:eastAsia="仿宋" w:cs="仿宋"/>
          <w:sz w:val="24"/>
          <w:szCs w:val="24"/>
          <w:highlight w:val="none"/>
        </w:rPr>
        <w:t>评标委员会组成人员数）</w:t>
      </w:r>
    </w:p>
    <w:p>
      <w:pPr>
        <w:spacing w:line="288" w:lineRule="auto"/>
        <w:rPr>
          <w:rFonts w:hint="eastAsia" w:ascii="宋体" w:hAnsi="宋体"/>
          <w:b/>
          <w:spacing w:val="-6"/>
          <w:sz w:val="24"/>
          <w:highlight w:val="none"/>
        </w:rPr>
      </w:pPr>
      <w:r>
        <w:rPr>
          <w:rFonts w:hint="eastAsia" w:ascii="宋体" w:hAnsi="宋体"/>
          <w:b/>
          <w:spacing w:val="-6"/>
          <w:sz w:val="24"/>
          <w:highlight w:val="none"/>
          <w:lang w:val="en-US" w:eastAsia="zh-CN"/>
        </w:rPr>
        <w:t>五</w:t>
      </w:r>
      <w:r>
        <w:rPr>
          <w:rFonts w:hint="eastAsia" w:ascii="宋体" w:hAnsi="宋体"/>
          <w:b/>
          <w:spacing w:val="-6"/>
          <w:sz w:val="24"/>
          <w:highlight w:val="none"/>
        </w:rPr>
        <w:t>、评标内容及标准</w:t>
      </w:r>
    </w:p>
    <w:tbl>
      <w:tblPr>
        <w:tblStyle w:val="48"/>
        <w:tblW w:w="4797" w:type="pct"/>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3952"/>
        <w:gridCol w:w="924"/>
        <w:gridCol w:w="1465"/>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353" w:type="pct"/>
            <w:noWrap/>
            <w:vAlign w:val="center"/>
          </w:tcPr>
          <w:p>
            <w:pPr>
              <w:adjustRightInd w:val="0"/>
              <w:snapToGrid w:val="0"/>
              <w:spacing w:line="360" w:lineRule="auto"/>
              <w:jc w:val="center"/>
              <w:outlineLvl w:val="0"/>
              <w:rPr>
                <w:rFonts w:ascii="仿宋" w:hAnsi="仿宋" w:eastAsia="仿宋" w:cs="仿宋"/>
                <w:b/>
                <w:sz w:val="24"/>
                <w:highlight w:val="none"/>
              </w:rPr>
            </w:pPr>
            <w:bookmarkStart w:id="85" w:name="_Toc24101"/>
            <w:bookmarkStart w:id="86" w:name="OLE_LINK4"/>
            <w:bookmarkStart w:id="87" w:name="OLE_LINK3"/>
            <w:r>
              <w:rPr>
                <w:rFonts w:hint="eastAsia" w:ascii="仿宋" w:hAnsi="仿宋" w:eastAsia="仿宋" w:cs="仿宋"/>
                <w:b/>
                <w:sz w:val="24"/>
                <w:highlight w:val="none"/>
              </w:rPr>
              <w:t>序号</w:t>
            </w:r>
            <w:bookmarkEnd w:id="85"/>
          </w:p>
        </w:tc>
        <w:tc>
          <w:tcPr>
            <w:tcW w:w="2217" w:type="pct"/>
            <w:noWrap/>
            <w:vAlign w:val="center"/>
          </w:tcPr>
          <w:p>
            <w:pPr>
              <w:adjustRightInd w:val="0"/>
              <w:snapToGrid w:val="0"/>
              <w:spacing w:line="360" w:lineRule="auto"/>
              <w:jc w:val="center"/>
              <w:outlineLvl w:val="0"/>
              <w:rPr>
                <w:rFonts w:ascii="仿宋" w:hAnsi="仿宋" w:eastAsia="仿宋" w:cs="仿宋"/>
                <w:b/>
                <w:sz w:val="24"/>
                <w:highlight w:val="none"/>
              </w:rPr>
            </w:pPr>
            <w:bookmarkStart w:id="88" w:name="_Toc5903"/>
            <w:r>
              <w:rPr>
                <w:rFonts w:hint="eastAsia" w:ascii="仿宋" w:hAnsi="仿宋" w:eastAsia="仿宋" w:cs="仿宋"/>
                <w:b/>
                <w:sz w:val="24"/>
                <w:highlight w:val="none"/>
              </w:rPr>
              <w:t>评标标准</w:t>
            </w:r>
            <w:bookmarkEnd w:id="88"/>
          </w:p>
        </w:tc>
        <w:tc>
          <w:tcPr>
            <w:tcW w:w="518" w:type="pct"/>
            <w:noWrap/>
            <w:vAlign w:val="center"/>
          </w:tcPr>
          <w:p>
            <w:pPr>
              <w:adjustRightInd w:val="0"/>
              <w:snapToGrid w:val="0"/>
              <w:spacing w:line="360" w:lineRule="auto"/>
              <w:jc w:val="center"/>
              <w:outlineLvl w:val="0"/>
              <w:rPr>
                <w:rFonts w:ascii="仿宋" w:hAnsi="仿宋" w:eastAsia="仿宋" w:cs="仿宋"/>
                <w:b/>
                <w:sz w:val="24"/>
                <w:highlight w:val="none"/>
              </w:rPr>
            </w:pPr>
            <w:bookmarkStart w:id="89" w:name="_Toc29005"/>
            <w:r>
              <w:rPr>
                <w:rFonts w:hint="eastAsia" w:ascii="仿宋" w:hAnsi="仿宋" w:eastAsia="仿宋" w:cs="仿宋"/>
                <w:b/>
                <w:sz w:val="24"/>
                <w:highlight w:val="none"/>
              </w:rPr>
              <w:t>权重</w:t>
            </w:r>
            <w:bookmarkEnd w:id="89"/>
          </w:p>
        </w:tc>
        <w:tc>
          <w:tcPr>
            <w:tcW w:w="822" w:type="pct"/>
            <w:vAlign w:val="center"/>
          </w:tcPr>
          <w:p>
            <w:pPr>
              <w:adjustRightInd w:val="0"/>
              <w:snapToGrid w:val="0"/>
              <w:spacing w:line="360" w:lineRule="auto"/>
              <w:jc w:val="center"/>
              <w:outlineLvl w:val="0"/>
              <w:rPr>
                <w:rFonts w:ascii="仿宋" w:hAnsi="仿宋" w:eastAsia="仿宋" w:cs="仿宋"/>
                <w:b/>
                <w:sz w:val="24"/>
                <w:highlight w:val="none"/>
              </w:rPr>
            </w:pPr>
            <w:bookmarkStart w:id="90" w:name="_Toc19984"/>
            <w:r>
              <w:rPr>
                <w:rFonts w:hint="eastAsia" w:ascii="仿宋" w:hAnsi="仿宋" w:eastAsia="仿宋" w:cs="仿宋"/>
                <w:b/>
                <w:sz w:val="22"/>
                <w:szCs w:val="22"/>
                <w:highlight w:val="none"/>
              </w:rPr>
              <w:t>主观分/客观分属性</w:t>
            </w:r>
            <w:bookmarkEnd w:id="90"/>
          </w:p>
        </w:tc>
        <w:tc>
          <w:tcPr>
            <w:tcW w:w="1088" w:type="pct"/>
            <w:vAlign w:val="center"/>
          </w:tcPr>
          <w:p>
            <w:pPr>
              <w:adjustRightInd w:val="0"/>
              <w:snapToGrid w:val="0"/>
              <w:spacing w:line="360" w:lineRule="auto"/>
              <w:jc w:val="center"/>
              <w:outlineLvl w:val="0"/>
              <w:rPr>
                <w:rFonts w:ascii="仿宋" w:hAnsi="仿宋" w:eastAsia="仿宋" w:cs="仿宋"/>
                <w:b/>
                <w:sz w:val="24"/>
                <w:highlight w:val="none"/>
              </w:rPr>
            </w:pPr>
            <w:bookmarkStart w:id="91" w:name="_Toc17923"/>
            <w:r>
              <w:rPr>
                <w:rFonts w:hint="eastAsia" w:ascii="仿宋" w:hAnsi="仿宋" w:eastAsia="仿宋" w:cs="仿宋"/>
                <w:b/>
                <w:sz w:val="24"/>
                <w:highlight w:val="none"/>
              </w:rPr>
              <w:t>投标文件中评标标准相应的商务技术资料目录*</w:t>
            </w:r>
            <w:bookmarkEnd w:id="9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353" w:type="pct"/>
            <w:noWrap/>
            <w:vAlign w:val="center"/>
          </w:tcPr>
          <w:p>
            <w:pPr>
              <w:adjustRightInd w:val="0"/>
              <w:snapToGrid w:val="0"/>
              <w:spacing w:line="360" w:lineRule="auto"/>
              <w:jc w:val="center"/>
              <w:outlineLvl w:val="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w:t>
            </w:r>
          </w:p>
        </w:tc>
        <w:tc>
          <w:tcPr>
            <w:tcW w:w="2217" w:type="pct"/>
            <w:noWrap/>
            <w:vAlign w:val="center"/>
          </w:tcPr>
          <w:p>
            <w:pPr>
              <w:adjustRightInd w:val="0"/>
              <w:snapToGrid w:val="0"/>
              <w:spacing w:line="360" w:lineRule="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根据投标人对本项目的背景、目标、建设的必要性和可行性以及项目研究成果所能带来的效益等方面的分析理解程度进行综合评价。对以上内容充分理解、认知到位、分析全面的得5分；对以上内容理解片面、思路简单的得3分；对以上内容理解分析狭隘、缺乏足够认知的得1分，无相关内容不得分。</w:t>
            </w:r>
          </w:p>
        </w:tc>
        <w:tc>
          <w:tcPr>
            <w:tcW w:w="518" w:type="pct"/>
            <w:noWrap/>
            <w:vAlign w:val="center"/>
          </w:tcPr>
          <w:p>
            <w:pPr>
              <w:widowControl/>
              <w:jc w:val="center"/>
              <w:rPr>
                <w:rFonts w:hint="default" w:ascii="仿宋" w:hAnsi="仿宋" w:eastAsia="仿宋" w:cs="仿宋"/>
                <w:sz w:val="24"/>
                <w:highlight w:val="none"/>
                <w:lang w:val="en-US" w:eastAsia="zh-CN"/>
              </w:rPr>
            </w:pPr>
            <w:r>
              <w:rPr>
                <w:rFonts w:hint="eastAsia" w:ascii="宋体" w:hAnsi="宋体" w:cs="宋体"/>
                <w:color w:val="000000"/>
                <w:kern w:val="0"/>
                <w:sz w:val="22"/>
                <w:highlight w:val="none"/>
              </w:rPr>
              <w:t>5</w:t>
            </w:r>
          </w:p>
        </w:tc>
        <w:tc>
          <w:tcPr>
            <w:tcW w:w="822" w:type="pct"/>
            <w:vAlign w:val="center"/>
          </w:tcPr>
          <w:p>
            <w:pPr>
              <w:adjustRightInd w:val="0"/>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lang w:eastAsia="zh-CN"/>
              </w:rPr>
              <w:t>主观分</w:t>
            </w:r>
          </w:p>
        </w:tc>
        <w:tc>
          <w:tcPr>
            <w:tcW w:w="1088" w:type="pct"/>
            <w:vMerge w:val="restart"/>
            <w:vAlign w:val="center"/>
          </w:tcPr>
          <w:p>
            <w:pPr>
              <w:adjustRightInd w:val="0"/>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lang w:eastAsia="zh-CN"/>
              </w:rPr>
              <w:t>（一）技术方案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353" w:type="pct"/>
            <w:noWrap/>
            <w:vAlign w:val="center"/>
          </w:tcPr>
          <w:p>
            <w:pPr>
              <w:adjustRightInd w:val="0"/>
              <w:snapToGrid w:val="0"/>
              <w:spacing w:line="360" w:lineRule="auto"/>
              <w:jc w:val="center"/>
              <w:outlineLvl w:val="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2</w:t>
            </w:r>
          </w:p>
        </w:tc>
        <w:tc>
          <w:tcPr>
            <w:tcW w:w="2217" w:type="pct"/>
            <w:noWrap/>
            <w:vAlign w:val="center"/>
          </w:tcPr>
          <w:p>
            <w:pPr>
              <w:adjustRightInd w:val="0"/>
              <w:snapToGrid w:val="0"/>
              <w:spacing w:line="360" w:lineRule="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根据投标人对本项目采购清单中的设备功能和用途的理解程度进行综合评价。理解准确到位的得5分；理解片面、有所欠缺的得3分；理解不到位的得1分，无相关内容不得分。</w:t>
            </w:r>
          </w:p>
        </w:tc>
        <w:tc>
          <w:tcPr>
            <w:tcW w:w="518" w:type="pct"/>
            <w:noWrap/>
            <w:vAlign w:val="center"/>
          </w:tcPr>
          <w:p>
            <w:pPr>
              <w:widowControl/>
              <w:jc w:val="center"/>
              <w:rPr>
                <w:rFonts w:hint="default" w:ascii="仿宋" w:hAnsi="仿宋" w:eastAsia="仿宋" w:cs="仿宋"/>
                <w:sz w:val="24"/>
                <w:highlight w:val="none"/>
                <w:lang w:val="en-US" w:eastAsia="zh-CN"/>
              </w:rPr>
            </w:pPr>
            <w:r>
              <w:rPr>
                <w:rFonts w:hint="eastAsia" w:ascii="宋体" w:hAnsi="宋体" w:cs="宋体"/>
                <w:color w:val="000000"/>
                <w:kern w:val="0"/>
                <w:sz w:val="22"/>
                <w:highlight w:val="none"/>
              </w:rPr>
              <w:t>5</w:t>
            </w:r>
          </w:p>
        </w:tc>
        <w:tc>
          <w:tcPr>
            <w:tcW w:w="822" w:type="pct"/>
            <w:vAlign w:val="center"/>
          </w:tcPr>
          <w:p>
            <w:pPr>
              <w:adjustRightInd w:val="0"/>
              <w:snapToGrid w:val="0"/>
              <w:spacing w:line="360" w:lineRule="auto"/>
              <w:jc w:val="center"/>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主观分</w:t>
            </w:r>
          </w:p>
        </w:tc>
        <w:tc>
          <w:tcPr>
            <w:tcW w:w="1088" w:type="pct"/>
            <w:vMerge w:val="continue"/>
            <w:vAlign w:val="center"/>
          </w:tcPr>
          <w:p>
            <w:pPr>
              <w:adjustRightInd w:val="0"/>
              <w:snapToGrid w:val="0"/>
              <w:spacing w:line="360" w:lineRule="auto"/>
              <w:jc w:val="center"/>
              <w:rPr>
                <w:rFonts w:hint="eastAsia" w:ascii="仿宋" w:hAnsi="仿宋" w:eastAsia="仿宋" w:cs="仿宋"/>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53" w:type="pct"/>
            <w:noWrap/>
            <w:vAlign w:val="center"/>
          </w:tcPr>
          <w:p>
            <w:pPr>
              <w:adjustRightInd w:val="0"/>
              <w:snapToGrid w:val="0"/>
              <w:spacing w:line="360" w:lineRule="auto"/>
              <w:jc w:val="center"/>
              <w:outlineLvl w:val="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3</w:t>
            </w:r>
          </w:p>
        </w:tc>
        <w:tc>
          <w:tcPr>
            <w:tcW w:w="2217" w:type="pct"/>
            <w:noWrap/>
            <w:vAlign w:val="center"/>
          </w:tcPr>
          <w:p>
            <w:pPr>
              <w:adjustRightInd w:val="0"/>
              <w:snapToGrid w:val="0"/>
              <w:spacing w:line="360" w:lineRule="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color w:val="000000" w:themeColor="text1"/>
                <w:kern w:val="2"/>
                <w:sz w:val="24"/>
                <w:szCs w:val="24"/>
                <w:highlight w:val="none"/>
                <w:lang w:val="en-US" w:eastAsia="zh-CN" w:bidi="ar-SA"/>
                <w14:textFill>
                  <w14:solidFill>
                    <w14:schemeClr w14:val="tx1"/>
                  </w14:solidFill>
                </w14:textFill>
              </w:rPr>
              <w:t>根据投标人所投设备产品的性能、技术指标与招标文件要求响应情况，由评委根据供应商提供的证明材料或采购需求偏离表进行打分。负偏离一项扣0.5分，扣完为止。</w:t>
            </w:r>
          </w:p>
        </w:tc>
        <w:tc>
          <w:tcPr>
            <w:tcW w:w="518" w:type="pct"/>
            <w:noWrap/>
            <w:vAlign w:val="center"/>
          </w:tcPr>
          <w:p>
            <w:pPr>
              <w:widowControl/>
              <w:jc w:val="center"/>
              <w:rPr>
                <w:rFonts w:hint="default" w:ascii="仿宋" w:hAnsi="仿宋" w:eastAsia="仿宋" w:cs="仿宋"/>
                <w:sz w:val="24"/>
                <w:highlight w:val="none"/>
                <w:lang w:val="en-US" w:eastAsia="zh-CN"/>
              </w:rPr>
            </w:pPr>
            <w:r>
              <w:rPr>
                <w:rFonts w:hint="eastAsia" w:ascii="宋体" w:hAnsi="宋体" w:eastAsia="仿宋" w:cs="宋体"/>
                <w:color w:val="000000"/>
                <w:kern w:val="0"/>
                <w:sz w:val="22"/>
                <w:highlight w:val="none"/>
                <w:lang w:val="en-US" w:eastAsia="zh-CN"/>
              </w:rPr>
              <w:t>25</w:t>
            </w:r>
          </w:p>
        </w:tc>
        <w:tc>
          <w:tcPr>
            <w:tcW w:w="822" w:type="pct"/>
            <w:vAlign w:val="center"/>
          </w:tcPr>
          <w:p>
            <w:pPr>
              <w:adjustRightInd w:val="0"/>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lang w:eastAsia="zh-CN"/>
              </w:rPr>
              <w:t>客观分</w:t>
            </w:r>
          </w:p>
        </w:tc>
        <w:tc>
          <w:tcPr>
            <w:tcW w:w="1088" w:type="pct"/>
            <w:vMerge w:val="continue"/>
            <w:vAlign w:val="center"/>
          </w:tcPr>
          <w:p>
            <w:pPr>
              <w:adjustRightInd w:val="0"/>
              <w:snapToGrid w:val="0"/>
              <w:spacing w:line="360" w:lineRule="auto"/>
              <w:jc w:val="center"/>
              <w:rPr>
                <w:rFonts w:hint="eastAsia" w:ascii="仿宋" w:hAnsi="仿宋" w:eastAsia="仿宋" w:cs="仿宋"/>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53" w:type="pct"/>
            <w:noWrap/>
            <w:vAlign w:val="center"/>
          </w:tcPr>
          <w:p>
            <w:pPr>
              <w:adjustRightInd w:val="0"/>
              <w:snapToGrid w:val="0"/>
              <w:spacing w:line="360" w:lineRule="auto"/>
              <w:jc w:val="center"/>
              <w:outlineLvl w:val="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4</w:t>
            </w:r>
          </w:p>
        </w:tc>
        <w:tc>
          <w:tcPr>
            <w:tcW w:w="2217" w:type="pct"/>
            <w:noWrap/>
            <w:vAlign w:val="center"/>
          </w:tcPr>
          <w:p>
            <w:pPr>
              <w:pStyle w:val="276"/>
              <w:snapToGrid w:val="0"/>
              <w:spacing w:after="120"/>
              <w:ind w:firstLine="0" w:firstLineChars="0"/>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根据投标人对本项目设备方案和设计思路的可行性、科学性、符合性进行综合评价。方案符合招标要求、具有可行性的得5分，方案部分满足要求，基本可行的得3分。方案欠缺，可行性差的得1分，无相关内容不得分。</w:t>
            </w:r>
          </w:p>
        </w:tc>
        <w:tc>
          <w:tcPr>
            <w:tcW w:w="518" w:type="pct"/>
            <w:noWrap/>
            <w:vAlign w:val="center"/>
          </w:tcPr>
          <w:p>
            <w:pPr>
              <w:widowControl/>
              <w:jc w:val="center"/>
              <w:rPr>
                <w:rFonts w:ascii="仿宋" w:hAnsi="仿宋" w:eastAsia="仿宋" w:cs="仿宋"/>
                <w:sz w:val="24"/>
                <w:highlight w:val="none"/>
              </w:rPr>
            </w:pPr>
            <w:r>
              <w:rPr>
                <w:rFonts w:hint="eastAsia" w:ascii="宋体" w:hAnsi="宋体" w:cs="宋体"/>
                <w:color w:val="000000"/>
                <w:kern w:val="0"/>
                <w:sz w:val="22"/>
                <w:highlight w:val="none"/>
              </w:rPr>
              <w:t>5</w:t>
            </w:r>
          </w:p>
        </w:tc>
        <w:tc>
          <w:tcPr>
            <w:tcW w:w="822" w:type="pct"/>
            <w:vAlign w:val="center"/>
          </w:tcPr>
          <w:p>
            <w:pPr>
              <w:adjustRightInd w:val="0"/>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lang w:eastAsia="zh-CN"/>
              </w:rPr>
              <w:t>主观分</w:t>
            </w:r>
          </w:p>
        </w:tc>
        <w:tc>
          <w:tcPr>
            <w:tcW w:w="1088" w:type="pct"/>
            <w:vMerge w:val="continue"/>
            <w:vAlign w:val="center"/>
          </w:tcPr>
          <w:p>
            <w:pPr>
              <w:adjustRightInd w:val="0"/>
              <w:snapToGrid w:val="0"/>
              <w:spacing w:line="360" w:lineRule="auto"/>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353" w:type="pct"/>
            <w:noWrap/>
            <w:vAlign w:val="center"/>
          </w:tcPr>
          <w:p>
            <w:pPr>
              <w:adjustRightInd w:val="0"/>
              <w:snapToGrid w:val="0"/>
              <w:spacing w:line="360" w:lineRule="auto"/>
              <w:jc w:val="center"/>
              <w:outlineLvl w:val="0"/>
              <w:rPr>
                <w:rFonts w:hint="default" w:ascii="仿宋" w:hAnsi="仿宋" w:eastAsia="仿宋" w:cs="仿宋"/>
                <w:sz w:val="24"/>
                <w:highlight w:val="none"/>
                <w:lang w:val="en-US" w:eastAsia="zh-CN"/>
              </w:rPr>
            </w:pPr>
            <w:bookmarkStart w:id="92" w:name="_Toc5490"/>
            <w:r>
              <w:rPr>
                <w:rFonts w:hint="eastAsia" w:ascii="仿宋" w:hAnsi="仿宋" w:eastAsia="仿宋" w:cs="仿宋"/>
                <w:sz w:val="24"/>
                <w:highlight w:val="none"/>
                <w:lang w:val="en-US" w:eastAsia="zh-CN"/>
              </w:rPr>
              <w:t>5</w:t>
            </w:r>
          </w:p>
        </w:tc>
        <w:tc>
          <w:tcPr>
            <w:tcW w:w="2217" w:type="pct"/>
            <w:noWrap/>
            <w:vAlign w:val="center"/>
          </w:tcPr>
          <w:p>
            <w:pPr>
              <w:pStyle w:val="276"/>
              <w:snapToGrid w:val="0"/>
              <w:spacing w:after="120"/>
              <w:ind w:firstLine="0" w:firstLineChars="0"/>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根据投标人针对本项目所提供的设计图的完整性、美观性、合理性进行综合评价。设计图完整、详细、合理且符合要求的得5分；设计图基本满足的得3分；设计图不完整、质量较差的得1分，无相关内容不得分。</w:t>
            </w:r>
          </w:p>
        </w:tc>
        <w:tc>
          <w:tcPr>
            <w:tcW w:w="518" w:type="pct"/>
            <w:noWrap/>
            <w:vAlign w:val="center"/>
          </w:tcPr>
          <w:p>
            <w:pPr>
              <w:widowControl/>
              <w:jc w:val="center"/>
              <w:rPr>
                <w:rFonts w:hint="eastAsia" w:ascii="仿宋" w:hAnsi="仿宋" w:eastAsia="仿宋" w:cs="仿宋"/>
                <w:sz w:val="24"/>
                <w:highlight w:val="none"/>
                <w:lang w:val="en-US" w:eastAsia="zh-CN"/>
              </w:rPr>
            </w:pPr>
            <w:r>
              <w:rPr>
                <w:rFonts w:hint="eastAsia" w:ascii="宋体" w:hAnsi="宋体" w:cs="宋体"/>
                <w:color w:val="000000"/>
                <w:kern w:val="0"/>
                <w:sz w:val="22"/>
                <w:highlight w:val="none"/>
              </w:rPr>
              <w:t>5</w:t>
            </w:r>
          </w:p>
        </w:tc>
        <w:tc>
          <w:tcPr>
            <w:tcW w:w="822" w:type="pct"/>
            <w:vAlign w:val="center"/>
          </w:tcPr>
          <w:p>
            <w:pPr>
              <w:adjustRightInd w:val="0"/>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lang w:eastAsia="zh-CN"/>
              </w:rPr>
              <w:t>主观分</w:t>
            </w:r>
          </w:p>
        </w:tc>
        <w:tc>
          <w:tcPr>
            <w:tcW w:w="1088" w:type="pct"/>
            <w:vMerge w:val="continue"/>
            <w:vAlign w:val="center"/>
          </w:tcPr>
          <w:p>
            <w:pPr>
              <w:adjustRightInd w:val="0"/>
              <w:snapToGrid w:val="0"/>
              <w:spacing w:line="360" w:lineRule="auto"/>
              <w:jc w:val="center"/>
              <w:rPr>
                <w:rFonts w:hint="eastAsia" w:ascii="仿宋" w:hAnsi="仿宋" w:eastAsia="仿宋" w:cs="仿宋"/>
                <w:b w:val="0"/>
                <w:bCs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trPr>
        <w:tc>
          <w:tcPr>
            <w:tcW w:w="353" w:type="pct"/>
            <w:noWrap/>
            <w:vAlign w:val="center"/>
          </w:tcPr>
          <w:p>
            <w:pPr>
              <w:adjustRightInd w:val="0"/>
              <w:snapToGrid w:val="0"/>
              <w:spacing w:line="360" w:lineRule="auto"/>
              <w:jc w:val="center"/>
              <w:outlineLvl w:val="0"/>
              <w:rPr>
                <w:rFonts w:hint="default" w:ascii="仿宋" w:hAnsi="仿宋" w:eastAsia="仿宋" w:cs="仿宋"/>
                <w:sz w:val="24"/>
                <w:highlight w:val="none"/>
                <w:lang w:val="en-US" w:eastAsia="zh-CN"/>
              </w:rPr>
            </w:pPr>
            <w:bookmarkStart w:id="93" w:name="_Toc20666"/>
            <w:r>
              <w:rPr>
                <w:rFonts w:hint="eastAsia" w:ascii="仿宋" w:hAnsi="仿宋" w:eastAsia="仿宋" w:cs="仿宋"/>
                <w:sz w:val="24"/>
                <w:highlight w:val="none"/>
                <w:lang w:val="en-US" w:eastAsia="zh-CN"/>
              </w:rPr>
              <w:t>6</w:t>
            </w:r>
          </w:p>
        </w:tc>
        <w:tc>
          <w:tcPr>
            <w:tcW w:w="2217" w:type="pct"/>
            <w:noWrap/>
            <w:vAlign w:val="center"/>
          </w:tcPr>
          <w:p>
            <w:pPr>
              <w:pStyle w:val="276"/>
              <w:snapToGrid w:val="0"/>
              <w:spacing w:after="120"/>
              <w:ind w:firstLine="0" w:firstLineChars="0"/>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投标人按采购人要求有明确的质量目标及质量保证措施，</w:t>
            </w:r>
            <w:r>
              <w:rPr>
                <w:rFonts w:hint="eastAsia" w:ascii="仿宋" w:hAnsi="仿宋" w:eastAsia="仿宋" w:cs="仿宋"/>
                <w:b w:val="0"/>
                <w:bCs w:val="0"/>
                <w:sz w:val="24"/>
                <w:szCs w:val="24"/>
                <w:highlight w:val="none"/>
                <w:lang w:val="en-US" w:eastAsia="zh-CN"/>
              </w:rPr>
              <w:t>质量保证措施且有详细可行的实施内容，</w:t>
            </w:r>
            <w:r>
              <w:rPr>
                <w:rFonts w:hint="eastAsia" w:ascii="仿宋" w:hAnsi="仿宋" w:eastAsia="仿宋" w:cs="Times New Roman"/>
                <w:kern w:val="2"/>
                <w:sz w:val="24"/>
                <w:szCs w:val="24"/>
                <w:highlight w:val="none"/>
                <w:lang w:val="en-US" w:eastAsia="zh-CN" w:bidi="ar-SA"/>
              </w:rPr>
              <w:t>方案详细、合理的满足采购需求的得5分，基本满足的得3分，欠缺不足的得1分，无此内容不得分。（5分）</w:t>
            </w:r>
          </w:p>
        </w:tc>
        <w:tc>
          <w:tcPr>
            <w:tcW w:w="518" w:type="pct"/>
            <w:noWrap/>
            <w:vAlign w:val="center"/>
          </w:tcPr>
          <w:p>
            <w:pPr>
              <w:widowControl/>
              <w:jc w:val="center"/>
              <w:rPr>
                <w:rFonts w:hint="eastAsia" w:ascii="宋体" w:hAnsi="宋体" w:eastAsia="宋体" w:cs="宋体"/>
                <w:color w:val="000000"/>
                <w:kern w:val="0"/>
                <w:sz w:val="22"/>
                <w:highlight w:val="none"/>
                <w:lang w:val="en-US" w:eastAsia="zh-CN"/>
              </w:rPr>
            </w:pPr>
            <w:r>
              <w:rPr>
                <w:rFonts w:hint="eastAsia" w:ascii="宋体" w:hAnsi="宋体" w:cs="宋体"/>
                <w:color w:val="000000"/>
                <w:kern w:val="0"/>
                <w:sz w:val="22"/>
                <w:highlight w:val="none"/>
                <w:lang w:val="en-US" w:eastAsia="zh-CN"/>
              </w:rPr>
              <w:t>5</w:t>
            </w:r>
          </w:p>
        </w:tc>
        <w:tc>
          <w:tcPr>
            <w:tcW w:w="822" w:type="pct"/>
            <w:vAlign w:val="center"/>
          </w:tcPr>
          <w:p>
            <w:pPr>
              <w:adjustRightInd w:val="0"/>
              <w:snapToGrid w:val="0"/>
              <w:spacing w:line="360" w:lineRule="auto"/>
              <w:jc w:val="center"/>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主观分</w:t>
            </w:r>
          </w:p>
        </w:tc>
        <w:tc>
          <w:tcPr>
            <w:tcW w:w="1088" w:type="pct"/>
            <w:vAlign w:val="center"/>
          </w:tcPr>
          <w:p>
            <w:pPr>
              <w:adjustRightInd w:val="0"/>
              <w:snapToGrid w:val="0"/>
              <w:spacing w:line="360" w:lineRule="auto"/>
              <w:jc w:val="center"/>
              <w:rPr>
                <w:rFonts w:hint="eastAsia" w:ascii="仿宋" w:hAnsi="仿宋" w:eastAsia="仿宋" w:cs="仿宋"/>
                <w:b w:val="0"/>
                <w:bCs w:val="0"/>
                <w:sz w:val="24"/>
                <w:highlight w:val="none"/>
              </w:rPr>
            </w:pPr>
            <w:r>
              <w:rPr>
                <w:rFonts w:hint="eastAsia" w:ascii="仿宋" w:hAnsi="仿宋" w:eastAsia="仿宋" w:cs="仿宋"/>
                <w:b w:val="0"/>
                <w:bCs w:val="0"/>
                <w:sz w:val="24"/>
                <w:highlight w:val="none"/>
                <w:lang w:eastAsia="zh-CN"/>
              </w:rPr>
              <w:t>（二）质量保证措施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trPr>
        <w:tc>
          <w:tcPr>
            <w:tcW w:w="353" w:type="pct"/>
            <w:noWrap/>
            <w:vAlign w:val="center"/>
          </w:tcPr>
          <w:p>
            <w:pPr>
              <w:adjustRightInd w:val="0"/>
              <w:snapToGrid w:val="0"/>
              <w:spacing w:line="360" w:lineRule="auto"/>
              <w:jc w:val="center"/>
              <w:outlineLvl w:val="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7</w:t>
            </w:r>
          </w:p>
        </w:tc>
        <w:tc>
          <w:tcPr>
            <w:tcW w:w="2217" w:type="pct"/>
            <w:noWrap/>
            <w:vAlign w:val="center"/>
          </w:tcPr>
          <w:p>
            <w:pPr>
              <w:adjustRightInd w:val="0"/>
              <w:snapToGrid w:val="0"/>
              <w:spacing w:line="360" w:lineRule="auto"/>
              <w:rPr>
                <w:rFonts w:hint="eastAsia" w:ascii="仿宋" w:hAnsi="仿宋" w:eastAsia="仿宋"/>
                <w:sz w:val="24"/>
                <w:highlight w:val="none"/>
              </w:rPr>
            </w:pPr>
            <w:r>
              <w:rPr>
                <w:rFonts w:hint="eastAsia" w:ascii="仿宋" w:hAnsi="仿宋" w:eastAsia="仿宋" w:cs="Times New Roman"/>
                <w:kern w:val="2"/>
                <w:sz w:val="24"/>
                <w:szCs w:val="24"/>
                <w:highlight w:val="none"/>
                <w:lang w:val="en-US" w:eastAsia="zh-CN" w:bidi="ar-SA"/>
              </w:rPr>
              <w:t>投标人针对本项目制定的供货方案交货期承诺、供货流程、安全保证措施、质量保证措施、进度保证措施、环境保证措施等由专家进行综合打分。承诺和保障科学、合理完整的得5分；承诺和保障基本可行的得3分；承诺和保障简单、欠缺不足的得1分，无相关内容不得分。</w:t>
            </w:r>
          </w:p>
        </w:tc>
        <w:tc>
          <w:tcPr>
            <w:tcW w:w="518" w:type="pct"/>
            <w:noWrap/>
            <w:vAlign w:val="center"/>
          </w:tcPr>
          <w:p>
            <w:pPr>
              <w:widowControl/>
              <w:jc w:val="center"/>
              <w:rPr>
                <w:rFonts w:hint="eastAsia" w:ascii="仿宋" w:hAnsi="仿宋" w:eastAsia="仿宋" w:cs="仿宋"/>
                <w:sz w:val="24"/>
                <w:highlight w:val="none"/>
                <w:lang w:val="en-US" w:eastAsia="zh-CN"/>
              </w:rPr>
            </w:pPr>
            <w:r>
              <w:rPr>
                <w:rFonts w:hint="eastAsia" w:ascii="宋体" w:hAnsi="宋体" w:cs="宋体"/>
                <w:color w:val="000000"/>
                <w:kern w:val="0"/>
                <w:sz w:val="22"/>
                <w:highlight w:val="none"/>
              </w:rPr>
              <w:t>5</w:t>
            </w:r>
          </w:p>
        </w:tc>
        <w:tc>
          <w:tcPr>
            <w:tcW w:w="822" w:type="pct"/>
            <w:vAlign w:val="center"/>
          </w:tcPr>
          <w:p>
            <w:pPr>
              <w:adjustRightInd w:val="0"/>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lang w:eastAsia="zh-CN"/>
              </w:rPr>
              <w:t>主观分</w:t>
            </w:r>
          </w:p>
        </w:tc>
        <w:tc>
          <w:tcPr>
            <w:tcW w:w="1088" w:type="pct"/>
            <w:vAlign w:val="center"/>
          </w:tcPr>
          <w:p>
            <w:pPr>
              <w:adjustRightInd w:val="0"/>
              <w:snapToGrid w:val="0"/>
              <w:spacing w:line="360" w:lineRule="auto"/>
              <w:jc w:val="center"/>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（三）项目实施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53" w:type="pct"/>
            <w:noWrap/>
            <w:vAlign w:val="center"/>
          </w:tcPr>
          <w:p>
            <w:pPr>
              <w:adjustRightInd w:val="0"/>
              <w:snapToGrid w:val="0"/>
              <w:spacing w:line="360" w:lineRule="auto"/>
              <w:jc w:val="center"/>
              <w:outlineLvl w:val="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8</w:t>
            </w:r>
          </w:p>
        </w:tc>
        <w:tc>
          <w:tcPr>
            <w:tcW w:w="2217" w:type="pct"/>
            <w:noWrap/>
            <w:vAlign w:val="center"/>
          </w:tcPr>
          <w:p>
            <w:pPr>
              <w:adjustRightInd w:val="0"/>
              <w:snapToGrid w:val="0"/>
              <w:spacing w:line="360" w:lineRule="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根据投标人拟投入本项目项目组的组织架构及人员安排方案的详尽齐全可实施性进行评议，包括但不限于人员的配备、人员资质能力、岗位设置、职责分工。人员配备方案详细全面可行、人员配备齐全、人员资质能力强、岗位设置合理、职责分工明确的5分；人员配备方案较详细全面可行、人员配备较齐全、人员资质能力较强、岗位设置较合理、职责分工较明确的得3分；人员配备方案简单欠全面可行、人员配备不足、人员资质能力欠佳、岗位设置欠合理、职责分工欠明确的得1分；无相关内容不得分。</w:t>
            </w:r>
          </w:p>
        </w:tc>
        <w:tc>
          <w:tcPr>
            <w:tcW w:w="518" w:type="pct"/>
            <w:noWrap/>
            <w:vAlign w:val="center"/>
          </w:tcPr>
          <w:p>
            <w:pPr>
              <w:widowControl/>
              <w:jc w:val="center"/>
              <w:rPr>
                <w:rFonts w:hint="eastAsia" w:ascii="宋体" w:hAnsi="宋体" w:cs="宋体"/>
                <w:color w:val="000000"/>
                <w:kern w:val="0"/>
                <w:sz w:val="22"/>
                <w:highlight w:val="none"/>
              </w:rPr>
            </w:pPr>
            <w:r>
              <w:rPr>
                <w:rFonts w:hint="eastAsia" w:ascii="宋体" w:hAnsi="宋体" w:eastAsia="仿宋" w:cs="宋体"/>
                <w:color w:val="000000"/>
                <w:kern w:val="0"/>
                <w:sz w:val="22"/>
                <w:highlight w:val="none"/>
                <w:lang w:val="en-US" w:eastAsia="zh-CN"/>
              </w:rPr>
              <w:t>5</w:t>
            </w:r>
          </w:p>
        </w:tc>
        <w:tc>
          <w:tcPr>
            <w:tcW w:w="822" w:type="pct"/>
            <w:vAlign w:val="center"/>
          </w:tcPr>
          <w:p>
            <w:pPr>
              <w:adjustRightInd w:val="0"/>
              <w:snapToGrid w:val="0"/>
              <w:spacing w:line="360" w:lineRule="auto"/>
              <w:jc w:val="center"/>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主</w:t>
            </w:r>
            <w:r>
              <w:rPr>
                <w:rFonts w:ascii="仿宋" w:hAnsi="仿宋" w:eastAsia="仿宋" w:cs="仿宋"/>
                <w:sz w:val="24"/>
                <w:highlight w:val="none"/>
              </w:rPr>
              <w:t>观分</w:t>
            </w:r>
          </w:p>
        </w:tc>
        <w:tc>
          <w:tcPr>
            <w:tcW w:w="1088" w:type="pct"/>
            <w:vAlign w:val="center"/>
          </w:tcPr>
          <w:p>
            <w:pPr>
              <w:adjustRightInd w:val="0"/>
              <w:snapToGrid w:val="0"/>
              <w:spacing w:line="360" w:lineRule="auto"/>
              <w:jc w:val="center"/>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（四）拟投入人员技术实力</w:t>
            </w:r>
          </w:p>
          <w:p>
            <w:pPr>
              <w:adjustRightInd w:val="0"/>
              <w:snapToGrid w:val="0"/>
              <w:spacing w:line="360" w:lineRule="auto"/>
              <w:jc w:val="center"/>
              <w:rPr>
                <w:rFonts w:hint="eastAsia" w:ascii="仿宋" w:hAnsi="仿宋" w:eastAsia="仿宋" w:cs="仿宋"/>
                <w:b w:val="0"/>
                <w:bCs w:val="0"/>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53" w:type="pct"/>
            <w:noWrap/>
            <w:vAlign w:val="center"/>
          </w:tcPr>
          <w:p>
            <w:pPr>
              <w:adjustRightInd w:val="0"/>
              <w:snapToGrid w:val="0"/>
              <w:spacing w:line="360" w:lineRule="auto"/>
              <w:jc w:val="center"/>
              <w:outlineLvl w:val="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9</w:t>
            </w:r>
          </w:p>
        </w:tc>
        <w:tc>
          <w:tcPr>
            <w:tcW w:w="2217" w:type="pct"/>
            <w:noWrap/>
            <w:vAlign w:val="center"/>
          </w:tcPr>
          <w:p>
            <w:pPr>
              <w:adjustRightInd w:val="0"/>
              <w:snapToGrid w:val="0"/>
              <w:spacing w:line="360" w:lineRule="auto"/>
              <w:rPr>
                <w:rFonts w:hint="eastAsia" w:ascii="仿宋" w:hAnsi="仿宋" w:eastAsia="仿宋"/>
                <w:sz w:val="24"/>
                <w:highlight w:val="none"/>
              </w:rPr>
            </w:pPr>
            <w:r>
              <w:rPr>
                <w:rFonts w:hint="eastAsia" w:ascii="仿宋" w:hAnsi="仿宋" w:eastAsia="仿宋"/>
                <w:sz w:val="24"/>
                <w:highlight w:val="none"/>
              </w:rPr>
              <w:t>根据售后服务承诺的范围和完善程度（包括售后服务标准、服务人员配备、故障响应修复时间方式及保障措施）进行综合评分。售后服务体系科学、合理完整的得</w:t>
            </w:r>
            <w:r>
              <w:rPr>
                <w:rFonts w:hint="eastAsia" w:ascii="仿宋" w:hAnsi="仿宋" w:eastAsia="仿宋"/>
                <w:sz w:val="24"/>
                <w:highlight w:val="none"/>
                <w:lang w:val="en-US" w:eastAsia="zh-CN"/>
              </w:rPr>
              <w:t>5</w:t>
            </w:r>
            <w:r>
              <w:rPr>
                <w:rFonts w:hint="eastAsia" w:ascii="仿宋" w:hAnsi="仿宋" w:eastAsia="仿宋"/>
                <w:sz w:val="24"/>
                <w:highlight w:val="none"/>
              </w:rPr>
              <w:t>分；售后服务体系基本可行的得</w:t>
            </w:r>
            <w:r>
              <w:rPr>
                <w:rFonts w:hint="eastAsia" w:ascii="仿宋" w:hAnsi="仿宋" w:eastAsia="仿宋"/>
                <w:sz w:val="24"/>
                <w:highlight w:val="none"/>
                <w:lang w:val="en-US" w:eastAsia="zh-CN"/>
              </w:rPr>
              <w:t>3</w:t>
            </w:r>
            <w:r>
              <w:rPr>
                <w:rFonts w:hint="eastAsia" w:ascii="仿宋" w:hAnsi="仿宋" w:eastAsia="仿宋"/>
                <w:sz w:val="24"/>
                <w:highlight w:val="none"/>
              </w:rPr>
              <w:t>分；售后服务体系简单、欠缺不足的得1分</w:t>
            </w:r>
            <w:r>
              <w:rPr>
                <w:rFonts w:hint="eastAsia" w:ascii="仿宋" w:hAnsi="仿宋" w:eastAsia="仿宋"/>
                <w:sz w:val="24"/>
                <w:highlight w:val="none"/>
                <w:lang w:eastAsia="zh-CN"/>
              </w:rPr>
              <w:t>，</w:t>
            </w:r>
            <w:r>
              <w:rPr>
                <w:rFonts w:hint="eastAsia" w:ascii="仿宋" w:hAnsi="仿宋" w:eastAsia="仿宋" w:cs="Times New Roman"/>
                <w:kern w:val="2"/>
                <w:sz w:val="24"/>
                <w:szCs w:val="24"/>
                <w:highlight w:val="none"/>
                <w:lang w:val="en-US" w:eastAsia="zh-CN" w:bidi="ar-SA"/>
              </w:rPr>
              <w:t>无相关内容不得分</w:t>
            </w:r>
            <w:r>
              <w:rPr>
                <w:rFonts w:hint="eastAsia" w:ascii="仿宋" w:hAnsi="仿宋" w:eastAsia="仿宋"/>
                <w:sz w:val="24"/>
                <w:highlight w:val="none"/>
              </w:rPr>
              <w:t>。</w:t>
            </w:r>
          </w:p>
        </w:tc>
        <w:tc>
          <w:tcPr>
            <w:tcW w:w="518" w:type="pct"/>
            <w:noWrap/>
            <w:vAlign w:val="center"/>
          </w:tcPr>
          <w:p>
            <w:pPr>
              <w:widowControl/>
              <w:jc w:val="center"/>
              <w:rPr>
                <w:rFonts w:hint="eastAsia" w:ascii="仿宋" w:hAnsi="仿宋" w:eastAsia="仿宋" w:cs="仿宋"/>
                <w:sz w:val="24"/>
                <w:highlight w:val="none"/>
                <w:lang w:val="en-US" w:eastAsia="zh-CN"/>
              </w:rPr>
            </w:pPr>
            <w:r>
              <w:rPr>
                <w:rFonts w:hint="eastAsia" w:ascii="宋体" w:hAnsi="宋体" w:eastAsia="仿宋" w:cs="宋体"/>
                <w:color w:val="000000"/>
                <w:kern w:val="0"/>
                <w:sz w:val="22"/>
                <w:highlight w:val="none"/>
                <w:lang w:val="en-US" w:eastAsia="zh-CN"/>
              </w:rPr>
              <w:t>5</w:t>
            </w:r>
          </w:p>
        </w:tc>
        <w:tc>
          <w:tcPr>
            <w:tcW w:w="822" w:type="pct"/>
            <w:vAlign w:val="center"/>
          </w:tcPr>
          <w:p>
            <w:pPr>
              <w:adjustRightInd w:val="0"/>
              <w:snapToGrid w:val="0"/>
              <w:spacing w:line="360" w:lineRule="auto"/>
              <w:jc w:val="center"/>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主观分</w:t>
            </w:r>
          </w:p>
        </w:tc>
        <w:tc>
          <w:tcPr>
            <w:tcW w:w="1088" w:type="pct"/>
            <w:vAlign w:val="center"/>
          </w:tcPr>
          <w:p>
            <w:pPr>
              <w:adjustRightInd w:val="0"/>
              <w:snapToGrid w:val="0"/>
              <w:spacing w:line="360" w:lineRule="auto"/>
              <w:jc w:val="center"/>
              <w:rPr>
                <w:rFonts w:hint="eastAsia" w:ascii="仿宋" w:hAnsi="仿宋" w:eastAsia="仿宋" w:cs="仿宋"/>
                <w:b w:val="0"/>
                <w:bCs w:val="0"/>
                <w:sz w:val="24"/>
                <w:highlight w:val="none"/>
              </w:rPr>
            </w:pPr>
            <w:r>
              <w:rPr>
                <w:rFonts w:hint="eastAsia" w:ascii="仿宋" w:hAnsi="仿宋" w:eastAsia="仿宋" w:cs="仿宋"/>
                <w:b w:val="0"/>
                <w:bCs w:val="0"/>
                <w:sz w:val="24"/>
                <w:highlight w:val="none"/>
                <w:lang w:eastAsia="zh-CN"/>
              </w:rPr>
              <w:t>（五）</w:t>
            </w:r>
            <w:r>
              <w:rPr>
                <w:rFonts w:hint="eastAsia" w:ascii="仿宋" w:hAnsi="仿宋" w:eastAsia="仿宋" w:cs="仿宋"/>
                <w:b w:val="0"/>
                <w:bCs w:val="0"/>
                <w:sz w:val="24"/>
                <w:highlight w:val="none"/>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53" w:type="pct"/>
            <w:noWrap/>
            <w:vAlign w:val="center"/>
          </w:tcPr>
          <w:p>
            <w:pPr>
              <w:adjustRightInd w:val="0"/>
              <w:snapToGrid w:val="0"/>
              <w:spacing w:line="360" w:lineRule="auto"/>
              <w:jc w:val="center"/>
              <w:outlineLvl w:val="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10</w:t>
            </w:r>
          </w:p>
        </w:tc>
        <w:tc>
          <w:tcPr>
            <w:tcW w:w="2217" w:type="pct"/>
            <w:noWrap/>
            <w:vAlign w:val="center"/>
          </w:tcPr>
          <w:p>
            <w:pPr>
              <w:adjustRightInd w:val="0"/>
              <w:snapToGrid w:val="0"/>
              <w:spacing w:line="360" w:lineRule="auto"/>
              <w:rPr>
                <w:rFonts w:hint="eastAsia" w:ascii="仿宋" w:hAnsi="仿宋" w:eastAsia="仿宋"/>
                <w:sz w:val="24"/>
                <w:highlight w:val="none"/>
              </w:rPr>
            </w:pPr>
            <w:r>
              <w:rPr>
                <w:rFonts w:hint="eastAsia" w:ascii="仿宋" w:hAnsi="仿宋" w:eastAsia="仿宋"/>
                <w:sz w:val="24"/>
                <w:highlight w:val="none"/>
              </w:rPr>
              <w:t>培训计划内容合理性、详细程度，培训范围，实施计划的针对性。提供针对此项目标</w:t>
            </w:r>
            <w:r>
              <w:rPr>
                <w:rFonts w:hint="eastAsia" w:ascii="仿宋" w:hAnsi="仿宋" w:eastAsia="仿宋"/>
                <w:sz w:val="24"/>
                <w:highlight w:val="none"/>
                <w:lang w:eastAsia="zh-CN"/>
              </w:rPr>
              <w:t>的</w:t>
            </w:r>
            <w:r>
              <w:rPr>
                <w:rFonts w:hint="eastAsia" w:ascii="仿宋" w:hAnsi="仿宋" w:eastAsia="仿宋"/>
                <w:sz w:val="24"/>
                <w:highlight w:val="none"/>
              </w:rPr>
              <w:t>产品详细的培训计划，包含培训内容，课程，时间，地点，培训人数等情况。计划完整合理的得</w:t>
            </w:r>
            <w:r>
              <w:rPr>
                <w:rFonts w:hint="eastAsia" w:ascii="仿宋" w:hAnsi="仿宋" w:eastAsia="仿宋"/>
                <w:sz w:val="24"/>
                <w:highlight w:val="none"/>
                <w:lang w:val="en-US" w:eastAsia="zh-CN"/>
              </w:rPr>
              <w:t>5</w:t>
            </w:r>
            <w:r>
              <w:rPr>
                <w:rFonts w:hint="eastAsia" w:ascii="仿宋" w:hAnsi="仿宋" w:eastAsia="仿宋"/>
                <w:sz w:val="24"/>
                <w:highlight w:val="none"/>
              </w:rPr>
              <w:t>分，</w:t>
            </w:r>
            <w:r>
              <w:rPr>
                <w:rFonts w:hint="eastAsia" w:ascii="仿宋" w:hAnsi="仿宋" w:eastAsia="仿宋"/>
                <w:sz w:val="24"/>
                <w:highlight w:val="none"/>
                <w:lang w:eastAsia="zh-CN"/>
              </w:rPr>
              <w:t>计划</w:t>
            </w:r>
            <w:r>
              <w:rPr>
                <w:rFonts w:hint="eastAsia" w:ascii="仿宋" w:hAnsi="仿宋" w:eastAsia="仿宋"/>
                <w:sz w:val="24"/>
                <w:highlight w:val="none"/>
              </w:rPr>
              <w:t>基本可行的得</w:t>
            </w:r>
            <w:r>
              <w:rPr>
                <w:rFonts w:hint="eastAsia" w:ascii="仿宋" w:hAnsi="仿宋" w:eastAsia="仿宋"/>
                <w:sz w:val="24"/>
                <w:highlight w:val="none"/>
                <w:lang w:val="en-US" w:eastAsia="zh-CN"/>
              </w:rPr>
              <w:t>3</w:t>
            </w:r>
            <w:r>
              <w:rPr>
                <w:rFonts w:hint="eastAsia" w:ascii="仿宋" w:hAnsi="仿宋" w:eastAsia="仿宋"/>
                <w:sz w:val="24"/>
                <w:highlight w:val="none"/>
              </w:rPr>
              <w:t>分；</w:t>
            </w:r>
            <w:r>
              <w:rPr>
                <w:rFonts w:hint="eastAsia" w:ascii="仿宋" w:hAnsi="仿宋" w:eastAsia="仿宋"/>
                <w:sz w:val="24"/>
                <w:highlight w:val="none"/>
                <w:lang w:eastAsia="zh-CN"/>
              </w:rPr>
              <w:t>不合理</w:t>
            </w:r>
            <w:r>
              <w:rPr>
                <w:rFonts w:hint="eastAsia" w:ascii="仿宋" w:hAnsi="仿宋" w:eastAsia="仿宋"/>
                <w:sz w:val="24"/>
                <w:highlight w:val="none"/>
              </w:rPr>
              <w:t>的得1分</w:t>
            </w:r>
            <w:r>
              <w:rPr>
                <w:rFonts w:hint="eastAsia" w:ascii="仿宋" w:hAnsi="仿宋" w:eastAsia="仿宋" w:cs="Times New Roman"/>
                <w:kern w:val="2"/>
                <w:sz w:val="24"/>
                <w:szCs w:val="24"/>
                <w:highlight w:val="none"/>
                <w:lang w:val="en-US" w:eastAsia="zh-CN" w:bidi="ar-SA"/>
              </w:rPr>
              <w:t>，无相关内容不得分</w:t>
            </w:r>
            <w:r>
              <w:rPr>
                <w:rFonts w:hint="eastAsia" w:ascii="仿宋" w:hAnsi="仿宋" w:eastAsia="仿宋"/>
                <w:sz w:val="24"/>
                <w:highlight w:val="none"/>
              </w:rPr>
              <w:t>。</w:t>
            </w:r>
          </w:p>
        </w:tc>
        <w:tc>
          <w:tcPr>
            <w:tcW w:w="518" w:type="pct"/>
            <w:noWrap/>
            <w:vAlign w:val="center"/>
          </w:tcPr>
          <w:p>
            <w:pPr>
              <w:widowControl/>
              <w:jc w:val="center"/>
              <w:rPr>
                <w:rFonts w:hint="default" w:ascii="宋体" w:hAnsi="宋体" w:eastAsia="仿宋" w:cs="宋体"/>
                <w:color w:val="000000"/>
                <w:kern w:val="0"/>
                <w:sz w:val="22"/>
                <w:highlight w:val="none"/>
                <w:lang w:val="en-US" w:eastAsia="zh-CN"/>
              </w:rPr>
            </w:pPr>
            <w:r>
              <w:rPr>
                <w:rFonts w:hint="eastAsia" w:ascii="宋体" w:hAnsi="宋体" w:eastAsia="仿宋" w:cs="宋体"/>
                <w:color w:val="000000"/>
                <w:kern w:val="0"/>
                <w:sz w:val="22"/>
                <w:highlight w:val="none"/>
                <w:lang w:val="en-US" w:eastAsia="zh-CN"/>
              </w:rPr>
              <w:t>5</w:t>
            </w:r>
          </w:p>
        </w:tc>
        <w:tc>
          <w:tcPr>
            <w:tcW w:w="822" w:type="pct"/>
            <w:vAlign w:val="center"/>
          </w:tcPr>
          <w:p>
            <w:pPr>
              <w:adjustRightInd w:val="0"/>
              <w:snapToGrid w:val="0"/>
              <w:spacing w:line="360" w:lineRule="auto"/>
              <w:jc w:val="center"/>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主观分</w:t>
            </w:r>
          </w:p>
        </w:tc>
        <w:tc>
          <w:tcPr>
            <w:tcW w:w="1088" w:type="pct"/>
            <w:vAlign w:val="center"/>
          </w:tcPr>
          <w:p>
            <w:pPr>
              <w:adjustRightInd w:val="0"/>
              <w:snapToGrid w:val="0"/>
              <w:spacing w:line="360" w:lineRule="auto"/>
              <w:jc w:val="center"/>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（六）培训计划</w:t>
            </w:r>
          </w:p>
        </w:tc>
      </w:tr>
      <w:bookmarkEnd w:id="92"/>
      <w:bookmarkEnd w:id="9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trPr>
        <w:tc>
          <w:tcPr>
            <w:tcW w:w="353" w:type="pct"/>
            <w:noWrap/>
            <w:vAlign w:val="center"/>
          </w:tcPr>
          <w:p>
            <w:pPr>
              <w:adjustRightInd w:val="0"/>
              <w:snapToGrid w:val="0"/>
              <w:spacing w:line="360" w:lineRule="auto"/>
              <w:jc w:val="center"/>
              <w:outlineLvl w:val="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11</w:t>
            </w:r>
          </w:p>
        </w:tc>
        <w:tc>
          <w:tcPr>
            <w:tcW w:w="2217" w:type="pct"/>
            <w:noWrap/>
            <w:vAlign w:val="center"/>
          </w:tcPr>
          <w:p>
            <w:pPr>
              <w:adjustRightInd w:val="0"/>
              <w:snapToGrid w:val="0"/>
              <w:spacing w:line="360" w:lineRule="auto"/>
              <w:rPr>
                <w:rFonts w:hint="eastAsia" w:ascii="仿宋" w:hAnsi="仿宋" w:eastAsia="仿宋"/>
                <w:sz w:val="24"/>
                <w:highlight w:val="none"/>
              </w:rPr>
            </w:pPr>
            <w:r>
              <w:rPr>
                <w:rFonts w:hint="eastAsia" w:ascii="仿宋" w:hAnsi="仿宋" w:eastAsia="仿宋" w:cs="仿宋"/>
                <w:b/>
                <w:sz w:val="24"/>
                <w:highlight w:val="none"/>
              </w:rPr>
              <w:t>投标价格分（</w:t>
            </w:r>
            <w:r>
              <w:rPr>
                <w:rFonts w:hint="eastAsia" w:ascii="仿宋" w:hAnsi="仿宋" w:eastAsia="仿宋" w:cs="仿宋"/>
                <w:b/>
                <w:sz w:val="24"/>
                <w:highlight w:val="none"/>
                <w:lang w:val="en-US" w:eastAsia="zh-CN"/>
              </w:rPr>
              <w:t>30</w:t>
            </w:r>
            <w:r>
              <w:rPr>
                <w:rFonts w:hint="eastAsia" w:ascii="仿宋" w:hAnsi="仿宋" w:eastAsia="仿宋" w:cs="仿宋"/>
                <w:b/>
                <w:sz w:val="24"/>
                <w:highlight w:val="none"/>
              </w:rPr>
              <w:t>分）：</w:t>
            </w:r>
            <w:r>
              <w:rPr>
                <w:rFonts w:hint="eastAsia" w:ascii="仿宋" w:hAnsi="仿宋" w:eastAsia="仿宋"/>
                <w:sz w:val="24"/>
                <w:highlight w:val="none"/>
              </w:rPr>
              <w:t>有效投标报价的最低价作为评标基准价，最低报价为满分；其余按［投标报价得分</w:t>
            </w:r>
            <w:r>
              <w:rPr>
                <w:rFonts w:ascii="仿宋" w:hAnsi="仿宋" w:eastAsia="仿宋"/>
                <w:sz w:val="24"/>
                <w:highlight w:val="none"/>
              </w:rPr>
              <w:t>=（评标基准价/投标报价）*</w:t>
            </w:r>
            <w:r>
              <w:rPr>
                <w:rFonts w:hint="eastAsia" w:ascii="仿宋" w:hAnsi="仿宋" w:eastAsia="仿宋"/>
                <w:color w:val="000000" w:themeColor="text1"/>
                <w:sz w:val="24"/>
                <w:highlight w:val="none"/>
                <w:lang w:val="en-US" w:eastAsia="zh-CN"/>
                <w14:textFill>
                  <w14:solidFill>
                    <w14:schemeClr w14:val="tx1"/>
                  </w14:solidFill>
                </w14:textFill>
              </w:rPr>
              <w:t>3</w:t>
            </w:r>
            <w:r>
              <w:rPr>
                <w:rFonts w:ascii="仿宋" w:hAnsi="仿宋" w:eastAsia="仿宋"/>
                <w:color w:val="000000" w:themeColor="text1"/>
                <w:sz w:val="24"/>
                <w:highlight w:val="none"/>
                <w14:textFill>
                  <w14:solidFill>
                    <w14:schemeClr w14:val="tx1"/>
                  </w14:solidFill>
                </w14:textFill>
              </w:rPr>
              <w:t>0</w:t>
            </w:r>
            <w:r>
              <w:rPr>
                <w:rFonts w:hint="eastAsia" w:ascii="仿宋" w:hAnsi="仿宋" w:eastAsia="仿宋"/>
                <w:sz w:val="24"/>
                <w:highlight w:val="none"/>
              </w:rPr>
              <w:t>］的计算公式计算。评标过程中，不得去掉报价中的最高报价和最低报价。</w:t>
            </w:r>
          </w:p>
          <w:p>
            <w:pPr>
              <w:adjustRightInd w:val="0"/>
              <w:snapToGrid w:val="0"/>
              <w:spacing w:line="360" w:lineRule="auto"/>
              <w:rPr>
                <w:rFonts w:hint="default" w:ascii="仿宋" w:hAnsi="仿宋" w:eastAsia="仿宋"/>
                <w:sz w:val="24"/>
                <w:highlight w:val="none"/>
                <w:lang w:val="en-US" w:eastAsia="zh-CN"/>
              </w:rPr>
            </w:pPr>
            <w:r>
              <w:rPr>
                <w:rFonts w:hint="default" w:ascii="仿宋" w:hAnsi="仿宋" w:eastAsia="仿宋"/>
                <w:sz w:val="24"/>
                <w:highlight w:val="none"/>
                <w:lang w:val="en-US" w:eastAsia="zh-CN"/>
              </w:rPr>
              <w:t>评标过程中，不得去掉报价中的最高报价和最低报价。</w:t>
            </w:r>
          </w:p>
          <w:p>
            <w:pPr>
              <w:adjustRightInd w:val="0"/>
              <w:snapToGrid w:val="0"/>
              <w:spacing w:line="360" w:lineRule="auto"/>
              <w:ind w:firstLine="480" w:firstLineChars="200"/>
              <w:rPr>
                <w:rFonts w:hint="default" w:ascii="仿宋" w:hAnsi="仿宋" w:eastAsia="仿宋"/>
                <w:sz w:val="24"/>
                <w:highlight w:val="none"/>
                <w:lang w:val="en-US" w:eastAsia="zh-CN"/>
              </w:rPr>
            </w:pPr>
            <w:r>
              <w:rPr>
                <w:rFonts w:hint="default" w:ascii="仿宋" w:hAnsi="仿宋" w:eastAsia="仿宋"/>
                <w:sz w:val="24"/>
                <w:highlight w:val="none"/>
                <w:lang w:val="en-US" w:eastAsia="zh-CN"/>
              </w:rPr>
              <w:t>对于未预留份额专门面向中小企业的政府采购货物项目，以及预留份额政府采购货物项目中的非预留部分标项，对小型和微型企业的投标报价给予</w:t>
            </w:r>
            <w:r>
              <w:rPr>
                <w:rFonts w:hint="eastAsia" w:ascii="仿宋" w:hAnsi="仿宋" w:eastAsia="仿宋"/>
                <w:sz w:val="24"/>
                <w:highlight w:val="none"/>
                <w:lang w:val="en-US" w:eastAsia="zh-CN"/>
              </w:rPr>
              <w:t>20</w:t>
            </w:r>
            <w:r>
              <w:rPr>
                <w:rFonts w:hint="default" w:ascii="仿宋" w:hAnsi="仿宋" w:eastAsia="仿宋"/>
                <w:sz w:val="24"/>
                <w:highlight w:val="none"/>
                <w:lang w:val="en-US" w:eastAsia="zh-CN"/>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eastAsia="仿宋"/>
                <w:sz w:val="24"/>
                <w:highlight w:val="none"/>
                <w:lang w:val="en-US" w:eastAsia="zh-CN"/>
              </w:rPr>
              <w:t>6</w:t>
            </w:r>
            <w:r>
              <w:rPr>
                <w:rFonts w:hint="default" w:ascii="仿宋" w:hAnsi="仿宋" w:eastAsia="仿宋"/>
                <w:sz w:val="24"/>
                <w:highlight w:val="none"/>
                <w:lang w:val="en-US" w:eastAsia="zh-CN"/>
              </w:rPr>
              <w:t>%的扣除，用扣除后的价格参加评审。</w:t>
            </w:r>
          </w:p>
        </w:tc>
        <w:tc>
          <w:tcPr>
            <w:tcW w:w="518" w:type="pct"/>
            <w:noWrap/>
            <w:vAlign w:val="center"/>
          </w:tcPr>
          <w:p>
            <w:pPr>
              <w:adjustRightInd w:val="0"/>
              <w:snapToGrid w:val="0"/>
              <w:spacing w:line="360" w:lineRule="auto"/>
              <w:jc w:val="center"/>
              <w:outlineLvl w:val="0"/>
              <w:rPr>
                <w:rFonts w:ascii="仿宋" w:hAnsi="仿宋" w:eastAsia="仿宋" w:cs="仿宋"/>
                <w:sz w:val="24"/>
                <w:highlight w:val="none"/>
              </w:rPr>
            </w:pPr>
            <w:bookmarkStart w:id="94" w:name="_Toc13459"/>
            <w:r>
              <w:rPr>
                <w:rFonts w:hint="eastAsia" w:ascii="仿宋" w:hAnsi="仿宋" w:eastAsia="仿宋" w:cs="仿宋"/>
                <w:sz w:val="24"/>
                <w:highlight w:val="none"/>
                <w:lang w:val="en-US" w:eastAsia="zh-CN"/>
              </w:rPr>
              <w:t>3</w:t>
            </w:r>
            <w:r>
              <w:rPr>
                <w:rFonts w:hint="eastAsia" w:ascii="仿宋" w:hAnsi="仿宋" w:eastAsia="仿宋" w:cs="仿宋"/>
                <w:sz w:val="24"/>
                <w:highlight w:val="none"/>
              </w:rPr>
              <w:t>0</w:t>
            </w:r>
            <w:bookmarkEnd w:id="94"/>
          </w:p>
        </w:tc>
        <w:tc>
          <w:tcPr>
            <w:tcW w:w="822" w:type="pct"/>
            <w:vAlign w:val="center"/>
          </w:tcPr>
          <w:p>
            <w:pPr>
              <w:adjustRightInd w:val="0"/>
              <w:snapToGrid w:val="0"/>
              <w:spacing w:line="360" w:lineRule="auto"/>
              <w:jc w:val="center"/>
              <w:outlineLvl w:val="0"/>
              <w:rPr>
                <w:rFonts w:ascii="仿宋" w:hAnsi="仿宋" w:eastAsia="仿宋" w:cs="仿宋"/>
                <w:sz w:val="24"/>
                <w:highlight w:val="none"/>
              </w:rPr>
            </w:pPr>
            <w:bookmarkStart w:id="95" w:name="_Toc13991"/>
            <w:r>
              <w:rPr>
                <w:rFonts w:hint="eastAsia" w:ascii="仿宋" w:hAnsi="仿宋" w:eastAsia="仿宋" w:cs="仿宋"/>
                <w:sz w:val="24"/>
                <w:highlight w:val="none"/>
              </w:rPr>
              <w:t>/</w:t>
            </w:r>
            <w:bookmarkEnd w:id="95"/>
          </w:p>
        </w:tc>
        <w:tc>
          <w:tcPr>
            <w:tcW w:w="1088" w:type="pct"/>
            <w:vAlign w:val="center"/>
          </w:tcPr>
          <w:p>
            <w:pPr>
              <w:adjustRightInd w:val="0"/>
              <w:snapToGrid w:val="0"/>
              <w:spacing w:line="360" w:lineRule="auto"/>
              <w:jc w:val="center"/>
              <w:outlineLvl w:val="0"/>
              <w:rPr>
                <w:rFonts w:ascii="仿宋" w:hAnsi="仿宋" w:eastAsia="仿宋" w:cs="仿宋"/>
                <w:sz w:val="24"/>
                <w:highlight w:val="none"/>
              </w:rPr>
            </w:pPr>
            <w:bookmarkStart w:id="96" w:name="_Toc27460"/>
            <w:r>
              <w:rPr>
                <w:rFonts w:hint="eastAsia" w:ascii="仿宋" w:hAnsi="仿宋" w:eastAsia="仿宋" w:cs="仿宋"/>
                <w:sz w:val="24"/>
                <w:highlight w:val="none"/>
              </w:rPr>
              <w:t>/</w:t>
            </w:r>
            <w:bookmarkEnd w:id="96"/>
          </w:p>
        </w:tc>
      </w:tr>
    </w:tbl>
    <w:p>
      <w:pPr>
        <w:pStyle w:val="25"/>
        <w:adjustRightInd w:val="0"/>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评标委员会根据供应商提供的有效证明材料和采购代理机构提供的相关数据进行打分。</w:t>
      </w:r>
    </w:p>
    <w:p>
      <w:pPr>
        <w:tabs>
          <w:tab w:val="left" w:pos="735"/>
        </w:tabs>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采购代理机构有权对评标委员会各成员的评分情况和评审意见进行合理性和合规性审查，如发现评标委员会成员的评审意见带有明显倾向性，或不按规定程序和标准评审、计分的，评标委员会成员应进行书面澄清和说明；评标委员会成员拒不接受采购代理机构审查的，采购代理机构将向单位采购监督管理部门报告并予以处理。</w:t>
      </w:r>
    </w:p>
    <w:bookmarkEnd w:id="60"/>
    <w:bookmarkEnd w:id="61"/>
    <w:bookmarkEnd w:id="62"/>
    <w:bookmarkEnd w:id="80"/>
    <w:bookmarkEnd w:id="81"/>
    <w:bookmarkEnd w:id="82"/>
    <w:bookmarkEnd w:id="83"/>
    <w:bookmarkEnd w:id="84"/>
    <w:bookmarkEnd w:id="86"/>
    <w:bookmarkEnd w:id="87"/>
    <w:p>
      <w:pPr>
        <w:rPr>
          <w:rFonts w:hint="eastAsia" w:ascii="仿宋" w:hAnsi="仿宋" w:eastAsia="仿宋" w:cs="宋体"/>
          <w:b/>
          <w:snapToGrid w:val="0"/>
          <w:kern w:val="0"/>
          <w:sz w:val="30"/>
          <w:szCs w:val="30"/>
          <w:highlight w:val="none"/>
        </w:rPr>
      </w:pPr>
      <w:bookmarkStart w:id="97" w:name="_Toc4561"/>
      <w:r>
        <w:rPr>
          <w:rFonts w:hint="eastAsia" w:ascii="仿宋" w:hAnsi="仿宋" w:eastAsia="仿宋" w:cs="宋体"/>
          <w:b/>
          <w:snapToGrid w:val="0"/>
          <w:kern w:val="0"/>
          <w:sz w:val="30"/>
          <w:szCs w:val="30"/>
          <w:highlight w:val="none"/>
        </w:rPr>
        <w:br w:type="page"/>
      </w:r>
    </w:p>
    <w:p>
      <w:pPr>
        <w:adjustRightInd w:val="0"/>
        <w:snapToGrid w:val="0"/>
        <w:spacing w:line="360" w:lineRule="auto"/>
        <w:jc w:val="center"/>
        <w:outlineLvl w:val="0"/>
        <w:rPr>
          <w:rFonts w:ascii="仿宋" w:hAnsi="仿宋" w:eastAsia="仿宋" w:cs="宋体"/>
          <w:b/>
          <w:bCs/>
          <w:snapToGrid w:val="0"/>
          <w:kern w:val="0"/>
          <w:sz w:val="32"/>
          <w:szCs w:val="32"/>
          <w:highlight w:val="none"/>
        </w:rPr>
      </w:pPr>
      <w:r>
        <w:rPr>
          <w:rFonts w:hint="eastAsia" w:ascii="仿宋" w:hAnsi="仿宋" w:eastAsia="仿宋" w:cs="宋体"/>
          <w:b/>
          <w:snapToGrid w:val="0"/>
          <w:kern w:val="0"/>
          <w:sz w:val="30"/>
          <w:szCs w:val="30"/>
          <w:highlight w:val="none"/>
        </w:rPr>
        <w:t>第六部分  投标文件格式</w:t>
      </w:r>
      <w:bookmarkEnd w:id="97"/>
    </w:p>
    <w:p>
      <w:pPr>
        <w:autoSpaceDE w:val="0"/>
        <w:autoSpaceDN w:val="0"/>
        <w:adjustRightInd w:val="0"/>
        <w:snapToGrid w:val="0"/>
        <w:spacing w:line="360" w:lineRule="auto"/>
        <w:ind w:firstLine="480"/>
        <w:rPr>
          <w:rFonts w:ascii="仿宋" w:hAnsi="仿宋" w:eastAsia="仿宋" w:cs="宋体"/>
          <w:snapToGrid w:val="0"/>
          <w:kern w:val="0"/>
          <w:sz w:val="28"/>
          <w:highlight w:val="none"/>
        </w:rPr>
      </w:pPr>
    </w:p>
    <w:p>
      <w:pPr>
        <w:pStyle w:val="25"/>
        <w:adjustRightInd w:val="0"/>
        <w:snapToGrid w:val="0"/>
        <w:spacing w:line="360" w:lineRule="auto"/>
        <w:ind w:firstLine="500" w:firstLineChars="200"/>
        <w:rPr>
          <w:rFonts w:ascii="仿宋" w:hAnsi="仿宋" w:eastAsia="仿宋" w:cs="宋体"/>
          <w:snapToGrid w:val="0"/>
          <w:kern w:val="0"/>
          <w:sz w:val="25"/>
          <w:highlight w:val="none"/>
        </w:rPr>
      </w:pPr>
      <w:r>
        <w:rPr>
          <w:rFonts w:hint="eastAsia" w:ascii="仿宋" w:hAnsi="仿宋" w:eastAsia="仿宋" w:cs="宋体"/>
          <w:snapToGrid w:val="0"/>
          <w:kern w:val="0"/>
          <w:sz w:val="25"/>
          <w:highlight w:val="none"/>
        </w:rPr>
        <w:t>说明：</w:t>
      </w:r>
    </w:p>
    <w:p>
      <w:pPr>
        <w:pStyle w:val="25"/>
        <w:adjustRightInd w:val="0"/>
        <w:snapToGrid w:val="0"/>
        <w:spacing w:line="360" w:lineRule="auto"/>
        <w:ind w:firstLine="500" w:firstLineChars="200"/>
        <w:rPr>
          <w:rFonts w:ascii="仿宋" w:hAnsi="仿宋" w:eastAsia="仿宋" w:cs="宋体"/>
          <w:snapToGrid w:val="0"/>
          <w:kern w:val="0"/>
          <w:sz w:val="25"/>
          <w:highlight w:val="none"/>
        </w:rPr>
      </w:pPr>
      <w:r>
        <w:rPr>
          <w:rFonts w:hint="eastAsia" w:ascii="仿宋" w:hAnsi="仿宋" w:eastAsia="仿宋" w:cs="宋体"/>
          <w:snapToGrid w:val="0"/>
          <w:kern w:val="0"/>
          <w:sz w:val="25"/>
          <w:highlight w:val="none"/>
        </w:rPr>
        <w:t>1</w:t>
      </w:r>
      <w:r>
        <w:rPr>
          <w:rFonts w:hint="eastAsia" w:ascii="仿宋" w:hAnsi="仿宋" w:eastAsia="仿宋" w:cs="宋体"/>
          <w:snapToGrid w:val="0"/>
          <w:kern w:val="0"/>
          <w:sz w:val="25"/>
          <w:highlight w:val="none"/>
          <w:lang w:eastAsia="zh-CN"/>
        </w:rPr>
        <w:t>、</w:t>
      </w:r>
      <w:r>
        <w:rPr>
          <w:rFonts w:hint="eastAsia" w:ascii="仿宋" w:hAnsi="仿宋" w:eastAsia="仿宋" w:cs="宋体"/>
          <w:snapToGrid w:val="0"/>
          <w:kern w:val="0"/>
          <w:sz w:val="25"/>
          <w:highlight w:val="none"/>
        </w:rPr>
        <w:t>投标文件由供应商根据照招标文件要求参照附件格式编制。</w:t>
      </w:r>
    </w:p>
    <w:p>
      <w:pPr>
        <w:pStyle w:val="25"/>
        <w:adjustRightInd w:val="0"/>
        <w:snapToGrid w:val="0"/>
        <w:spacing w:line="360" w:lineRule="auto"/>
        <w:ind w:firstLine="500" w:firstLineChars="200"/>
        <w:rPr>
          <w:rFonts w:ascii="仿宋" w:hAnsi="仿宋" w:eastAsia="仿宋" w:cs="宋体"/>
          <w:snapToGrid w:val="0"/>
          <w:kern w:val="0"/>
          <w:sz w:val="25"/>
          <w:highlight w:val="none"/>
        </w:rPr>
      </w:pPr>
      <w:r>
        <w:rPr>
          <w:rFonts w:hint="eastAsia" w:ascii="仿宋" w:hAnsi="仿宋" w:eastAsia="仿宋" w:cs="宋体"/>
          <w:snapToGrid w:val="0"/>
          <w:kern w:val="0"/>
          <w:sz w:val="25"/>
          <w:highlight w:val="none"/>
        </w:rPr>
        <w:t>2</w:t>
      </w:r>
      <w:r>
        <w:rPr>
          <w:rFonts w:hint="eastAsia" w:ascii="仿宋" w:hAnsi="仿宋" w:eastAsia="仿宋" w:cs="宋体"/>
          <w:snapToGrid w:val="0"/>
          <w:kern w:val="0"/>
          <w:sz w:val="25"/>
          <w:highlight w:val="none"/>
          <w:lang w:eastAsia="zh-CN"/>
        </w:rPr>
        <w:t>、</w:t>
      </w:r>
      <w:r>
        <w:rPr>
          <w:rFonts w:hint="eastAsia" w:ascii="仿宋" w:hAnsi="仿宋" w:eastAsia="仿宋" w:cs="宋体"/>
          <w:snapToGrid w:val="0"/>
          <w:kern w:val="0"/>
          <w:sz w:val="25"/>
          <w:highlight w:val="none"/>
        </w:rPr>
        <w:t>供应商根据实际情况填写。</w:t>
      </w:r>
    </w:p>
    <w:p>
      <w:pPr>
        <w:pStyle w:val="25"/>
        <w:adjustRightInd w:val="0"/>
        <w:snapToGrid w:val="0"/>
        <w:spacing w:line="360" w:lineRule="auto"/>
        <w:ind w:firstLine="500" w:firstLineChars="200"/>
        <w:rPr>
          <w:rFonts w:ascii="仿宋" w:hAnsi="仿宋" w:eastAsia="仿宋" w:cs="宋体"/>
          <w:snapToGrid w:val="0"/>
          <w:kern w:val="0"/>
          <w:sz w:val="25"/>
          <w:highlight w:val="none"/>
        </w:rPr>
      </w:pPr>
      <w:r>
        <w:rPr>
          <w:rFonts w:hint="eastAsia" w:ascii="仿宋" w:hAnsi="仿宋" w:eastAsia="仿宋" w:cs="宋体"/>
          <w:snapToGrid w:val="0"/>
          <w:kern w:val="0"/>
          <w:sz w:val="25"/>
          <w:highlight w:val="none"/>
        </w:rPr>
        <w:t>3</w:t>
      </w:r>
      <w:r>
        <w:rPr>
          <w:rFonts w:hint="eastAsia" w:ascii="仿宋" w:hAnsi="仿宋" w:eastAsia="仿宋" w:cs="宋体"/>
          <w:snapToGrid w:val="0"/>
          <w:kern w:val="0"/>
          <w:sz w:val="25"/>
          <w:highlight w:val="none"/>
          <w:lang w:eastAsia="zh-CN"/>
        </w:rPr>
        <w:t>、</w:t>
      </w:r>
      <w:r>
        <w:rPr>
          <w:rFonts w:hint="eastAsia" w:ascii="仿宋" w:hAnsi="仿宋" w:eastAsia="仿宋" w:cs="宋体"/>
          <w:snapToGrid w:val="0"/>
          <w:kern w:val="0"/>
          <w:sz w:val="25"/>
          <w:highlight w:val="none"/>
        </w:rPr>
        <w:t>招标文件中没有参考格式的，供应商自行编制。</w:t>
      </w:r>
    </w:p>
    <w:p>
      <w:pPr>
        <w:pStyle w:val="25"/>
        <w:adjustRightInd w:val="0"/>
        <w:snapToGrid w:val="0"/>
        <w:spacing w:line="360" w:lineRule="auto"/>
        <w:ind w:firstLine="500" w:firstLineChars="200"/>
        <w:rPr>
          <w:rFonts w:hint="eastAsia" w:ascii="仿宋" w:hAnsi="仿宋" w:eastAsia="仿宋" w:cs="宋体"/>
          <w:snapToGrid w:val="0"/>
          <w:kern w:val="0"/>
          <w:sz w:val="25"/>
          <w:highlight w:val="none"/>
        </w:rPr>
      </w:pPr>
      <w:r>
        <w:rPr>
          <w:rFonts w:hint="eastAsia" w:ascii="仿宋" w:hAnsi="仿宋" w:eastAsia="仿宋" w:cs="宋体"/>
          <w:snapToGrid w:val="0"/>
          <w:kern w:val="0"/>
          <w:sz w:val="25"/>
          <w:highlight w:val="none"/>
          <w:lang w:val="en-US" w:eastAsia="zh-CN"/>
        </w:rPr>
        <w:t>4、</w:t>
      </w:r>
      <w:r>
        <w:rPr>
          <w:rFonts w:hint="eastAsia" w:ascii="仿宋" w:hAnsi="仿宋" w:eastAsia="仿宋" w:cs="宋体"/>
          <w:snapToGrid w:val="0"/>
          <w:kern w:val="0"/>
          <w:sz w:val="25"/>
          <w:highlight w:val="none"/>
        </w:rPr>
        <w:t>投标文件的编制应按照本项目：“第</w:t>
      </w:r>
      <w:r>
        <w:rPr>
          <w:rFonts w:hint="eastAsia" w:ascii="仿宋" w:hAnsi="仿宋" w:eastAsia="仿宋" w:cs="宋体"/>
          <w:snapToGrid w:val="0"/>
          <w:kern w:val="0"/>
          <w:sz w:val="25"/>
          <w:highlight w:val="none"/>
          <w:lang w:val="en-US" w:eastAsia="zh-CN"/>
        </w:rPr>
        <w:t>二部分</w:t>
      </w:r>
      <w:r>
        <w:rPr>
          <w:rFonts w:hint="eastAsia" w:ascii="仿宋" w:hAnsi="仿宋" w:eastAsia="仿宋" w:cs="宋体"/>
          <w:snapToGrid w:val="0"/>
          <w:kern w:val="0"/>
          <w:sz w:val="25"/>
          <w:highlight w:val="none"/>
        </w:rPr>
        <w:t>章  投标须知”三、投标文件的编制的要求编制。</w:t>
      </w:r>
    </w:p>
    <w:p>
      <w:pPr>
        <w:rPr>
          <w:rFonts w:hint="eastAsia" w:ascii="宋体" w:hAnsi="宋体"/>
          <w:b/>
          <w:bCs/>
          <w:spacing w:val="-6"/>
          <w:sz w:val="24"/>
          <w:highlight w:val="none"/>
        </w:rPr>
      </w:pPr>
      <w:r>
        <w:rPr>
          <w:rFonts w:hint="eastAsia" w:ascii="宋体" w:hAnsi="宋体"/>
          <w:b/>
          <w:bCs/>
          <w:spacing w:val="-6"/>
          <w:sz w:val="24"/>
          <w:highlight w:val="none"/>
        </w:rPr>
        <w:br w:type="page"/>
      </w:r>
    </w:p>
    <w:p>
      <w:pPr>
        <w:spacing w:line="360" w:lineRule="auto"/>
        <w:jc w:val="center"/>
        <w:rPr>
          <w:rFonts w:hint="eastAsia" w:ascii="宋体" w:hAnsi="宋体"/>
          <w:b/>
          <w:bCs/>
          <w:spacing w:val="-6"/>
          <w:sz w:val="24"/>
          <w:highlight w:val="none"/>
        </w:rPr>
      </w:pPr>
      <w:r>
        <w:rPr>
          <w:rFonts w:hint="eastAsia" w:ascii="宋体" w:hAnsi="宋体"/>
          <w:b/>
          <w:bCs/>
          <w:spacing w:val="-6"/>
          <w:sz w:val="24"/>
          <w:highlight w:val="none"/>
        </w:rPr>
        <w:t>外层包装（封签）</w:t>
      </w:r>
    </w:p>
    <w:p>
      <w:pPr>
        <w:spacing w:line="360" w:lineRule="auto"/>
        <w:rPr>
          <w:rFonts w:hint="eastAsia" w:ascii="宋体" w:hAnsi="宋体"/>
          <w:spacing w:val="-6"/>
          <w:sz w:val="24"/>
          <w:highlight w:val="none"/>
        </w:rPr>
      </w:pPr>
    </w:p>
    <w:p>
      <w:pPr>
        <w:spacing w:line="360" w:lineRule="auto"/>
        <w:jc w:val="center"/>
        <w:rPr>
          <w:rFonts w:hint="eastAsia" w:ascii="宋体" w:hAnsi="宋体"/>
          <w:bCs/>
          <w:spacing w:val="-6"/>
          <w:sz w:val="24"/>
          <w:highlight w:val="none"/>
        </w:rPr>
      </w:pPr>
      <w:r>
        <w:rPr>
          <w:rFonts w:hint="eastAsia" w:ascii="宋体" w:hAnsi="宋体"/>
          <w:bCs/>
          <w:spacing w:val="-6"/>
          <w:sz w:val="24"/>
          <w:highlight w:val="none"/>
          <w:u w:val="single"/>
        </w:rPr>
        <w:t xml:space="preserve">                    </w:t>
      </w:r>
      <w:r>
        <w:rPr>
          <w:rFonts w:hint="eastAsia" w:ascii="宋体" w:hAnsi="宋体"/>
          <w:bCs/>
          <w:spacing w:val="-6"/>
          <w:sz w:val="24"/>
          <w:highlight w:val="none"/>
        </w:rPr>
        <w:t>（投标人名称）</w:t>
      </w:r>
    </w:p>
    <w:p>
      <w:pPr>
        <w:spacing w:line="360" w:lineRule="auto"/>
        <w:jc w:val="center"/>
        <w:rPr>
          <w:rFonts w:hint="eastAsia" w:ascii="宋体" w:hAnsi="宋体"/>
          <w:b/>
          <w:bCs/>
          <w:spacing w:val="-6"/>
          <w:sz w:val="24"/>
          <w:highlight w:val="none"/>
        </w:rPr>
      </w:pPr>
      <w:r>
        <w:rPr>
          <w:rFonts w:hint="eastAsia" w:ascii="宋体" w:hAnsi="宋体"/>
          <w:b/>
          <w:bCs/>
          <w:spacing w:val="-6"/>
          <w:sz w:val="24"/>
          <w:highlight w:val="none"/>
        </w:rPr>
        <w:t>投 标 文 件</w:t>
      </w:r>
    </w:p>
    <w:p>
      <w:pPr>
        <w:spacing w:line="360" w:lineRule="auto"/>
        <w:rPr>
          <w:rFonts w:hint="eastAsia" w:ascii="宋体" w:hAnsi="宋体" w:eastAsia="宋体"/>
          <w:bCs/>
          <w:spacing w:val="-6"/>
          <w:sz w:val="24"/>
          <w:highlight w:val="none"/>
          <w:lang w:eastAsia="zh-CN"/>
        </w:rPr>
      </w:pPr>
      <w:r>
        <w:rPr>
          <w:rFonts w:hint="eastAsia" w:ascii="宋体" w:hAnsi="宋体"/>
          <w:bCs/>
          <w:spacing w:val="-6"/>
          <w:sz w:val="24"/>
          <w:highlight w:val="none"/>
        </w:rPr>
        <w:t>招标人：</w:t>
      </w:r>
      <w:r>
        <w:rPr>
          <w:rFonts w:hint="eastAsia" w:ascii="宋体" w:hAnsi="宋体"/>
          <w:bCs/>
          <w:spacing w:val="-6"/>
          <w:sz w:val="24"/>
          <w:highlight w:val="none"/>
          <w:lang w:eastAsia="zh-CN"/>
        </w:rPr>
        <w:t>衢州动力电池和储能研究院</w:t>
      </w:r>
    </w:p>
    <w:p>
      <w:pPr>
        <w:spacing w:line="360" w:lineRule="auto"/>
        <w:rPr>
          <w:rFonts w:hint="eastAsia" w:ascii="宋体" w:hAnsi="宋体" w:eastAsia="宋体"/>
          <w:bCs/>
          <w:spacing w:val="-6"/>
          <w:sz w:val="24"/>
          <w:highlight w:val="none"/>
          <w:lang w:eastAsia="zh-CN"/>
        </w:rPr>
      </w:pPr>
      <w:r>
        <w:rPr>
          <w:rFonts w:hint="eastAsia" w:ascii="宋体" w:hAnsi="宋体"/>
          <w:bCs/>
          <w:spacing w:val="-6"/>
          <w:sz w:val="24"/>
          <w:highlight w:val="none"/>
        </w:rPr>
        <w:t>项目名称：</w:t>
      </w:r>
      <w:r>
        <w:rPr>
          <w:rFonts w:hint="eastAsia" w:ascii="宋体" w:hAnsi="宋体"/>
          <w:bCs/>
          <w:spacing w:val="-6"/>
          <w:sz w:val="24"/>
          <w:highlight w:val="none"/>
          <w:lang w:eastAsia="zh-CN"/>
        </w:rPr>
        <w:t>衢州动力电池和储能研究院高能比硫化物全固态电池自动孵化线</w:t>
      </w:r>
    </w:p>
    <w:p>
      <w:pPr>
        <w:spacing w:line="360" w:lineRule="auto"/>
        <w:rPr>
          <w:rFonts w:hint="eastAsia" w:ascii="宋体" w:hAnsi="宋体" w:eastAsia="宋体"/>
          <w:bCs/>
          <w:spacing w:val="-6"/>
          <w:sz w:val="24"/>
          <w:highlight w:val="none"/>
          <w:lang w:eastAsia="zh-CN"/>
        </w:rPr>
      </w:pPr>
      <w:r>
        <w:rPr>
          <w:rFonts w:hint="eastAsia" w:ascii="宋体" w:hAnsi="宋体"/>
          <w:bCs/>
          <w:spacing w:val="-6"/>
          <w:sz w:val="24"/>
          <w:highlight w:val="none"/>
        </w:rPr>
        <w:t>项目编号：</w:t>
      </w:r>
    </w:p>
    <w:p>
      <w:pPr>
        <w:spacing w:line="360" w:lineRule="auto"/>
        <w:rPr>
          <w:rFonts w:hint="eastAsia" w:ascii="宋体" w:hAnsi="宋体"/>
          <w:bCs/>
          <w:spacing w:val="-6"/>
          <w:sz w:val="24"/>
          <w:highlight w:val="none"/>
        </w:rPr>
      </w:pPr>
      <w:r>
        <w:rPr>
          <w:rFonts w:hint="eastAsia" w:ascii="宋体" w:hAnsi="宋体"/>
          <w:bCs/>
          <w:spacing w:val="-6"/>
          <w:sz w:val="24"/>
          <w:highlight w:val="none"/>
        </w:rPr>
        <w:t>投标文件名称：报价文件</w:t>
      </w:r>
    </w:p>
    <w:p>
      <w:pPr>
        <w:spacing w:line="360" w:lineRule="auto"/>
        <w:rPr>
          <w:rFonts w:hint="eastAsia" w:ascii="宋体" w:hAnsi="宋体"/>
          <w:bCs/>
          <w:spacing w:val="-6"/>
          <w:sz w:val="24"/>
          <w:highlight w:val="none"/>
        </w:rPr>
      </w:pPr>
      <w:r>
        <w:rPr>
          <w:rFonts w:hint="eastAsia" w:ascii="宋体" w:hAnsi="宋体"/>
          <w:bCs/>
          <w:spacing w:val="-6"/>
          <w:sz w:val="24"/>
          <w:highlight w:val="none"/>
        </w:rPr>
        <w:t>投标人名称（盖章）：</w:t>
      </w:r>
    </w:p>
    <w:p>
      <w:pPr>
        <w:spacing w:line="360" w:lineRule="auto"/>
        <w:rPr>
          <w:rFonts w:hint="eastAsia" w:ascii="宋体" w:hAnsi="宋体"/>
          <w:bCs/>
          <w:spacing w:val="-6"/>
          <w:sz w:val="24"/>
          <w:highlight w:val="none"/>
        </w:rPr>
      </w:pPr>
      <w:r>
        <w:rPr>
          <w:rFonts w:hint="eastAsia" w:ascii="宋体" w:hAnsi="宋体"/>
          <w:bCs/>
          <w:spacing w:val="-6"/>
          <w:sz w:val="24"/>
          <w:highlight w:val="none"/>
        </w:rPr>
        <w:t>投标人地址：</w:t>
      </w:r>
    </w:p>
    <w:p>
      <w:pPr>
        <w:spacing w:line="360" w:lineRule="auto"/>
        <w:rPr>
          <w:rFonts w:hint="eastAsia" w:ascii="宋体" w:hAnsi="宋体"/>
          <w:bCs/>
          <w:spacing w:val="-6"/>
          <w:sz w:val="24"/>
          <w:highlight w:val="none"/>
        </w:rPr>
      </w:pPr>
      <w:r>
        <w:rPr>
          <w:rFonts w:hint="eastAsia" w:ascii="宋体" w:hAnsi="宋体"/>
          <w:bCs/>
          <w:spacing w:val="-6"/>
          <w:sz w:val="24"/>
          <w:highlight w:val="none"/>
        </w:rPr>
        <w:t>在  年  月  日  时  分之前不得启封</w:t>
      </w:r>
    </w:p>
    <w:p>
      <w:pPr>
        <w:spacing w:line="360" w:lineRule="auto"/>
        <w:rPr>
          <w:rFonts w:hint="eastAsia" w:ascii="宋体" w:hAnsi="宋体"/>
          <w:bCs/>
          <w:spacing w:val="-6"/>
          <w:sz w:val="24"/>
          <w:highlight w:val="none"/>
        </w:rPr>
      </w:pPr>
    </w:p>
    <w:p>
      <w:pPr>
        <w:spacing w:line="360" w:lineRule="auto"/>
        <w:rPr>
          <w:rFonts w:hint="eastAsia" w:ascii="宋体" w:hAnsi="宋体"/>
          <w:bCs/>
          <w:spacing w:val="-6"/>
          <w:sz w:val="24"/>
          <w:highlight w:val="none"/>
        </w:rPr>
      </w:pPr>
      <w:r>
        <w:rPr>
          <w:rFonts w:hint="eastAsia" w:ascii="宋体" w:hAnsi="宋体"/>
          <w:spacing w:val="-6"/>
          <w:sz w:val="24"/>
          <w:highlight w:val="none"/>
        </w:rPr>
        <w:t>投标人代表签字</w:t>
      </w:r>
      <w:r>
        <w:rPr>
          <w:rFonts w:hint="eastAsia" w:ascii="宋体" w:hAnsi="宋体"/>
          <w:bCs/>
          <w:spacing w:val="-6"/>
          <w:sz w:val="24"/>
          <w:highlight w:val="none"/>
        </w:rPr>
        <w:t>：</w:t>
      </w:r>
    </w:p>
    <w:p>
      <w:pPr>
        <w:spacing w:line="360" w:lineRule="auto"/>
        <w:rPr>
          <w:rFonts w:hint="eastAsia" w:ascii="宋体" w:hAnsi="宋体"/>
          <w:bCs/>
          <w:spacing w:val="-6"/>
          <w:sz w:val="24"/>
          <w:highlight w:val="none"/>
        </w:rPr>
      </w:pPr>
      <w:r>
        <w:rPr>
          <w:rFonts w:hint="eastAsia" w:ascii="宋体" w:hAnsi="宋体"/>
          <w:bCs/>
          <w:spacing w:val="-6"/>
          <w:sz w:val="24"/>
          <w:highlight w:val="none"/>
        </w:rPr>
        <w:t xml:space="preserve">日期：  </w:t>
      </w:r>
      <w:r>
        <w:rPr>
          <w:rFonts w:ascii="宋体" w:hAnsi="宋体"/>
          <w:bCs/>
          <w:spacing w:val="-6"/>
          <w:sz w:val="24"/>
          <w:highlight w:val="none"/>
        </w:rPr>
        <w:t xml:space="preserve">  </w:t>
      </w:r>
      <w:r>
        <w:rPr>
          <w:rFonts w:hint="eastAsia" w:ascii="宋体" w:hAnsi="宋体"/>
          <w:bCs/>
          <w:spacing w:val="-6"/>
          <w:sz w:val="24"/>
          <w:highlight w:val="none"/>
        </w:rPr>
        <w:t>年  月  日</w:t>
      </w:r>
    </w:p>
    <w:p>
      <w:pPr>
        <w:spacing w:line="360" w:lineRule="auto"/>
        <w:rPr>
          <w:rFonts w:hint="eastAsia" w:ascii="宋体" w:hAnsi="宋体"/>
          <w:spacing w:val="-6"/>
          <w:sz w:val="24"/>
          <w:highlight w:val="none"/>
        </w:rPr>
      </w:pPr>
      <w:r>
        <w:rPr>
          <w:rFonts w:ascii="宋体" w:hAnsi="宋体"/>
          <w:bCs/>
          <w:spacing w:val="-6"/>
          <w:sz w:val="24"/>
          <w:highlight w:val="none"/>
        </w:rPr>
        <w:br w:type="page"/>
      </w:r>
      <w:r>
        <w:rPr>
          <w:rFonts w:hint="eastAsia" w:ascii="宋体" w:hAnsi="宋体"/>
          <w:bCs/>
          <w:spacing w:val="-6"/>
          <w:sz w:val="24"/>
          <w:highlight w:val="none"/>
        </w:rPr>
        <w:t>报价文件</w:t>
      </w:r>
      <w:r>
        <w:rPr>
          <w:rFonts w:hint="eastAsia" w:ascii="宋体" w:hAnsi="宋体"/>
          <w:spacing w:val="-6"/>
          <w:sz w:val="24"/>
          <w:highlight w:val="none"/>
        </w:rPr>
        <w:t>封面</w:t>
      </w:r>
    </w:p>
    <w:p>
      <w:pPr>
        <w:spacing w:line="360" w:lineRule="auto"/>
        <w:jc w:val="right"/>
        <w:rPr>
          <w:rFonts w:hint="eastAsia" w:ascii="宋体" w:hAnsi="宋体"/>
          <w:spacing w:val="-6"/>
          <w:sz w:val="24"/>
          <w:highlight w:val="none"/>
        </w:rPr>
      </w:pPr>
      <w:r>
        <w:rPr>
          <w:rFonts w:hint="eastAsia" w:ascii="宋体" w:hAnsi="宋体"/>
          <w:b/>
          <w:bCs/>
          <w:spacing w:val="-6"/>
          <w:sz w:val="24"/>
          <w:highlight w:val="none"/>
        </w:rPr>
        <w:t>正本或副本</w:t>
      </w:r>
    </w:p>
    <w:p>
      <w:pPr>
        <w:spacing w:line="360" w:lineRule="auto"/>
        <w:rPr>
          <w:rFonts w:hint="eastAsia" w:ascii="宋体" w:hAnsi="宋体"/>
          <w:spacing w:val="-6"/>
          <w:sz w:val="24"/>
          <w:highlight w:val="none"/>
        </w:rPr>
      </w:pPr>
    </w:p>
    <w:p>
      <w:pPr>
        <w:spacing w:line="360" w:lineRule="auto"/>
        <w:jc w:val="center"/>
        <w:rPr>
          <w:rFonts w:hint="eastAsia" w:ascii="宋体" w:hAnsi="宋体"/>
          <w:bCs/>
          <w:spacing w:val="-6"/>
          <w:sz w:val="24"/>
          <w:highlight w:val="none"/>
        </w:rPr>
      </w:pPr>
      <w:r>
        <w:rPr>
          <w:rFonts w:hint="eastAsia" w:ascii="宋体" w:hAnsi="宋体"/>
          <w:bCs/>
          <w:spacing w:val="-6"/>
          <w:sz w:val="24"/>
          <w:highlight w:val="none"/>
          <w:u w:val="single"/>
        </w:rPr>
        <w:t xml:space="preserve">                    </w:t>
      </w:r>
      <w:r>
        <w:rPr>
          <w:rFonts w:hint="eastAsia" w:ascii="宋体" w:hAnsi="宋体"/>
          <w:bCs/>
          <w:spacing w:val="-6"/>
          <w:sz w:val="24"/>
          <w:highlight w:val="none"/>
        </w:rPr>
        <w:t>（投标人名称）</w:t>
      </w:r>
    </w:p>
    <w:p>
      <w:pPr>
        <w:spacing w:line="360" w:lineRule="auto"/>
        <w:jc w:val="center"/>
        <w:rPr>
          <w:rFonts w:hint="eastAsia" w:ascii="宋体" w:hAnsi="宋体"/>
          <w:b/>
          <w:bCs/>
          <w:spacing w:val="-6"/>
          <w:sz w:val="24"/>
          <w:highlight w:val="none"/>
        </w:rPr>
      </w:pPr>
      <w:r>
        <w:rPr>
          <w:rFonts w:hint="eastAsia" w:ascii="宋体" w:hAnsi="宋体"/>
          <w:b/>
          <w:bCs/>
          <w:spacing w:val="-6"/>
          <w:sz w:val="24"/>
          <w:highlight w:val="none"/>
        </w:rPr>
        <w:t>报价文件</w:t>
      </w:r>
    </w:p>
    <w:p>
      <w:pPr>
        <w:spacing w:line="360" w:lineRule="auto"/>
        <w:rPr>
          <w:rFonts w:hint="eastAsia" w:ascii="宋体" w:hAnsi="宋体" w:eastAsia="宋体"/>
          <w:bCs/>
          <w:spacing w:val="-6"/>
          <w:sz w:val="24"/>
          <w:highlight w:val="none"/>
          <w:lang w:eastAsia="zh-CN"/>
        </w:rPr>
      </w:pPr>
      <w:r>
        <w:rPr>
          <w:rFonts w:hint="eastAsia" w:ascii="宋体" w:hAnsi="宋体"/>
          <w:bCs/>
          <w:spacing w:val="-6"/>
          <w:sz w:val="24"/>
          <w:highlight w:val="none"/>
        </w:rPr>
        <w:t>招标人：</w:t>
      </w:r>
      <w:r>
        <w:rPr>
          <w:rFonts w:hint="eastAsia" w:ascii="宋体" w:hAnsi="宋体"/>
          <w:bCs/>
          <w:spacing w:val="-6"/>
          <w:sz w:val="24"/>
          <w:highlight w:val="none"/>
          <w:lang w:eastAsia="zh-CN"/>
        </w:rPr>
        <w:t>衢州动力电池和储能研究院</w:t>
      </w:r>
    </w:p>
    <w:p>
      <w:pPr>
        <w:spacing w:line="360" w:lineRule="auto"/>
        <w:rPr>
          <w:rFonts w:hint="eastAsia" w:ascii="宋体" w:hAnsi="宋体" w:eastAsia="宋体"/>
          <w:bCs/>
          <w:spacing w:val="-6"/>
          <w:sz w:val="24"/>
          <w:highlight w:val="none"/>
          <w:lang w:eastAsia="zh-CN"/>
        </w:rPr>
      </w:pPr>
      <w:r>
        <w:rPr>
          <w:rFonts w:hint="eastAsia" w:ascii="宋体" w:hAnsi="宋体"/>
          <w:bCs/>
          <w:spacing w:val="-6"/>
          <w:sz w:val="24"/>
          <w:highlight w:val="none"/>
        </w:rPr>
        <w:t>项目名称：</w:t>
      </w:r>
      <w:r>
        <w:rPr>
          <w:rFonts w:hint="eastAsia" w:ascii="宋体" w:hAnsi="宋体"/>
          <w:bCs/>
          <w:spacing w:val="-6"/>
          <w:sz w:val="24"/>
          <w:highlight w:val="none"/>
          <w:lang w:eastAsia="zh-CN"/>
        </w:rPr>
        <w:t>衢州动力电池和储能研究院高能比硫化物全固态电池自动孵化线</w:t>
      </w:r>
    </w:p>
    <w:p>
      <w:pPr>
        <w:spacing w:line="360" w:lineRule="auto"/>
        <w:rPr>
          <w:rFonts w:hint="eastAsia" w:ascii="宋体" w:hAnsi="宋体" w:eastAsia="宋体"/>
          <w:bCs/>
          <w:spacing w:val="-6"/>
          <w:sz w:val="24"/>
          <w:highlight w:val="none"/>
          <w:lang w:eastAsia="zh-CN"/>
        </w:rPr>
      </w:pPr>
      <w:r>
        <w:rPr>
          <w:rFonts w:hint="eastAsia" w:ascii="宋体" w:hAnsi="宋体"/>
          <w:bCs/>
          <w:spacing w:val="-6"/>
          <w:sz w:val="24"/>
          <w:highlight w:val="none"/>
        </w:rPr>
        <w:t>项目编号：</w:t>
      </w:r>
    </w:p>
    <w:p>
      <w:pPr>
        <w:spacing w:line="360" w:lineRule="auto"/>
        <w:rPr>
          <w:rFonts w:hint="eastAsia" w:ascii="宋体" w:hAnsi="宋体"/>
          <w:bCs/>
          <w:spacing w:val="-6"/>
          <w:sz w:val="24"/>
          <w:highlight w:val="none"/>
        </w:rPr>
      </w:pPr>
      <w:r>
        <w:rPr>
          <w:rFonts w:hint="eastAsia" w:ascii="宋体" w:hAnsi="宋体"/>
          <w:bCs/>
          <w:spacing w:val="-6"/>
          <w:sz w:val="24"/>
          <w:highlight w:val="none"/>
        </w:rPr>
        <w:t>投标人名称（盖章）：</w:t>
      </w:r>
    </w:p>
    <w:p>
      <w:pPr>
        <w:spacing w:line="360" w:lineRule="auto"/>
        <w:rPr>
          <w:rFonts w:hint="eastAsia" w:ascii="宋体" w:hAnsi="宋体"/>
          <w:bCs/>
          <w:spacing w:val="-6"/>
          <w:sz w:val="24"/>
          <w:highlight w:val="none"/>
        </w:rPr>
      </w:pPr>
      <w:r>
        <w:rPr>
          <w:rFonts w:hint="eastAsia" w:ascii="宋体" w:hAnsi="宋体"/>
          <w:bCs/>
          <w:spacing w:val="-6"/>
          <w:sz w:val="24"/>
          <w:highlight w:val="none"/>
        </w:rPr>
        <w:t>投标人地址：</w:t>
      </w:r>
    </w:p>
    <w:p>
      <w:pPr>
        <w:spacing w:line="360" w:lineRule="auto"/>
        <w:rPr>
          <w:rFonts w:hint="eastAsia" w:ascii="宋体" w:hAnsi="宋体"/>
          <w:bCs/>
          <w:spacing w:val="-6"/>
          <w:sz w:val="24"/>
          <w:highlight w:val="none"/>
        </w:rPr>
      </w:pPr>
    </w:p>
    <w:p>
      <w:pPr>
        <w:spacing w:line="360" w:lineRule="auto"/>
        <w:rPr>
          <w:rFonts w:hint="eastAsia" w:ascii="宋体" w:hAnsi="宋体"/>
          <w:bCs/>
          <w:spacing w:val="-6"/>
          <w:sz w:val="24"/>
          <w:highlight w:val="none"/>
        </w:rPr>
      </w:pPr>
      <w:r>
        <w:rPr>
          <w:rFonts w:hint="eastAsia" w:ascii="宋体" w:hAnsi="宋体"/>
          <w:bCs/>
          <w:spacing w:val="-6"/>
          <w:sz w:val="24"/>
          <w:highlight w:val="none"/>
        </w:rPr>
        <w:t>投标人代表签字：</w:t>
      </w:r>
    </w:p>
    <w:p>
      <w:pPr>
        <w:spacing w:line="360" w:lineRule="auto"/>
        <w:rPr>
          <w:rFonts w:hint="eastAsia" w:ascii="宋体" w:hAnsi="宋体"/>
          <w:bCs/>
          <w:spacing w:val="-6"/>
          <w:sz w:val="24"/>
          <w:highlight w:val="none"/>
        </w:rPr>
      </w:pPr>
      <w:r>
        <w:rPr>
          <w:rFonts w:hint="eastAsia" w:ascii="宋体" w:hAnsi="宋体"/>
          <w:bCs/>
          <w:spacing w:val="-6"/>
          <w:sz w:val="24"/>
          <w:highlight w:val="none"/>
        </w:rPr>
        <w:t xml:space="preserve">日期：  </w:t>
      </w:r>
      <w:r>
        <w:rPr>
          <w:rFonts w:ascii="宋体" w:hAnsi="宋体"/>
          <w:bCs/>
          <w:spacing w:val="-6"/>
          <w:sz w:val="24"/>
          <w:highlight w:val="none"/>
        </w:rPr>
        <w:t xml:space="preserve">  </w:t>
      </w:r>
      <w:r>
        <w:rPr>
          <w:rFonts w:hint="eastAsia" w:ascii="宋体" w:hAnsi="宋体"/>
          <w:bCs/>
          <w:spacing w:val="-6"/>
          <w:sz w:val="24"/>
          <w:highlight w:val="none"/>
        </w:rPr>
        <w:t>年  月  日</w:t>
      </w:r>
    </w:p>
    <w:p>
      <w:pPr>
        <w:spacing w:line="360" w:lineRule="auto"/>
        <w:jc w:val="center"/>
        <w:rPr>
          <w:rFonts w:hint="eastAsia" w:ascii="宋体" w:hAnsi="宋体"/>
          <w:b/>
          <w:spacing w:val="-6"/>
          <w:sz w:val="52"/>
          <w:szCs w:val="52"/>
          <w:highlight w:val="none"/>
        </w:rPr>
      </w:pPr>
      <w:r>
        <w:rPr>
          <w:rFonts w:ascii="宋体" w:hAnsi="宋体"/>
          <w:bCs/>
          <w:spacing w:val="-6"/>
          <w:sz w:val="24"/>
          <w:highlight w:val="none"/>
        </w:rPr>
        <w:br w:type="page"/>
      </w:r>
      <w:r>
        <w:rPr>
          <w:rFonts w:hint="eastAsia" w:ascii="宋体" w:hAnsi="宋体"/>
          <w:b/>
          <w:spacing w:val="-6"/>
          <w:sz w:val="52"/>
          <w:szCs w:val="52"/>
          <w:highlight w:val="none"/>
        </w:rPr>
        <w:t>报价文件</w:t>
      </w:r>
    </w:p>
    <w:p>
      <w:pPr>
        <w:spacing w:line="360" w:lineRule="auto"/>
        <w:jc w:val="center"/>
        <w:rPr>
          <w:rFonts w:ascii="宋体" w:hAnsi="宋体"/>
          <w:b/>
          <w:spacing w:val="-6"/>
          <w:sz w:val="24"/>
          <w:highlight w:val="none"/>
        </w:rPr>
      </w:pPr>
      <w:r>
        <w:rPr>
          <w:rFonts w:hint="eastAsia" w:ascii="宋体" w:hAnsi="宋体"/>
          <w:b/>
          <w:spacing w:val="-6"/>
          <w:sz w:val="24"/>
          <w:highlight w:val="none"/>
        </w:rPr>
        <w:t>开标一览表</w:t>
      </w:r>
    </w:p>
    <w:p>
      <w:pPr>
        <w:spacing w:line="360" w:lineRule="auto"/>
        <w:jc w:val="center"/>
        <w:rPr>
          <w:rFonts w:hint="eastAsia" w:ascii="宋体" w:hAnsi="宋体"/>
          <w:b/>
          <w:spacing w:val="-6"/>
          <w:sz w:val="24"/>
          <w:highlight w:val="none"/>
        </w:rPr>
      </w:pPr>
    </w:p>
    <w:p>
      <w:pPr>
        <w:spacing w:line="360" w:lineRule="auto"/>
        <w:rPr>
          <w:rFonts w:hint="eastAsia" w:ascii="宋体" w:hAnsi="宋体" w:eastAsia="宋体"/>
          <w:spacing w:val="-6"/>
          <w:sz w:val="24"/>
          <w:highlight w:val="none"/>
          <w:lang w:eastAsia="zh-CN"/>
        </w:rPr>
      </w:pPr>
      <w:r>
        <w:rPr>
          <w:rFonts w:hint="eastAsia" w:ascii="宋体" w:hAnsi="宋体"/>
          <w:spacing w:val="-6"/>
          <w:sz w:val="24"/>
          <w:highlight w:val="none"/>
        </w:rPr>
        <w:t>招标人：</w:t>
      </w:r>
      <w:r>
        <w:rPr>
          <w:rFonts w:hint="eastAsia" w:ascii="宋体" w:hAnsi="宋体"/>
          <w:bCs/>
          <w:spacing w:val="-6"/>
          <w:sz w:val="24"/>
          <w:highlight w:val="none"/>
          <w:lang w:eastAsia="zh-CN"/>
        </w:rPr>
        <w:t>衢州动力电池和储能研究院</w:t>
      </w:r>
    </w:p>
    <w:p>
      <w:pPr>
        <w:spacing w:line="360" w:lineRule="auto"/>
        <w:rPr>
          <w:rFonts w:hint="eastAsia" w:ascii="宋体" w:hAnsi="宋体" w:eastAsia="宋体"/>
          <w:spacing w:val="-6"/>
          <w:sz w:val="24"/>
          <w:highlight w:val="none"/>
          <w:lang w:eastAsia="zh-CN"/>
        </w:rPr>
      </w:pPr>
      <w:r>
        <w:rPr>
          <w:rFonts w:hint="eastAsia" w:ascii="宋体" w:hAnsi="宋体"/>
          <w:spacing w:val="-6"/>
          <w:sz w:val="24"/>
          <w:highlight w:val="none"/>
        </w:rPr>
        <w:t>项目名称：</w:t>
      </w:r>
      <w:r>
        <w:rPr>
          <w:rFonts w:hint="eastAsia" w:ascii="宋体" w:hAnsi="宋体"/>
          <w:spacing w:val="-6"/>
          <w:sz w:val="24"/>
          <w:highlight w:val="none"/>
          <w:lang w:eastAsia="zh-CN"/>
        </w:rPr>
        <w:t>衢州动力电池和储能研究院高能比硫化物全固态电池自动孵化线</w:t>
      </w:r>
    </w:p>
    <w:p>
      <w:pPr>
        <w:spacing w:line="360" w:lineRule="auto"/>
        <w:rPr>
          <w:rFonts w:hint="eastAsia" w:ascii="宋体" w:hAnsi="宋体" w:eastAsia="宋体"/>
          <w:bCs/>
          <w:spacing w:val="-6"/>
          <w:sz w:val="24"/>
          <w:highlight w:val="none"/>
          <w:lang w:eastAsia="zh-CN"/>
        </w:rPr>
      </w:pPr>
      <w:r>
        <w:rPr>
          <w:rFonts w:hint="eastAsia" w:ascii="宋体" w:hAnsi="宋体"/>
          <w:spacing w:val="-6"/>
          <w:sz w:val="24"/>
          <w:highlight w:val="none"/>
        </w:rPr>
        <w:t>项目编号：</w:t>
      </w:r>
    </w:p>
    <w:p>
      <w:pPr>
        <w:spacing w:line="360" w:lineRule="auto"/>
        <w:rPr>
          <w:rFonts w:hint="eastAsia" w:ascii="宋体" w:hAnsi="宋体"/>
          <w:spacing w:val="-6"/>
          <w:sz w:val="24"/>
          <w:highlight w:val="none"/>
        </w:rPr>
      </w:pPr>
      <w:r>
        <w:rPr>
          <w:rFonts w:hint="eastAsia" w:ascii="宋体" w:hAnsi="宋体"/>
          <w:spacing w:val="-6"/>
          <w:sz w:val="24"/>
          <w:highlight w:val="none"/>
        </w:rPr>
        <w:t>投标人名称：</w:t>
      </w:r>
    </w:p>
    <w:tbl>
      <w:tblPr>
        <w:tblStyle w:val="4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3116"/>
        <w:gridCol w:w="53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b/>
                <w:sz w:val="24"/>
                <w:szCs w:val="24"/>
                <w:highlight w:val="none"/>
              </w:rPr>
            </w:pPr>
            <w:r>
              <w:rPr>
                <w:rFonts w:hint="eastAsia" w:ascii="宋体" w:hAnsi="宋体"/>
                <w:b/>
                <w:sz w:val="24"/>
                <w:szCs w:val="24"/>
                <w:highlight w:val="none"/>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7" w:hRule="atLeast"/>
        </w:trPr>
        <w:tc>
          <w:tcPr>
            <w:tcW w:w="3649" w:type="dxa"/>
            <w:gridSpan w:val="2"/>
            <w:tcBorders>
              <w:top w:val="single" w:color="auto" w:sz="4" w:space="0"/>
              <w:left w:val="single" w:color="auto" w:sz="4" w:space="0"/>
              <w:right w:val="single" w:color="auto" w:sz="4" w:space="0"/>
            </w:tcBorders>
            <w:noWrap w:val="0"/>
            <w:vAlign w:val="top"/>
          </w:tcPr>
          <w:p>
            <w:pPr>
              <w:snapToGrid w:val="0"/>
              <w:spacing w:line="400" w:lineRule="exact"/>
              <w:jc w:val="center"/>
              <w:rPr>
                <w:rFonts w:hint="eastAsia" w:ascii="宋体" w:hAnsi="宋体"/>
                <w:b/>
                <w:sz w:val="24"/>
                <w:szCs w:val="24"/>
                <w:highlight w:val="none"/>
              </w:rPr>
            </w:pPr>
          </w:p>
          <w:p>
            <w:pPr>
              <w:snapToGrid w:val="0"/>
              <w:spacing w:line="400" w:lineRule="exact"/>
              <w:jc w:val="center"/>
              <w:rPr>
                <w:rFonts w:ascii="宋体" w:hAnsi="宋体"/>
                <w:b/>
                <w:sz w:val="24"/>
                <w:szCs w:val="24"/>
                <w:highlight w:val="none"/>
              </w:rPr>
            </w:pPr>
            <w:r>
              <w:rPr>
                <w:rFonts w:hint="eastAsia" w:ascii="宋体" w:hAnsi="宋体"/>
                <w:b/>
                <w:sz w:val="24"/>
                <w:szCs w:val="24"/>
                <w:highlight w:val="none"/>
              </w:rPr>
              <w:t>项目名称</w:t>
            </w:r>
          </w:p>
        </w:tc>
        <w:tc>
          <w:tcPr>
            <w:tcW w:w="5396"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宋体" w:hAnsi="宋体"/>
                <w:b/>
                <w:sz w:val="24"/>
                <w:szCs w:val="24"/>
                <w:highlight w:val="none"/>
              </w:rPr>
            </w:pPr>
            <w:r>
              <w:rPr>
                <w:rFonts w:hint="eastAsia" w:ascii="宋体" w:hAnsi="宋体"/>
                <w:b/>
                <w:sz w:val="24"/>
                <w:szCs w:val="24"/>
                <w:highlight w:val="none"/>
              </w:rPr>
              <w:t>投标总价（元）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3649" w:type="dxa"/>
            <w:gridSpan w:val="2"/>
            <w:tcBorders>
              <w:top w:val="single" w:color="auto" w:sz="4" w:space="0"/>
              <w:left w:val="single" w:color="auto" w:sz="4" w:space="0"/>
              <w:right w:val="single" w:color="auto" w:sz="4" w:space="0"/>
            </w:tcBorders>
            <w:noWrap w:val="0"/>
            <w:vAlign w:val="top"/>
          </w:tcPr>
          <w:p>
            <w:pPr>
              <w:pStyle w:val="269"/>
              <w:spacing w:line="520" w:lineRule="exact"/>
              <w:ind w:firstLine="0" w:firstLineChars="0"/>
              <w:rPr>
                <w:rFonts w:hint="eastAsia" w:ascii="宋体" w:eastAsia="宋体"/>
                <w:sz w:val="28"/>
                <w:highlight w:val="none"/>
              </w:rPr>
            </w:pPr>
            <w:r>
              <w:rPr>
                <w:rFonts w:hint="eastAsia" w:ascii="宋体" w:eastAsia="宋体" w:cs="Times New Roman"/>
                <w:spacing w:val="-6"/>
                <w:kern w:val="2"/>
                <w:sz w:val="24"/>
                <w:szCs w:val="24"/>
                <w:highlight w:val="none"/>
                <w:lang w:val="en-US" w:eastAsia="zh-CN" w:bidi="ar-SA"/>
              </w:rPr>
              <w:t>衢州动力电池和储能研究院高能比硫化物全固态电池自动孵化线</w:t>
            </w:r>
          </w:p>
        </w:tc>
        <w:tc>
          <w:tcPr>
            <w:tcW w:w="5396"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ascii="宋体" w:hAnsi="宋体"/>
                <w:b/>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b/>
                <w:sz w:val="24"/>
                <w:szCs w:val="24"/>
                <w:highlight w:val="none"/>
              </w:rPr>
            </w:pPr>
            <w:r>
              <w:rPr>
                <w:rFonts w:hint="eastAsia" w:ascii="宋体" w:hAnsi="宋体"/>
                <w:b/>
                <w:sz w:val="24"/>
                <w:szCs w:val="24"/>
                <w:highlight w:val="none"/>
              </w:rPr>
              <w:t>投标总价合计金额大写：                                小写： ￥</w:t>
            </w:r>
            <w:r>
              <w:rPr>
                <w:rFonts w:hint="eastAsia" w:ascii="宋体" w:hAnsi="宋体"/>
                <w:b/>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sz w:val="24"/>
                <w:szCs w:val="24"/>
                <w:highlight w:val="none"/>
              </w:rPr>
            </w:pPr>
            <w:r>
              <w:rPr>
                <w:rFonts w:hint="eastAsia" w:ascii="宋体" w:hAnsi="宋体"/>
                <w:sz w:val="24"/>
                <w:szCs w:val="24"/>
                <w:highlight w:val="none"/>
              </w:rPr>
              <w:t>备注</w:t>
            </w:r>
          </w:p>
        </w:tc>
        <w:tc>
          <w:tcPr>
            <w:tcW w:w="851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sz w:val="24"/>
                <w:szCs w:val="24"/>
                <w:highlight w:val="none"/>
              </w:rPr>
            </w:pPr>
            <w:r>
              <w:rPr>
                <w:rFonts w:hint="eastAsia" w:ascii="宋体" w:hAnsi="宋体"/>
                <w:sz w:val="24"/>
                <w:szCs w:val="24"/>
                <w:highlight w:val="none"/>
              </w:rPr>
              <w:t>1、此表应按项目的明细情况列项填报,在填写时，如上表不适合本项目的实际情况，可在确保投标明细内容完整的情况下，根据上表格式自行划表填写。</w:t>
            </w:r>
          </w:p>
          <w:p>
            <w:pPr>
              <w:snapToGrid w:val="0"/>
              <w:rPr>
                <w:rFonts w:hint="eastAsia" w:ascii="宋体" w:hAnsi="宋体"/>
                <w:sz w:val="24"/>
                <w:szCs w:val="24"/>
                <w:highlight w:val="none"/>
              </w:rPr>
            </w:pPr>
            <w:r>
              <w:rPr>
                <w:rFonts w:hint="eastAsia" w:ascii="宋体" w:hAnsi="宋体"/>
                <w:sz w:val="24"/>
                <w:szCs w:val="24"/>
                <w:highlight w:val="none"/>
              </w:rPr>
              <w:t>2、报价要求：项目费用包括项目实施所需的设计费、购置费、运输费、安装费、场地改造费、调试费</w:t>
            </w:r>
            <w:r>
              <w:rPr>
                <w:rFonts w:hint="eastAsia" w:ascii="宋体" w:hAnsi="宋体"/>
                <w:sz w:val="24"/>
                <w:szCs w:val="24"/>
                <w:highlight w:val="none"/>
                <w:lang w:eastAsia="zh-CN"/>
              </w:rPr>
              <w:t>、</w:t>
            </w:r>
            <w:r>
              <w:rPr>
                <w:rFonts w:hint="eastAsia" w:ascii="宋体" w:hAnsi="宋体"/>
                <w:sz w:val="24"/>
                <w:szCs w:val="24"/>
                <w:highlight w:val="none"/>
              </w:rPr>
              <w:t>售后服务费</w:t>
            </w:r>
            <w:r>
              <w:rPr>
                <w:rFonts w:hint="eastAsia" w:ascii="宋体" w:hAnsi="宋体"/>
                <w:sz w:val="24"/>
                <w:szCs w:val="24"/>
                <w:highlight w:val="none"/>
                <w:lang w:eastAsia="zh-CN"/>
              </w:rPr>
              <w:t>、</w:t>
            </w:r>
            <w:r>
              <w:rPr>
                <w:rFonts w:hint="eastAsia" w:ascii="宋体" w:hAnsi="宋体"/>
                <w:sz w:val="24"/>
                <w:szCs w:val="24"/>
                <w:highlight w:val="none"/>
              </w:rPr>
              <w:t>税金及其他一切费用。</w:t>
            </w:r>
          </w:p>
          <w:p>
            <w:pPr>
              <w:snapToGrid w:val="0"/>
              <w:rPr>
                <w:rFonts w:ascii="宋体" w:hAnsi="宋体"/>
                <w:sz w:val="24"/>
                <w:szCs w:val="24"/>
                <w:highlight w:val="none"/>
              </w:rPr>
            </w:pPr>
            <w:r>
              <w:rPr>
                <w:rFonts w:hint="eastAsia" w:ascii="宋体" w:hAnsi="宋体"/>
                <w:sz w:val="24"/>
                <w:szCs w:val="24"/>
                <w:highlight w:val="none"/>
              </w:rPr>
              <w:t>3、报价中不允许出现报价优惠等字样,投标总价合计金额应与明细报价汇总相等。</w:t>
            </w:r>
          </w:p>
        </w:tc>
      </w:tr>
    </w:tbl>
    <w:p>
      <w:pPr>
        <w:spacing w:line="360" w:lineRule="auto"/>
        <w:rPr>
          <w:rFonts w:ascii="宋体" w:hAnsi="宋体"/>
          <w:spacing w:val="-6"/>
          <w:sz w:val="24"/>
          <w:highlight w:val="none"/>
        </w:rPr>
      </w:pPr>
    </w:p>
    <w:p>
      <w:pPr>
        <w:spacing w:line="360" w:lineRule="auto"/>
        <w:rPr>
          <w:rFonts w:hint="eastAsia" w:ascii="宋体" w:hAnsi="宋体"/>
          <w:spacing w:val="-6"/>
          <w:sz w:val="24"/>
          <w:highlight w:val="none"/>
        </w:rPr>
      </w:pPr>
    </w:p>
    <w:p>
      <w:pPr>
        <w:spacing w:line="360" w:lineRule="auto"/>
        <w:ind w:right="-817" w:rightChars="-389"/>
        <w:rPr>
          <w:rFonts w:hint="eastAsia" w:ascii="宋体" w:hAnsi="宋体"/>
          <w:spacing w:val="-6"/>
          <w:sz w:val="24"/>
          <w:highlight w:val="none"/>
        </w:rPr>
      </w:pPr>
      <w:r>
        <w:rPr>
          <w:rFonts w:hint="eastAsia" w:ascii="宋体" w:hAnsi="宋体"/>
          <w:spacing w:val="-6"/>
          <w:sz w:val="24"/>
          <w:highlight w:val="none"/>
        </w:rPr>
        <w:t>投标人名称（盖章）：</w:t>
      </w:r>
    </w:p>
    <w:p>
      <w:pPr>
        <w:spacing w:line="360" w:lineRule="auto"/>
        <w:ind w:right="-817" w:rightChars="-389"/>
        <w:rPr>
          <w:rFonts w:hint="eastAsia" w:ascii="宋体" w:hAnsi="宋体"/>
          <w:spacing w:val="-6"/>
          <w:sz w:val="24"/>
          <w:highlight w:val="none"/>
        </w:rPr>
      </w:pPr>
      <w:r>
        <w:rPr>
          <w:rFonts w:hint="eastAsia" w:ascii="宋体" w:hAnsi="宋体"/>
          <w:spacing w:val="-6"/>
          <w:sz w:val="24"/>
          <w:highlight w:val="none"/>
        </w:rPr>
        <w:t>投标人代表签字：</w:t>
      </w:r>
    </w:p>
    <w:p>
      <w:pPr>
        <w:spacing w:line="360" w:lineRule="auto"/>
        <w:ind w:right="-817" w:rightChars="-389"/>
        <w:rPr>
          <w:rFonts w:hint="eastAsia" w:ascii="宋体" w:hAnsi="宋体"/>
          <w:spacing w:val="-6"/>
          <w:sz w:val="24"/>
          <w:highlight w:val="none"/>
        </w:rPr>
      </w:pPr>
      <w:r>
        <w:rPr>
          <w:rFonts w:hint="eastAsia" w:ascii="宋体" w:hAnsi="宋体"/>
          <w:bCs/>
          <w:spacing w:val="-6"/>
          <w:sz w:val="24"/>
          <w:highlight w:val="none"/>
        </w:rPr>
        <w:t xml:space="preserve">日期：  </w:t>
      </w:r>
      <w:r>
        <w:rPr>
          <w:rFonts w:ascii="宋体" w:hAnsi="宋体"/>
          <w:bCs/>
          <w:spacing w:val="-6"/>
          <w:sz w:val="24"/>
          <w:highlight w:val="none"/>
        </w:rPr>
        <w:t xml:space="preserve">  </w:t>
      </w:r>
      <w:r>
        <w:rPr>
          <w:rFonts w:hint="eastAsia" w:ascii="宋体" w:hAnsi="宋体"/>
          <w:bCs/>
          <w:spacing w:val="-6"/>
          <w:sz w:val="24"/>
          <w:highlight w:val="none"/>
        </w:rPr>
        <w:t>年  月  日</w:t>
      </w:r>
    </w:p>
    <w:p>
      <w:pPr>
        <w:spacing w:line="360" w:lineRule="auto"/>
        <w:jc w:val="center"/>
        <w:rPr>
          <w:rFonts w:ascii="宋体" w:hAnsi="宋体"/>
          <w:b/>
          <w:spacing w:val="-6"/>
          <w:sz w:val="24"/>
          <w:highlight w:val="none"/>
        </w:rPr>
      </w:pPr>
      <w:r>
        <w:rPr>
          <w:rFonts w:ascii="宋体" w:hAnsi="宋体"/>
          <w:b/>
          <w:spacing w:val="-6"/>
          <w:sz w:val="24"/>
          <w:highlight w:val="none"/>
        </w:rPr>
        <w:br w:type="page"/>
      </w:r>
    </w:p>
    <w:p>
      <w:pPr>
        <w:rPr>
          <w:rFonts w:hint="eastAsia" w:ascii="宋体" w:hAnsi="宋体"/>
          <w:b/>
          <w:bCs/>
          <w:spacing w:val="-6"/>
          <w:sz w:val="24"/>
          <w:highlight w:val="none"/>
        </w:rPr>
      </w:pPr>
    </w:p>
    <w:p>
      <w:pPr>
        <w:pStyle w:val="19"/>
        <w:spacing w:line="600" w:lineRule="exact"/>
        <w:ind w:firstLine="0"/>
        <w:jc w:val="center"/>
        <w:rPr>
          <w:rFonts w:hint="eastAsia" w:hAnsi="宋体" w:cs="宋体"/>
          <w:b/>
          <w:bCs/>
          <w:snapToGrid w:val="0"/>
          <w:kern w:val="0"/>
          <w:sz w:val="28"/>
          <w:szCs w:val="28"/>
          <w:highlight w:val="none"/>
        </w:rPr>
      </w:pPr>
      <w:r>
        <w:rPr>
          <w:rFonts w:hint="eastAsia" w:hAnsi="宋体" w:cs="宋体"/>
          <w:b/>
          <w:bCs/>
          <w:snapToGrid w:val="0"/>
          <w:kern w:val="0"/>
          <w:sz w:val="28"/>
          <w:szCs w:val="28"/>
          <w:highlight w:val="none"/>
        </w:rPr>
        <w:t>报价明细表</w:t>
      </w:r>
    </w:p>
    <w:p>
      <w:pPr>
        <w:snapToGrid w:val="0"/>
        <w:rPr>
          <w:rFonts w:hint="eastAsia" w:ascii="宋体" w:hAnsi="宋体"/>
          <w:b/>
          <w:sz w:val="28"/>
          <w:szCs w:val="28"/>
          <w:highlight w:val="none"/>
          <w:u w:val="single"/>
        </w:rPr>
      </w:pPr>
      <w:r>
        <w:rPr>
          <w:rFonts w:hint="eastAsia" w:ascii="宋体" w:hAnsi="宋体"/>
          <w:sz w:val="28"/>
          <w:szCs w:val="28"/>
          <w:highlight w:val="none"/>
        </w:rPr>
        <w:t>招标编号：</w:t>
      </w:r>
      <w:r>
        <w:rPr>
          <w:rFonts w:hint="eastAsia" w:ascii="宋体" w:hAnsi="宋体"/>
          <w:b/>
          <w:sz w:val="28"/>
          <w:szCs w:val="28"/>
          <w:highlight w:val="none"/>
          <w:u w:val="single"/>
        </w:rPr>
        <w:t xml:space="preserve">                          </w:t>
      </w:r>
    </w:p>
    <w:p>
      <w:pPr>
        <w:jc w:val="right"/>
        <w:rPr>
          <w:rFonts w:hint="eastAsia" w:ascii="宋体" w:hAnsi="宋体" w:cs="宋体"/>
          <w:highlight w:val="none"/>
        </w:rPr>
      </w:pPr>
      <w:r>
        <w:rPr>
          <w:rFonts w:hint="eastAsia" w:ascii="宋体" w:hAnsi="宋体" w:cs="宋体"/>
          <w:highlight w:val="none"/>
        </w:rPr>
        <w:t xml:space="preserve"> 元人民币</w:t>
      </w:r>
    </w:p>
    <w:tbl>
      <w:tblPr>
        <w:tblStyle w:val="48"/>
        <w:tblW w:w="5030" w:type="pct"/>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0" w:type="dxa"/>
          <w:left w:w="0" w:type="dxa"/>
          <w:bottom w:w="0" w:type="dxa"/>
          <w:right w:w="0" w:type="dxa"/>
        </w:tblCellMar>
      </w:tblPr>
      <w:tblGrid>
        <w:gridCol w:w="591"/>
        <w:gridCol w:w="2082"/>
        <w:gridCol w:w="1354"/>
        <w:gridCol w:w="924"/>
        <w:gridCol w:w="924"/>
        <w:gridCol w:w="924"/>
        <w:gridCol w:w="1425"/>
        <w:gridCol w:w="922"/>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3" w:type="pct"/>
            <w:noWrap w:val="0"/>
            <w:vAlign w:val="center"/>
          </w:tcPr>
          <w:p>
            <w:pPr>
              <w:spacing w:line="460" w:lineRule="exact"/>
              <w:jc w:val="center"/>
              <w:rPr>
                <w:rFonts w:hint="eastAsia" w:ascii="宋体" w:hAnsi="宋体" w:cs="宋体"/>
                <w:sz w:val="24"/>
                <w:highlight w:val="none"/>
              </w:rPr>
            </w:pPr>
            <w:r>
              <w:rPr>
                <w:rFonts w:hint="eastAsia" w:ascii="宋体" w:hAnsi="宋体" w:cs="宋体"/>
                <w:sz w:val="24"/>
                <w:highlight w:val="none"/>
              </w:rPr>
              <w:t>序号</w:t>
            </w:r>
          </w:p>
        </w:tc>
        <w:tc>
          <w:tcPr>
            <w:tcW w:w="1138" w:type="pct"/>
            <w:noWrap w:val="0"/>
            <w:vAlign w:val="center"/>
          </w:tcPr>
          <w:p>
            <w:pPr>
              <w:spacing w:line="460" w:lineRule="exact"/>
              <w:jc w:val="center"/>
              <w:rPr>
                <w:rFonts w:hint="eastAsia" w:ascii="宋体" w:hAnsi="宋体" w:cs="宋体"/>
                <w:sz w:val="24"/>
                <w:highlight w:val="none"/>
              </w:rPr>
            </w:pPr>
            <w:r>
              <w:rPr>
                <w:rFonts w:hint="eastAsia" w:ascii="宋体" w:hAnsi="宋体" w:cs="宋体"/>
                <w:sz w:val="24"/>
                <w:highlight w:val="none"/>
              </w:rPr>
              <w:t>名称</w:t>
            </w:r>
          </w:p>
        </w:tc>
        <w:tc>
          <w:tcPr>
            <w:tcW w:w="740" w:type="pct"/>
            <w:noWrap w:val="0"/>
            <w:vAlign w:val="center"/>
          </w:tcPr>
          <w:p>
            <w:pPr>
              <w:spacing w:line="460" w:lineRule="exact"/>
              <w:jc w:val="center"/>
              <w:rPr>
                <w:rFonts w:hint="eastAsia" w:ascii="宋体" w:hAnsi="宋体" w:cs="宋体"/>
                <w:sz w:val="24"/>
                <w:highlight w:val="none"/>
              </w:rPr>
            </w:pPr>
            <w:r>
              <w:rPr>
                <w:rFonts w:hint="eastAsia" w:ascii="宋体" w:hAnsi="宋体" w:cs="宋体"/>
                <w:sz w:val="24"/>
                <w:highlight w:val="none"/>
              </w:rPr>
              <w:t>数量</w:t>
            </w:r>
          </w:p>
        </w:tc>
        <w:tc>
          <w:tcPr>
            <w:tcW w:w="505" w:type="pct"/>
            <w:noWrap w:val="0"/>
            <w:vAlign w:val="center"/>
          </w:tcPr>
          <w:p>
            <w:pPr>
              <w:spacing w:line="460" w:lineRule="exact"/>
              <w:jc w:val="center"/>
              <w:rPr>
                <w:rFonts w:hint="eastAsia" w:ascii="宋体" w:hAnsi="宋体" w:eastAsia="宋体" w:cs="宋体"/>
                <w:sz w:val="24"/>
                <w:highlight w:val="none"/>
                <w:lang w:eastAsia="zh-CN"/>
              </w:rPr>
            </w:pPr>
            <w:r>
              <w:rPr>
                <w:rFonts w:hint="eastAsia" w:ascii="宋体" w:hAnsi="宋体" w:cs="宋体"/>
                <w:sz w:val="24"/>
                <w:highlight w:val="none"/>
                <w:lang w:eastAsia="zh-CN"/>
              </w:rPr>
              <w:t>品牌</w:t>
            </w:r>
          </w:p>
        </w:tc>
        <w:tc>
          <w:tcPr>
            <w:tcW w:w="505" w:type="pct"/>
            <w:noWrap w:val="0"/>
            <w:vAlign w:val="center"/>
          </w:tcPr>
          <w:p>
            <w:pPr>
              <w:spacing w:line="460" w:lineRule="exact"/>
              <w:jc w:val="center"/>
              <w:rPr>
                <w:rFonts w:hint="eastAsia" w:ascii="宋体" w:hAnsi="宋体" w:cs="宋体"/>
                <w:sz w:val="24"/>
                <w:highlight w:val="none"/>
                <w:lang w:eastAsia="zh-CN"/>
              </w:rPr>
            </w:pPr>
            <w:r>
              <w:rPr>
                <w:rFonts w:hint="eastAsia" w:ascii="宋体" w:hAnsi="宋体" w:cs="宋体"/>
                <w:sz w:val="24"/>
                <w:highlight w:val="none"/>
                <w:lang w:eastAsia="zh-CN"/>
              </w:rPr>
              <w:t>规格型号</w:t>
            </w:r>
          </w:p>
        </w:tc>
        <w:tc>
          <w:tcPr>
            <w:tcW w:w="505" w:type="pct"/>
            <w:noWrap w:val="0"/>
            <w:vAlign w:val="center"/>
          </w:tcPr>
          <w:p>
            <w:pPr>
              <w:spacing w:line="460" w:lineRule="exact"/>
              <w:jc w:val="center"/>
              <w:rPr>
                <w:rFonts w:hint="eastAsia" w:ascii="宋体" w:hAnsi="宋体" w:cs="宋体"/>
                <w:sz w:val="24"/>
                <w:highlight w:val="none"/>
              </w:rPr>
            </w:pPr>
            <w:r>
              <w:rPr>
                <w:rFonts w:hint="eastAsia" w:ascii="宋体" w:hAnsi="宋体" w:cs="宋体"/>
                <w:sz w:val="24"/>
                <w:highlight w:val="none"/>
              </w:rPr>
              <w:t>单价</w:t>
            </w:r>
          </w:p>
        </w:tc>
        <w:tc>
          <w:tcPr>
            <w:tcW w:w="779" w:type="pct"/>
            <w:noWrap w:val="0"/>
            <w:vAlign w:val="center"/>
          </w:tcPr>
          <w:p>
            <w:pPr>
              <w:spacing w:line="460" w:lineRule="exact"/>
              <w:jc w:val="center"/>
              <w:rPr>
                <w:rFonts w:hint="eastAsia" w:ascii="宋体" w:hAnsi="宋体" w:cs="宋体"/>
                <w:sz w:val="24"/>
                <w:highlight w:val="none"/>
              </w:rPr>
            </w:pPr>
            <w:r>
              <w:rPr>
                <w:rFonts w:hint="eastAsia" w:ascii="宋体" w:hAnsi="宋体" w:cs="宋体"/>
                <w:sz w:val="24"/>
                <w:highlight w:val="none"/>
              </w:rPr>
              <w:t>总价</w:t>
            </w:r>
          </w:p>
        </w:tc>
        <w:tc>
          <w:tcPr>
            <w:tcW w:w="502" w:type="pct"/>
            <w:noWrap w:val="0"/>
            <w:vAlign w:val="center"/>
          </w:tcPr>
          <w:p>
            <w:pPr>
              <w:spacing w:line="460" w:lineRule="exact"/>
              <w:jc w:val="center"/>
              <w:rPr>
                <w:rFonts w:hint="eastAsia" w:ascii="宋体" w:hAnsi="宋体" w:cs="宋体"/>
                <w:sz w:val="24"/>
                <w:highlight w:val="none"/>
              </w:rPr>
            </w:pPr>
            <w:r>
              <w:rPr>
                <w:rFonts w:hint="eastAsia" w:ascii="宋体" w:hAnsi="宋体" w:cs="宋体"/>
                <w:sz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3" w:type="pct"/>
            <w:noWrap w:val="0"/>
            <w:vAlign w:val="center"/>
          </w:tcPr>
          <w:p>
            <w:pPr>
              <w:spacing w:line="460" w:lineRule="exact"/>
              <w:jc w:val="center"/>
              <w:rPr>
                <w:rFonts w:hint="eastAsia" w:ascii="宋体" w:hAnsi="宋体" w:eastAsia="宋体" w:cs="宋体"/>
                <w:i/>
                <w:iCs/>
                <w:sz w:val="24"/>
                <w:highlight w:val="none"/>
                <w:lang w:val="en-US" w:eastAsia="zh-CN"/>
              </w:rPr>
            </w:pPr>
            <w:r>
              <w:rPr>
                <w:rFonts w:hint="eastAsia" w:ascii="宋体" w:hAnsi="宋体" w:cs="宋体"/>
                <w:i/>
                <w:iCs/>
                <w:sz w:val="24"/>
                <w:highlight w:val="none"/>
                <w:lang w:val="en-US" w:eastAsia="zh-CN"/>
              </w:rPr>
              <w:t>1</w:t>
            </w:r>
          </w:p>
        </w:tc>
        <w:tc>
          <w:tcPr>
            <w:tcW w:w="1138" w:type="pct"/>
            <w:noWrap w:val="0"/>
            <w:vAlign w:val="center"/>
          </w:tcPr>
          <w:p>
            <w:pPr>
              <w:keepNext w:val="0"/>
              <w:keepLines w:val="0"/>
              <w:widowControl/>
              <w:suppressLineNumbers w:val="0"/>
              <w:jc w:val="center"/>
              <w:textAlignment w:val="center"/>
              <w:rPr>
                <w:rFonts w:hint="eastAsia" w:ascii="宋体" w:hAnsi="宋体" w:cs="宋体"/>
                <w:i/>
                <w:iCs/>
                <w:sz w:val="24"/>
                <w:highlight w:val="none"/>
              </w:rPr>
            </w:pPr>
          </w:p>
        </w:tc>
        <w:tc>
          <w:tcPr>
            <w:tcW w:w="740" w:type="pct"/>
            <w:noWrap w:val="0"/>
            <w:vAlign w:val="center"/>
          </w:tcPr>
          <w:p>
            <w:pPr>
              <w:spacing w:line="460" w:lineRule="exact"/>
              <w:jc w:val="center"/>
              <w:rPr>
                <w:rFonts w:hint="eastAsia" w:ascii="宋体" w:hAnsi="宋体" w:cs="宋体"/>
                <w:sz w:val="24"/>
                <w:highlight w:val="none"/>
              </w:rPr>
            </w:pPr>
          </w:p>
        </w:tc>
        <w:tc>
          <w:tcPr>
            <w:tcW w:w="505" w:type="pct"/>
            <w:noWrap w:val="0"/>
            <w:vAlign w:val="center"/>
          </w:tcPr>
          <w:p>
            <w:pPr>
              <w:spacing w:line="460" w:lineRule="exact"/>
              <w:jc w:val="center"/>
              <w:rPr>
                <w:rFonts w:hint="eastAsia" w:ascii="宋体" w:hAnsi="宋体" w:cs="宋体"/>
                <w:sz w:val="24"/>
                <w:highlight w:val="none"/>
              </w:rPr>
            </w:pPr>
          </w:p>
        </w:tc>
        <w:tc>
          <w:tcPr>
            <w:tcW w:w="505" w:type="pct"/>
            <w:noWrap w:val="0"/>
            <w:vAlign w:val="center"/>
          </w:tcPr>
          <w:p>
            <w:pPr>
              <w:spacing w:line="460" w:lineRule="exact"/>
              <w:jc w:val="center"/>
              <w:rPr>
                <w:rFonts w:hint="eastAsia" w:ascii="宋体" w:hAnsi="宋体" w:cs="宋体"/>
                <w:sz w:val="24"/>
                <w:highlight w:val="none"/>
              </w:rPr>
            </w:pPr>
          </w:p>
        </w:tc>
        <w:tc>
          <w:tcPr>
            <w:tcW w:w="505" w:type="pct"/>
            <w:noWrap w:val="0"/>
            <w:vAlign w:val="center"/>
          </w:tcPr>
          <w:p>
            <w:pPr>
              <w:spacing w:line="460" w:lineRule="exact"/>
              <w:jc w:val="center"/>
              <w:rPr>
                <w:rFonts w:hint="eastAsia" w:ascii="宋体" w:hAnsi="宋体" w:cs="宋体"/>
                <w:sz w:val="24"/>
                <w:highlight w:val="none"/>
              </w:rPr>
            </w:pPr>
          </w:p>
        </w:tc>
        <w:tc>
          <w:tcPr>
            <w:tcW w:w="779" w:type="pct"/>
            <w:noWrap w:val="0"/>
            <w:vAlign w:val="center"/>
          </w:tcPr>
          <w:p>
            <w:pPr>
              <w:spacing w:line="460" w:lineRule="exact"/>
              <w:jc w:val="center"/>
              <w:rPr>
                <w:rFonts w:hint="eastAsia" w:ascii="宋体" w:hAnsi="宋体" w:cs="宋体"/>
                <w:sz w:val="24"/>
                <w:highlight w:val="none"/>
              </w:rPr>
            </w:pPr>
          </w:p>
        </w:tc>
        <w:tc>
          <w:tcPr>
            <w:tcW w:w="502" w:type="pct"/>
            <w:noWrap w:val="0"/>
            <w:vAlign w:val="center"/>
          </w:tcPr>
          <w:p>
            <w:pPr>
              <w:spacing w:line="460" w:lineRule="exact"/>
              <w:jc w:val="center"/>
              <w:rPr>
                <w:rFonts w:hint="eastAsia"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3" w:type="pct"/>
            <w:noWrap w:val="0"/>
            <w:vAlign w:val="center"/>
          </w:tcPr>
          <w:p>
            <w:pPr>
              <w:spacing w:line="460" w:lineRule="exact"/>
              <w:jc w:val="center"/>
              <w:rPr>
                <w:rFonts w:hint="eastAsia" w:ascii="宋体" w:hAnsi="宋体" w:eastAsia="宋体" w:cs="宋体"/>
                <w:i/>
                <w:iCs/>
                <w:sz w:val="24"/>
                <w:highlight w:val="none"/>
                <w:lang w:val="en-US" w:eastAsia="zh-CN"/>
              </w:rPr>
            </w:pPr>
            <w:r>
              <w:rPr>
                <w:rFonts w:hint="eastAsia" w:ascii="宋体" w:hAnsi="宋体" w:cs="宋体"/>
                <w:i/>
                <w:iCs/>
                <w:sz w:val="24"/>
                <w:highlight w:val="none"/>
                <w:lang w:val="en-US" w:eastAsia="zh-CN"/>
              </w:rPr>
              <w:t>2</w:t>
            </w:r>
          </w:p>
        </w:tc>
        <w:tc>
          <w:tcPr>
            <w:tcW w:w="1138" w:type="pct"/>
            <w:noWrap w:val="0"/>
            <w:vAlign w:val="center"/>
          </w:tcPr>
          <w:p>
            <w:pPr>
              <w:keepNext w:val="0"/>
              <w:keepLines w:val="0"/>
              <w:widowControl/>
              <w:suppressLineNumbers w:val="0"/>
              <w:jc w:val="center"/>
              <w:textAlignment w:val="center"/>
              <w:rPr>
                <w:rFonts w:hint="eastAsia" w:ascii="宋体" w:hAnsi="宋体" w:cs="宋体"/>
                <w:i/>
                <w:iCs/>
                <w:sz w:val="24"/>
                <w:highlight w:val="none"/>
              </w:rPr>
            </w:pPr>
          </w:p>
        </w:tc>
        <w:tc>
          <w:tcPr>
            <w:tcW w:w="740" w:type="pct"/>
            <w:noWrap w:val="0"/>
            <w:vAlign w:val="center"/>
          </w:tcPr>
          <w:p>
            <w:pPr>
              <w:spacing w:line="460" w:lineRule="exact"/>
              <w:jc w:val="center"/>
              <w:rPr>
                <w:rFonts w:hint="eastAsia" w:ascii="宋体" w:hAnsi="宋体" w:cs="宋体"/>
                <w:sz w:val="24"/>
                <w:highlight w:val="none"/>
              </w:rPr>
            </w:pPr>
          </w:p>
        </w:tc>
        <w:tc>
          <w:tcPr>
            <w:tcW w:w="505" w:type="pct"/>
            <w:noWrap w:val="0"/>
            <w:vAlign w:val="center"/>
          </w:tcPr>
          <w:p>
            <w:pPr>
              <w:spacing w:line="460" w:lineRule="exact"/>
              <w:jc w:val="center"/>
              <w:rPr>
                <w:rFonts w:hint="eastAsia" w:ascii="宋体" w:hAnsi="宋体" w:cs="宋体"/>
                <w:sz w:val="24"/>
                <w:highlight w:val="none"/>
              </w:rPr>
            </w:pPr>
          </w:p>
        </w:tc>
        <w:tc>
          <w:tcPr>
            <w:tcW w:w="505" w:type="pct"/>
            <w:noWrap w:val="0"/>
            <w:vAlign w:val="center"/>
          </w:tcPr>
          <w:p>
            <w:pPr>
              <w:spacing w:line="460" w:lineRule="exact"/>
              <w:jc w:val="center"/>
              <w:rPr>
                <w:rFonts w:hint="eastAsia" w:ascii="宋体" w:hAnsi="宋体" w:cs="宋体"/>
                <w:sz w:val="24"/>
                <w:highlight w:val="none"/>
              </w:rPr>
            </w:pPr>
          </w:p>
        </w:tc>
        <w:tc>
          <w:tcPr>
            <w:tcW w:w="505" w:type="pct"/>
            <w:noWrap w:val="0"/>
            <w:vAlign w:val="center"/>
          </w:tcPr>
          <w:p>
            <w:pPr>
              <w:spacing w:line="460" w:lineRule="exact"/>
              <w:jc w:val="center"/>
              <w:rPr>
                <w:rFonts w:hint="eastAsia" w:ascii="宋体" w:hAnsi="宋体" w:cs="宋体"/>
                <w:sz w:val="24"/>
                <w:highlight w:val="none"/>
              </w:rPr>
            </w:pPr>
          </w:p>
        </w:tc>
        <w:tc>
          <w:tcPr>
            <w:tcW w:w="779" w:type="pct"/>
            <w:noWrap w:val="0"/>
            <w:vAlign w:val="center"/>
          </w:tcPr>
          <w:p>
            <w:pPr>
              <w:spacing w:line="460" w:lineRule="exact"/>
              <w:jc w:val="center"/>
              <w:rPr>
                <w:rFonts w:hint="eastAsia" w:ascii="宋体" w:hAnsi="宋体" w:cs="宋体"/>
                <w:sz w:val="24"/>
                <w:highlight w:val="none"/>
              </w:rPr>
            </w:pPr>
          </w:p>
        </w:tc>
        <w:tc>
          <w:tcPr>
            <w:tcW w:w="502" w:type="pct"/>
            <w:noWrap w:val="0"/>
            <w:vAlign w:val="center"/>
          </w:tcPr>
          <w:p>
            <w:pPr>
              <w:spacing w:line="460" w:lineRule="exact"/>
              <w:jc w:val="center"/>
              <w:rPr>
                <w:rFonts w:hint="eastAsia"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3" w:type="pct"/>
            <w:noWrap w:val="0"/>
            <w:vAlign w:val="center"/>
          </w:tcPr>
          <w:p>
            <w:pPr>
              <w:spacing w:line="460" w:lineRule="exact"/>
              <w:jc w:val="center"/>
              <w:rPr>
                <w:rFonts w:hint="eastAsia" w:ascii="宋体" w:hAnsi="宋体" w:eastAsia="宋体" w:cs="宋体"/>
                <w:i/>
                <w:iCs/>
                <w:sz w:val="24"/>
                <w:highlight w:val="none"/>
                <w:lang w:val="en-US" w:eastAsia="zh-CN"/>
              </w:rPr>
            </w:pPr>
            <w:r>
              <w:rPr>
                <w:rFonts w:hint="eastAsia" w:ascii="宋体" w:hAnsi="宋体" w:cs="宋体"/>
                <w:i/>
                <w:iCs/>
                <w:sz w:val="24"/>
                <w:highlight w:val="none"/>
                <w:lang w:val="en-US" w:eastAsia="zh-CN"/>
              </w:rPr>
              <w:t>3</w:t>
            </w:r>
          </w:p>
        </w:tc>
        <w:tc>
          <w:tcPr>
            <w:tcW w:w="1138" w:type="pct"/>
            <w:noWrap w:val="0"/>
            <w:vAlign w:val="center"/>
          </w:tcPr>
          <w:p>
            <w:pPr>
              <w:keepNext w:val="0"/>
              <w:keepLines w:val="0"/>
              <w:widowControl/>
              <w:suppressLineNumbers w:val="0"/>
              <w:jc w:val="center"/>
              <w:textAlignment w:val="center"/>
              <w:rPr>
                <w:rFonts w:hint="eastAsia" w:ascii="宋体" w:hAnsi="宋体" w:cs="宋体"/>
                <w:i/>
                <w:iCs/>
                <w:sz w:val="24"/>
                <w:highlight w:val="none"/>
              </w:rPr>
            </w:pPr>
          </w:p>
        </w:tc>
        <w:tc>
          <w:tcPr>
            <w:tcW w:w="740" w:type="pct"/>
            <w:noWrap w:val="0"/>
            <w:vAlign w:val="center"/>
          </w:tcPr>
          <w:p>
            <w:pPr>
              <w:spacing w:line="460" w:lineRule="exact"/>
              <w:jc w:val="center"/>
              <w:rPr>
                <w:rFonts w:hint="eastAsia" w:ascii="宋体" w:hAnsi="宋体" w:cs="宋体"/>
                <w:sz w:val="24"/>
                <w:highlight w:val="none"/>
              </w:rPr>
            </w:pPr>
          </w:p>
        </w:tc>
        <w:tc>
          <w:tcPr>
            <w:tcW w:w="505" w:type="pct"/>
            <w:noWrap w:val="0"/>
            <w:vAlign w:val="center"/>
          </w:tcPr>
          <w:p>
            <w:pPr>
              <w:spacing w:line="460" w:lineRule="exact"/>
              <w:jc w:val="center"/>
              <w:rPr>
                <w:rFonts w:hint="eastAsia" w:ascii="宋体" w:hAnsi="宋体" w:cs="宋体"/>
                <w:sz w:val="24"/>
                <w:highlight w:val="none"/>
              </w:rPr>
            </w:pPr>
          </w:p>
        </w:tc>
        <w:tc>
          <w:tcPr>
            <w:tcW w:w="505" w:type="pct"/>
            <w:noWrap w:val="0"/>
            <w:vAlign w:val="center"/>
          </w:tcPr>
          <w:p>
            <w:pPr>
              <w:spacing w:line="460" w:lineRule="exact"/>
              <w:jc w:val="center"/>
              <w:rPr>
                <w:rFonts w:hint="eastAsia" w:ascii="宋体" w:hAnsi="宋体" w:cs="宋体"/>
                <w:sz w:val="24"/>
                <w:highlight w:val="none"/>
              </w:rPr>
            </w:pPr>
          </w:p>
        </w:tc>
        <w:tc>
          <w:tcPr>
            <w:tcW w:w="505" w:type="pct"/>
            <w:noWrap w:val="0"/>
            <w:vAlign w:val="center"/>
          </w:tcPr>
          <w:p>
            <w:pPr>
              <w:spacing w:line="460" w:lineRule="exact"/>
              <w:jc w:val="center"/>
              <w:rPr>
                <w:rFonts w:hint="eastAsia" w:ascii="宋体" w:hAnsi="宋体" w:cs="宋体"/>
                <w:sz w:val="24"/>
                <w:highlight w:val="none"/>
              </w:rPr>
            </w:pPr>
          </w:p>
        </w:tc>
        <w:tc>
          <w:tcPr>
            <w:tcW w:w="779" w:type="pct"/>
            <w:noWrap w:val="0"/>
            <w:vAlign w:val="center"/>
          </w:tcPr>
          <w:p>
            <w:pPr>
              <w:spacing w:line="460" w:lineRule="exact"/>
              <w:jc w:val="center"/>
              <w:rPr>
                <w:rFonts w:hint="eastAsia" w:ascii="宋体" w:hAnsi="宋体" w:cs="宋体"/>
                <w:sz w:val="24"/>
                <w:highlight w:val="none"/>
              </w:rPr>
            </w:pPr>
          </w:p>
        </w:tc>
        <w:tc>
          <w:tcPr>
            <w:tcW w:w="502" w:type="pct"/>
            <w:noWrap w:val="0"/>
            <w:vAlign w:val="center"/>
          </w:tcPr>
          <w:p>
            <w:pPr>
              <w:spacing w:line="460" w:lineRule="exact"/>
              <w:jc w:val="center"/>
              <w:rPr>
                <w:rFonts w:hint="eastAsia"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3" w:type="pct"/>
            <w:noWrap w:val="0"/>
            <w:vAlign w:val="center"/>
          </w:tcPr>
          <w:p>
            <w:pPr>
              <w:spacing w:line="460" w:lineRule="exact"/>
              <w:jc w:val="center"/>
              <w:rPr>
                <w:rFonts w:hint="eastAsia" w:ascii="宋体" w:hAnsi="宋体" w:eastAsia="宋体" w:cs="宋体"/>
                <w:i/>
                <w:iCs/>
                <w:sz w:val="24"/>
                <w:highlight w:val="none"/>
                <w:lang w:val="en-US" w:eastAsia="zh-CN"/>
              </w:rPr>
            </w:pPr>
            <w:r>
              <w:rPr>
                <w:rFonts w:hint="eastAsia" w:ascii="宋体" w:hAnsi="宋体" w:cs="宋体"/>
                <w:i/>
                <w:iCs/>
                <w:sz w:val="24"/>
                <w:highlight w:val="none"/>
                <w:lang w:val="en-US" w:eastAsia="zh-CN"/>
              </w:rPr>
              <w:t>4</w:t>
            </w:r>
          </w:p>
        </w:tc>
        <w:tc>
          <w:tcPr>
            <w:tcW w:w="1138" w:type="pct"/>
            <w:noWrap w:val="0"/>
            <w:vAlign w:val="center"/>
          </w:tcPr>
          <w:p>
            <w:pPr>
              <w:keepNext w:val="0"/>
              <w:keepLines w:val="0"/>
              <w:widowControl/>
              <w:suppressLineNumbers w:val="0"/>
              <w:jc w:val="center"/>
              <w:textAlignment w:val="center"/>
              <w:rPr>
                <w:rFonts w:hint="eastAsia" w:ascii="宋体" w:hAnsi="宋体" w:cs="宋体"/>
                <w:i/>
                <w:iCs/>
                <w:sz w:val="24"/>
                <w:highlight w:val="none"/>
              </w:rPr>
            </w:pPr>
          </w:p>
        </w:tc>
        <w:tc>
          <w:tcPr>
            <w:tcW w:w="740" w:type="pct"/>
            <w:noWrap w:val="0"/>
            <w:vAlign w:val="center"/>
          </w:tcPr>
          <w:p>
            <w:pPr>
              <w:spacing w:line="460" w:lineRule="exact"/>
              <w:jc w:val="center"/>
              <w:rPr>
                <w:rFonts w:hint="eastAsia" w:ascii="宋体" w:hAnsi="宋体" w:cs="宋体"/>
                <w:sz w:val="24"/>
                <w:highlight w:val="none"/>
              </w:rPr>
            </w:pPr>
          </w:p>
        </w:tc>
        <w:tc>
          <w:tcPr>
            <w:tcW w:w="505" w:type="pct"/>
            <w:noWrap w:val="0"/>
            <w:vAlign w:val="center"/>
          </w:tcPr>
          <w:p>
            <w:pPr>
              <w:spacing w:line="460" w:lineRule="exact"/>
              <w:jc w:val="center"/>
              <w:rPr>
                <w:rFonts w:hint="eastAsia" w:ascii="宋体" w:hAnsi="宋体" w:cs="宋体"/>
                <w:sz w:val="24"/>
                <w:highlight w:val="none"/>
              </w:rPr>
            </w:pPr>
          </w:p>
        </w:tc>
        <w:tc>
          <w:tcPr>
            <w:tcW w:w="505" w:type="pct"/>
            <w:noWrap w:val="0"/>
            <w:vAlign w:val="center"/>
          </w:tcPr>
          <w:p>
            <w:pPr>
              <w:spacing w:line="460" w:lineRule="exact"/>
              <w:jc w:val="center"/>
              <w:rPr>
                <w:rFonts w:hint="eastAsia" w:ascii="宋体" w:hAnsi="宋体" w:cs="宋体"/>
                <w:sz w:val="24"/>
                <w:highlight w:val="none"/>
              </w:rPr>
            </w:pPr>
          </w:p>
        </w:tc>
        <w:tc>
          <w:tcPr>
            <w:tcW w:w="505" w:type="pct"/>
            <w:noWrap w:val="0"/>
            <w:vAlign w:val="center"/>
          </w:tcPr>
          <w:p>
            <w:pPr>
              <w:spacing w:line="460" w:lineRule="exact"/>
              <w:jc w:val="center"/>
              <w:rPr>
                <w:rFonts w:hint="eastAsia" w:ascii="宋体" w:hAnsi="宋体" w:cs="宋体"/>
                <w:sz w:val="24"/>
                <w:highlight w:val="none"/>
              </w:rPr>
            </w:pPr>
          </w:p>
        </w:tc>
        <w:tc>
          <w:tcPr>
            <w:tcW w:w="779" w:type="pct"/>
            <w:noWrap w:val="0"/>
            <w:vAlign w:val="center"/>
          </w:tcPr>
          <w:p>
            <w:pPr>
              <w:spacing w:line="460" w:lineRule="exact"/>
              <w:jc w:val="center"/>
              <w:rPr>
                <w:rFonts w:hint="eastAsia" w:ascii="宋体" w:hAnsi="宋体" w:cs="宋体"/>
                <w:sz w:val="24"/>
                <w:highlight w:val="none"/>
              </w:rPr>
            </w:pPr>
          </w:p>
        </w:tc>
        <w:tc>
          <w:tcPr>
            <w:tcW w:w="502" w:type="pct"/>
            <w:noWrap w:val="0"/>
            <w:vAlign w:val="center"/>
          </w:tcPr>
          <w:p>
            <w:pPr>
              <w:spacing w:line="460" w:lineRule="exact"/>
              <w:jc w:val="center"/>
              <w:rPr>
                <w:rFonts w:hint="eastAsia"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3" w:type="pct"/>
            <w:noWrap w:val="0"/>
            <w:vAlign w:val="top"/>
          </w:tcPr>
          <w:p>
            <w:pPr>
              <w:spacing w:line="460" w:lineRule="exact"/>
              <w:jc w:val="center"/>
              <w:rPr>
                <w:rFonts w:hint="eastAsia" w:ascii="宋体" w:hAnsi="宋体" w:eastAsia="宋体" w:cs="宋体"/>
                <w:i/>
                <w:iCs/>
                <w:sz w:val="24"/>
                <w:highlight w:val="none"/>
                <w:lang w:val="en-US" w:eastAsia="zh-CN"/>
              </w:rPr>
            </w:pPr>
            <w:r>
              <w:rPr>
                <w:rFonts w:hint="eastAsia" w:ascii="宋体" w:hAnsi="宋体" w:cs="宋体"/>
                <w:i/>
                <w:iCs/>
                <w:sz w:val="24"/>
                <w:highlight w:val="none"/>
                <w:lang w:val="en-US" w:eastAsia="zh-CN"/>
              </w:rPr>
              <w:t>5</w:t>
            </w:r>
          </w:p>
        </w:tc>
        <w:tc>
          <w:tcPr>
            <w:tcW w:w="1138" w:type="pct"/>
            <w:noWrap w:val="0"/>
            <w:vAlign w:val="center"/>
          </w:tcPr>
          <w:p>
            <w:pPr>
              <w:keepNext w:val="0"/>
              <w:keepLines w:val="0"/>
              <w:widowControl/>
              <w:suppressLineNumbers w:val="0"/>
              <w:jc w:val="center"/>
              <w:textAlignment w:val="center"/>
              <w:rPr>
                <w:rFonts w:hint="eastAsia" w:ascii="宋体" w:hAnsi="宋体" w:cs="宋体"/>
                <w:i/>
                <w:iCs/>
                <w:sz w:val="24"/>
                <w:highlight w:val="none"/>
              </w:rPr>
            </w:pPr>
          </w:p>
        </w:tc>
        <w:tc>
          <w:tcPr>
            <w:tcW w:w="740" w:type="pct"/>
            <w:noWrap w:val="0"/>
            <w:vAlign w:val="center"/>
          </w:tcPr>
          <w:p>
            <w:pPr>
              <w:spacing w:line="460" w:lineRule="exact"/>
              <w:jc w:val="center"/>
              <w:rPr>
                <w:rFonts w:hint="eastAsia" w:ascii="宋体" w:hAnsi="宋体" w:cs="宋体"/>
                <w:sz w:val="24"/>
                <w:highlight w:val="none"/>
              </w:rPr>
            </w:pPr>
          </w:p>
        </w:tc>
        <w:tc>
          <w:tcPr>
            <w:tcW w:w="505" w:type="pct"/>
            <w:noWrap w:val="0"/>
            <w:vAlign w:val="center"/>
          </w:tcPr>
          <w:p>
            <w:pPr>
              <w:spacing w:line="460" w:lineRule="exact"/>
              <w:jc w:val="center"/>
              <w:rPr>
                <w:rFonts w:hint="eastAsia" w:ascii="宋体" w:hAnsi="宋体" w:cs="宋体"/>
                <w:sz w:val="24"/>
                <w:highlight w:val="none"/>
              </w:rPr>
            </w:pPr>
          </w:p>
        </w:tc>
        <w:tc>
          <w:tcPr>
            <w:tcW w:w="505" w:type="pct"/>
            <w:noWrap w:val="0"/>
            <w:vAlign w:val="center"/>
          </w:tcPr>
          <w:p>
            <w:pPr>
              <w:spacing w:line="460" w:lineRule="exact"/>
              <w:jc w:val="center"/>
              <w:rPr>
                <w:rFonts w:hint="eastAsia" w:ascii="宋体" w:hAnsi="宋体" w:cs="宋体"/>
                <w:sz w:val="24"/>
                <w:highlight w:val="none"/>
              </w:rPr>
            </w:pPr>
          </w:p>
        </w:tc>
        <w:tc>
          <w:tcPr>
            <w:tcW w:w="505" w:type="pct"/>
            <w:noWrap w:val="0"/>
            <w:vAlign w:val="center"/>
          </w:tcPr>
          <w:p>
            <w:pPr>
              <w:spacing w:line="460" w:lineRule="exact"/>
              <w:jc w:val="center"/>
              <w:rPr>
                <w:rFonts w:hint="eastAsia" w:ascii="宋体" w:hAnsi="宋体" w:cs="宋体"/>
                <w:sz w:val="24"/>
                <w:highlight w:val="none"/>
              </w:rPr>
            </w:pPr>
          </w:p>
        </w:tc>
        <w:tc>
          <w:tcPr>
            <w:tcW w:w="779" w:type="pct"/>
            <w:noWrap w:val="0"/>
            <w:vAlign w:val="center"/>
          </w:tcPr>
          <w:p>
            <w:pPr>
              <w:spacing w:line="460" w:lineRule="exact"/>
              <w:jc w:val="center"/>
              <w:rPr>
                <w:rFonts w:hint="eastAsia" w:ascii="宋体" w:hAnsi="宋体" w:cs="宋体"/>
                <w:sz w:val="24"/>
                <w:highlight w:val="none"/>
              </w:rPr>
            </w:pPr>
          </w:p>
        </w:tc>
        <w:tc>
          <w:tcPr>
            <w:tcW w:w="502" w:type="pct"/>
            <w:noWrap w:val="0"/>
            <w:vAlign w:val="center"/>
          </w:tcPr>
          <w:p>
            <w:pPr>
              <w:spacing w:line="460" w:lineRule="exact"/>
              <w:jc w:val="center"/>
              <w:rPr>
                <w:rFonts w:hint="eastAsia"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3" w:type="pct"/>
            <w:noWrap w:val="0"/>
            <w:vAlign w:val="top"/>
          </w:tcPr>
          <w:p>
            <w:pPr>
              <w:spacing w:line="460" w:lineRule="exact"/>
              <w:jc w:val="center"/>
              <w:rPr>
                <w:rFonts w:hint="eastAsia" w:ascii="宋体" w:hAnsi="宋体" w:eastAsia="宋体" w:cs="宋体"/>
                <w:i/>
                <w:iCs/>
                <w:sz w:val="24"/>
                <w:highlight w:val="none"/>
                <w:lang w:val="en-US" w:eastAsia="zh-CN"/>
              </w:rPr>
            </w:pPr>
            <w:r>
              <w:rPr>
                <w:rFonts w:hint="eastAsia" w:ascii="宋体" w:hAnsi="宋体" w:cs="宋体"/>
                <w:i/>
                <w:iCs/>
                <w:sz w:val="24"/>
                <w:highlight w:val="none"/>
                <w:lang w:val="en-US" w:eastAsia="zh-CN"/>
              </w:rPr>
              <w:t>6</w:t>
            </w:r>
          </w:p>
        </w:tc>
        <w:tc>
          <w:tcPr>
            <w:tcW w:w="1138" w:type="pct"/>
            <w:noWrap w:val="0"/>
            <w:vAlign w:val="center"/>
          </w:tcPr>
          <w:p>
            <w:pPr>
              <w:keepNext w:val="0"/>
              <w:keepLines w:val="0"/>
              <w:widowControl/>
              <w:suppressLineNumbers w:val="0"/>
              <w:jc w:val="center"/>
              <w:textAlignment w:val="center"/>
              <w:rPr>
                <w:rFonts w:hint="eastAsia" w:ascii="宋体" w:hAnsi="宋体" w:cs="宋体"/>
                <w:i/>
                <w:iCs/>
                <w:sz w:val="24"/>
                <w:highlight w:val="none"/>
              </w:rPr>
            </w:pPr>
          </w:p>
        </w:tc>
        <w:tc>
          <w:tcPr>
            <w:tcW w:w="740" w:type="pct"/>
            <w:noWrap w:val="0"/>
            <w:vAlign w:val="center"/>
          </w:tcPr>
          <w:p>
            <w:pPr>
              <w:spacing w:line="460" w:lineRule="exact"/>
              <w:jc w:val="center"/>
              <w:rPr>
                <w:rFonts w:hint="eastAsia" w:ascii="宋体" w:hAnsi="宋体" w:cs="宋体"/>
                <w:sz w:val="24"/>
                <w:highlight w:val="none"/>
              </w:rPr>
            </w:pPr>
          </w:p>
        </w:tc>
        <w:tc>
          <w:tcPr>
            <w:tcW w:w="505" w:type="pct"/>
            <w:noWrap w:val="0"/>
            <w:vAlign w:val="center"/>
          </w:tcPr>
          <w:p>
            <w:pPr>
              <w:spacing w:line="460" w:lineRule="exact"/>
              <w:jc w:val="center"/>
              <w:rPr>
                <w:rFonts w:hint="eastAsia" w:ascii="宋体" w:hAnsi="宋体" w:cs="宋体"/>
                <w:sz w:val="24"/>
                <w:highlight w:val="none"/>
              </w:rPr>
            </w:pPr>
          </w:p>
        </w:tc>
        <w:tc>
          <w:tcPr>
            <w:tcW w:w="505" w:type="pct"/>
            <w:noWrap w:val="0"/>
            <w:vAlign w:val="center"/>
          </w:tcPr>
          <w:p>
            <w:pPr>
              <w:spacing w:line="460" w:lineRule="exact"/>
              <w:jc w:val="center"/>
              <w:rPr>
                <w:rFonts w:hint="eastAsia" w:ascii="宋体" w:hAnsi="宋体" w:cs="宋体"/>
                <w:sz w:val="24"/>
                <w:highlight w:val="none"/>
              </w:rPr>
            </w:pPr>
          </w:p>
        </w:tc>
        <w:tc>
          <w:tcPr>
            <w:tcW w:w="505" w:type="pct"/>
            <w:noWrap w:val="0"/>
            <w:vAlign w:val="center"/>
          </w:tcPr>
          <w:p>
            <w:pPr>
              <w:spacing w:line="460" w:lineRule="exact"/>
              <w:jc w:val="center"/>
              <w:rPr>
                <w:rFonts w:hint="eastAsia" w:ascii="宋体" w:hAnsi="宋体" w:cs="宋体"/>
                <w:sz w:val="24"/>
                <w:highlight w:val="none"/>
              </w:rPr>
            </w:pPr>
          </w:p>
        </w:tc>
        <w:tc>
          <w:tcPr>
            <w:tcW w:w="779" w:type="pct"/>
            <w:noWrap w:val="0"/>
            <w:vAlign w:val="center"/>
          </w:tcPr>
          <w:p>
            <w:pPr>
              <w:spacing w:line="460" w:lineRule="exact"/>
              <w:jc w:val="center"/>
              <w:rPr>
                <w:rFonts w:hint="eastAsia" w:ascii="宋体" w:hAnsi="宋体" w:cs="宋体"/>
                <w:sz w:val="24"/>
                <w:highlight w:val="none"/>
              </w:rPr>
            </w:pPr>
          </w:p>
        </w:tc>
        <w:tc>
          <w:tcPr>
            <w:tcW w:w="502" w:type="pct"/>
            <w:noWrap w:val="0"/>
            <w:vAlign w:val="center"/>
          </w:tcPr>
          <w:p>
            <w:pPr>
              <w:spacing w:line="460" w:lineRule="exact"/>
              <w:jc w:val="center"/>
              <w:rPr>
                <w:rFonts w:hint="eastAsia"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3" w:type="pct"/>
            <w:noWrap w:val="0"/>
            <w:vAlign w:val="top"/>
          </w:tcPr>
          <w:p>
            <w:pPr>
              <w:spacing w:line="460" w:lineRule="exact"/>
              <w:jc w:val="center"/>
              <w:rPr>
                <w:rFonts w:hint="eastAsia" w:ascii="宋体" w:hAnsi="宋体" w:eastAsia="宋体" w:cs="宋体"/>
                <w:i/>
                <w:iCs/>
                <w:sz w:val="24"/>
                <w:highlight w:val="none"/>
                <w:lang w:val="en-US" w:eastAsia="zh-CN"/>
              </w:rPr>
            </w:pPr>
            <w:r>
              <w:rPr>
                <w:rFonts w:hint="eastAsia" w:ascii="宋体" w:hAnsi="宋体" w:cs="宋体"/>
                <w:i/>
                <w:iCs/>
                <w:sz w:val="24"/>
                <w:highlight w:val="none"/>
                <w:lang w:val="en-US" w:eastAsia="zh-CN"/>
              </w:rPr>
              <w:t>7</w:t>
            </w:r>
          </w:p>
        </w:tc>
        <w:tc>
          <w:tcPr>
            <w:tcW w:w="1138" w:type="pct"/>
            <w:noWrap w:val="0"/>
            <w:vAlign w:val="center"/>
          </w:tcPr>
          <w:p>
            <w:pPr>
              <w:keepNext w:val="0"/>
              <w:keepLines w:val="0"/>
              <w:widowControl/>
              <w:suppressLineNumbers w:val="0"/>
              <w:jc w:val="center"/>
              <w:textAlignment w:val="center"/>
              <w:rPr>
                <w:rFonts w:hint="eastAsia" w:ascii="宋体" w:hAnsi="宋体" w:cs="宋体"/>
                <w:i/>
                <w:iCs/>
                <w:sz w:val="24"/>
                <w:highlight w:val="none"/>
              </w:rPr>
            </w:pPr>
          </w:p>
        </w:tc>
        <w:tc>
          <w:tcPr>
            <w:tcW w:w="740" w:type="pct"/>
            <w:noWrap w:val="0"/>
            <w:vAlign w:val="center"/>
          </w:tcPr>
          <w:p>
            <w:pPr>
              <w:spacing w:line="460" w:lineRule="exact"/>
              <w:jc w:val="center"/>
              <w:rPr>
                <w:rFonts w:hint="eastAsia" w:ascii="宋体" w:hAnsi="宋体" w:cs="宋体"/>
                <w:sz w:val="24"/>
                <w:highlight w:val="none"/>
              </w:rPr>
            </w:pPr>
          </w:p>
        </w:tc>
        <w:tc>
          <w:tcPr>
            <w:tcW w:w="505" w:type="pct"/>
            <w:noWrap w:val="0"/>
            <w:vAlign w:val="center"/>
          </w:tcPr>
          <w:p>
            <w:pPr>
              <w:spacing w:line="460" w:lineRule="exact"/>
              <w:jc w:val="center"/>
              <w:rPr>
                <w:rFonts w:hint="eastAsia" w:ascii="宋体" w:hAnsi="宋体" w:cs="宋体"/>
                <w:sz w:val="24"/>
                <w:highlight w:val="none"/>
              </w:rPr>
            </w:pPr>
          </w:p>
        </w:tc>
        <w:tc>
          <w:tcPr>
            <w:tcW w:w="505" w:type="pct"/>
            <w:noWrap w:val="0"/>
            <w:vAlign w:val="center"/>
          </w:tcPr>
          <w:p>
            <w:pPr>
              <w:spacing w:line="460" w:lineRule="exact"/>
              <w:jc w:val="center"/>
              <w:rPr>
                <w:rFonts w:hint="eastAsia" w:ascii="宋体" w:hAnsi="宋体" w:cs="宋体"/>
                <w:sz w:val="24"/>
                <w:highlight w:val="none"/>
              </w:rPr>
            </w:pPr>
          </w:p>
        </w:tc>
        <w:tc>
          <w:tcPr>
            <w:tcW w:w="505" w:type="pct"/>
            <w:noWrap w:val="0"/>
            <w:vAlign w:val="center"/>
          </w:tcPr>
          <w:p>
            <w:pPr>
              <w:spacing w:line="460" w:lineRule="exact"/>
              <w:jc w:val="center"/>
              <w:rPr>
                <w:rFonts w:hint="eastAsia" w:ascii="宋体" w:hAnsi="宋体" w:cs="宋体"/>
                <w:sz w:val="24"/>
                <w:highlight w:val="none"/>
              </w:rPr>
            </w:pPr>
          </w:p>
        </w:tc>
        <w:tc>
          <w:tcPr>
            <w:tcW w:w="779" w:type="pct"/>
            <w:noWrap w:val="0"/>
            <w:vAlign w:val="center"/>
          </w:tcPr>
          <w:p>
            <w:pPr>
              <w:spacing w:line="460" w:lineRule="exact"/>
              <w:jc w:val="center"/>
              <w:rPr>
                <w:rFonts w:hint="eastAsia" w:ascii="宋体" w:hAnsi="宋体" w:cs="宋体"/>
                <w:sz w:val="24"/>
                <w:highlight w:val="none"/>
              </w:rPr>
            </w:pPr>
          </w:p>
        </w:tc>
        <w:tc>
          <w:tcPr>
            <w:tcW w:w="502" w:type="pct"/>
            <w:noWrap w:val="0"/>
            <w:vAlign w:val="center"/>
          </w:tcPr>
          <w:p>
            <w:pPr>
              <w:spacing w:line="460" w:lineRule="exact"/>
              <w:jc w:val="center"/>
              <w:rPr>
                <w:rFonts w:hint="eastAsia"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3" w:type="pct"/>
            <w:noWrap w:val="0"/>
            <w:vAlign w:val="top"/>
          </w:tcPr>
          <w:p>
            <w:pPr>
              <w:spacing w:line="460" w:lineRule="exact"/>
              <w:jc w:val="center"/>
              <w:rPr>
                <w:rFonts w:hint="eastAsia" w:ascii="宋体" w:hAnsi="宋体" w:eastAsia="宋体" w:cs="宋体"/>
                <w:i/>
                <w:iCs/>
                <w:sz w:val="24"/>
                <w:highlight w:val="none"/>
                <w:lang w:val="en-US" w:eastAsia="zh-CN"/>
              </w:rPr>
            </w:pPr>
            <w:r>
              <w:rPr>
                <w:rFonts w:hint="eastAsia" w:ascii="宋体" w:hAnsi="宋体" w:cs="宋体"/>
                <w:i/>
                <w:iCs/>
                <w:sz w:val="24"/>
                <w:highlight w:val="none"/>
                <w:lang w:val="en-US" w:eastAsia="zh-CN"/>
              </w:rPr>
              <w:t>8</w:t>
            </w:r>
          </w:p>
        </w:tc>
        <w:tc>
          <w:tcPr>
            <w:tcW w:w="1138" w:type="pct"/>
            <w:noWrap w:val="0"/>
            <w:vAlign w:val="center"/>
          </w:tcPr>
          <w:p>
            <w:pPr>
              <w:keepNext w:val="0"/>
              <w:keepLines w:val="0"/>
              <w:widowControl/>
              <w:suppressLineNumbers w:val="0"/>
              <w:jc w:val="center"/>
              <w:textAlignment w:val="center"/>
              <w:rPr>
                <w:rFonts w:hint="eastAsia" w:ascii="宋体" w:hAnsi="宋体" w:cs="宋体"/>
                <w:i/>
                <w:iCs/>
                <w:sz w:val="24"/>
                <w:highlight w:val="none"/>
              </w:rPr>
            </w:pPr>
          </w:p>
        </w:tc>
        <w:tc>
          <w:tcPr>
            <w:tcW w:w="740" w:type="pct"/>
            <w:noWrap w:val="0"/>
            <w:vAlign w:val="center"/>
          </w:tcPr>
          <w:p>
            <w:pPr>
              <w:spacing w:line="460" w:lineRule="exact"/>
              <w:jc w:val="center"/>
              <w:rPr>
                <w:rFonts w:hint="eastAsia" w:ascii="宋体" w:hAnsi="宋体" w:cs="宋体"/>
                <w:sz w:val="24"/>
                <w:highlight w:val="none"/>
              </w:rPr>
            </w:pPr>
          </w:p>
        </w:tc>
        <w:tc>
          <w:tcPr>
            <w:tcW w:w="505" w:type="pct"/>
            <w:noWrap w:val="0"/>
            <w:vAlign w:val="center"/>
          </w:tcPr>
          <w:p>
            <w:pPr>
              <w:spacing w:line="460" w:lineRule="exact"/>
              <w:jc w:val="center"/>
              <w:rPr>
                <w:rFonts w:hint="eastAsia" w:ascii="宋体" w:hAnsi="宋体" w:cs="宋体"/>
                <w:sz w:val="24"/>
                <w:highlight w:val="none"/>
              </w:rPr>
            </w:pPr>
          </w:p>
        </w:tc>
        <w:tc>
          <w:tcPr>
            <w:tcW w:w="505" w:type="pct"/>
            <w:noWrap w:val="0"/>
            <w:vAlign w:val="center"/>
          </w:tcPr>
          <w:p>
            <w:pPr>
              <w:spacing w:line="460" w:lineRule="exact"/>
              <w:jc w:val="center"/>
              <w:rPr>
                <w:rFonts w:hint="eastAsia" w:ascii="宋体" w:hAnsi="宋体" w:cs="宋体"/>
                <w:sz w:val="24"/>
                <w:highlight w:val="none"/>
              </w:rPr>
            </w:pPr>
          </w:p>
        </w:tc>
        <w:tc>
          <w:tcPr>
            <w:tcW w:w="505" w:type="pct"/>
            <w:noWrap w:val="0"/>
            <w:vAlign w:val="center"/>
          </w:tcPr>
          <w:p>
            <w:pPr>
              <w:spacing w:line="460" w:lineRule="exact"/>
              <w:jc w:val="center"/>
              <w:rPr>
                <w:rFonts w:hint="eastAsia" w:ascii="宋体" w:hAnsi="宋体" w:cs="宋体"/>
                <w:sz w:val="24"/>
                <w:highlight w:val="none"/>
              </w:rPr>
            </w:pPr>
          </w:p>
        </w:tc>
        <w:tc>
          <w:tcPr>
            <w:tcW w:w="779" w:type="pct"/>
            <w:noWrap w:val="0"/>
            <w:vAlign w:val="center"/>
          </w:tcPr>
          <w:p>
            <w:pPr>
              <w:spacing w:line="460" w:lineRule="exact"/>
              <w:jc w:val="center"/>
              <w:rPr>
                <w:rFonts w:hint="eastAsia" w:ascii="宋体" w:hAnsi="宋体" w:cs="宋体"/>
                <w:sz w:val="24"/>
                <w:highlight w:val="none"/>
              </w:rPr>
            </w:pPr>
          </w:p>
        </w:tc>
        <w:tc>
          <w:tcPr>
            <w:tcW w:w="502" w:type="pct"/>
            <w:noWrap w:val="0"/>
            <w:vAlign w:val="center"/>
          </w:tcPr>
          <w:p>
            <w:pPr>
              <w:spacing w:line="460" w:lineRule="exact"/>
              <w:jc w:val="center"/>
              <w:rPr>
                <w:rFonts w:hint="eastAsia"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3" w:type="pct"/>
            <w:noWrap w:val="0"/>
            <w:vAlign w:val="top"/>
          </w:tcPr>
          <w:p>
            <w:pPr>
              <w:spacing w:line="460" w:lineRule="exact"/>
              <w:jc w:val="center"/>
              <w:rPr>
                <w:rFonts w:hint="eastAsia" w:ascii="宋体" w:hAnsi="宋体" w:eastAsia="宋体" w:cs="宋体"/>
                <w:i/>
                <w:iCs/>
                <w:sz w:val="24"/>
                <w:highlight w:val="none"/>
                <w:lang w:val="en-US" w:eastAsia="zh-CN"/>
              </w:rPr>
            </w:pPr>
            <w:r>
              <w:rPr>
                <w:rFonts w:hint="eastAsia" w:ascii="宋体" w:hAnsi="宋体" w:cs="宋体"/>
                <w:i/>
                <w:iCs/>
                <w:sz w:val="24"/>
                <w:highlight w:val="none"/>
                <w:lang w:val="en-US" w:eastAsia="zh-CN"/>
              </w:rPr>
              <w:t>9</w:t>
            </w:r>
          </w:p>
        </w:tc>
        <w:tc>
          <w:tcPr>
            <w:tcW w:w="1138" w:type="pct"/>
            <w:noWrap w:val="0"/>
            <w:vAlign w:val="center"/>
          </w:tcPr>
          <w:p>
            <w:pPr>
              <w:keepNext w:val="0"/>
              <w:keepLines w:val="0"/>
              <w:widowControl/>
              <w:suppressLineNumbers w:val="0"/>
              <w:jc w:val="center"/>
              <w:textAlignment w:val="center"/>
              <w:rPr>
                <w:rFonts w:hint="eastAsia" w:ascii="宋体" w:hAnsi="宋体" w:cs="宋体"/>
                <w:i/>
                <w:iCs/>
                <w:sz w:val="24"/>
                <w:highlight w:val="none"/>
              </w:rPr>
            </w:pPr>
          </w:p>
        </w:tc>
        <w:tc>
          <w:tcPr>
            <w:tcW w:w="740" w:type="pct"/>
            <w:noWrap w:val="0"/>
            <w:vAlign w:val="center"/>
          </w:tcPr>
          <w:p>
            <w:pPr>
              <w:spacing w:line="460" w:lineRule="exact"/>
              <w:jc w:val="center"/>
              <w:rPr>
                <w:rFonts w:hint="eastAsia" w:ascii="宋体" w:hAnsi="宋体" w:cs="宋体"/>
                <w:sz w:val="24"/>
                <w:highlight w:val="none"/>
              </w:rPr>
            </w:pPr>
          </w:p>
        </w:tc>
        <w:tc>
          <w:tcPr>
            <w:tcW w:w="505" w:type="pct"/>
            <w:noWrap w:val="0"/>
            <w:vAlign w:val="center"/>
          </w:tcPr>
          <w:p>
            <w:pPr>
              <w:spacing w:line="460" w:lineRule="exact"/>
              <w:jc w:val="center"/>
              <w:rPr>
                <w:rFonts w:hint="eastAsia" w:ascii="宋体" w:hAnsi="宋体" w:cs="宋体"/>
                <w:sz w:val="24"/>
                <w:highlight w:val="none"/>
              </w:rPr>
            </w:pPr>
          </w:p>
        </w:tc>
        <w:tc>
          <w:tcPr>
            <w:tcW w:w="505" w:type="pct"/>
            <w:noWrap w:val="0"/>
            <w:vAlign w:val="center"/>
          </w:tcPr>
          <w:p>
            <w:pPr>
              <w:spacing w:line="460" w:lineRule="exact"/>
              <w:jc w:val="center"/>
              <w:rPr>
                <w:rFonts w:hint="eastAsia" w:ascii="宋体" w:hAnsi="宋体" w:cs="宋体"/>
                <w:sz w:val="24"/>
                <w:highlight w:val="none"/>
              </w:rPr>
            </w:pPr>
          </w:p>
        </w:tc>
        <w:tc>
          <w:tcPr>
            <w:tcW w:w="505" w:type="pct"/>
            <w:noWrap w:val="0"/>
            <w:vAlign w:val="center"/>
          </w:tcPr>
          <w:p>
            <w:pPr>
              <w:spacing w:line="460" w:lineRule="exact"/>
              <w:jc w:val="center"/>
              <w:rPr>
                <w:rFonts w:hint="eastAsia" w:ascii="宋体" w:hAnsi="宋体" w:cs="宋体"/>
                <w:sz w:val="24"/>
                <w:highlight w:val="none"/>
              </w:rPr>
            </w:pPr>
          </w:p>
        </w:tc>
        <w:tc>
          <w:tcPr>
            <w:tcW w:w="779" w:type="pct"/>
            <w:noWrap w:val="0"/>
            <w:vAlign w:val="center"/>
          </w:tcPr>
          <w:p>
            <w:pPr>
              <w:spacing w:line="460" w:lineRule="exact"/>
              <w:jc w:val="center"/>
              <w:rPr>
                <w:rFonts w:hint="eastAsia" w:ascii="宋体" w:hAnsi="宋体" w:cs="宋体"/>
                <w:sz w:val="24"/>
                <w:highlight w:val="none"/>
              </w:rPr>
            </w:pPr>
          </w:p>
        </w:tc>
        <w:tc>
          <w:tcPr>
            <w:tcW w:w="502" w:type="pct"/>
            <w:noWrap w:val="0"/>
            <w:vAlign w:val="center"/>
          </w:tcPr>
          <w:p>
            <w:pPr>
              <w:spacing w:line="460" w:lineRule="exact"/>
              <w:jc w:val="center"/>
              <w:rPr>
                <w:rFonts w:hint="eastAsia"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3" w:type="pct"/>
            <w:noWrap w:val="0"/>
            <w:vAlign w:val="top"/>
          </w:tcPr>
          <w:p>
            <w:pPr>
              <w:spacing w:line="460" w:lineRule="exact"/>
              <w:jc w:val="center"/>
              <w:rPr>
                <w:rFonts w:hint="default" w:ascii="宋体" w:hAnsi="宋体" w:eastAsia="宋体" w:cs="宋体"/>
                <w:i/>
                <w:iCs/>
                <w:sz w:val="24"/>
                <w:highlight w:val="none"/>
                <w:lang w:val="en-US" w:eastAsia="zh-CN"/>
              </w:rPr>
            </w:pPr>
            <w:r>
              <w:rPr>
                <w:rFonts w:hint="eastAsia" w:ascii="宋体" w:hAnsi="宋体" w:cs="宋体"/>
                <w:i/>
                <w:iCs/>
                <w:sz w:val="24"/>
                <w:highlight w:val="none"/>
                <w:lang w:val="en-US" w:eastAsia="zh-CN"/>
              </w:rPr>
              <w:t>10</w:t>
            </w:r>
          </w:p>
        </w:tc>
        <w:tc>
          <w:tcPr>
            <w:tcW w:w="1138" w:type="pct"/>
            <w:noWrap w:val="0"/>
            <w:vAlign w:val="center"/>
          </w:tcPr>
          <w:p>
            <w:pPr>
              <w:keepNext w:val="0"/>
              <w:keepLines w:val="0"/>
              <w:widowControl/>
              <w:suppressLineNumbers w:val="0"/>
              <w:jc w:val="center"/>
              <w:textAlignment w:val="center"/>
              <w:rPr>
                <w:rFonts w:hint="eastAsia" w:ascii="宋体" w:hAnsi="宋体" w:cs="宋体"/>
                <w:i/>
                <w:iCs/>
                <w:sz w:val="24"/>
                <w:highlight w:val="none"/>
              </w:rPr>
            </w:pPr>
          </w:p>
        </w:tc>
        <w:tc>
          <w:tcPr>
            <w:tcW w:w="740" w:type="pct"/>
            <w:noWrap w:val="0"/>
            <w:vAlign w:val="center"/>
          </w:tcPr>
          <w:p>
            <w:pPr>
              <w:spacing w:line="460" w:lineRule="exact"/>
              <w:jc w:val="center"/>
              <w:rPr>
                <w:rFonts w:hint="eastAsia" w:ascii="宋体" w:hAnsi="宋体" w:cs="宋体"/>
                <w:sz w:val="24"/>
                <w:highlight w:val="none"/>
              </w:rPr>
            </w:pPr>
          </w:p>
        </w:tc>
        <w:tc>
          <w:tcPr>
            <w:tcW w:w="505" w:type="pct"/>
            <w:noWrap w:val="0"/>
            <w:vAlign w:val="center"/>
          </w:tcPr>
          <w:p>
            <w:pPr>
              <w:spacing w:line="460" w:lineRule="exact"/>
              <w:jc w:val="center"/>
              <w:rPr>
                <w:rFonts w:hint="eastAsia" w:ascii="宋体" w:hAnsi="宋体" w:cs="宋体"/>
                <w:sz w:val="24"/>
                <w:highlight w:val="none"/>
              </w:rPr>
            </w:pPr>
          </w:p>
        </w:tc>
        <w:tc>
          <w:tcPr>
            <w:tcW w:w="505" w:type="pct"/>
            <w:noWrap w:val="0"/>
            <w:vAlign w:val="center"/>
          </w:tcPr>
          <w:p>
            <w:pPr>
              <w:spacing w:line="460" w:lineRule="exact"/>
              <w:jc w:val="center"/>
              <w:rPr>
                <w:rFonts w:hint="eastAsia" w:ascii="宋体" w:hAnsi="宋体" w:cs="宋体"/>
                <w:sz w:val="24"/>
                <w:highlight w:val="none"/>
              </w:rPr>
            </w:pPr>
          </w:p>
        </w:tc>
        <w:tc>
          <w:tcPr>
            <w:tcW w:w="505" w:type="pct"/>
            <w:noWrap w:val="0"/>
            <w:vAlign w:val="center"/>
          </w:tcPr>
          <w:p>
            <w:pPr>
              <w:spacing w:line="460" w:lineRule="exact"/>
              <w:jc w:val="center"/>
              <w:rPr>
                <w:rFonts w:hint="eastAsia" w:ascii="宋体" w:hAnsi="宋体" w:cs="宋体"/>
                <w:sz w:val="24"/>
                <w:highlight w:val="none"/>
              </w:rPr>
            </w:pPr>
          </w:p>
        </w:tc>
        <w:tc>
          <w:tcPr>
            <w:tcW w:w="779" w:type="pct"/>
            <w:noWrap w:val="0"/>
            <w:vAlign w:val="center"/>
          </w:tcPr>
          <w:p>
            <w:pPr>
              <w:spacing w:line="460" w:lineRule="exact"/>
              <w:jc w:val="center"/>
              <w:rPr>
                <w:rFonts w:hint="eastAsia" w:ascii="宋体" w:hAnsi="宋体" w:cs="宋体"/>
                <w:sz w:val="24"/>
                <w:highlight w:val="none"/>
              </w:rPr>
            </w:pPr>
          </w:p>
        </w:tc>
        <w:tc>
          <w:tcPr>
            <w:tcW w:w="502" w:type="pct"/>
            <w:noWrap w:val="0"/>
            <w:vAlign w:val="center"/>
          </w:tcPr>
          <w:p>
            <w:pPr>
              <w:spacing w:line="460" w:lineRule="exact"/>
              <w:jc w:val="center"/>
              <w:rPr>
                <w:rFonts w:hint="eastAsia"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3" w:type="pct"/>
            <w:noWrap w:val="0"/>
            <w:vAlign w:val="top"/>
          </w:tcPr>
          <w:p>
            <w:pPr>
              <w:spacing w:line="460" w:lineRule="exact"/>
              <w:jc w:val="center"/>
              <w:rPr>
                <w:rFonts w:hint="default" w:ascii="宋体" w:hAnsi="宋体" w:eastAsia="宋体" w:cs="宋体"/>
                <w:i/>
                <w:iCs/>
                <w:sz w:val="24"/>
                <w:highlight w:val="none"/>
                <w:lang w:val="en-US" w:eastAsia="zh-CN"/>
              </w:rPr>
            </w:pPr>
            <w:r>
              <w:rPr>
                <w:rFonts w:hint="eastAsia" w:ascii="宋体" w:hAnsi="宋体" w:cs="宋体"/>
                <w:i/>
                <w:iCs/>
                <w:sz w:val="24"/>
                <w:highlight w:val="none"/>
                <w:lang w:val="en-US" w:eastAsia="zh-CN"/>
              </w:rPr>
              <w:t>11</w:t>
            </w:r>
          </w:p>
        </w:tc>
        <w:tc>
          <w:tcPr>
            <w:tcW w:w="1138" w:type="pct"/>
            <w:noWrap w:val="0"/>
            <w:vAlign w:val="center"/>
          </w:tcPr>
          <w:p>
            <w:pPr>
              <w:keepNext w:val="0"/>
              <w:keepLines w:val="0"/>
              <w:widowControl/>
              <w:suppressLineNumbers w:val="0"/>
              <w:jc w:val="center"/>
              <w:textAlignment w:val="center"/>
              <w:rPr>
                <w:rFonts w:hint="eastAsia" w:ascii="宋体" w:hAnsi="宋体" w:cs="宋体"/>
                <w:i/>
                <w:iCs/>
                <w:sz w:val="24"/>
                <w:highlight w:val="none"/>
              </w:rPr>
            </w:pPr>
          </w:p>
        </w:tc>
        <w:tc>
          <w:tcPr>
            <w:tcW w:w="740" w:type="pct"/>
            <w:noWrap w:val="0"/>
            <w:vAlign w:val="center"/>
          </w:tcPr>
          <w:p>
            <w:pPr>
              <w:spacing w:line="460" w:lineRule="exact"/>
              <w:jc w:val="center"/>
              <w:rPr>
                <w:rFonts w:hint="eastAsia" w:ascii="宋体" w:hAnsi="宋体" w:cs="宋体"/>
                <w:sz w:val="24"/>
                <w:highlight w:val="none"/>
              </w:rPr>
            </w:pPr>
          </w:p>
        </w:tc>
        <w:tc>
          <w:tcPr>
            <w:tcW w:w="505" w:type="pct"/>
            <w:noWrap w:val="0"/>
            <w:vAlign w:val="center"/>
          </w:tcPr>
          <w:p>
            <w:pPr>
              <w:spacing w:line="460" w:lineRule="exact"/>
              <w:jc w:val="center"/>
              <w:rPr>
                <w:rFonts w:hint="eastAsia" w:ascii="宋体" w:hAnsi="宋体" w:cs="宋体"/>
                <w:sz w:val="24"/>
                <w:highlight w:val="none"/>
              </w:rPr>
            </w:pPr>
          </w:p>
        </w:tc>
        <w:tc>
          <w:tcPr>
            <w:tcW w:w="505" w:type="pct"/>
            <w:noWrap w:val="0"/>
            <w:vAlign w:val="center"/>
          </w:tcPr>
          <w:p>
            <w:pPr>
              <w:spacing w:line="460" w:lineRule="exact"/>
              <w:jc w:val="center"/>
              <w:rPr>
                <w:rFonts w:hint="eastAsia" w:ascii="宋体" w:hAnsi="宋体" w:cs="宋体"/>
                <w:sz w:val="24"/>
                <w:highlight w:val="none"/>
              </w:rPr>
            </w:pPr>
          </w:p>
        </w:tc>
        <w:tc>
          <w:tcPr>
            <w:tcW w:w="505" w:type="pct"/>
            <w:noWrap w:val="0"/>
            <w:vAlign w:val="center"/>
          </w:tcPr>
          <w:p>
            <w:pPr>
              <w:spacing w:line="460" w:lineRule="exact"/>
              <w:jc w:val="center"/>
              <w:rPr>
                <w:rFonts w:hint="eastAsia" w:ascii="宋体" w:hAnsi="宋体" w:cs="宋体"/>
                <w:sz w:val="24"/>
                <w:highlight w:val="none"/>
              </w:rPr>
            </w:pPr>
          </w:p>
        </w:tc>
        <w:tc>
          <w:tcPr>
            <w:tcW w:w="779" w:type="pct"/>
            <w:noWrap w:val="0"/>
            <w:vAlign w:val="center"/>
          </w:tcPr>
          <w:p>
            <w:pPr>
              <w:spacing w:line="460" w:lineRule="exact"/>
              <w:jc w:val="center"/>
              <w:rPr>
                <w:rFonts w:hint="eastAsia" w:ascii="宋体" w:hAnsi="宋体" w:cs="宋体"/>
                <w:sz w:val="24"/>
                <w:highlight w:val="none"/>
              </w:rPr>
            </w:pPr>
          </w:p>
        </w:tc>
        <w:tc>
          <w:tcPr>
            <w:tcW w:w="502" w:type="pct"/>
            <w:noWrap w:val="0"/>
            <w:vAlign w:val="center"/>
          </w:tcPr>
          <w:p>
            <w:pPr>
              <w:spacing w:line="460" w:lineRule="exact"/>
              <w:jc w:val="center"/>
              <w:rPr>
                <w:rFonts w:hint="eastAsia"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3" w:type="pct"/>
            <w:noWrap w:val="0"/>
            <w:vAlign w:val="top"/>
          </w:tcPr>
          <w:p>
            <w:pPr>
              <w:spacing w:line="460" w:lineRule="exact"/>
              <w:jc w:val="center"/>
              <w:rPr>
                <w:rFonts w:hint="default" w:ascii="宋体" w:hAnsi="宋体" w:eastAsia="宋体" w:cs="宋体"/>
                <w:i/>
                <w:iCs/>
                <w:sz w:val="24"/>
                <w:highlight w:val="none"/>
                <w:lang w:val="en-US" w:eastAsia="zh-CN"/>
              </w:rPr>
            </w:pPr>
            <w:r>
              <w:rPr>
                <w:rFonts w:hint="eastAsia" w:ascii="宋体" w:hAnsi="宋体" w:cs="宋体"/>
                <w:i/>
                <w:iCs/>
                <w:sz w:val="24"/>
                <w:highlight w:val="none"/>
                <w:lang w:val="en-US" w:eastAsia="zh-CN"/>
              </w:rPr>
              <w:t>12</w:t>
            </w:r>
          </w:p>
        </w:tc>
        <w:tc>
          <w:tcPr>
            <w:tcW w:w="1138" w:type="pct"/>
            <w:noWrap w:val="0"/>
            <w:vAlign w:val="center"/>
          </w:tcPr>
          <w:p>
            <w:pPr>
              <w:keepNext w:val="0"/>
              <w:keepLines w:val="0"/>
              <w:widowControl/>
              <w:suppressLineNumbers w:val="0"/>
              <w:jc w:val="center"/>
              <w:textAlignment w:val="center"/>
              <w:rPr>
                <w:rFonts w:hint="eastAsia" w:ascii="宋体" w:hAnsi="宋体" w:cs="宋体"/>
                <w:i/>
                <w:iCs/>
                <w:sz w:val="24"/>
                <w:highlight w:val="none"/>
              </w:rPr>
            </w:pPr>
          </w:p>
        </w:tc>
        <w:tc>
          <w:tcPr>
            <w:tcW w:w="740" w:type="pct"/>
            <w:noWrap w:val="0"/>
            <w:vAlign w:val="center"/>
          </w:tcPr>
          <w:p>
            <w:pPr>
              <w:spacing w:line="460" w:lineRule="exact"/>
              <w:jc w:val="center"/>
              <w:rPr>
                <w:rFonts w:hint="eastAsia" w:ascii="宋体" w:hAnsi="宋体" w:cs="宋体"/>
                <w:sz w:val="24"/>
                <w:highlight w:val="none"/>
              </w:rPr>
            </w:pPr>
          </w:p>
        </w:tc>
        <w:tc>
          <w:tcPr>
            <w:tcW w:w="505" w:type="pct"/>
            <w:noWrap w:val="0"/>
            <w:vAlign w:val="center"/>
          </w:tcPr>
          <w:p>
            <w:pPr>
              <w:spacing w:line="460" w:lineRule="exact"/>
              <w:jc w:val="center"/>
              <w:rPr>
                <w:rFonts w:hint="eastAsia" w:ascii="宋体" w:hAnsi="宋体" w:cs="宋体"/>
                <w:sz w:val="24"/>
                <w:highlight w:val="none"/>
              </w:rPr>
            </w:pPr>
          </w:p>
        </w:tc>
        <w:tc>
          <w:tcPr>
            <w:tcW w:w="505" w:type="pct"/>
            <w:noWrap w:val="0"/>
            <w:vAlign w:val="center"/>
          </w:tcPr>
          <w:p>
            <w:pPr>
              <w:spacing w:line="460" w:lineRule="exact"/>
              <w:jc w:val="center"/>
              <w:rPr>
                <w:rFonts w:hint="eastAsia" w:ascii="宋体" w:hAnsi="宋体" w:cs="宋体"/>
                <w:sz w:val="24"/>
                <w:highlight w:val="none"/>
              </w:rPr>
            </w:pPr>
          </w:p>
        </w:tc>
        <w:tc>
          <w:tcPr>
            <w:tcW w:w="505" w:type="pct"/>
            <w:noWrap w:val="0"/>
            <w:vAlign w:val="center"/>
          </w:tcPr>
          <w:p>
            <w:pPr>
              <w:spacing w:line="460" w:lineRule="exact"/>
              <w:jc w:val="center"/>
              <w:rPr>
                <w:rFonts w:hint="eastAsia" w:ascii="宋体" w:hAnsi="宋体" w:cs="宋体"/>
                <w:sz w:val="24"/>
                <w:highlight w:val="none"/>
              </w:rPr>
            </w:pPr>
          </w:p>
        </w:tc>
        <w:tc>
          <w:tcPr>
            <w:tcW w:w="779" w:type="pct"/>
            <w:noWrap w:val="0"/>
            <w:vAlign w:val="center"/>
          </w:tcPr>
          <w:p>
            <w:pPr>
              <w:spacing w:line="460" w:lineRule="exact"/>
              <w:jc w:val="center"/>
              <w:rPr>
                <w:rFonts w:hint="eastAsia" w:ascii="宋体" w:hAnsi="宋体" w:cs="宋体"/>
                <w:sz w:val="24"/>
                <w:highlight w:val="none"/>
              </w:rPr>
            </w:pPr>
          </w:p>
        </w:tc>
        <w:tc>
          <w:tcPr>
            <w:tcW w:w="502" w:type="pct"/>
            <w:noWrap w:val="0"/>
            <w:vAlign w:val="center"/>
          </w:tcPr>
          <w:p>
            <w:pPr>
              <w:spacing w:line="460" w:lineRule="exact"/>
              <w:jc w:val="center"/>
              <w:rPr>
                <w:rFonts w:hint="eastAsia"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3" w:type="pct"/>
            <w:noWrap w:val="0"/>
            <w:vAlign w:val="top"/>
          </w:tcPr>
          <w:p>
            <w:pPr>
              <w:spacing w:line="460" w:lineRule="exact"/>
              <w:jc w:val="center"/>
              <w:rPr>
                <w:rFonts w:hint="default" w:ascii="宋体" w:hAnsi="宋体" w:eastAsia="宋体" w:cs="宋体"/>
                <w:i/>
                <w:iCs/>
                <w:sz w:val="24"/>
                <w:highlight w:val="none"/>
                <w:lang w:val="en-US" w:eastAsia="zh-CN"/>
              </w:rPr>
            </w:pPr>
            <w:r>
              <w:rPr>
                <w:rFonts w:hint="eastAsia" w:ascii="宋体" w:hAnsi="宋体" w:cs="宋体"/>
                <w:i/>
                <w:iCs/>
                <w:sz w:val="24"/>
                <w:highlight w:val="none"/>
                <w:lang w:val="en-US" w:eastAsia="zh-CN"/>
              </w:rPr>
              <w:t>13</w:t>
            </w:r>
          </w:p>
        </w:tc>
        <w:tc>
          <w:tcPr>
            <w:tcW w:w="1138" w:type="pct"/>
            <w:noWrap w:val="0"/>
            <w:vAlign w:val="center"/>
          </w:tcPr>
          <w:p>
            <w:pPr>
              <w:keepNext w:val="0"/>
              <w:keepLines w:val="0"/>
              <w:widowControl/>
              <w:suppressLineNumbers w:val="0"/>
              <w:jc w:val="center"/>
              <w:textAlignment w:val="center"/>
              <w:rPr>
                <w:rFonts w:hint="eastAsia" w:ascii="宋体" w:hAnsi="宋体" w:cs="宋体"/>
                <w:b/>
                <w:bCs/>
                <w:sz w:val="24"/>
                <w:highlight w:val="none"/>
              </w:rPr>
            </w:pPr>
          </w:p>
        </w:tc>
        <w:tc>
          <w:tcPr>
            <w:tcW w:w="740" w:type="pct"/>
            <w:noWrap w:val="0"/>
            <w:vAlign w:val="center"/>
          </w:tcPr>
          <w:p>
            <w:pPr>
              <w:spacing w:line="460" w:lineRule="exact"/>
              <w:jc w:val="center"/>
              <w:rPr>
                <w:rFonts w:hint="eastAsia" w:ascii="宋体" w:hAnsi="宋体" w:cs="宋体"/>
                <w:sz w:val="24"/>
                <w:highlight w:val="none"/>
              </w:rPr>
            </w:pPr>
          </w:p>
        </w:tc>
        <w:tc>
          <w:tcPr>
            <w:tcW w:w="505" w:type="pct"/>
            <w:noWrap w:val="0"/>
            <w:vAlign w:val="center"/>
          </w:tcPr>
          <w:p>
            <w:pPr>
              <w:spacing w:line="460" w:lineRule="exact"/>
              <w:jc w:val="center"/>
              <w:rPr>
                <w:rFonts w:hint="eastAsia" w:ascii="宋体" w:hAnsi="宋体" w:cs="宋体"/>
                <w:sz w:val="24"/>
                <w:highlight w:val="none"/>
              </w:rPr>
            </w:pPr>
          </w:p>
        </w:tc>
        <w:tc>
          <w:tcPr>
            <w:tcW w:w="505" w:type="pct"/>
            <w:noWrap w:val="0"/>
            <w:vAlign w:val="center"/>
          </w:tcPr>
          <w:p>
            <w:pPr>
              <w:spacing w:line="460" w:lineRule="exact"/>
              <w:jc w:val="center"/>
              <w:rPr>
                <w:rFonts w:hint="eastAsia" w:ascii="宋体" w:hAnsi="宋体" w:cs="宋体"/>
                <w:sz w:val="24"/>
                <w:highlight w:val="none"/>
              </w:rPr>
            </w:pPr>
          </w:p>
        </w:tc>
        <w:tc>
          <w:tcPr>
            <w:tcW w:w="505" w:type="pct"/>
            <w:noWrap w:val="0"/>
            <w:vAlign w:val="center"/>
          </w:tcPr>
          <w:p>
            <w:pPr>
              <w:spacing w:line="460" w:lineRule="exact"/>
              <w:jc w:val="center"/>
              <w:rPr>
                <w:rFonts w:hint="eastAsia" w:ascii="宋体" w:hAnsi="宋体" w:cs="宋体"/>
                <w:sz w:val="24"/>
                <w:highlight w:val="none"/>
              </w:rPr>
            </w:pPr>
          </w:p>
        </w:tc>
        <w:tc>
          <w:tcPr>
            <w:tcW w:w="779" w:type="pct"/>
            <w:noWrap w:val="0"/>
            <w:vAlign w:val="center"/>
          </w:tcPr>
          <w:p>
            <w:pPr>
              <w:spacing w:line="460" w:lineRule="exact"/>
              <w:jc w:val="center"/>
              <w:rPr>
                <w:rFonts w:hint="eastAsia" w:ascii="宋体" w:hAnsi="宋体" w:cs="宋体"/>
                <w:sz w:val="24"/>
                <w:highlight w:val="none"/>
              </w:rPr>
            </w:pPr>
          </w:p>
        </w:tc>
        <w:tc>
          <w:tcPr>
            <w:tcW w:w="502" w:type="pct"/>
            <w:noWrap w:val="0"/>
            <w:vAlign w:val="center"/>
          </w:tcPr>
          <w:p>
            <w:pPr>
              <w:spacing w:line="460" w:lineRule="exact"/>
              <w:jc w:val="center"/>
              <w:rPr>
                <w:rFonts w:hint="eastAsia"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3" w:type="pct"/>
            <w:noWrap w:val="0"/>
            <w:vAlign w:val="center"/>
          </w:tcPr>
          <w:p>
            <w:pPr>
              <w:spacing w:line="460" w:lineRule="exact"/>
              <w:jc w:val="center"/>
              <w:rPr>
                <w:rFonts w:hint="default" w:ascii="宋体" w:hAnsi="宋体" w:eastAsia="宋体" w:cs="宋体"/>
                <w:i/>
                <w:iCs/>
                <w:sz w:val="24"/>
                <w:highlight w:val="none"/>
                <w:lang w:val="en-US" w:eastAsia="zh-CN"/>
              </w:rPr>
            </w:pPr>
            <w:r>
              <w:rPr>
                <w:rFonts w:hint="eastAsia" w:ascii="宋体" w:hAnsi="宋体" w:cs="宋体"/>
                <w:i/>
                <w:iCs/>
                <w:sz w:val="24"/>
                <w:highlight w:val="none"/>
                <w:lang w:val="en-US" w:eastAsia="zh-CN"/>
              </w:rPr>
              <w:t>14</w:t>
            </w:r>
          </w:p>
        </w:tc>
        <w:tc>
          <w:tcPr>
            <w:tcW w:w="1138" w:type="pct"/>
            <w:noWrap w:val="0"/>
            <w:vAlign w:val="center"/>
          </w:tcPr>
          <w:p>
            <w:pPr>
              <w:keepNext w:val="0"/>
              <w:keepLines w:val="0"/>
              <w:widowControl/>
              <w:suppressLineNumbers w:val="0"/>
              <w:jc w:val="center"/>
              <w:textAlignment w:val="center"/>
              <w:rPr>
                <w:rFonts w:hint="eastAsia" w:ascii="宋体" w:hAnsi="宋体" w:cs="宋体"/>
                <w:b/>
                <w:bCs/>
                <w:sz w:val="24"/>
                <w:highlight w:val="none"/>
              </w:rPr>
            </w:pPr>
          </w:p>
        </w:tc>
        <w:tc>
          <w:tcPr>
            <w:tcW w:w="740" w:type="pct"/>
            <w:noWrap w:val="0"/>
            <w:vAlign w:val="center"/>
          </w:tcPr>
          <w:p>
            <w:pPr>
              <w:spacing w:line="460" w:lineRule="exact"/>
              <w:jc w:val="center"/>
              <w:rPr>
                <w:rFonts w:hint="eastAsia" w:ascii="宋体" w:hAnsi="宋体" w:cs="宋体"/>
                <w:sz w:val="24"/>
                <w:highlight w:val="none"/>
              </w:rPr>
            </w:pPr>
          </w:p>
        </w:tc>
        <w:tc>
          <w:tcPr>
            <w:tcW w:w="505" w:type="pct"/>
            <w:noWrap w:val="0"/>
            <w:vAlign w:val="center"/>
          </w:tcPr>
          <w:p>
            <w:pPr>
              <w:spacing w:line="460" w:lineRule="exact"/>
              <w:jc w:val="center"/>
              <w:rPr>
                <w:rFonts w:hint="eastAsia" w:ascii="宋体" w:hAnsi="宋体" w:cs="宋体"/>
                <w:sz w:val="24"/>
                <w:highlight w:val="none"/>
              </w:rPr>
            </w:pPr>
          </w:p>
        </w:tc>
        <w:tc>
          <w:tcPr>
            <w:tcW w:w="505" w:type="pct"/>
            <w:noWrap w:val="0"/>
            <w:vAlign w:val="center"/>
          </w:tcPr>
          <w:p>
            <w:pPr>
              <w:spacing w:line="460" w:lineRule="exact"/>
              <w:jc w:val="center"/>
              <w:rPr>
                <w:rFonts w:hint="eastAsia" w:ascii="宋体" w:hAnsi="宋体" w:cs="宋体"/>
                <w:sz w:val="24"/>
                <w:highlight w:val="none"/>
              </w:rPr>
            </w:pPr>
          </w:p>
        </w:tc>
        <w:tc>
          <w:tcPr>
            <w:tcW w:w="505" w:type="pct"/>
            <w:noWrap w:val="0"/>
            <w:vAlign w:val="center"/>
          </w:tcPr>
          <w:p>
            <w:pPr>
              <w:spacing w:line="460" w:lineRule="exact"/>
              <w:jc w:val="center"/>
              <w:rPr>
                <w:rFonts w:hint="eastAsia" w:ascii="宋体" w:hAnsi="宋体" w:cs="宋体"/>
                <w:sz w:val="24"/>
                <w:highlight w:val="none"/>
              </w:rPr>
            </w:pPr>
          </w:p>
        </w:tc>
        <w:tc>
          <w:tcPr>
            <w:tcW w:w="779" w:type="pct"/>
            <w:noWrap w:val="0"/>
            <w:vAlign w:val="center"/>
          </w:tcPr>
          <w:p>
            <w:pPr>
              <w:spacing w:line="460" w:lineRule="exact"/>
              <w:jc w:val="center"/>
              <w:rPr>
                <w:rFonts w:hint="eastAsia" w:ascii="宋体" w:hAnsi="宋体" w:cs="宋体"/>
                <w:sz w:val="24"/>
                <w:highlight w:val="none"/>
              </w:rPr>
            </w:pPr>
          </w:p>
        </w:tc>
        <w:tc>
          <w:tcPr>
            <w:tcW w:w="502" w:type="pct"/>
            <w:noWrap w:val="0"/>
            <w:vAlign w:val="center"/>
          </w:tcPr>
          <w:p>
            <w:pPr>
              <w:spacing w:line="460" w:lineRule="exact"/>
              <w:jc w:val="center"/>
              <w:rPr>
                <w:rFonts w:hint="eastAsia"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3" w:type="pct"/>
            <w:noWrap w:val="0"/>
            <w:vAlign w:val="center"/>
          </w:tcPr>
          <w:p>
            <w:pPr>
              <w:spacing w:line="460" w:lineRule="exact"/>
              <w:jc w:val="center"/>
              <w:rPr>
                <w:rFonts w:hint="eastAsia" w:ascii="宋体" w:hAnsi="宋体" w:cs="宋体"/>
                <w:i/>
                <w:iCs/>
                <w:sz w:val="24"/>
                <w:highlight w:val="none"/>
                <w:lang w:val="en-US" w:eastAsia="zh-CN"/>
              </w:rPr>
            </w:pPr>
          </w:p>
        </w:tc>
        <w:tc>
          <w:tcPr>
            <w:tcW w:w="1138" w:type="pct"/>
            <w:noWrap w:val="0"/>
            <w:vAlign w:val="center"/>
          </w:tcPr>
          <w:p>
            <w:pPr>
              <w:keepNext w:val="0"/>
              <w:keepLines w:val="0"/>
              <w:widowControl/>
              <w:suppressLineNumbers w:val="0"/>
              <w:jc w:val="center"/>
              <w:textAlignment w:val="center"/>
              <w:rPr>
                <w:rFonts w:hint="eastAsia" w:ascii="宋体" w:hAnsi="宋体" w:cs="宋体"/>
                <w:b/>
                <w:bCs/>
                <w:sz w:val="24"/>
                <w:highlight w:val="none"/>
              </w:rPr>
            </w:pPr>
          </w:p>
        </w:tc>
        <w:tc>
          <w:tcPr>
            <w:tcW w:w="740" w:type="pct"/>
            <w:noWrap w:val="0"/>
            <w:vAlign w:val="center"/>
          </w:tcPr>
          <w:p>
            <w:pPr>
              <w:spacing w:line="460" w:lineRule="exact"/>
              <w:jc w:val="center"/>
              <w:rPr>
                <w:rFonts w:hint="eastAsia" w:ascii="宋体" w:hAnsi="宋体" w:cs="宋体"/>
                <w:sz w:val="24"/>
                <w:highlight w:val="none"/>
              </w:rPr>
            </w:pPr>
          </w:p>
        </w:tc>
        <w:tc>
          <w:tcPr>
            <w:tcW w:w="505" w:type="pct"/>
            <w:noWrap w:val="0"/>
            <w:vAlign w:val="center"/>
          </w:tcPr>
          <w:p>
            <w:pPr>
              <w:spacing w:line="460" w:lineRule="exact"/>
              <w:jc w:val="center"/>
              <w:rPr>
                <w:rFonts w:hint="eastAsia" w:ascii="宋体" w:hAnsi="宋体" w:cs="宋体"/>
                <w:sz w:val="24"/>
                <w:highlight w:val="none"/>
              </w:rPr>
            </w:pPr>
          </w:p>
        </w:tc>
        <w:tc>
          <w:tcPr>
            <w:tcW w:w="505" w:type="pct"/>
            <w:noWrap w:val="0"/>
            <w:vAlign w:val="center"/>
          </w:tcPr>
          <w:p>
            <w:pPr>
              <w:spacing w:line="460" w:lineRule="exact"/>
              <w:jc w:val="center"/>
              <w:rPr>
                <w:rFonts w:hint="eastAsia" w:ascii="宋体" w:hAnsi="宋体" w:cs="宋体"/>
                <w:sz w:val="24"/>
                <w:highlight w:val="none"/>
              </w:rPr>
            </w:pPr>
          </w:p>
        </w:tc>
        <w:tc>
          <w:tcPr>
            <w:tcW w:w="505" w:type="pct"/>
            <w:noWrap w:val="0"/>
            <w:vAlign w:val="center"/>
          </w:tcPr>
          <w:p>
            <w:pPr>
              <w:spacing w:line="460" w:lineRule="exact"/>
              <w:jc w:val="center"/>
              <w:rPr>
                <w:rFonts w:hint="eastAsia" w:ascii="宋体" w:hAnsi="宋体" w:cs="宋体"/>
                <w:sz w:val="24"/>
                <w:highlight w:val="none"/>
              </w:rPr>
            </w:pPr>
          </w:p>
        </w:tc>
        <w:tc>
          <w:tcPr>
            <w:tcW w:w="779" w:type="pct"/>
            <w:noWrap w:val="0"/>
            <w:vAlign w:val="center"/>
          </w:tcPr>
          <w:p>
            <w:pPr>
              <w:spacing w:line="460" w:lineRule="exact"/>
              <w:jc w:val="center"/>
              <w:rPr>
                <w:rFonts w:hint="eastAsia" w:ascii="宋体" w:hAnsi="宋体" w:cs="宋体"/>
                <w:sz w:val="24"/>
                <w:highlight w:val="none"/>
              </w:rPr>
            </w:pPr>
          </w:p>
        </w:tc>
        <w:tc>
          <w:tcPr>
            <w:tcW w:w="502" w:type="pct"/>
            <w:noWrap w:val="0"/>
            <w:vAlign w:val="center"/>
          </w:tcPr>
          <w:p>
            <w:pPr>
              <w:spacing w:line="460" w:lineRule="exact"/>
              <w:jc w:val="center"/>
              <w:rPr>
                <w:rFonts w:hint="eastAsia"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1461" w:type="pct"/>
            <w:gridSpan w:val="2"/>
            <w:noWrap w:val="0"/>
            <w:vAlign w:val="center"/>
          </w:tcPr>
          <w:p>
            <w:pPr>
              <w:spacing w:line="460" w:lineRule="exact"/>
              <w:jc w:val="center"/>
              <w:rPr>
                <w:rFonts w:hint="eastAsia" w:ascii="宋体" w:hAnsi="宋体" w:cs="宋体"/>
                <w:sz w:val="24"/>
                <w:highlight w:val="none"/>
              </w:rPr>
            </w:pPr>
            <w:r>
              <w:rPr>
                <w:rFonts w:hint="eastAsia" w:ascii="宋体" w:hAnsi="宋体" w:cs="宋体"/>
                <w:sz w:val="24"/>
                <w:highlight w:val="none"/>
              </w:rPr>
              <w:t>投标总价（小写）</w:t>
            </w:r>
          </w:p>
        </w:tc>
        <w:tc>
          <w:tcPr>
            <w:tcW w:w="3034" w:type="pct"/>
            <w:gridSpan w:val="5"/>
            <w:noWrap w:val="0"/>
            <w:vAlign w:val="center"/>
          </w:tcPr>
          <w:p>
            <w:pPr>
              <w:spacing w:line="460" w:lineRule="exact"/>
              <w:jc w:val="center"/>
              <w:rPr>
                <w:rFonts w:hint="eastAsia" w:ascii="宋体" w:hAnsi="宋体" w:cs="宋体"/>
                <w:sz w:val="24"/>
                <w:highlight w:val="none"/>
              </w:rPr>
            </w:pPr>
          </w:p>
        </w:tc>
        <w:tc>
          <w:tcPr>
            <w:tcW w:w="504" w:type="pct"/>
            <w:noWrap w:val="0"/>
            <w:vAlign w:val="center"/>
          </w:tcPr>
          <w:p>
            <w:pPr>
              <w:spacing w:line="460" w:lineRule="exact"/>
              <w:jc w:val="center"/>
              <w:rPr>
                <w:rFonts w:hint="eastAsia"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1461" w:type="pct"/>
            <w:gridSpan w:val="2"/>
            <w:noWrap w:val="0"/>
            <w:vAlign w:val="center"/>
          </w:tcPr>
          <w:p>
            <w:pPr>
              <w:spacing w:line="460" w:lineRule="exact"/>
              <w:jc w:val="center"/>
              <w:rPr>
                <w:rFonts w:hint="eastAsia" w:ascii="宋体" w:hAnsi="宋体" w:cs="宋体"/>
                <w:sz w:val="24"/>
                <w:highlight w:val="none"/>
              </w:rPr>
            </w:pPr>
            <w:r>
              <w:rPr>
                <w:rFonts w:hint="eastAsia" w:ascii="宋体" w:hAnsi="宋体" w:cs="宋体"/>
                <w:sz w:val="24"/>
                <w:highlight w:val="none"/>
              </w:rPr>
              <w:t>投标总价（大写）</w:t>
            </w:r>
          </w:p>
        </w:tc>
        <w:tc>
          <w:tcPr>
            <w:tcW w:w="3034" w:type="pct"/>
            <w:gridSpan w:val="5"/>
            <w:noWrap w:val="0"/>
            <w:vAlign w:val="center"/>
          </w:tcPr>
          <w:p>
            <w:pPr>
              <w:spacing w:line="460" w:lineRule="exact"/>
              <w:jc w:val="center"/>
              <w:rPr>
                <w:rFonts w:hint="eastAsia" w:ascii="宋体" w:hAnsi="宋体" w:cs="宋体"/>
                <w:sz w:val="24"/>
                <w:highlight w:val="none"/>
              </w:rPr>
            </w:pPr>
          </w:p>
        </w:tc>
        <w:tc>
          <w:tcPr>
            <w:tcW w:w="504" w:type="pct"/>
            <w:noWrap w:val="0"/>
            <w:vAlign w:val="center"/>
          </w:tcPr>
          <w:p>
            <w:pPr>
              <w:spacing w:line="460" w:lineRule="exact"/>
              <w:jc w:val="center"/>
              <w:rPr>
                <w:rFonts w:hint="eastAsia" w:ascii="宋体" w:hAnsi="宋体" w:cs="宋体"/>
                <w:sz w:val="24"/>
                <w:highlight w:val="none"/>
              </w:rPr>
            </w:pPr>
          </w:p>
        </w:tc>
      </w:tr>
    </w:tbl>
    <w:p>
      <w:pPr>
        <w:spacing w:line="360" w:lineRule="auto"/>
        <w:rPr>
          <w:rFonts w:hint="eastAsia" w:ascii="宋体" w:hAnsi="宋体" w:cs="宋体"/>
          <w:highlight w:val="none"/>
        </w:rPr>
      </w:pPr>
    </w:p>
    <w:p>
      <w:pPr>
        <w:spacing w:line="360" w:lineRule="auto"/>
        <w:rPr>
          <w:rFonts w:hint="eastAsia" w:ascii="宋体" w:hAnsi="宋体" w:cs="宋体"/>
          <w:highlight w:val="none"/>
        </w:rPr>
      </w:pPr>
      <w:r>
        <w:rPr>
          <w:rFonts w:hint="eastAsia" w:ascii="宋体" w:hAnsi="宋体" w:cs="宋体"/>
          <w:highlight w:val="none"/>
        </w:rPr>
        <w:t>注：1. 投标人根据实际情况可在表中报价明细的基础上进行扩展。</w:t>
      </w:r>
    </w:p>
    <w:p>
      <w:pPr>
        <w:spacing w:line="360" w:lineRule="auto"/>
        <w:ind w:firstLine="420" w:firstLineChars="200"/>
        <w:rPr>
          <w:rFonts w:hint="eastAsia" w:ascii="宋体" w:hAnsi="宋体" w:cs="宋体"/>
          <w:highlight w:val="none"/>
        </w:rPr>
      </w:pPr>
      <w:r>
        <w:rPr>
          <w:rFonts w:hint="eastAsia" w:ascii="宋体" w:hAnsi="宋体" w:cs="宋体"/>
          <w:highlight w:val="none"/>
        </w:rPr>
        <w:t>2.上表所述“投标总价”应与“开标一览表”中的报价</w:t>
      </w:r>
      <w:r>
        <w:rPr>
          <w:rFonts w:hint="eastAsia" w:ascii="宋体" w:hAnsi="宋体" w:cs="宋体"/>
          <w:highlight w:val="none"/>
          <w:lang w:eastAsia="zh-CN"/>
        </w:rPr>
        <w:t>总价</w:t>
      </w:r>
      <w:r>
        <w:rPr>
          <w:rFonts w:hint="eastAsia" w:ascii="宋体" w:hAnsi="宋体" w:cs="宋体"/>
          <w:highlight w:val="none"/>
        </w:rPr>
        <w:t>一致，如有矛盾，以“开标一览表”中的为准。</w:t>
      </w:r>
    </w:p>
    <w:p>
      <w:pPr>
        <w:spacing w:line="360" w:lineRule="auto"/>
        <w:ind w:right="-817" w:rightChars="-389"/>
        <w:rPr>
          <w:rFonts w:hint="eastAsia" w:ascii="宋体" w:hAnsi="宋体"/>
          <w:spacing w:val="-6"/>
          <w:sz w:val="24"/>
          <w:highlight w:val="none"/>
        </w:rPr>
      </w:pPr>
      <w:r>
        <w:rPr>
          <w:rFonts w:hint="eastAsia" w:ascii="宋体" w:hAnsi="宋体"/>
          <w:spacing w:val="-6"/>
          <w:sz w:val="24"/>
          <w:highlight w:val="none"/>
        </w:rPr>
        <w:t>投标人名称（盖章）：</w:t>
      </w:r>
    </w:p>
    <w:p>
      <w:pPr>
        <w:spacing w:line="360" w:lineRule="auto"/>
        <w:ind w:right="-817" w:rightChars="-389"/>
        <w:rPr>
          <w:rFonts w:hint="eastAsia" w:ascii="宋体" w:hAnsi="宋体"/>
          <w:spacing w:val="-6"/>
          <w:sz w:val="24"/>
          <w:highlight w:val="none"/>
        </w:rPr>
      </w:pPr>
      <w:r>
        <w:rPr>
          <w:rFonts w:hint="eastAsia" w:ascii="宋体" w:hAnsi="宋体"/>
          <w:spacing w:val="-6"/>
          <w:sz w:val="24"/>
          <w:highlight w:val="none"/>
        </w:rPr>
        <w:t>投标人代表签字：</w:t>
      </w:r>
    </w:p>
    <w:p>
      <w:pPr>
        <w:spacing w:line="360" w:lineRule="auto"/>
        <w:ind w:right="-817" w:rightChars="-389"/>
        <w:rPr>
          <w:rFonts w:hint="eastAsia" w:ascii="宋体" w:hAnsi="宋体"/>
          <w:spacing w:val="-6"/>
          <w:sz w:val="24"/>
          <w:highlight w:val="none"/>
        </w:rPr>
      </w:pPr>
      <w:r>
        <w:rPr>
          <w:rFonts w:hint="eastAsia" w:ascii="宋体" w:hAnsi="宋体"/>
          <w:bCs/>
          <w:spacing w:val="-6"/>
          <w:sz w:val="24"/>
          <w:highlight w:val="none"/>
        </w:rPr>
        <w:t xml:space="preserve">日期：  </w:t>
      </w:r>
      <w:r>
        <w:rPr>
          <w:rFonts w:ascii="宋体" w:hAnsi="宋体"/>
          <w:bCs/>
          <w:spacing w:val="-6"/>
          <w:sz w:val="24"/>
          <w:highlight w:val="none"/>
        </w:rPr>
        <w:t xml:space="preserve">  </w:t>
      </w:r>
      <w:r>
        <w:rPr>
          <w:rFonts w:hint="eastAsia" w:ascii="宋体" w:hAnsi="宋体"/>
          <w:bCs/>
          <w:spacing w:val="-6"/>
          <w:sz w:val="24"/>
          <w:highlight w:val="none"/>
        </w:rPr>
        <w:t>年  月  日</w:t>
      </w:r>
    </w:p>
    <w:p>
      <w:pPr>
        <w:rPr>
          <w:rFonts w:ascii="宋体" w:hAnsi="宋体"/>
          <w:b/>
          <w:spacing w:val="-6"/>
          <w:sz w:val="24"/>
          <w:highlight w:val="none"/>
        </w:rPr>
      </w:pPr>
      <w:r>
        <w:rPr>
          <w:rFonts w:ascii="宋体" w:hAnsi="宋体"/>
          <w:b/>
          <w:spacing w:val="-6"/>
          <w:sz w:val="24"/>
          <w:highlight w:val="none"/>
        </w:rPr>
        <w:br w:type="page"/>
      </w:r>
    </w:p>
    <w:p>
      <w:pPr>
        <w:pStyle w:val="19"/>
        <w:spacing w:line="600" w:lineRule="exact"/>
        <w:ind w:firstLine="0"/>
        <w:jc w:val="center"/>
        <w:rPr>
          <w:rFonts w:hint="eastAsia" w:hAnsi="宋体" w:cs="宋体"/>
          <w:b/>
          <w:bCs/>
          <w:snapToGrid w:val="0"/>
          <w:kern w:val="0"/>
          <w:sz w:val="28"/>
          <w:szCs w:val="28"/>
          <w:highlight w:val="none"/>
        </w:rPr>
      </w:pPr>
      <w:r>
        <w:rPr>
          <w:rFonts w:hint="eastAsia" w:hAnsi="宋体" w:cs="宋体"/>
          <w:b/>
          <w:bCs/>
          <w:snapToGrid w:val="0"/>
          <w:kern w:val="0"/>
          <w:sz w:val="28"/>
          <w:szCs w:val="28"/>
          <w:highlight w:val="none"/>
          <w:lang w:val="en-US" w:eastAsia="zh-CN"/>
        </w:rPr>
        <w:t>三</w:t>
      </w:r>
      <w:r>
        <w:rPr>
          <w:rFonts w:hint="eastAsia" w:hAnsi="宋体" w:cs="宋体"/>
          <w:b/>
          <w:bCs/>
          <w:snapToGrid w:val="0"/>
          <w:kern w:val="0"/>
          <w:sz w:val="28"/>
          <w:szCs w:val="28"/>
          <w:highlight w:val="none"/>
        </w:rPr>
        <w:t>、中小企业声明函</w:t>
      </w:r>
      <w:bookmarkStart w:id="98" w:name="_Hlk101259491"/>
      <w:r>
        <w:rPr>
          <w:rFonts w:hint="eastAsia" w:hAnsi="宋体" w:cs="宋体"/>
          <w:b/>
          <w:bCs/>
          <w:snapToGrid w:val="0"/>
          <w:kern w:val="0"/>
          <w:sz w:val="28"/>
          <w:szCs w:val="28"/>
          <w:highlight w:val="none"/>
        </w:rPr>
        <w:t>（如果有）</w:t>
      </w:r>
      <w:bookmarkEnd w:id="98"/>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衢州动力电池和储能研究院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lang w:val="en-US" w:eastAsia="zh-CN"/>
        </w:rPr>
        <w:t xml:space="preserve">衢州动力电池和储能研究院高能比硫化物全固态电池自动孵化线 </w:t>
      </w:r>
      <w:r>
        <w:rPr>
          <w:rFonts w:hint="eastAsia" w:ascii="宋体" w:hAnsi="宋体" w:cs="宋体"/>
          <w:color w:val="auto"/>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衢州动力电池和储能研究院</w:t>
      </w:r>
      <w:r>
        <w:rPr>
          <w:rFonts w:hint="eastAsia" w:ascii="宋体" w:hAnsi="宋体" w:cs="宋体"/>
          <w:color w:val="auto"/>
          <w:sz w:val="24"/>
          <w:highlight w:val="none"/>
          <w:u w:val="single"/>
          <w:lang w:eastAsia="zh-CN"/>
        </w:rPr>
        <w:t>高能比硫化物全固态电池自动孵化线</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（二）工业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投标人名称(公章)：</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170"/>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rPr>
          <w:rFonts w:hint="eastAsia" w:ascii="宋体" w:hAnsi="宋体" w:cs="宋体"/>
          <w:b/>
          <w:color w:val="auto"/>
          <w:spacing w:val="6"/>
          <w:sz w:val="32"/>
          <w:szCs w:val="32"/>
          <w:highlight w:val="none"/>
        </w:rPr>
      </w:pPr>
      <w:bookmarkStart w:id="99" w:name="OLE_LINK13"/>
      <w:bookmarkStart w:id="100" w:name="OLE_LINK14"/>
      <w:r>
        <w:rPr>
          <w:rFonts w:hint="eastAsia" w:ascii="宋体" w:hAnsi="宋体" w:cs="宋体"/>
          <w:b/>
          <w:color w:val="auto"/>
          <w:spacing w:val="6"/>
          <w:sz w:val="32"/>
          <w:szCs w:val="32"/>
          <w:highlight w:val="none"/>
        </w:rPr>
        <w:br w:type="page"/>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残疾人福利性单位声明函</w:t>
      </w:r>
    </w:p>
    <w:bookmarkEnd w:id="99"/>
    <w:bookmarkEnd w:id="100"/>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 xml:space="preserve"> 衢州动力电池和储能研究院 </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衢州动力电池和储能研究院高能比硫化物全固态电池自动孵化线</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投标人名称（公章）</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rPr>
          <w:rFonts w:hint="eastAsia" w:ascii="宋体" w:hAnsi="宋体"/>
          <w:b/>
          <w:bCs/>
          <w:color w:val="auto"/>
          <w:spacing w:val="-6"/>
          <w:sz w:val="24"/>
          <w:highlight w:val="none"/>
        </w:rPr>
      </w:pPr>
      <w:r>
        <w:rPr>
          <w:rFonts w:hint="eastAsia" w:ascii="宋体" w:hAnsi="宋体"/>
          <w:b/>
          <w:bCs/>
          <w:color w:val="auto"/>
          <w:spacing w:val="-6"/>
          <w:sz w:val="24"/>
          <w:highlight w:val="none"/>
        </w:rPr>
        <w:br w:type="page"/>
      </w:r>
    </w:p>
    <w:p>
      <w:pPr>
        <w:spacing w:line="360" w:lineRule="auto"/>
        <w:jc w:val="center"/>
        <w:rPr>
          <w:rFonts w:hint="eastAsia" w:ascii="宋体" w:hAnsi="宋体"/>
          <w:b/>
          <w:bCs/>
          <w:spacing w:val="-6"/>
          <w:sz w:val="24"/>
          <w:highlight w:val="none"/>
        </w:rPr>
      </w:pPr>
      <w:r>
        <w:rPr>
          <w:rFonts w:hint="eastAsia" w:ascii="宋体" w:hAnsi="宋体"/>
          <w:b/>
          <w:bCs/>
          <w:spacing w:val="-6"/>
          <w:sz w:val="24"/>
          <w:highlight w:val="none"/>
        </w:rPr>
        <w:t>外层包装（封签）</w:t>
      </w:r>
    </w:p>
    <w:p>
      <w:pPr>
        <w:spacing w:line="360" w:lineRule="auto"/>
        <w:rPr>
          <w:rFonts w:hint="eastAsia" w:ascii="宋体" w:hAnsi="宋体"/>
          <w:spacing w:val="-6"/>
          <w:sz w:val="24"/>
          <w:highlight w:val="none"/>
        </w:rPr>
      </w:pPr>
    </w:p>
    <w:p>
      <w:pPr>
        <w:spacing w:line="360" w:lineRule="auto"/>
        <w:jc w:val="center"/>
        <w:rPr>
          <w:rFonts w:hint="eastAsia" w:ascii="宋体" w:hAnsi="宋体"/>
          <w:bCs/>
          <w:spacing w:val="-6"/>
          <w:sz w:val="24"/>
          <w:highlight w:val="none"/>
        </w:rPr>
      </w:pPr>
      <w:r>
        <w:rPr>
          <w:rFonts w:hint="eastAsia" w:ascii="宋体" w:hAnsi="宋体"/>
          <w:bCs/>
          <w:spacing w:val="-6"/>
          <w:sz w:val="24"/>
          <w:highlight w:val="none"/>
          <w:u w:val="single"/>
        </w:rPr>
        <w:t xml:space="preserve">                    </w:t>
      </w:r>
      <w:r>
        <w:rPr>
          <w:rFonts w:hint="eastAsia" w:ascii="宋体" w:hAnsi="宋体"/>
          <w:bCs/>
          <w:spacing w:val="-6"/>
          <w:sz w:val="24"/>
          <w:highlight w:val="none"/>
        </w:rPr>
        <w:t>（投标人名称）</w:t>
      </w:r>
    </w:p>
    <w:p>
      <w:pPr>
        <w:spacing w:line="360" w:lineRule="auto"/>
        <w:jc w:val="center"/>
        <w:rPr>
          <w:rFonts w:hint="eastAsia" w:ascii="宋体" w:hAnsi="宋体"/>
          <w:b/>
          <w:bCs/>
          <w:spacing w:val="-6"/>
          <w:sz w:val="24"/>
          <w:highlight w:val="none"/>
        </w:rPr>
      </w:pPr>
      <w:r>
        <w:rPr>
          <w:rFonts w:hint="eastAsia" w:ascii="宋体" w:hAnsi="宋体"/>
          <w:b/>
          <w:bCs/>
          <w:spacing w:val="-6"/>
          <w:sz w:val="24"/>
          <w:highlight w:val="none"/>
        </w:rPr>
        <w:t>投 标 文 件</w:t>
      </w:r>
    </w:p>
    <w:p>
      <w:pPr>
        <w:spacing w:line="360" w:lineRule="auto"/>
        <w:rPr>
          <w:rFonts w:hint="eastAsia" w:ascii="宋体" w:hAnsi="宋体"/>
          <w:bCs/>
          <w:spacing w:val="-6"/>
          <w:sz w:val="24"/>
          <w:highlight w:val="none"/>
        </w:rPr>
      </w:pPr>
    </w:p>
    <w:p>
      <w:pPr>
        <w:spacing w:line="360" w:lineRule="auto"/>
        <w:rPr>
          <w:rFonts w:hint="eastAsia" w:ascii="宋体" w:hAnsi="宋体" w:eastAsia="宋体"/>
          <w:bCs/>
          <w:spacing w:val="-6"/>
          <w:sz w:val="24"/>
          <w:highlight w:val="none"/>
          <w:lang w:eastAsia="zh-CN"/>
        </w:rPr>
      </w:pPr>
      <w:r>
        <w:rPr>
          <w:rFonts w:hint="eastAsia" w:ascii="宋体" w:hAnsi="宋体"/>
          <w:bCs/>
          <w:spacing w:val="-6"/>
          <w:sz w:val="24"/>
          <w:highlight w:val="none"/>
        </w:rPr>
        <w:t>招标人：</w:t>
      </w:r>
      <w:r>
        <w:rPr>
          <w:rFonts w:hint="eastAsia" w:ascii="宋体" w:hAnsi="宋体"/>
          <w:bCs/>
          <w:spacing w:val="-6"/>
          <w:sz w:val="24"/>
          <w:highlight w:val="none"/>
          <w:lang w:eastAsia="zh-CN"/>
        </w:rPr>
        <w:t>衢州动力电池和储能研究院</w:t>
      </w:r>
    </w:p>
    <w:p>
      <w:pPr>
        <w:spacing w:line="360" w:lineRule="auto"/>
        <w:rPr>
          <w:rFonts w:hint="eastAsia" w:ascii="宋体" w:hAnsi="宋体" w:eastAsia="宋体"/>
          <w:bCs/>
          <w:spacing w:val="-6"/>
          <w:sz w:val="24"/>
          <w:highlight w:val="none"/>
          <w:lang w:eastAsia="zh-CN"/>
        </w:rPr>
      </w:pPr>
      <w:r>
        <w:rPr>
          <w:rFonts w:hint="eastAsia" w:ascii="宋体" w:hAnsi="宋体"/>
          <w:bCs/>
          <w:spacing w:val="-6"/>
          <w:sz w:val="24"/>
          <w:highlight w:val="none"/>
        </w:rPr>
        <w:t>项目名称：</w:t>
      </w:r>
      <w:r>
        <w:rPr>
          <w:rFonts w:hint="eastAsia" w:ascii="宋体" w:hAnsi="宋体"/>
          <w:bCs/>
          <w:spacing w:val="-6"/>
          <w:sz w:val="24"/>
          <w:highlight w:val="none"/>
          <w:lang w:eastAsia="zh-CN"/>
        </w:rPr>
        <w:t>衢州动力电池和储能研究院高能比硫化物全固态电池自动孵化线</w:t>
      </w:r>
    </w:p>
    <w:p>
      <w:pPr>
        <w:spacing w:line="360" w:lineRule="auto"/>
        <w:rPr>
          <w:rFonts w:hint="eastAsia" w:ascii="宋体" w:hAnsi="宋体" w:eastAsia="宋体"/>
          <w:bCs/>
          <w:spacing w:val="-6"/>
          <w:sz w:val="24"/>
          <w:highlight w:val="none"/>
          <w:lang w:eastAsia="zh-CN"/>
        </w:rPr>
      </w:pPr>
      <w:r>
        <w:rPr>
          <w:rFonts w:hint="eastAsia" w:ascii="宋体" w:hAnsi="宋体"/>
          <w:bCs/>
          <w:spacing w:val="-6"/>
          <w:sz w:val="24"/>
          <w:highlight w:val="none"/>
        </w:rPr>
        <w:t>项目编号：</w:t>
      </w:r>
    </w:p>
    <w:p>
      <w:pPr>
        <w:spacing w:line="360" w:lineRule="auto"/>
        <w:rPr>
          <w:rFonts w:hint="eastAsia" w:ascii="宋体" w:hAnsi="宋体"/>
          <w:bCs/>
          <w:spacing w:val="-6"/>
          <w:sz w:val="24"/>
          <w:highlight w:val="none"/>
        </w:rPr>
      </w:pPr>
      <w:r>
        <w:rPr>
          <w:rFonts w:hint="eastAsia" w:ascii="宋体" w:hAnsi="宋体"/>
          <w:bCs/>
          <w:spacing w:val="-6"/>
          <w:sz w:val="24"/>
          <w:highlight w:val="none"/>
        </w:rPr>
        <w:t>投标文件名称：资格</w:t>
      </w:r>
      <w:r>
        <w:rPr>
          <w:rFonts w:ascii="宋体" w:hAnsi="宋体"/>
          <w:bCs/>
          <w:spacing w:val="-6"/>
          <w:sz w:val="24"/>
          <w:highlight w:val="none"/>
        </w:rPr>
        <w:t>文件及</w:t>
      </w:r>
      <w:r>
        <w:rPr>
          <w:rFonts w:hint="eastAsia" w:ascii="宋体" w:hAnsi="宋体"/>
          <w:bCs/>
          <w:spacing w:val="-6"/>
          <w:sz w:val="24"/>
          <w:highlight w:val="none"/>
        </w:rPr>
        <w:t>商务和技术文件</w:t>
      </w:r>
    </w:p>
    <w:p>
      <w:pPr>
        <w:spacing w:line="360" w:lineRule="auto"/>
        <w:rPr>
          <w:rFonts w:hint="eastAsia" w:ascii="宋体" w:hAnsi="宋体"/>
          <w:bCs/>
          <w:spacing w:val="-6"/>
          <w:sz w:val="24"/>
          <w:highlight w:val="none"/>
        </w:rPr>
      </w:pPr>
      <w:r>
        <w:rPr>
          <w:rFonts w:hint="eastAsia" w:ascii="宋体" w:hAnsi="宋体"/>
          <w:bCs/>
          <w:spacing w:val="-6"/>
          <w:sz w:val="24"/>
          <w:highlight w:val="none"/>
        </w:rPr>
        <w:t>投标人名称（盖章）：</w:t>
      </w:r>
    </w:p>
    <w:p>
      <w:pPr>
        <w:spacing w:line="360" w:lineRule="auto"/>
        <w:rPr>
          <w:rFonts w:hint="eastAsia" w:ascii="宋体" w:hAnsi="宋体"/>
          <w:bCs/>
          <w:spacing w:val="-6"/>
          <w:sz w:val="24"/>
          <w:highlight w:val="none"/>
        </w:rPr>
      </w:pPr>
      <w:r>
        <w:rPr>
          <w:rFonts w:hint="eastAsia" w:ascii="宋体" w:hAnsi="宋体"/>
          <w:bCs/>
          <w:spacing w:val="-6"/>
          <w:sz w:val="24"/>
          <w:highlight w:val="none"/>
        </w:rPr>
        <w:t>投标人地址：</w:t>
      </w:r>
    </w:p>
    <w:p>
      <w:pPr>
        <w:spacing w:line="360" w:lineRule="auto"/>
        <w:rPr>
          <w:rFonts w:hint="eastAsia" w:ascii="宋体" w:hAnsi="宋体"/>
          <w:bCs/>
          <w:spacing w:val="-6"/>
          <w:sz w:val="24"/>
          <w:highlight w:val="none"/>
        </w:rPr>
      </w:pPr>
      <w:r>
        <w:rPr>
          <w:rFonts w:hint="eastAsia" w:ascii="宋体" w:hAnsi="宋体"/>
          <w:bCs/>
          <w:spacing w:val="-6"/>
          <w:sz w:val="24"/>
          <w:highlight w:val="none"/>
        </w:rPr>
        <w:t>在  年  月  日  时  分之前不得启封</w:t>
      </w:r>
    </w:p>
    <w:p>
      <w:pPr>
        <w:spacing w:line="360" w:lineRule="auto"/>
        <w:rPr>
          <w:rFonts w:hint="eastAsia" w:ascii="宋体" w:hAnsi="宋体"/>
          <w:bCs/>
          <w:spacing w:val="-6"/>
          <w:sz w:val="24"/>
          <w:highlight w:val="none"/>
        </w:rPr>
      </w:pPr>
    </w:p>
    <w:p>
      <w:pPr>
        <w:spacing w:line="360" w:lineRule="auto"/>
        <w:rPr>
          <w:rFonts w:hint="eastAsia" w:ascii="宋体" w:hAnsi="宋体"/>
          <w:bCs/>
          <w:spacing w:val="-6"/>
          <w:sz w:val="24"/>
          <w:highlight w:val="none"/>
        </w:rPr>
      </w:pPr>
      <w:r>
        <w:rPr>
          <w:rFonts w:hint="eastAsia" w:ascii="宋体" w:hAnsi="宋体"/>
          <w:spacing w:val="-6"/>
          <w:sz w:val="24"/>
          <w:highlight w:val="none"/>
        </w:rPr>
        <w:t>投标人代表签字</w:t>
      </w:r>
      <w:r>
        <w:rPr>
          <w:rFonts w:hint="eastAsia" w:ascii="宋体" w:hAnsi="宋体"/>
          <w:bCs/>
          <w:spacing w:val="-6"/>
          <w:sz w:val="24"/>
          <w:highlight w:val="none"/>
        </w:rPr>
        <w:t>：</w:t>
      </w:r>
    </w:p>
    <w:p>
      <w:pPr>
        <w:spacing w:line="360" w:lineRule="auto"/>
        <w:rPr>
          <w:rFonts w:hint="eastAsia" w:ascii="宋体" w:hAnsi="宋体"/>
          <w:bCs/>
          <w:spacing w:val="-6"/>
          <w:sz w:val="24"/>
          <w:highlight w:val="none"/>
        </w:rPr>
      </w:pPr>
      <w:r>
        <w:rPr>
          <w:rFonts w:hint="eastAsia" w:ascii="宋体" w:hAnsi="宋体"/>
          <w:bCs/>
          <w:spacing w:val="-6"/>
          <w:sz w:val="24"/>
          <w:highlight w:val="none"/>
        </w:rPr>
        <w:t xml:space="preserve">日期：  </w:t>
      </w:r>
      <w:r>
        <w:rPr>
          <w:rFonts w:ascii="宋体" w:hAnsi="宋体"/>
          <w:bCs/>
          <w:spacing w:val="-6"/>
          <w:sz w:val="24"/>
          <w:highlight w:val="none"/>
        </w:rPr>
        <w:t xml:space="preserve">  </w:t>
      </w:r>
      <w:r>
        <w:rPr>
          <w:rFonts w:hint="eastAsia" w:ascii="宋体" w:hAnsi="宋体"/>
          <w:bCs/>
          <w:spacing w:val="-6"/>
          <w:sz w:val="24"/>
          <w:highlight w:val="none"/>
        </w:rPr>
        <w:t>年  月  日</w:t>
      </w:r>
    </w:p>
    <w:p>
      <w:pPr>
        <w:spacing w:line="360" w:lineRule="auto"/>
        <w:rPr>
          <w:rFonts w:hint="eastAsia" w:ascii="宋体" w:hAnsi="宋体"/>
          <w:spacing w:val="-6"/>
          <w:sz w:val="24"/>
          <w:highlight w:val="none"/>
        </w:rPr>
      </w:pPr>
      <w:r>
        <w:rPr>
          <w:rFonts w:ascii="宋体" w:hAnsi="宋体"/>
          <w:bCs/>
          <w:spacing w:val="-6"/>
          <w:sz w:val="24"/>
          <w:highlight w:val="none"/>
        </w:rPr>
        <w:br w:type="page"/>
      </w:r>
      <w:r>
        <w:rPr>
          <w:rFonts w:hint="eastAsia" w:ascii="宋体" w:hAnsi="宋体"/>
          <w:bCs/>
          <w:spacing w:val="-6"/>
          <w:sz w:val="24"/>
          <w:highlight w:val="none"/>
        </w:rPr>
        <w:t>资格文件</w:t>
      </w:r>
      <w:r>
        <w:rPr>
          <w:rFonts w:hint="eastAsia" w:ascii="宋体" w:hAnsi="宋体"/>
          <w:spacing w:val="-6"/>
          <w:sz w:val="24"/>
          <w:highlight w:val="none"/>
        </w:rPr>
        <w:t>封面</w:t>
      </w:r>
    </w:p>
    <w:p>
      <w:pPr>
        <w:spacing w:line="360" w:lineRule="auto"/>
        <w:jc w:val="right"/>
        <w:rPr>
          <w:rFonts w:hint="eastAsia" w:ascii="宋体" w:hAnsi="宋体"/>
          <w:spacing w:val="-6"/>
          <w:sz w:val="24"/>
          <w:highlight w:val="none"/>
        </w:rPr>
      </w:pPr>
      <w:r>
        <w:rPr>
          <w:rFonts w:hint="eastAsia" w:ascii="宋体" w:hAnsi="宋体"/>
          <w:b/>
          <w:bCs/>
          <w:spacing w:val="-6"/>
          <w:sz w:val="24"/>
          <w:highlight w:val="none"/>
        </w:rPr>
        <w:t>正本或副本</w:t>
      </w:r>
    </w:p>
    <w:p>
      <w:pPr>
        <w:spacing w:line="360" w:lineRule="auto"/>
        <w:rPr>
          <w:rFonts w:hint="eastAsia" w:ascii="宋体" w:hAnsi="宋体"/>
          <w:spacing w:val="-6"/>
          <w:sz w:val="24"/>
          <w:highlight w:val="none"/>
        </w:rPr>
      </w:pPr>
    </w:p>
    <w:p>
      <w:pPr>
        <w:spacing w:line="360" w:lineRule="auto"/>
        <w:jc w:val="center"/>
        <w:rPr>
          <w:rFonts w:hint="eastAsia" w:ascii="宋体" w:hAnsi="宋体"/>
          <w:bCs/>
          <w:spacing w:val="-6"/>
          <w:sz w:val="24"/>
          <w:highlight w:val="none"/>
        </w:rPr>
      </w:pPr>
      <w:r>
        <w:rPr>
          <w:rFonts w:hint="eastAsia" w:ascii="宋体" w:hAnsi="宋体"/>
          <w:bCs/>
          <w:spacing w:val="-6"/>
          <w:sz w:val="24"/>
          <w:highlight w:val="none"/>
          <w:u w:val="single"/>
        </w:rPr>
        <w:t xml:space="preserve">                    </w:t>
      </w:r>
      <w:r>
        <w:rPr>
          <w:rFonts w:hint="eastAsia" w:ascii="宋体" w:hAnsi="宋体"/>
          <w:bCs/>
          <w:spacing w:val="-6"/>
          <w:sz w:val="24"/>
          <w:highlight w:val="none"/>
        </w:rPr>
        <w:t>（投标人名称）</w:t>
      </w:r>
    </w:p>
    <w:p>
      <w:pPr>
        <w:spacing w:line="360" w:lineRule="auto"/>
        <w:jc w:val="center"/>
        <w:rPr>
          <w:rFonts w:hint="eastAsia" w:ascii="宋体" w:hAnsi="宋体"/>
          <w:b/>
          <w:bCs/>
          <w:spacing w:val="-6"/>
          <w:sz w:val="24"/>
          <w:highlight w:val="none"/>
        </w:rPr>
      </w:pPr>
      <w:r>
        <w:rPr>
          <w:rFonts w:hint="eastAsia" w:ascii="宋体" w:hAnsi="宋体"/>
          <w:b/>
          <w:bCs/>
          <w:spacing w:val="-6"/>
          <w:sz w:val="24"/>
          <w:highlight w:val="none"/>
        </w:rPr>
        <w:t>资格文件</w:t>
      </w:r>
    </w:p>
    <w:p>
      <w:pPr>
        <w:spacing w:line="360" w:lineRule="auto"/>
        <w:rPr>
          <w:rFonts w:hint="eastAsia" w:ascii="宋体" w:hAnsi="宋体"/>
          <w:bCs/>
          <w:spacing w:val="-6"/>
          <w:sz w:val="24"/>
          <w:highlight w:val="none"/>
        </w:rPr>
      </w:pPr>
    </w:p>
    <w:p>
      <w:pPr>
        <w:spacing w:line="360" w:lineRule="auto"/>
        <w:rPr>
          <w:rFonts w:hint="eastAsia" w:ascii="宋体" w:hAnsi="宋体" w:eastAsia="宋体"/>
          <w:bCs/>
          <w:spacing w:val="-6"/>
          <w:sz w:val="24"/>
          <w:highlight w:val="none"/>
          <w:lang w:eastAsia="zh-CN"/>
        </w:rPr>
      </w:pPr>
      <w:r>
        <w:rPr>
          <w:rFonts w:hint="eastAsia" w:ascii="宋体" w:hAnsi="宋体"/>
          <w:bCs/>
          <w:spacing w:val="-6"/>
          <w:sz w:val="24"/>
          <w:highlight w:val="none"/>
        </w:rPr>
        <w:t>招标人：</w:t>
      </w:r>
      <w:r>
        <w:rPr>
          <w:rFonts w:hint="eastAsia" w:ascii="宋体" w:hAnsi="宋体"/>
          <w:bCs/>
          <w:spacing w:val="-6"/>
          <w:sz w:val="24"/>
          <w:highlight w:val="none"/>
          <w:lang w:eastAsia="zh-CN"/>
        </w:rPr>
        <w:t>衢州动力电池和储能研究院</w:t>
      </w:r>
    </w:p>
    <w:p>
      <w:pPr>
        <w:spacing w:line="360" w:lineRule="auto"/>
        <w:rPr>
          <w:rFonts w:hint="eastAsia" w:ascii="宋体" w:hAnsi="宋体" w:eastAsia="宋体"/>
          <w:bCs/>
          <w:spacing w:val="-6"/>
          <w:sz w:val="24"/>
          <w:highlight w:val="none"/>
          <w:lang w:eastAsia="zh-CN"/>
        </w:rPr>
      </w:pPr>
      <w:r>
        <w:rPr>
          <w:rFonts w:hint="eastAsia" w:ascii="宋体" w:hAnsi="宋体"/>
          <w:bCs/>
          <w:spacing w:val="-6"/>
          <w:sz w:val="24"/>
          <w:highlight w:val="none"/>
        </w:rPr>
        <w:t>项目名称：</w:t>
      </w:r>
      <w:r>
        <w:rPr>
          <w:rFonts w:hint="eastAsia" w:ascii="宋体" w:hAnsi="宋体"/>
          <w:bCs/>
          <w:spacing w:val="-6"/>
          <w:sz w:val="24"/>
          <w:highlight w:val="none"/>
          <w:lang w:eastAsia="zh-CN"/>
        </w:rPr>
        <w:t>衢州动力电池和储能研究院高能比硫化物全固态电池自动孵化线</w:t>
      </w:r>
    </w:p>
    <w:p>
      <w:pPr>
        <w:spacing w:line="360" w:lineRule="auto"/>
        <w:rPr>
          <w:rFonts w:hint="eastAsia" w:ascii="宋体" w:hAnsi="宋体" w:eastAsia="宋体"/>
          <w:bCs/>
          <w:spacing w:val="-6"/>
          <w:sz w:val="24"/>
          <w:highlight w:val="none"/>
          <w:lang w:eastAsia="zh-CN"/>
        </w:rPr>
      </w:pPr>
      <w:r>
        <w:rPr>
          <w:rFonts w:hint="eastAsia" w:ascii="宋体" w:hAnsi="宋体"/>
          <w:bCs/>
          <w:spacing w:val="-6"/>
          <w:sz w:val="24"/>
          <w:highlight w:val="none"/>
        </w:rPr>
        <w:t>项目编号：</w:t>
      </w:r>
    </w:p>
    <w:p>
      <w:pPr>
        <w:spacing w:line="360" w:lineRule="auto"/>
        <w:rPr>
          <w:rFonts w:hint="eastAsia" w:ascii="宋体" w:hAnsi="宋体"/>
          <w:bCs/>
          <w:spacing w:val="-6"/>
          <w:sz w:val="24"/>
          <w:highlight w:val="none"/>
        </w:rPr>
      </w:pPr>
      <w:r>
        <w:rPr>
          <w:rFonts w:hint="eastAsia" w:ascii="宋体" w:hAnsi="宋体"/>
          <w:bCs/>
          <w:spacing w:val="-6"/>
          <w:sz w:val="24"/>
          <w:highlight w:val="none"/>
        </w:rPr>
        <w:t>投标人名称（盖章）：</w:t>
      </w:r>
    </w:p>
    <w:p>
      <w:pPr>
        <w:spacing w:line="360" w:lineRule="auto"/>
        <w:rPr>
          <w:rFonts w:hint="eastAsia" w:ascii="宋体" w:hAnsi="宋体"/>
          <w:bCs/>
          <w:spacing w:val="-6"/>
          <w:sz w:val="24"/>
          <w:highlight w:val="none"/>
        </w:rPr>
      </w:pPr>
      <w:r>
        <w:rPr>
          <w:rFonts w:hint="eastAsia" w:ascii="宋体" w:hAnsi="宋体"/>
          <w:bCs/>
          <w:spacing w:val="-6"/>
          <w:sz w:val="24"/>
          <w:highlight w:val="none"/>
        </w:rPr>
        <w:t>投标人地址：</w:t>
      </w:r>
    </w:p>
    <w:p>
      <w:pPr>
        <w:spacing w:line="360" w:lineRule="auto"/>
        <w:rPr>
          <w:rFonts w:hint="eastAsia" w:ascii="宋体" w:hAnsi="宋体"/>
          <w:bCs/>
          <w:spacing w:val="-6"/>
          <w:sz w:val="24"/>
          <w:highlight w:val="none"/>
        </w:rPr>
      </w:pPr>
    </w:p>
    <w:p>
      <w:pPr>
        <w:spacing w:line="360" w:lineRule="auto"/>
        <w:rPr>
          <w:rFonts w:hint="eastAsia" w:ascii="宋体" w:hAnsi="宋体"/>
          <w:bCs/>
          <w:spacing w:val="-6"/>
          <w:sz w:val="24"/>
          <w:highlight w:val="none"/>
        </w:rPr>
      </w:pPr>
      <w:r>
        <w:rPr>
          <w:rFonts w:hint="eastAsia" w:ascii="宋体" w:hAnsi="宋体"/>
          <w:bCs/>
          <w:spacing w:val="-6"/>
          <w:sz w:val="24"/>
          <w:highlight w:val="none"/>
        </w:rPr>
        <w:t>投标人代表签字：</w:t>
      </w:r>
    </w:p>
    <w:p>
      <w:pPr>
        <w:spacing w:line="360" w:lineRule="auto"/>
        <w:rPr>
          <w:rFonts w:ascii="宋体" w:hAnsi="宋体"/>
          <w:bCs/>
          <w:spacing w:val="-6"/>
          <w:sz w:val="24"/>
          <w:highlight w:val="none"/>
        </w:rPr>
      </w:pPr>
      <w:r>
        <w:rPr>
          <w:rFonts w:hint="eastAsia" w:ascii="宋体" w:hAnsi="宋体"/>
          <w:bCs/>
          <w:spacing w:val="-6"/>
          <w:sz w:val="24"/>
          <w:highlight w:val="none"/>
        </w:rPr>
        <w:t xml:space="preserve">日期：  </w:t>
      </w:r>
      <w:r>
        <w:rPr>
          <w:rFonts w:ascii="宋体" w:hAnsi="宋体"/>
          <w:bCs/>
          <w:spacing w:val="-6"/>
          <w:sz w:val="24"/>
          <w:highlight w:val="none"/>
        </w:rPr>
        <w:t xml:space="preserve">  </w:t>
      </w:r>
      <w:r>
        <w:rPr>
          <w:rFonts w:hint="eastAsia" w:ascii="宋体" w:hAnsi="宋体"/>
          <w:bCs/>
          <w:spacing w:val="-6"/>
          <w:sz w:val="24"/>
          <w:highlight w:val="none"/>
        </w:rPr>
        <w:t>年  月  日</w:t>
      </w:r>
    </w:p>
    <w:p>
      <w:pPr>
        <w:pStyle w:val="19"/>
        <w:spacing w:line="360" w:lineRule="auto"/>
        <w:ind w:firstLine="0"/>
        <w:jc w:val="center"/>
        <w:rPr>
          <w:rFonts w:hAnsi="宋体"/>
          <w:b/>
          <w:spacing w:val="-6"/>
          <w:sz w:val="24"/>
          <w:szCs w:val="24"/>
          <w:highlight w:val="none"/>
        </w:rPr>
      </w:pPr>
      <w:r>
        <w:rPr>
          <w:rFonts w:ascii="宋体" w:hAnsi="宋体"/>
          <w:bCs/>
          <w:spacing w:val="-6"/>
          <w:sz w:val="24"/>
          <w:highlight w:val="none"/>
        </w:rPr>
        <w:br w:type="page"/>
      </w:r>
      <w:r>
        <w:rPr>
          <w:rFonts w:ascii="宋体" w:hAnsi="宋体"/>
          <w:bCs/>
          <w:spacing w:val="-6"/>
          <w:sz w:val="24"/>
          <w:highlight w:val="none"/>
        </w:rPr>
        <w:tab/>
      </w:r>
      <w:r>
        <w:rPr>
          <w:rFonts w:hint="eastAsia" w:hAnsi="宋体" w:eastAsia="宋体"/>
          <w:b/>
          <w:spacing w:val="-6"/>
          <w:sz w:val="24"/>
          <w:highlight w:val="none"/>
          <w:lang w:val="en-US" w:eastAsia="zh-CN"/>
        </w:rPr>
        <w:t>1、</w:t>
      </w:r>
      <w:r>
        <w:rPr>
          <w:rFonts w:hint="eastAsia" w:hAnsi="宋体"/>
          <w:b/>
          <w:spacing w:val="-6"/>
          <w:sz w:val="24"/>
          <w:szCs w:val="24"/>
          <w:highlight w:val="none"/>
        </w:rPr>
        <w:t>有效的法人或者其他组织的营业执照等证明文件</w:t>
      </w:r>
      <w:r>
        <w:rPr>
          <w:rFonts w:hint="eastAsia" w:hAnsi="宋体"/>
          <w:spacing w:val="-6"/>
          <w:sz w:val="24"/>
          <w:szCs w:val="24"/>
          <w:highlight w:val="none"/>
        </w:rPr>
        <w:t>（复印件）</w:t>
      </w:r>
      <w:r>
        <w:rPr>
          <w:rFonts w:hint="eastAsia" w:hAnsi="宋体"/>
          <w:b/>
          <w:spacing w:val="-6"/>
          <w:sz w:val="24"/>
          <w:szCs w:val="24"/>
          <w:highlight w:val="none"/>
        </w:rPr>
        <w:t>，自然人的身份证明</w:t>
      </w:r>
    </w:p>
    <w:p>
      <w:pPr>
        <w:pStyle w:val="19"/>
        <w:spacing w:line="360" w:lineRule="auto"/>
        <w:ind w:firstLine="0"/>
        <w:jc w:val="center"/>
        <w:rPr>
          <w:rFonts w:hAnsi="宋体"/>
          <w:b/>
          <w:spacing w:val="-6"/>
          <w:sz w:val="24"/>
          <w:szCs w:val="24"/>
          <w:highlight w:val="none"/>
        </w:rPr>
      </w:pPr>
    </w:p>
    <w:p>
      <w:pPr>
        <w:pStyle w:val="19"/>
        <w:spacing w:line="360" w:lineRule="auto"/>
        <w:ind w:firstLine="0"/>
        <w:jc w:val="center"/>
        <w:rPr>
          <w:rFonts w:hAnsi="宋体"/>
          <w:b/>
          <w:spacing w:val="-6"/>
          <w:sz w:val="24"/>
          <w:szCs w:val="24"/>
          <w:highlight w:val="none"/>
        </w:rPr>
      </w:pPr>
    </w:p>
    <w:p>
      <w:pPr>
        <w:pStyle w:val="19"/>
        <w:spacing w:line="360" w:lineRule="auto"/>
        <w:ind w:firstLine="0"/>
        <w:jc w:val="center"/>
        <w:rPr>
          <w:rFonts w:hint="eastAsia" w:hAnsi="宋体"/>
          <w:b/>
          <w:spacing w:val="-6"/>
          <w:sz w:val="24"/>
          <w:szCs w:val="24"/>
          <w:highlight w:val="none"/>
        </w:rPr>
      </w:pPr>
    </w:p>
    <w:p>
      <w:pPr>
        <w:spacing w:line="360" w:lineRule="auto"/>
        <w:rPr>
          <w:rFonts w:ascii="宋体" w:hAnsi="宋体"/>
          <w:b/>
          <w:spacing w:val="-6"/>
          <w:sz w:val="21"/>
          <w:szCs w:val="21"/>
          <w:highlight w:val="none"/>
        </w:rPr>
      </w:pPr>
      <w:r>
        <w:rPr>
          <w:rFonts w:hint="eastAsia" w:ascii="宋体" w:hAnsi="宋体"/>
          <w:b/>
          <w:spacing w:val="-6"/>
          <w:sz w:val="21"/>
          <w:szCs w:val="21"/>
          <w:highlight w:val="none"/>
        </w:rPr>
        <w:t>说明</w:t>
      </w:r>
      <w:r>
        <w:rPr>
          <w:rFonts w:ascii="宋体" w:hAnsi="宋体"/>
          <w:b/>
          <w:spacing w:val="-6"/>
          <w:sz w:val="21"/>
          <w:szCs w:val="21"/>
          <w:highlight w:val="none"/>
        </w:rPr>
        <w:t>：</w:t>
      </w:r>
    </w:p>
    <w:p>
      <w:pPr>
        <w:pStyle w:val="35"/>
        <w:spacing w:line="360" w:lineRule="auto"/>
        <w:ind w:left="398" w:hanging="398"/>
        <w:rPr>
          <w:rFonts w:ascii="宋体" w:hAnsi="宋体"/>
          <w:b/>
          <w:spacing w:val="-6"/>
          <w:sz w:val="21"/>
          <w:szCs w:val="21"/>
          <w:highlight w:val="none"/>
        </w:rPr>
      </w:pPr>
      <w:r>
        <w:rPr>
          <w:rFonts w:hint="eastAsia" w:ascii="宋体" w:hAnsi="宋体"/>
          <w:b/>
          <w:spacing w:val="-6"/>
          <w:sz w:val="21"/>
          <w:szCs w:val="21"/>
          <w:highlight w:val="none"/>
        </w:rPr>
        <w:t>1</w:t>
      </w:r>
      <w:r>
        <w:rPr>
          <w:rFonts w:ascii="宋体" w:hAnsi="宋体"/>
          <w:b/>
          <w:spacing w:val="-6"/>
          <w:sz w:val="21"/>
          <w:szCs w:val="21"/>
          <w:highlight w:val="none"/>
        </w:rPr>
        <w:t>.</w:t>
      </w:r>
      <w:r>
        <w:rPr>
          <w:rFonts w:hint="eastAsia" w:ascii="宋体" w:hAnsi="宋体"/>
          <w:b/>
          <w:spacing w:val="-6"/>
          <w:sz w:val="21"/>
          <w:szCs w:val="21"/>
          <w:highlight w:val="none"/>
        </w:rPr>
        <w:t>如投标人是企业（包括合伙企业），提供在工商部门注册的有效“企业法人营业执照”或“营业执照”；</w:t>
      </w:r>
    </w:p>
    <w:p>
      <w:pPr>
        <w:pStyle w:val="35"/>
        <w:spacing w:line="360" w:lineRule="auto"/>
        <w:ind w:left="398" w:hanging="398"/>
        <w:rPr>
          <w:rFonts w:ascii="宋体" w:hAnsi="宋体"/>
          <w:b/>
          <w:spacing w:val="-6"/>
          <w:sz w:val="21"/>
          <w:szCs w:val="21"/>
          <w:highlight w:val="none"/>
        </w:rPr>
      </w:pPr>
      <w:r>
        <w:rPr>
          <w:rFonts w:hint="eastAsia" w:ascii="宋体" w:hAnsi="宋体"/>
          <w:b/>
          <w:spacing w:val="-6"/>
          <w:sz w:val="21"/>
          <w:szCs w:val="21"/>
          <w:highlight w:val="none"/>
        </w:rPr>
        <w:t>2</w:t>
      </w:r>
      <w:r>
        <w:rPr>
          <w:rFonts w:ascii="宋体" w:hAnsi="宋体"/>
          <w:b/>
          <w:spacing w:val="-6"/>
          <w:sz w:val="21"/>
          <w:szCs w:val="21"/>
          <w:highlight w:val="none"/>
        </w:rPr>
        <w:t>.</w:t>
      </w:r>
      <w:r>
        <w:rPr>
          <w:rFonts w:hint="eastAsia" w:ascii="宋体" w:hAnsi="宋体"/>
          <w:b/>
          <w:spacing w:val="-6"/>
          <w:sz w:val="21"/>
          <w:szCs w:val="21"/>
          <w:highlight w:val="none"/>
        </w:rPr>
        <w:t>如投标人是事业单位，提供有效的“事业单位法人证书”；</w:t>
      </w:r>
    </w:p>
    <w:p>
      <w:pPr>
        <w:pStyle w:val="35"/>
        <w:spacing w:line="360" w:lineRule="auto"/>
        <w:ind w:left="398" w:hanging="398"/>
        <w:rPr>
          <w:rFonts w:ascii="宋体" w:hAnsi="宋体"/>
          <w:b/>
          <w:spacing w:val="-6"/>
          <w:sz w:val="21"/>
          <w:szCs w:val="21"/>
          <w:highlight w:val="none"/>
        </w:rPr>
      </w:pPr>
      <w:r>
        <w:rPr>
          <w:rFonts w:hint="eastAsia" w:ascii="宋体" w:hAnsi="宋体"/>
          <w:b/>
          <w:spacing w:val="-6"/>
          <w:sz w:val="21"/>
          <w:szCs w:val="21"/>
          <w:highlight w:val="none"/>
        </w:rPr>
        <w:t>3</w:t>
      </w:r>
      <w:r>
        <w:rPr>
          <w:rFonts w:ascii="宋体" w:hAnsi="宋体"/>
          <w:b/>
          <w:spacing w:val="-6"/>
          <w:sz w:val="21"/>
          <w:szCs w:val="21"/>
          <w:highlight w:val="none"/>
        </w:rPr>
        <w:t>.</w:t>
      </w:r>
      <w:r>
        <w:rPr>
          <w:rFonts w:hint="eastAsia" w:ascii="宋体" w:hAnsi="宋体"/>
          <w:b/>
          <w:spacing w:val="-6"/>
          <w:sz w:val="21"/>
          <w:szCs w:val="21"/>
          <w:highlight w:val="none"/>
        </w:rPr>
        <w:t>如投标人是非企业专业服务机构的，提供执业许可证等证明文件；</w:t>
      </w:r>
    </w:p>
    <w:p>
      <w:pPr>
        <w:pStyle w:val="35"/>
        <w:spacing w:line="360" w:lineRule="auto"/>
        <w:ind w:left="398" w:hanging="398"/>
        <w:rPr>
          <w:rFonts w:ascii="宋体" w:hAnsi="宋体"/>
          <w:b/>
          <w:spacing w:val="-6"/>
          <w:sz w:val="21"/>
          <w:szCs w:val="21"/>
          <w:highlight w:val="none"/>
        </w:rPr>
      </w:pPr>
      <w:r>
        <w:rPr>
          <w:rFonts w:hint="eastAsia" w:ascii="宋体" w:hAnsi="宋体"/>
          <w:b/>
          <w:spacing w:val="-6"/>
          <w:sz w:val="21"/>
          <w:szCs w:val="21"/>
          <w:highlight w:val="none"/>
        </w:rPr>
        <w:t>4</w:t>
      </w:r>
      <w:r>
        <w:rPr>
          <w:rFonts w:ascii="宋体" w:hAnsi="宋体"/>
          <w:b/>
          <w:spacing w:val="-6"/>
          <w:sz w:val="21"/>
          <w:szCs w:val="21"/>
          <w:highlight w:val="none"/>
        </w:rPr>
        <w:t>.</w:t>
      </w:r>
      <w:r>
        <w:rPr>
          <w:rFonts w:hint="eastAsia" w:ascii="宋体" w:hAnsi="宋体"/>
          <w:b/>
          <w:spacing w:val="-6"/>
          <w:sz w:val="21"/>
          <w:szCs w:val="21"/>
          <w:highlight w:val="none"/>
        </w:rPr>
        <w:t>如投标人是个体工商户，提供有效的“个体工商户营业执照”；</w:t>
      </w:r>
    </w:p>
    <w:p>
      <w:pPr>
        <w:pStyle w:val="35"/>
        <w:spacing w:line="360" w:lineRule="auto"/>
        <w:ind w:left="398" w:hanging="398"/>
        <w:rPr>
          <w:rFonts w:ascii="宋体" w:hAnsi="宋体"/>
          <w:b/>
          <w:spacing w:val="-6"/>
          <w:sz w:val="21"/>
          <w:szCs w:val="21"/>
          <w:highlight w:val="none"/>
        </w:rPr>
      </w:pPr>
      <w:r>
        <w:rPr>
          <w:rFonts w:hint="eastAsia" w:ascii="宋体" w:hAnsi="宋体"/>
          <w:b/>
          <w:spacing w:val="-6"/>
          <w:sz w:val="21"/>
          <w:szCs w:val="21"/>
          <w:highlight w:val="none"/>
        </w:rPr>
        <w:t>5</w:t>
      </w:r>
      <w:r>
        <w:rPr>
          <w:rFonts w:ascii="宋体" w:hAnsi="宋体"/>
          <w:b/>
          <w:spacing w:val="-6"/>
          <w:sz w:val="21"/>
          <w:szCs w:val="21"/>
          <w:highlight w:val="none"/>
        </w:rPr>
        <w:t>.</w:t>
      </w:r>
      <w:r>
        <w:rPr>
          <w:rFonts w:hint="eastAsia" w:ascii="宋体" w:hAnsi="宋体"/>
          <w:b/>
          <w:spacing w:val="-6"/>
          <w:sz w:val="21"/>
          <w:szCs w:val="21"/>
          <w:highlight w:val="none"/>
        </w:rPr>
        <w:t>如投标人是自然人，提供有效的自然人身份证明。</w:t>
      </w:r>
    </w:p>
    <w:p>
      <w:pPr>
        <w:widowControl w:val="0"/>
        <w:shd w:val="clear" w:color="auto" w:fill="auto"/>
        <w:adjustRightInd w:val="0"/>
        <w:spacing w:before="0" w:beforeAutospacing="0" w:after="0" w:line="360" w:lineRule="auto"/>
        <w:ind w:right="480" w:firstLine="0" w:firstLineChars="0"/>
        <w:contextualSpacing w:val="0"/>
        <w:jc w:val="center"/>
        <w:rPr>
          <w:b/>
          <w:sz w:val="24"/>
          <w:szCs w:val="24"/>
          <w:highlight w:val="none"/>
        </w:rPr>
      </w:pPr>
      <w:r>
        <w:rPr>
          <w:rFonts w:hAnsi="宋体"/>
          <w:bCs/>
          <w:spacing w:val="-6"/>
          <w:sz w:val="24"/>
          <w:highlight w:val="none"/>
        </w:rPr>
        <w:br w:type="page"/>
      </w:r>
      <w:r>
        <w:rPr>
          <w:rFonts w:hint="eastAsia" w:ascii="Century Gothic" w:hAnsi="宋体" w:eastAsia="宋体" w:cs="Times New Roman"/>
          <w:b/>
          <w:spacing w:val="-6"/>
          <w:kern w:val="2"/>
          <w:sz w:val="24"/>
          <w:szCs w:val="20"/>
          <w:highlight w:val="none"/>
          <w:lang w:val="en-US" w:eastAsia="zh-CN" w:bidi="ar-SA"/>
        </w:rPr>
        <w:t>2、 符合参加政府采购活动应当具备的一般条件的承诺函</w:t>
      </w:r>
    </w:p>
    <w:p>
      <w:pPr>
        <w:widowControl w:val="0"/>
        <w:shd w:val="clear" w:color="auto" w:fill="auto"/>
        <w:adjustRightInd w:val="0"/>
        <w:spacing w:before="0" w:beforeAutospacing="0" w:after="0" w:line="360" w:lineRule="auto"/>
        <w:ind w:firstLine="0" w:firstLineChars="0"/>
        <w:contextualSpacing w:val="0"/>
        <w:jc w:val="both"/>
        <w:rPr>
          <w:kern w:val="2"/>
          <w:sz w:val="24"/>
          <w:szCs w:val="24"/>
          <w:highlight w:val="none"/>
        </w:rPr>
      </w:pPr>
      <w:r>
        <w:rPr>
          <w:rFonts w:hint="eastAsia"/>
          <w:kern w:val="2"/>
          <w:sz w:val="24"/>
          <w:szCs w:val="24"/>
          <w:highlight w:val="none"/>
        </w:rPr>
        <w:t>衢州动力电池和储能研究院、浙江五石中正工程咨询有限公司：</w:t>
      </w:r>
    </w:p>
    <w:p>
      <w:pPr>
        <w:widowControl w:val="0"/>
        <w:shd w:val="clear" w:color="auto" w:fill="auto"/>
        <w:adjustRightInd w:val="0"/>
        <w:spacing w:before="0" w:beforeAutospacing="0" w:after="0" w:line="360" w:lineRule="auto"/>
        <w:ind w:firstLine="480" w:firstLineChars="200"/>
        <w:contextualSpacing w:val="0"/>
        <w:jc w:val="both"/>
        <w:rPr>
          <w:kern w:val="2"/>
          <w:sz w:val="24"/>
          <w:szCs w:val="24"/>
          <w:highlight w:val="none"/>
        </w:rPr>
      </w:pPr>
      <w:r>
        <w:rPr>
          <w:rFonts w:hint="eastAsia"/>
          <w:kern w:val="2"/>
          <w:sz w:val="24"/>
          <w:szCs w:val="24"/>
          <w:highlight w:val="none"/>
        </w:rPr>
        <w:t>我方参与</w:t>
      </w:r>
      <w:r>
        <w:rPr>
          <w:rFonts w:hint="eastAsia"/>
          <w:kern w:val="2"/>
          <w:sz w:val="24"/>
          <w:szCs w:val="24"/>
          <w:highlight w:val="none"/>
          <w:lang w:eastAsia="zh-CN"/>
        </w:rPr>
        <w:t>衢州动力电池和储能研究院高能比硫化物全固态电池自动孵化线</w:t>
      </w:r>
      <w:r>
        <w:rPr>
          <w:rFonts w:hint="eastAsia"/>
          <w:kern w:val="2"/>
          <w:sz w:val="24"/>
          <w:szCs w:val="24"/>
          <w:highlight w:val="none"/>
        </w:rPr>
        <w:t>【招标编号：】政府采购活动，郑重承诺：</w:t>
      </w:r>
    </w:p>
    <w:p>
      <w:pPr>
        <w:widowControl w:val="0"/>
        <w:shd w:val="clear" w:color="auto" w:fill="auto"/>
        <w:adjustRightInd w:val="0"/>
        <w:spacing w:before="0" w:beforeAutospacing="0" w:after="0" w:line="360" w:lineRule="auto"/>
        <w:ind w:firstLine="360" w:firstLineChars="150"/>
        <w:contextualSpacing w:val="0"/>
        <w:jc w:val="both"/>
        <w:rPr>
          <w:kern w:val="2"/>
          <w:sz w:val="24"/>
          <w:szCs w:val="24"/>
          <w:highlight w:val="none"/>
        </w:rPr>
      </w:pPr>
      <w:r>
        <w:rPr>
          <w:rFonts w:hint="eastAsia"/>
          <w:kern w:val="2"/>
          <w:sz w:val="24"/>
          <w:szCs w:val="24"/>
          <w:highlight w:val="none"/>
        </w:rPr>
        <w:t>（一）具备《中华人民共和国政府采购法》第二十二条第一款规定的条件：</w:t>
      </w:r>
    </w:p>
    <w:p>
      <w:pPr>
        <w:widowControl w:val="0"/>
        <w:shd w:val="clear" w:color="auto" w:fill="auto"/>
        <w:adjustRightInd w:val="0"/>
        <w:spacing w:before="0" w:beforeAutospacing="0" w:after="0" w:line="360" w:lineRule="auto"/>
        <w:ind w:firstLine="480" w:firstLineChars="200"/>
        <w:contextualSpacing w:val="0"/>
        <w:jc w:val="both"/>
        <w:rPr>
          <w:kern w:val="2"/>
          <w:sz w:val="24"/>
          <w:szCs w:val="24"/>
          <w:highlight w:val="none"/>
        </w:rPr>
      </w:pPr>
      <w:r>
        <w:rPr>
          <w:rFonts w:hint="eastAsia"/>
          <w:kern w:val="2"/>
          <w:sz w:val="24"/>
          <w:szCs w:val="24"/>
          <w:highlight w:val="none"/>
        </w:rPr>
        <w:t>1、具有独立承担民事责任的能力；</w:t>
      </w:r>
    </w:p>
    <w:p>
      <w:pPr>
        <w:widowControl w:val="0"/>
        <w:shd w:val="clear" w:color="auto" w:fill="auto"/>
        <w:adjustRightInd w:val="0"/>
        <w:spacing w:before="0" w:beforeAutospacing="0" w:after="0" w:line="360" w:lineRule="auto"/>
        <w:ind w:firstLine="480" w:firstLineChars="200"/>
        <w:contextualSpacing w:val="0"/>
        <w:jc w:val="both"/>
        <w:rPr>
          <w:kern w:val="2"/>
          <w:sz w:val="24"/>
          <w:szCs w:val="24"/>
          <w:highlight w:val="none"/>
        </w:rPr>
      </w:pPr>
      <w:r>
        <w:rPr>
          <w:rFonts w:hint="eastAsia"/>
          <w:kern w:val="2"/>
          <w:sz w:val="24"/>
          <w:szCs w:val="24"/>
          <w:highlight w:val="none"/>
        </w:rPr>
        <w:t xml:space="preserve">2、具有良好的商业信誉和健全的财务会计制度； </w:t>
      </w:r>
    </w:p>
    <w:p>
      <w:pPr>
        <w:widowControl w:val="0"/>
        <w:shd w:val="clear" w:color="auto" w:fill="auto"/>
        <w:adjustRightInd w:val="0"/>
        <w:spacing w:before="0" w:beforeAutospacing="0" w:after="0" w:line="360" w:lineRule="auto"/>
        <w:ind w:firstLine="480" w:firstLineChars="200"/>
        <w:contextualSpacing w:val="0"/>
        <w:jc w:val="both"/>
        <w:rPr>
          <w:kern w:val="2"/>
          <w:sz w:val="24"/>
          <w:szCs w:val="24"/>
          <w:highlight w:val="none"/>
        </w:rPr>
      </w:pPr>
      <w:r>
        <w:rPr>
          <w:rFonts w:hint="eastAsia"/>
          <w:kern w:val="2"/>
          <w:sz w:val="24"/>
          <w:szCs w:val="24"/>
          <w:highlight w:val="none"/>
        </w:rPr>
        <w:t>3、具有履行合同所必需的设备和专业技术能力；</w:t>
      </w:r>
    </w:p>
    <w:p>
      <w:pPr>
        <w:widowControl w:val="0"/>
        <w:shd w:val="clear" w:color="auto" w:fill="auto"/>
        <w:adjustRightInd w:val="0"/>
        <w:spacing w:before="0" w:beforeAutospacing="0" w:after="0" w:line="360" w:lineRule="auto"/>
        <w:ind w:firstLine="480" w:firstLineChars="200"/>
        <w:contextualSpacing w:val="0"/>
        <w:jc w:val="both"/>
        <w:rPr>
          <w:kern w:val="2"/>
          <w:sz w:val="24"/>
          <w:szCs w:val="24"/>
          <w:highlight w:val="none"/>
        </w:rPr>
      </w:pPr>
      <w:r>
        <w:rPr>
          <w:rFonts w:hint="eastAsia"/>
          <w:kern w:val="2"/>
          <w:sz w:val="24"/>
          <w:szCs w:val="24"/>
          <w:highlight w:val="none"/>
        </w:rPr>
        <w:t>4、有依法缴纳税收和社会保障资金的良好记录；</w:t>
      </w:r>
    </w:p>
    <w:p>
      <w:pPr>
        <w:widowControl w:val="0"/>
        <w:shd w:val="clear" w:color="auto" w:fill="auto"/>
        <w:adjustRightInd w:val="0"/>
        <w:spacing w:before="0" w:beforeAutospacing="0" w:after="0" w:line="360" w:lineRule="auto"/>
        <w:ind w:firstLine="480" w:firstLineChars="200"/>
        <w:contextualSpacing w:val="0"/>
        <w:jc w:val="both"/>
        <w:rPr>
          <w:kern w:val="2"/>
          <w:sz w:val="24"/>
          <w:szCs w:val="24"/>
          <w:highlight w:val="none"/>
        </w:rPr>
      </w:pPr>
      <w:r>
        <w:rPr>
          <w:rFonts w:hint="eastAsia"/>
          <w:kern w:val="2"/>
          <w:sz w:val="24"/>
          <w:szCs w:val="24"/>
          <w:highlight w:val="none"/>
        </w:rPr>
        <w:t>5、参加政府采购活动前三年内，在经营活动中没有重大违法记录；</w:t>
      </w:r>
    </w:p>
    <w:p>
      <w:pPr>
        <w:widowControl w:val="0"/>
        <w:shd w:val="clear" w:color="auto" w:fill="auto"/>
        <w:adjustRightInd w:val="0"/>
        <w:spacing w:before="0" w:beforeAutospacing="0" w:after="0" w:line="360" w:lineRule="auto"/>
        <w:ind w:firstLine="480" w:firstLineChars="200"/>
        <w:contextualSpacing w:val="0"/>
        <w:jc w:val="both"/>
        <w:rPr>
          <w:kern w:val="2"/>
          <w:sz w:val="24"/>
          <w:szCs w:val="24"/>
          <w:highlight w:val="none"/>
        </w:rPr>
      </w:pPr>
      <w:r>
        <w:rPr>
          <w:rFonts w:hint="eastAsia"/>
          <w:kern w:val="2"/>
          <w:sz w:val="24"/>
          <w:szCs w:val="24"/>
          <w:highlight w:val="none"/>
        </w:rPr>
        <w:t>6、具有法律、行政法规规定的其他条件。</w:t>
      </w:r>
    </w:p>
    <w:p>
      <w:pPr>
        <w:widowControl w:val="0"/>
        <w:shd w:val="clear" w:color="auto" w:fill="auto"/>
        <w:adjustRightInd w:val="0"/>
        <w:spacing w:before="0" w:beforeAutospacing="0" w:after="0" w:line="360" w:lineRule="auto"/>
        <w:contextualSpacing w:val="0"/>
        <w:jc w:val="both"/>
        <w:rPr>
          <w:kern w:val="2"/>
          <w:sz w:val="24"/>
          <w:szCs w:val="24"/>
          <w:highlight w:val="none"/>
        </w:rPr>
      </w:pPr>
      <w:r>
        <w:rPr>
          <w:rFonts w:hint="eastAsia"/>
          <w:kern w:val="2"/>
          <w:sz w:val="24"/>
          <w:szCs w:val="24"/>
          <w:highlight w:val="none"/>
        </w:rPr>
        <w:t>（二）未被信用中国（www.creditchina.gov.cn)、中国政府采购网（www.ccgp.gov.cn）列入失信被执行人、重大税收违法案件当事人名单、政府采购严重违法失信行为记录名单。</w:t>
      </w:r>
    </w:p>
    <w:p>
      <w:pPr>
        <w:widowControl w:val="0"/>
        <w:shd w:val="clear" w:color="auto" w:fill="auto"/>
        <w:adjustRightInd w:val="0"/>
        <w:spacing w:before="0" w:beforeAutospacing="0" w:after="0" w:line="360" w:lineRule="auto"/>
        <w:contextualSpacing w:val="0"/>
        <w:jc w:val="both"/>
        <w:rPr>
          <w:kern w:val="2"/>
          <w:sz w:val="24"/>
          <w:szCs w:val="24"/>
          <w:highlight w:val="none"/>
        </w:rPr>
      </w:pPr>
      <w:r>
        <w:rPr>
          <w:rFonts w:hint="eastAsia"/>
          <w:kern w:val="2"/>
          <w:sz w:val="24"/>
          <w:szCs w:val="24"/>
          <w:highlight w:val="none"/>
        </w:rPr>
        <w:t>（三）不存在以下情况：</w:t>
      </w:r>
    </w:p>
    <w:p>
      <w:pPr>
        <w:widowControl w:val="0"/>
        <w:shd w:val="clear" w:color="auto" w:fill="auto"/>
        <w:adjustRightInd w:val="0"/>
        <w:spacing w:before="0" w:beforeAutospacing="0" w:after="0" w:line="360" w:lineRule="auto"/>
        <w:ind w:firstLine="480" w:firstLineChars="200"/>
        <w:contextualSpacing w:val="0"/>
        <w:jc w:val="both"/>
        <w:rPr>
          <w:kern w:val="2"/>
          <w:sz w:val="24"/>
          <w:szCs w:val="24"/>
          <w:highlight w:val="none"/>
        </w:rPr>
      </w:pPr>
      <w:r>
        <w:rPr>
          <w:rFonts w:hint="eastAsia"/>
          <w:kern w:val="2"/>
          <w:sz w:val="24"/>
          <w:szCs w:val="24"/>
          <w:highlight w:val="none"/>
        </w:rPr>
        <w:t>1、单位负责人为同一人或者存在直接控股、管理关系的不同供应商参加同一合同项下的政府采购活动的；</w:t>
      </w:r>
    </w:p>
    <w:p>
      <w:pPr>
        <w:widowControl w:val="0"/>
        <w:shd w:val="clear" w:color="auto" w:fill="auto"/>
        <w:adjustRightInd w:val="0"/>
        <w:spacing w:before="0" w:beforeAutospacing="0" w:after="0" w:line="360" w:lineRule="auto"/>
        <w:ind w:firstLine="480" w:firstLineChars="200"/>
        <w:contextualSpacing w:val="0"/>
        <w:jc w:val="both"/>
        <w:rPr>
          <w:kern w:val="2"/>
          <w:sz w:val="24"/>
          <w:szCs w:val="24"/>
          <w:highlight w:val="none"/>
        </w:rPr>
      </w:pPr>
      <w:r>
        <w:rPr>
          <w:rFonts w:hint="eastAsia"/>
          <w:kern w:val="2"/>
          <w:sz w:val="24"/>
          <w:szCs w:val="24"/>
          <w:highlight w:val="none"/>
        </w:rPr>
        <w:t>2、为采购项目提供整体设计、规范编制或者项目管理、监理、检测等服务后再参加该采购项目的其他采购活动的。</w:t>
      </w:r>
    </w:p>
    <w:p>
      <w:pPr>
        <w:widowControl w:val="0"/>
        <w:shd w:val="clear" w:color="auto" w:fill="auto"/>
        <w:adjustRightInd w:val="0"/>
        <w:spacing w:before="0" w:beforeAutospacing="0" w:after="0" w:line="360" w:lineRule="auto"/>
        <w:ind w:firstLine="5520" w:firstLineChars="2300"/>
        <w:contextualSpacing w:val="0"/>
        <w:jc w:val="both"/>
        <w:rPr>
          <w:sz w:val="24"/>
          <w:szCs w:val="24"/>
          <w:highlight w:val="none"/>
        </w:rPr>
      </w:pPr>
      <w:r>
        <w:rPr>
          <w:rFonts w:hint="eastAsia"/>
          <w:sz w:val="24"/>
          <w:szCs w:val="24"/>
          <w:highlight w:val="none"/>
          <w:lang w:val="zh-CN"/>
        </w:rPr>
        <w:t>投标人名称(盖章)：</w:t>
      </w:r>
    </w:p>
    <w:p>
      <w:pPr>
        <w:widowControl w:val="0"/>
        <w:shd w:val="clear" w:color="auto" w:fill="auto"/>
        <w:adjustRightInd w:val="0"/>
        <w:spacing w:before="0" w:beforeAutospacing="0" w:after="0" w:line="360" w:lineRule="auto"/>
        <w:ind w:firstLine="0" w:firstLineChars="0"/>
        <w:contextualSpacing w:val="0"/>
        <w:jc w:val="both"/>
        <w:rPr>
          <w:sz w:val="24"/>
          <w:szCs w:val="24"/>
          <w:highlight w:val="none"/>
          <w:lang w:val="zh-CN"/>
        </w:rPr>
      </w:pPr>
      <w:r>
        <w:rPr>
          <w:rFonts w:hint="eastAsia"/>
          <w:sz w:val="24"/>
          <w:szCs w:val="24"/>
          <w:highlight w:val="none"/>
          <w:lang w:val="zh-CN"/>
        </w:rPr>
        <w:t xml:space="preserve">                        </w:t>
      </w:r>
      <w:r>
        <w:rPr>
          <w:rFonts w:hint="eastAsia"/>
          <w:sz w:val="24"/>
          <w:szCs w:val="24"/>
          <w:highlight w:val="none"/>
        </w:rPr>
        <w:t xml:space="preserve">                      </w:t>
      </w:r>
      <w:r>
        <w:rPr>
          <w:rFonts w:hint="eastAsia"/>
          <w:sz w:val="24"/>
          <w:szCs w:val="24"/>
          <w:highlight w:val="none"/>
          <w:lang w:val="zh-CN"/>
        </w:rPr>
        <w:t>日期</w:t>
      </w:r>
      <w:r>
        <w:rPr>
          <w:rFonts w:hint="eastAsia"/>
          <w:sz w:val="24"/>
          <w:szCs w:val="24"/>
          <w:highlight w:val="none"/>
        </w:rPr>
        <w:t xml:space="preserve">：  年  </w:t>
      </w:r>
      <w:r>
        <w:rPr>
          <w:rFonts w:hint="eastAsia"/>
          <w:sz w:val="24"/>
          <w:szCs w:val="24"/>
          <w:highlight w:val="none"/>
          <w:lang w:val="zh-CN"/>
        </w:rPr>
        <w:t>月</w:t>
      </w:r>
      <w:r>
        <w:rPr>
          <w:rFonts w:hint="eastAsia"/>
          <w:sz w:val="24"/>
          <w:szCs w:val="24"/>
          <w:highlight w:val="none"/>
        </w:rPr>
        <w:t xml:space="preserve">   </w:t>
      </w:r>
      <w:r>
        <w:rPr>
          <w:rFonts w:hint="eastAsia"/>
          <w:sz w:val="24"/>
          <w:szCs w:val="24"/>
          <w:highlight w:val="none"/>
          <w:lang w:val="zh-CN"/>
        </w:rPr>
        <w:t>日</w:t>
      </w:r>
    </w:p>
    <w:p>
      <w:pPr>
        <w:widowControl w:val="0"/>
        <w:shd w:val="clear" w:color="auto" w:fill="auto"/>
        <w:adjustRightInd w:val="0"/>
        <w:spacing w:before="0" w:beforeAutospacing="0" w:after="0"/>
        <w:ind w:firstLine="0" w:firstLineChars="0"/>
        <w:contextualSpacing w:val="0"/>
        <w:jc w:val="both"/>
        <w:rPr>
          <w:highlight w:val="none"/>
          <w:lang w:val="zh-CN"/>
        </w:rPr>
      </w:pPr>
    </w:p>
    <w:p>
      <w:pPr>
        <w:widowControl w:val="0"/>
        <w:shd w:val="clear" w:color="auto" w:fill="auto"/>
        <w:adjustRightInd w:val="0"/>
        <w:spacing w:before="0" w:beforeAutospacing="0" w:after="0"/>
        <w:ind w:firstLine="0" w:firstLineChars="0"/>
        <w:contextualSpacing w:val="0"/>
        <w:jc w:val="both"/>
        <w:rPr>
          <w:highlight w:val="none"/>
          <w:lang w:val="zh-CN"/>
        </w:rPr>
      </w:pPr>
    </w:p>
    <w:p>
      <w:pPr>
        <w:shd w:val="clear" w:color="auto" w:fill="auto"/>
        <w:snapToGrid/>
        <w:spacing w:before="0" w:beforeAutospacing="0" w:after="0"/>
        <w:ind w:firstLine="0" w:firstLineChars="0"/>
        <w:contextualSpacing w:val="0"/>
        <w:rPr>
          <w:highlight w:val="none"/>
          <w:lang w:val="zh-CN"/>
        </w:rPr>
      </w:pPr>
      <w:r>
        <w:rPr>
          <w:highlight w:val="none"/>
          <w:lang w:val="zh-CN"/>
        </w:rPr>
        <w:br w:type="page"/>
      </w:r>
    </w:p>
    <w:p>
      <w:pPr>
        <w:shd w:val="clear" w:color="auto" w:fill="auto"/>
        <w:adjustRightInd w:val="0"/>
        <w:snapToGrid/>
        <w:spacing w:before="0" w:beforeAutospacing="0" w:after="0"/>
        <w:ind w:firstLine="643"/>
        <w:contextualSpacing w:val="0"/>
        <w:jc w:val="center"/>
        <w:rPr>
          <w:b/>
          <w:sz w:val="24"/>
          <w:szCs w:val="24"/>
          <w:highlight w:val="none"/>
        </w:rPr>
      </w:pPr>
      <w:r>
        <w:rPr>
          <w:rFonts w:hint="eastAsia"/>
          <w:b/>
          <w:sz w:val="24"/>
          <w:szCs w:val="24"/>
          <w:highlight w:val="none"/>
          <w:lang w:val="en-US" w:eastAsia="zh-CN"/>
        </w:rPr>
        <w:t>3、</w:t>
      </w:r>
      <w:r>
        <w:rPr>
          <w:rFonts w:hint="eastAsia"/>
          <w:b/>
          <w:sz w:val="24"/>
          <w:szCs w:val="24"/>
          <w:highlight w:val="none"/>
        </w:rPr>
        <w:t>联合协议</w:t>
      </w:r>
      <w:r>
        <w:rPr>
          <w:rFonts w:hint="eastAsia"/>
          <w:b/>
          <w:color w:val="FF0000"/>
          <w:sz w:val="24"/>
          <w:szCs w:val="24"/>
          <w:highlight w:val="none"/>
        </w:rPr>
        <w:t>（如果有）</w:t>
      </w:r>
    </w:p>
    <w:p>
      <w:pPr>
        <w:shd w:val="clear" w:color="auto" w:fill="auto"/>
        <w:adjustRightInd w:val="0"/>
        <w:snapToGrid/>
        <w:spacing w:before="0" w:beforeAutospacing="0" w:after="0" w:line="360" w:lineRule="auto"/>
        <w:ind w:firstLine="482"/>
        <w:contextualSpacing w:val="0"/>
        <w:rPr>
          <w:b/>
          <w:kern w:val="2"/>
          <w:sz w:val="24"/>
          <w:szCs w:val="24"/>
          <w:highlight w:val="none"/>
        </w:rPr>
      </w:pPr>
      <w:r>
        <w:rPr>
          <w:rFonts w:hint="eastAsia"/>
          <w:b/>
          <w:kern w:val="2"/>
          <w:sz w:val="24"/>
          <w:szCs w:val="24"/>
          <w:highlight w:val="none"/>
        </w:rPr>
        <w:t>[以联合体形式投标的，提供联合协议；本项目不接受联合体投标或者投标人不以联合体形式投标的，则不需要提供]</w:t>
      </w:r>
    </w:p>
    <w:p>
      <w:pPr>
        <w:widowControl w:val="0"/>
        <w:shd w:val="clear" w:color="auto" w:fill="auto"/>
        <w:adjustRightInd w:val="0"/>
        <w:spacing w:before="0" w:beforeAutospacing="0" w:after="0" w:line="360" w:lineRule="auto"/>
        <w:ind w:firstLine="576" w:firstLineChars="0"/>
        <w:contextualSpacing w:val="0"/>
        <w:jc w:val="both"/>
        <w:rPr>
          <w:sz w:val="24"/>
          <w:szCs w:val="24"/>
          <w:highlight w:val="none"/>
          <w:lang w:val="zh-CN"/>
        </w:rPr>
      </w:pPr>
      <w:r>
        <w:rPr>
          <w:rFonts w:hint="eastAsia"/>
          <w:sz w:val="24"/>
          <w:szCs w:val="24"/>
          <w:highlight w:val="none"/>
          <w:u w:val="single"/>
        </w:rPr>
        <w:t>（联合体所有成员名称）</w:t>
      </w:r>
      <w:r>
        <w:rPr>
          <w:rFonts w:hint="eastAsia"/>
          <w:sz w:val="24"/>
          <w:szCs w:val="24"/>
          <w:highlight w:val="none"/>
        </w:rPr>
        <w:t>自愿</w:t>
      </w:r>
      <w:r>
        <w:rPr>
          <w:rFonts w:hint="eastAsia"/>
          <w:sz w:val="24"/>
          <w:szCs w:val="24"/>
          <w:highlight w:val="none"/>
          <w:lang w:val="zh-CN"/>
        </w:rPr>
        <w:t>组成一个联合体，以一个投标人的身份</w:t>
      </w:r>
      <w:r>
        <w:rPr>
          <w:rFonts w:hint="eastAsia"/>
          <w:sz w:val="24"/>
          <w:szCs w:val="24"/>
          <w:highlight w:val="none"/>
        </w:rPr>
        <w:t>参加</w:t>
      </w:r>
      <w:r>
        <w:rPr>
          <w:rFonts w:hint="eastAsia"/>
          <w:color w:val="0000FF"/>
          <w:kern w:val="2"/>
          <w:sz w:val="24"/>
          <w:szCs w:val="24"/>
          <w:highlight w:val="none"/>
          <w:lang w:eastAsia="zh-CN"/>
        </w:rPr>
        <w:t>衢州动力电池和储能研究院高能比硫化物全固态电池自动孵化线</w:t>
      </w:r>
      <w:r>
        <w:rPr>
          <w:rFonts w:hint="eastAsia"/>
          <w:color w:val="0000FF"/>
          <w:kern w:val="2"/>
          <w:sz w:val="24"/>
          <w:szCs w:val="24"/>
          <w:highlight w:val="none"/>
        </w:rPr>
        <w:t>【招标编号：】</w:t>
      </w:r>
      <w:r>
        <w:rPr>
          <w:rFonts w:hint="eastAsia"/>
          <w:sz w:val="24"/>
          <w:szCs w:val="24"/>
          <w:highlight w:val="none"/>
          <w:lang w:val="zh-CN"/>
        </w:rPr>
        <w:t xml:space="preserve">投标。 </w:t>
      </w:r>
    </w:p>
    <w:p>
      <w:pPr>
        <w:widowControl w:val="0"/>
        <w:shd w:val="clear" w:color="auto" w:fill="auto"/>
        <w:adjustRightInd w:val="0"/>
        <w:spacing w:before="0" w:beforeAutospacing="0" w:after="0" w:line="360" w:lineRule="auto"/>
        <w:ind w:firstLine="576" w:firstLineChars="0"/>
        <w:contextualSpacing w:val="0"/>
        <w:jc w:val="both"/>
        <w:rPr>
          <w:sz w:val="24"/>
          <w:szCs w:val="24"/>
          <w:highlight w:val="none"/>
          <w:lang w:val="zh-CN"/>
        </w:rPr>
      </w:pPr>
      <w:r>
        <w:rPr>
          <w:rFonts w:hint="eastAsia"/>
          <w:sz w:val="24"/>
          <w:szCs w:val="24"/>
          <w:highlight w:val="none"/>
          <w:lang w:val="zh-CN"/>
        </w:rPr>
        <w:t>一、各方一致决定，</w:t>
      </w:r>
      <w:r>
        <w:rPr>
          <w:rFonts w:hint="eastAsia"/>
          <w:sz w:val="24"/>
          <w:szCs w:val="24"/>
          <w:highlight w:val="none"/>
          <w:u w:val="single"/>
        </w:rPr>
        <w:t>（某联合体成员名称）</w:t>
      </w:r>
      <w:r>
        <w:rPr>
          <w:rFonts w:hint="eastAsia"/>
          <w:sz w:val="24"/>
          <w:szCs w:val="24"/>
          <w:highlight w:val="none"/>
        </w:rPr>
        <w:t>为联合体</w:t>
      </w:r>
      <w:r>
        <w:rPr>
          <w:rFonts w:hint="eastAsia"/>
          <w:sz w:val="24"/>
          <w:szCs w:val="24"/>
          <w:highlight w:val="none"/>
          <w:lang w:val="zh-CN"/>
        </w:rPr>
        <w:t>牵头人</w:t>
      </w:r>
      <w:r>
        <w:rPr>
          <w:rFonts w:hint="eastAsia"/>
          <w:kern w:val="2"/>
          <w:sz w:val="24"/>
          <w:szCs w:val="24"/>
          <w:highlight w:val="none"/>
        </w:rPr>
        <w:t>，代表所有联合体成员负责投标和合同实施阶段的主办、协调工作</w:t>
      </w:r>
      <w:r>
        <w:rPr>
          <w:rFonts w:hint="eastAsia"/>
          <w:sz w:val="24"/>
          <w:szCs w:val="24"/>
          <w:highlight w:val="none"/>
          <w:lang w:val="zh-CN"/>
        </w:rPr>
        <w:t>。</w:t>
      </w:r>
    </w:p>
    <w:p>
      <w:pPr>
        <w:widowControl w:val="0"/>
        <w:shd w:val="clear" w:color="auto" w:fill="auto"/>
        <w:adjustRightInd w:val="0"/>
        <w:spacing w:before="0" w:beforeAutospacing="0" w:after="0" w:line="360" w:lineRule="auto"/>
        <w:ind w:firstLine="576" w:firstLineChars="0"/>
        <w:contextualSpacing w:val="0"/>
        <w:jc w:val="both"/>
        <w:rPr>
          <w:sz w:val="24"/>
          <w:szCs w:val="24"/>
          <w:highlight w:val="none"/>
          <w:lang w:val="zh-CN"/>
        </w:rPr>
      </w:pPr>
      <w:r>
        <w:rPr>
          <w:rFonts w:hint="eastAsia"/>
          <w:sz w:val="24"/>
          <w:szCs w:val="24"/>
          <w:highlight w:val="none"/>
          <w:lang w:val="zh-CN"/>
        </w:rPr>
        <w:t>二、</w:t>
      </w:r>
      <w:r>
        <w:rPr>
          <w:rFonts w:hint="eastAsia"/>
          <w:kern w:val="2"/>
          <w:sz w:val="24"/>
          <w:szCs w:val="24"/>
          <w:highlight w:val="none"/>
        </w:rPr>
        <w:t>授权书载明的</w:t>
      </w:r>
      <w:r>
        <w:rPr>
          <w:rFonts w:hint="eastAsia"/>
          <w:sz w:val="24"/>
          <w:szCs w:val="24"/>
          <w:highlight w:val="none"/>
          <w:lang w:val="zh-CN"/>
        </w:rPr>
        <w:t>授权代表根据招标文件规定及投标内容而对采购人、采购代理机构所作的任何合法承诺，包括书面澄清及相应等均对联合投标各方产生约束力。</w:t>
      </w:r>
    </w:p>
    <w:p>
      <w:pPr>
        <w:widowControl w:val="0"/>
        <w:shd w:val="clear" w:color="auto" w:fill="auto"/>
        <w:adjustRightInd w:val="0"/>
        <w:spacing w:before="0" w:beforeAutospacing="0" w:after="0" w:line="360" w:lineRule="auto"/>
        <w:ind w:firstLine="576" w:firstLineChars="0"/>
        <w:contextualSpacing w:val="0"/>
        <w:jc w:val="both"/>
        <w:rPr>
          <w:sz w:val="24"/>
          <w:szCs w:val="24"/>
          <w:highlight w:val="none"/>
          <w:lang w:val="zh-CN"/>
        </w:rPr>
      </w:pPr>
      <w:r>
        <w:rPr>
          <w:rFonts w:hint="eastAsia"/>
          <w:sz w:val="24"/>
          <w:szCs w:val="24"/>
          <w:highlight w:val="none"/>
          <w:lang w:val="zh-CN"/>
        </w:rPr>
        <w:t>三、本次联合投标中，分工如下：</w:t>
      </w:r>
    </w:p>
    <w:p>
      <w:pPr>
        <w:widowControl w:val="0"/>
        <w:shd w:val="clear" w:color="auto" w:fill="auto"/>
        <w:adjustRightInd w:val="0"/>
        <w:spacing w:before="0" w:beforeAutospacing="0" w:after="0" w:line="360" w:lineRule="auto"/>
        <w:ind w:firstLine="576" w:firstLineChars="0"/>
        <w:contextualSpacing w:val="0"/>
        <w:jc w:val="both"/>
        <w:rPr>
          <w:sz w:val="24"/>
          <w:szCs w:val="24"/>
          <w:highlight w:val="none"/>
          <w:lang w:val="zh-CN"/>
        </w:rPr>
      </w:pPr>
      <w:r>
        <w:rPr>
          <w:rFonts w:hint="eastAsia"/>
          <w:sz w:val="24"/>
          <w:szCs w:val="24"/>
          <w:highlight w:val="none"/>
          <w:u w:val="single"/>
        </w:rPr>
        <w:t>（联合体成员1）</w:t>
      </w:r>
      <w:r>
        <w:rPr>
          <w:rFonts w:hint="eastAsia"/>
          <w:sz w:val="24"/>
          <w:szCs w:val="24"/>
          <w:highlight w:val="none"/>
          <w:lang w:val="zh-CN"/>
        </w:rPr>
        <w:t>承担的工作和义务为：</w:t>
      </w:r>
      <w:r>
        <w:rPr>
          <w:rFonts w:hint="eastAsia"/>
          <w:kern w:val="2"/>
          <w:sz w:val="24"/>
          <w:szCs w:val="24"/>
          <w:highlight w:val="none"/>
          <w:u w:val="single"/>
        </w:rPr>
        <w:t xml:space="preserve">             </w:t>
      </w:r>
      <w:r>
        <w:rPr>
          <w:rFonts w:hint="eastAsia"/>
          <w:sz w:val="24"/>
          <w:szCs w:val="24"/>
          <w:highlight w:val="none"/>
          <w:lang w:val="zh-CN"/>
        </w:rPr>
        <w:t>；</w:t>
      </w:r>
    </w:p>
    <w:p>
      <w:pPr>
        <w:widowControl w:val="0"/>
        <w:shd w:val="clear" w:color="auto" w:fill="auto"/>
        <w:adjustRightInd w:val="0"/>
        <w:spacing w:before="0" w:beforeAutospacing="0" w:after="0" w:line="360" w:lineRule="auto"/>
        <w:ind w:firstLine="576" w:firstLineChars="0"/>
        <w:contextualSpacing w:val="0"/>
        <w:jc w:val="both"/>
        <w:rPr>
          <w:sz w:val="24"/>
          <w:szCs w:val="24"/>
          <w:highlight w:val="none"/>
          <w:lang w:val="zh-CN"/>
        </w:rPr>
      </w:pPr>
      <w:r>
        <w:rPr>
          <w:rFonts w:hint="eastAsia"/>
          <w:sz w:val="24"/>
          <w:szCs w:val="24"/>
          <w:highlight w:val="none"/>
          <w:u w:val="single"/>
        </w:rPr>
        <w:t>（联合体成员</w:t>
      </w:r>
      <w:r>
        <w:rPr>
          <w:sz w:val="24"/>
          <w:szCs w:val="24"/>
          <w:highlight w:val="none"/>
          <w:u w:val="single"/>
        </w:rPr>
        <w:t>2</w:t>
      </w:r>
      <w:r>
        <w:rPr>
          <w:rFonts w:hint="eastAsia"/>
          <w:sz w:val="24"/>
          <w:szCs w:val="24"/>
          <w:highlight w:val="none"/>
          <w:u w:val="single"/>
        </w:rPr>
        <w:t>）</w:t>
      </w:r>
      <w:r>
        <w:rPr>
          <w:rFonts w:hint="eastAsia"/>
          <w:sz w:val="24"/>
          <w:szCs w:val="24"/>
          <w:highlight w:val="none"/>
          <w:lang w:val="zh-CN"/>
        </w:rPr>
        <w:t>承担的工作和义务为：</w:t>
      </w:r>
      <w:r>
        <w:rPr>
          <w:rFonts w:hint="eastAsia"/>
          <w:kern w:val="2"/>
          <w:sz w:val="24"/>
          <w:szCs w:val="24"/>
          <w:highlight w:val="none"/>
          <w:u w:val="single"/>
        </w:rPr>
        <w:t xml:space="preserve">             </w:t>
      </w:r>
      <w:r>
        <w:rPr>
          <w:rFonts w:hint="eastAsia"/>
          <w:sz w:val="24"/>
          <w:szCs w:val="24"/>
          <w:highlight w:val="none"/>
          <w:lang w:val="zh-CN"/>
        </w:rPr>
        <w:t>；</w:t>
      </w:r>
    </w:p>
    <w:p>
      <w:pPr>
        <w:widowControl w:val="0"/>
        <w:shd w:val="clear" w:color="auto" w:fill="auto"/>
        <w:adjustRightInd w:val="0"/>
        <w:spacing w:before="0" w:beforeAutospacing="0" w:after="0" w:line="360" w:lineRule="auto"/>
        <w:ind w:firstLine="576" w:firstLineChars="0"/>
        <w:contextualSpacing w:val="0"/>
        <w:jc w:val="both"/>
        <w:rPr>
          <w:sz w:val="24"/>
          <w:szCs w:val="24"/>
          <w:highlight w:val="none"/>
          <w:lang w:val="zh-CN"/>
        </w:rPr>
      </w:pPr>
      <w:r>
        <w:rPr>
          <w:rFonts w:hint="eastAsia"/>
          <w:sz w:val="24"/>
          <w:szCs w:val="24"/>
          <w:highlight w:val="none"/>
          <w:lang w:val="zh-CN"/>
        </w:rPr>
        <w:t>……</w:t>
      </w:r>
    </w:p>
    <w:p>
      <w:pPr>
        <w:widowControl w:val="0"/>
        <w:shd w:val="clear" w:color="auto" w:fill="auto"/>
        <w:adjustRightInd w:val="0"/>
        <w:spacing w:before="0" w:beforeAutospacing="0" w:after="0" w:line="360" w:lineRule="auto"/>
        <w:ind w:firstLine="576" w:firstLineChars="0"/>
        <w:contextualSpacing w:val="0"/>
        <w:jc w:val="both"/>
        <w:rPr>
          <w:sz w:val="24"/>
          <w:szCs w:val="24"/>
          <w:highlight w:val="none"/>
          <w:lang w:val="zh-CN"/>
        </w:rPr>
      </w:pPr>
      <w:r>
        <w:rPr>
          <w:rFonts w:hint="eastAsia"/>
          <w:sz w:val="24"/>
          <w:szCs w:val="24"/>
          <w:highlight w:val="none"/>
          <w:lang w:val="zh-CN"/>
        </w:rPr>
        <w:t>四、如果中标，</w:t>
      </w:r>
      <w:r>
        <w:rPr>
          <w:rFonts w:hint="eastAsia"/>
          <w:kern w:val="2"/>
          <w:sz w:val="24"/>
          <w:szCs w:val="24"/>
          <w:highlight w:val="none"/>
        </w:rPr>
        <w:t>联合体各成员方共同与采购人签订合同，并就采购合同约定的事项对采购人承担连带责任。</w:t>
      </w:r>
    </w:p>
    <w:p>
      <w:pPr>
        <w:widowControl w:val="0"/>
        <w:shd w:val="clear" w:color="auto" w:fill="auto"/>
        <w:adjustRightInd w:val="0"/>
        <w:spacing w:before="0" w:beforeAutospacing="0" w:after="0" w:line="360" w:lineRule="auto"/>
        <w:ind w:firstLine="576" w:firstLineChars="0"/>
        <w:contextualSpacing w:val="0"/>
        <w:jc w:val="both"/>
        <w:rPr>
          <w:sz w:val="24"/>
          <w:szCs w:val="24"/>
          <w:highlight w:val="none"/>
          <w:lang w:val="zh-CN"/>
        </w:rPr>
      </w:pPr>
      <w:r>
        <w:rPr>
          <w:rFonts w:hint="eastAsia"/>
          <w:sz w:val="24"/>
          <w:szCs w:val="24"/>
          <w:highlight w:val="none"/>
          <w:lang w:val="zh-CN"/>
        </w:rPr>
        <w:t>五、有关本次联合投标的其他事宜：</w:t>
      </w:r>
    </w:p>
    <w:p>
      <w:pPr>
        <w:widowControl w:val="0"/>
        <w:shd w:val="clear" w:color="auto" w:fill="auto"/>
        <w:adjustRightInd w:val="0"/>
        <w:spacing w:before="0" w:beforeAutospacing="0" w:after="0" w:line="360" w:lineRule="auto"/>
        <w:ind w:firstLine="576" w:firstLineChars="0"/>
        <w:contextualSpacing w:val="0"/>
        <w:jc w:val="both"/>
        <w:rPr>
          <w:sz w:val="24"/>
          <w:szCs w:val="24"/>
          <w:highlight w:val="none"/>
          <w:lang w:val="zh-CN"/>
        </w:rPr>
      </w:pPr>
      <w:r>
        <w:rPr>
          <w:rFonts w:hint="eastAsia"/>
          <w:sz w:val="24"/>
          <w:szCs w:val="24"/>
          <w:highlight w:val="none"/>
          <w:lang w:val="zh-CN"/>
        </w:rPr>
        <w:t>1、联合体各方不再单独参加或者与其他供应商另外组成联合体参加同一合同项下的政府采购活动。</w:t>
      </w:r>
    </w:p>
    <w:p>
      <w:pPr>
        <w:widowControl w:val="0"/>
        <w:shd w:val="clear" w:color="auto" w:fill="auto"/>
        <w:adjustRightInd w:val="0"/>
        <w:spacing w:before="0" w:beforeAutospacing="0" w:after="0" w:line="360" w:lineRule="auto"/>
        <w:ind w:firstLine="576" w:firstLineChars="0"/>
        <w:contextualSpacing w:val="0"/>
        <w:jc w:val="both"/>
        <w:rPr>
          <w:sz w:val="24"/>
          <w:szCs w:val="24"/>
          <w:highlight w:val="none"/>
          <w:lang w:val="zh-CN"/>
        </w:rPr>
      </w:pPr>
      <w:r>
        <w:rPr>
          <w:rFonts w:hint="eastAsia"/>
          <w:sz w:val="24"/>
          <w:szCs w:val="24"/>
          <w:highlight w:val="none"/>
          <w:lang w:val="zh-CN"/>
        </w:rPr>
        <w:t>2、联合体中有同类资质的各方按照联合体分工承担相同工作的，按照资质等级较低的供应商确定资质等级。</w:t>
      </w:r>
    </w:p>
    <w:p>
      <w:pPr>
        <w:widowControl w:val="0"/>
        <w:shd w:val="clear" w:color="auto" w:fill="auto"/>
        <w:adjustRightInd w:val="0"/>
        <w:spacing w:before="0" w:beforeAutospacing="0" w:after="0" w:line="360" w:lineRule="auto"/>
        <w:ind w:firstLine="576" w:firstLineChars="0"/>
        <w:contextualSpacing w:val="0"/>
        <w:jc w:val="both"/>
        <w:rPr>
          <w:sz w:val="24"/>
          <w:szCs w:val="24"/>
          <w:highlight w:val="none"/>
          <w:lang w:val="zh-CN"/>
        </w:rPr>
      </w:pPr>
      <w:r>
        <w:rPr>
          <w:rFonts w:hint="eastAsia"/>
          <w:sz w:val="24"/>
          <w:szCs w:val="24"/>
          <w:highlight w:val="none"/>
          <w:lang w:val="zh-CN"/>
        </w:rPr>
        <w:t>3、本协议提交采购人、采购代理机构后，联合体各方不得以任何形式对上述内容进行修改或撤销。</w:t>
      </w:r>
    </w:p>
    <w:p>
      <w:pPr>
        <w:widowControl w:val="0"/>
        <w:shd w:val="clear" w:color="auto" w:fill="auto"/>
        <w:adjustRightInd w:val="0"/>
        <w:spacing w:before="0" w:beforeAutospacing="0" w:after="0" w:line="360" w:lineRule="auto"/>
        <w:ind w:firstLine="5040" w:firstLineChars="2100"/>
        <w:contextualSpacing w:val="0"/>
        <w:jc w:val="both"/>
        <w:rPr>
          <w:sz w:val="24"/>
          <w:szCs w:val="24"/>
          <w:highlight w:val="none"/>
          <w:lang w:val="zh-CN"/>
        </w:rPr>
      </w:pPr>
      <w:r>
        <w:rPr>
          <w:rFonts w:hint="eastAsia"/>
          <w:sz w:val="24"/>
          <w:szCs w:val="24"/>
          <w:highlight w:val="none"/>
          <w:lang w:val="zh-CN"/>
        </w:rPr>
        <w:t>联合体成员名称(公章)：</w:t>
      </w:r>
    </w:p>
    <w:p>
      <w:pPr>
        <w:widowControl w:val="0"/>
        <w:shd w:val="clear" w:color="auto" w:fill="auto"/>
        <w:adjustRightInd w:val="0"/>
        <w:spacing w:before="0" w:beforeAutospacing="0" w:after="0" w:line="360" w:lineRule="auto"/>
        <w:ind w:firstLine="5040" w:firstLineChars="2100"/>
        <w:contextualSpacing w:val="0"/>
        <w:jc w:val="both"/>
        <w:rPr>
          <w:sz w:val="24"/>
          <w:szCs w:val="24"/>
          <w:highlight w:val="none"/>
          <w:lang w:val="zh-CN"/>
        </w:rPr>
      </w:pPr>
      <w:r>
        <w:rPr>
          <w:rFonts w:hint="eastAsia"/>
          <w:sz w:val="24"/>
          <w:szCs w:val="24"/>
          <w:highlight w:val="none"/>
          <w:lang w:val="zh-CN"/>
        </w:rPr>
        <w:t>联合体成员名称(公章)：</w:t>
      </w:r>
    </w:p>
    <w:p>
      <w:pPr>
        <w:widowControl w:val="0"/>
        <w:shd w:val="clear" w:color="auto" w:fill="auto"/>
        <w:adjustRightInd w:val="0"/>
        <w:spacing w:before="0" w:beforeAutospacing="0" w:after="0" w:line="360" w:lineRule="auto"/>
        <w:ind w:right="960" w:firstLine="0" w:firstLineChars="0"/>
        <w:contextualSpacing w:val="0"/>
        <w:jc w:val="center"/>
        <w:rPr>
          <w:sz w:val="24"/>
          <w:szCs w:val="24"/>
          <w:highlight w:val="none"/>
          <w:lang w:val="zh-CN"/>
        </w:rPr>
      </w:pPr>
      <w:r>
        <w:rPr>
          <w:rFonts w:hint="eastAsia"/>
          <w:sz w:val="24"/>
          <w:szCs w:val="24"/>
          <w:highlight w:val="none"/>
          <w:lang w:val="zh-CN"/>
        </w:rPr>
        <w:t xml:space="preserve">                   ……</w:t>
      </w:r>
    </w:p>
    <w:p>
      <w:pPr>
        <w:widowControl w:val="0"/>
        <w:shd w:val="clear" w:color="auto" w:fill="auto"/>
        <w:adjustRightInd w:val="0"/>
        <w:spacing w:before="0" w:beforeAutospacing="0" w:after="0" w:line="360" w:lineRule="auto"/>
        <w:ind w:firstLine="0" w:firstLineChars="0"/>
        <w:contextualSpacing w:val="0"/>
        <w:jc w:val="right"/>
        <w:rPr>
          <w:sz w:val="24"/>
          <w:szCs w:val="24"/>
          <w:highlight w:val="none"/>
          <w:lang w:val="zh-CN"/>
        </w:rPr>
      </w:pPr>
      <w:r>
        <w:rPr>
          <w:rFonts w:hint="eastAsia"/>
          <w:sz w:val="24"/>
          <w:szCs w:val="24"/>
          <w:highlight w:val="none"/>
          <w:lang w:val="zh-CN"/>
        </w:rPr>
        <w:t>日期：  年  月   日</w:t>
      </w:r>
    </w:p>
    <w:p>
      <w:pPr>
        <w:shd w:val="clear" w:color="auto" w:fill="auto"/>
        <w:snapToGrid/>
        <w:spacing w:before="0" w:beforeAutospacing="0" w:after="0" w:line="360" w:lineRule="auto"/>
        <w:ind w:firstLine="0" w:firstLineChars="0"/>
        <w:contextualSpacing w:val="0"/>
        <w:rPr>
          <w:b/>
          <w:kern w:val="2"/>
          <w:highlight w:val="none"/>
        </w:rPr>
      </w:pPr>
    </w:p>
    <w:p>
      <w:pPr>
        <w:shd w:val="clear" w:color="auto" w:fill="auto"/>
        <w:snapToGrid/>
        <w:spacing w:before="0" w:beforeAutospacing="0" w:after="0" w:line="360" w:lineRule="auto"/>
        <w:ind w:firstLine="0" w:firstLineChars="0"/>
        <w:contextualSpacing w:val="0"/>
        <w:rPr>
          <w:kern w:val="2"/>
          <w:highlight w:val="none"/>
        </w:rPr>
      </w:pPr>
    </w:p>
    <w:p>
      <w:pPr>
        <w:shd w:val="clear" w:color="auto" w:fill="auto"/>
        <w:adjustRightInd w:val="0"/>
        <w:snapToGrid/>
        <w:spacing w:before="0" w:beforeAutospacing="0" w:after="0" w:line="360" w:lineRule="auto"/>
        <w:ind w:left="150" w:firstLine="0" w:firstLineChars="0"/>
        <w:contextualSpacing w:val="0"/>
        <w:jc w:val="center"/>
        <w:rPr>
          <w:rFonts w:hint="eastAsia"/>
          <w:b/>
          <w:sz w:val="24"/>
          <w:szCs w:val="24"/>
          <w:highlight w:val="none"/>
          <w:lang w:val="en-US" w:eastAsia="zh-CN"/>
        </w:rPr>
      </w:pPr>
    </w:p>
    <w:p>
      <w:pPr>
        <w:rPr>
          <w:rFonts w:hint="eastAsia"/>
          <w:b/>
          <w:sz w:val="24"/>
          <w:szCs w:val="24"/>
          <w:highlight w:val="none"/>
          <w:lang w:val="en-US" w:eastAsia="zh-CN"/>
        </w:rPr>
      </w:pPr>
      <w:r>
        <w:rPr>
          <w:rFonts w:hint="eastAsia"/>
          <w:b/>
          <w:sz w:val="24"/>
          <w:szCs w:val="24"/>
          <w:highlight w:val="none"/>
          <w:lang w:val="en-US" w:eastAsia="zh-CN"/>
        </w:rPr>
        <w:br w:type="page"/>
      </w:r>
    </w:p>
    <w:p>
      <w:pPr>
        <w:shd w:val="clear" w:color="auto" w:fill="auto"/>
        <w:adjustRightInd w:val="0"/>
        <w:snapToGrid/>
        <w:spacing w:before="0" w:beforeAutospacing="0" w:after="0" w:line="360" w:lineRule="auto"/>
        <w:ind w:left="150" w:firstLine="0" w:firstLineChars="0"/>
        <w:contextualSpacing w:val="0"/>
        <w:jc w:val="center"/>
        <w:rPr>
          <w:b/>
          <w:sz w:val="24"/>
          <w:szCs w:val="24"/>
          <w:highlight w:val="none"/>
        </w:rPr>
      </w:pPr>
      <w:r>
        <w:rPr>
          <w:rFonts w:hint="eastAsia"/>
          <w:b/>
          <w:sz w:val="24"/>
          <w:szCs w:val="24"/>
          <w:highlight w:val="none"/>
          <w:lang w:val="en-US" w:eastAsia="zh-CN"/>
        </w:rPr>
        <w:t>4</w:t>
      </w:r>
      <w:r>
        <w:rPr>
          <w:rFonts w:hint="eastAsia"/>
          <w:b/>
          <w:sz w:val="24"/>
          <w:szCs w:val="24"/>
          <w:highlight w:val="none"/>
        </w:rPr>
        <w:t>、本项目的特定资格要求</w:t>
      </w:r>
    </w:p>
    <w:p>
      <w:pPr>
        <w:widowControl w:val="0"/>
        <w:shd w:val="clear" w:color="auto" w:fill="auto"/>
        <w:adjustRightInd w:val="0"/>
        <w:snapToGrid/>
        <w:spacing w:before="0" w:beforeAutospacing="0" w:after="0" w:line="360" w:lineRule="auto"/>
        <w:ind w:firstLine="0" w:firstLineChars="0"/>
        <w:contextualSpacing w:val="0"/>
        <w:jc w:val="center"/>
        <w:rPr>
          <w:kern w:val="2"/>
          <w:sz w:val="24"/>
          <w:szCs w:val="24"/>
          <w:highlight w:val="none"/>
        </w:rPr>
      </w:pPr>
      <w:r>
        <w:rPr>
          <w:rFonts w:hint="eastAsia"/>
          <w:kern w:val="2"/>
          <w:sz w:val="24"/>
          <w:szCs w:val="24"/>
          <w:highlight w:val="none"/>
        </w:rPr>
        <w:t>（根据招标公告本项目的特定资格要求提供相应的材料；未要求的，无需提供）</w:t>
      </w:r>
    </w:p>
    <w:p>
      <w:pPr>
        <w:spacing w:line="360" w:lineRule="auto"/>
        <w:rPr>
          <w:rFonts w:ascii="宋体" w:hAnsi="宋体"/>
          <w:bCs/>
          <w:spacing w:val="-6"/>
          <w:sz w:val="24"/>
          <w:szCs w:val="24"/>
          <w:highlight w:val="none"/>
        </w:rPr>
      </w:pPr>
    </w:p>
    <w:p>
      <w:pPr>
        <w:rPr>
          <w:rFonts w:hint="eastAsia" w:ascii="宋体" w:hAnsi="宋体"/>
          <w:b/>
          <w:spacing w:val="-6"/>
          <w:sz w:val="52"/>
          <w:szCs w:val="52"/>
          <w:highlight w:val="none"/>
        </w:rPr>
      </w:pPr>
      <w:r>
        <w:rPr>
          <w:rFonts w:hint="eastAsia" w:ascii="宋体" w:hAnsi="宋体"/>
          <w:b/>
          <w:spacing w:val="-6"/>
          <w:sz w:val="52"/>
          <w:szCs w:val="52"/>
          <w:highlight w:val="none"/>
        </w:rPr>
        <w:br w:type="page"/>
      </w:r>
    </w:p>
    <w:p>
      <w:pPr>
        <w:spacing w:line="360" w:lineRule="auto"/>
        <w:rPr>
          <w:rFonts w:hint="eastAsia" w:ascii="宋体" w:hAnsi="宋体"/>
          <w:spacing w:val="-6"/>
          <w:sz w:val="24"/>
          <w:highlight w:val="none"/>
        </w:rPr>
      </w:pPr>
      <w:r>
        <w:rPr>
          <w:rFonts w:ascii="宋体" w:hAnsi="宋体"/>
          <w:bCs/>
          <w:spacing w:val="-6"/>
          <w:sz w:val="24"/>
          <w:highlight w:val="none"/>
        </w:rPr>
        <w:t>商务和技术文件</w:t>
      </w:r>
      <w:r>
        <w:rPr>
          <w:rFonts w:hint="eastAsia" w:ascii="宋体" w:hAnsi="宋体"/>
          <w:spacing w:val="-6"/>
          <w:sz w:val="24"/>
          <w:highlight w:val="none"/>
        </w:rPr>
        <w:t>封面</w:t>
      </w:r>
    </w:p>
    <w:p>
      <w:pPr>
        <w:spacing w:line="360" w:lineRule="auto"/>
        <w:jc w:val="right"/>
        <w:rPr>
          <w:rFonts w:hint="eastAsia" w:ascii="宋体" w:hAnsi="宋体"/>
          <w:spacing w:val="-6"/>
          <w:sz w:val="24"/>
          <w:highlight w:val="none"/>
        </w:rPr>
      </w:pPr>
      <w:r>
        <w:rPr>
          <w:rFonts w:hint="eastAsia" w:ascii="宋体" w:hAnsi="宋体"/>
          <w:b/>
          <w:bCs/>
          <w:spacing w:val="-6"/>
          <w:sz w:val="24"/>
          <w:highlight w:val="none"/>
        </w:rPr>
        <w:t>正本或副本</w:t>
      </w:r>
    </w:p>
    <w:p>
      <w:pPr>
        <w:spacing w:line="360" w:lineRule="auto"/>
        <w:rPr>
          <w:rFonts w:hint="eastAsia" w:ascii="宋体" w:hAnsi="宋体"/>
          <w:spacing w:val="-6"/>
          <w:sz w:val="24"/>
          <w:highlight w:val="none"/>
        </w:rPr>
      </w:pPr>
    </w:p>
    <w:p>
      <w:pPr>
        <w:spacing w:line="360" w:lineRule="auto"/>
        <w:jc w:val="center"/>
        <w:rPr>
          <w:rFonts w:hint="eastAsia" w:ascii="宋体" w:hAnsi="宋体"/>
          <w:bCs/>
          <w:spacing w:val="-6"/>
          <w:sz w:val="24"/>
          <w:highlight w:val="none"/>
        </w:rPr>
      </w:pPr>
      <w:r>
        <w:rPr>
          <w:rFonts w:hint="eastAsia" w:ascii="宋体" w:hAnsi="宋体"/>
          <w:bCs/>
          <w:spacing w:val="-6"/>
          <w:sz w:val="24"/>
          <w:highlight w:val="none"/>
          <w:u w:val="single"/>
        </w:rPr>
        <w:t xml:space="preserve">                    </w:t>
      </w:r>
      <w:r>
        <w:rPr>
          <w:rFonts w:hint="eastAsia" w:ascii="宋体" w:hAnsi="宋体"/>
          <w:bCs/>
          <w:spacing w:val="-6"/>
          <w:sz w:val="24"/>
          <w:highlight w:val="none"/>
        </w:rPr>
        <w:t>（投标人名称）</w:t>
      </w:r>
    </w:p>
    <w:p>
      <w:pPr>
        <w:spacing w:line="360" w:lineRule="auto"/>
        <w:jc w:val="center"/>
        <w:rPr>
          <w:rFonts w:hint="eastAsia" w:ascii="宋体" w:hAnsi="宋体"/>
          <w:b/>
          <w:bCs/>
          <w:spacing w:val="-6"/>
          <w:sz w:val="24"/>
          <w:highlight w:val="none"/>
        </w:rPr>
      </w:pPr>
      <w:r>
        <w:rPr>
          <w:rFonts w:ascii="宋体" w:hAnsi="宋体"/>
          <w:b/>
          <w:bCs/>
          <w:spacing w:val="-6"/>
          <w:sz w:val="24"/>
          <w:highlight w:val="none"/>
        </w:rPr>
        <w:t>商务和技术文件</w:t>
      </w:r>
    </w:p>
    <w:p>
      <w:pPr>
        <w:spacing w:line="360" w:lineRule="auto"/>
        <w:rPr>
          <w:rFonts w:hint="eastAsia" w:ascii="宋体" w:hAnsi="宋体"/>
          <w:bCs/>
          <w:spacing w:val="-6"/>
          <w:sz w:val="24"/>
          <w:highlight w:val="none"/>
        </w:rPr>
      </w:pPr>
    </w:p>
    <w:p>
      <w:pPr>
        <w:spacing w:line="360" w:lineRule="auto"/>
        <w:rPr>
          <w:rFonts w:hint="eastAsia" w:ascii="宋体" w:hAnsi="宋体" w:eastAsia="宋体"/>
          <w:bCs/>
          <w:spacing w:val="-6"/>
          <w:sz w:val="24"/>
          <w:highlight w:val="none"/>
          <w:lang w:eastAsia="zh-CN"/>
        </w:rPr>
      </w:pPr>
      <w:r>
        <w:rPr>
          <w:rFonts w:hint="eastAsia" w:ascii="宋体" w:hAnsi="宋体"/>
          <w:bCs/>
          <w:spacing w:val="-6"/>
          <w:sz w:val="24"/>
          <w:highlight w:val="none"/>
        </w:rPr>
        <w:t>招标人：</w:t>
      </w:r>
      <w:r>
        <w:rPr>
          <w:rFonts w:hint="eastAsia" w:ascii="宋体" w:hAnsi="宋体"/>
          <w:bCs/>
          <w:spacing w:val="-6"/>
          <w:sz w:val="24"/>
          <w:highlight w:val="none"/>
          <w:lang w:eastAsia="zh-CN"/>
        </w:rPr>
        <w:t>衢州动力电池和储能研究院</w:t>
      </w:r>
    </w:p>
    <w:p>
      <w:pPr>
        <w:spacing w:line="360" w:lineRule="auto"/>
        <w:rPr>
          <w:rFonts w:hint="eastAsia" w:ascii="宋体" w:hAnsi="宋体" w:eastAsia="宋体"/>
          <w:bCs/>
          <w:spacing w:val="-6"/>
          <w:sz w:val="24"/>
          <w:highlight w:val="none"/>
          <w:lang w:eastAsia="zh-CN"/>
        </w:rPr>
      </w:pPr>
      <w:r>
        <w:rPr>
          <w:rFonts w:hint="eastAsia" w:ascii="宋体" w:hAnsi="宋体"/>
          <w:bCs/>
          <w:spacing w:val="-6"/>
          <w:sz w:val="24"/>
          <w:highlight w:val="none"/>
        </w:rPr>
        <w:t>项目名称：</w:t>
      </w:r>
      <w:r>
        <w:rPr>
          <w:rFonts w:hint="eastAsia" w:ascii="宋体" w:hAnsi="宋体"/>
          <w:bCs/>
          <w:spacing w:val="-6"/>
          <w:sz w:val="24"/>
          <w:highlight w:val="none"/>
          <w:lang w:eastAsia="zh-CN"/>
        </w:rPr>
        <w:t>衢州动力电池和储能研究院高能比硫化物全固态电池自动孵化线</w:t>
      </w:r>
    </w:p>
    <w:p>
      <w:pPr>
        <w:spacing w:line="360" w:lineRule="auto"/>
        <w:rPr>
          <w:rFonts w:hint="eastAsia" w:ascii="宋体" w:hAnsi="宋体" w:eastAsia="宋体"/>
          <w:bCs/>
          <w:spacing w:val="-6"/>
          <w:sz w:val="24"/>
          <w:highlight w:val="none"/>
          <w:lang w:eastAsia="zh-CN"/>
        </w:rPr>
      </w:pPr>
      <w:r>
        <w:rPr>
          <w:rFonts w:hint="eastAsia" w:ascii="宋体" w:hAnsi="宋体"/>
          <w:bCs/>
          <w:spacing w:val="-6"/>
          <w:sz w:val="24"/>
          <w:highlight w:val="none"/>
        </w:rPr>
        <w:t>项目编号：</w:t>
      </w:r>
    </w:p>
    <w:p>
      <w:pPr>
        <w:spacing w:line="360" w:lineRule="auto"/>
        <w:rPr>
          <w:rFonts w:hint="eastAsia" w:ascii="宋体" w:hAnsi="宋体"/>
          <w:bCs/>
          <w:spacing w:val="-6"/>
          <w:sz w:val="24"/>
          <w:highlight w:val="none"/>
        </w:rPr>
      </w:pPr>
      <w:r>
        <w:rPr>
          <w:rFonts w:hint="eastAsia" w:ascii="宋体" w:hAnsi="宋体"/>
          <w:bCs/>
          <w:spacing w:val="-6"/>
          <w:sz w:val="24"/>
          <w:highlight w:val="none"/>
        </w:rPr>
        <w:t>投标人名称（盖章）：</w:t>
      </w:r>
    </w:p>
    <w:p>
      <w:pPr>
        <w:spacing w:line="360" w:lineRule="auto"/>
        <w:rPr>
          <w:rFonts w:hint="eastAsia" w:ascii="宋体" w:hAnsi="宋体"/>
          <w:bCs/>
          <w:spacing w:val="-6"/>
          <w:sz w:val="24"/>
          <w:highlight w:val="none"/>
        </w:rPr>
      </w:pPr>
      <w:r>
        <w:rPr>
          <w:rFonts w:hint="eastAsia" w:ascii="宋体" w:hAnsi="宋体"/>
          <w:bCs/>
          <w:spacing w:val="-6"/>
          <w:sz w:val="24"/>
          <w:highlight w:val="none"/>
        </w:rPr>
        <w:t>投标人地址：</w:t>
      </w:r>
    </w:p>
    <w:p>
      <w:pPr>
        <w:spacing w:line="360" w:lineRule="auto"/>
        <w:rPr>
          <w:rFonts w:hint="eastAsia" w:ascii="宋体" w:hAnsi="宋体"/>
          <w:bCs/>
          <w:spacing w:val="-6"/>
          <w:sz w:val="24"/>
          <w:highlight w:val="none"/>
        </w:rPr>
      </w:pPr>
    </w:p>
    <w:p>
      <w:pPr>
        <w:spacing w:line="360" w:lineRule="auto"/>
        <w:rPr>
          <w:rFonts w:hint="eastAsia" w:ascii="宋体" w:hAnsi="宋体"/>
          <w:bCs/>
          <w:spacing w:val="-6"/>
          <w:sz w:val="24"/>
          <w:highlight w:val="none"/>
        </w:rPr>
      </w:pPr>
      <w:r>
        <w:rPr>
          <w:rFonts w:hint="eastAsia" w:ascii="宋体" w:hAnsi="宋体"/>
          <w:bCs/>
          <w:spacing w:val="-6"/>
          <w:sz w:val="24"/>
          <w:highlight w:val="none"/>
        </w:rPr>
        <w:t>投标人代表签字：</w:t>
      </w:r>
    </w:p>
    <w:p>
      <w:pPr>
        <w:spacing w:line="360" w:lineRule="auto"/>
        <w:rPr>
          <w:rFonts w:ascii="宋体" w:hAnsi="宋体"/>
          <w:bCs/>
          <w:spacing w:val="-6"/>
          <w:sz w:val="24"/>
          <w:highlight w:val="none"/>
        </w:rPr>
      </w:pPr>
      <w:r>
        <w:rPr>
          <w:rFonts w:hint="eastAsia" w:ascii="宋体" w:hAnsi="宋体"/>
          <w:bCs/>
          <w:spacing w:val="-6"/>
          <w:sz w:val="24"/>
          <w:highlight w:val="none"/>
        </w:rPr>
        <w:t xml:space="preserve">日期：  </w:t>
      </w:r>
      <w:r>
        <w:rPr>
          <w:rFonts w:ascii="宋体" w:hAnsi="宋体"/>
          <w:bCs/>
          <w:spacing w:val="-6"/>
          <w:sz w:val="24"/>
          <w:highlight w:val="none"/>
        </w:rPr>
        <w:t xml:space="preserve">  </w:t>
      </w:r>
      <w:r>
        <w:rPr>
          <w:rFonts w:hint="eastAsia" w:ascii="宋体" w:hAnsi="宋体"/>
          <w:bCs/>
          <w:spacing w:val="-6"/>
          <w:sz w:val="24"/>
          <w:highlight w:val="none"/>
        </w:rPr>
        <w:t>年  月  日</w:t>
      </w:r>
    </w:p>
    <w:p>
      <w:pPr>
        <w:rPr>
          <w:rFonts w:hint="eastAsia" w:ascii="宋体" w:hAnsi="宋体"/>
          <w:b/>
          <w:spacing w:val="-6"/>
          <w:sz w:val="52"/>
          <w:szCs w:val="52"/>
          <w:highlight w:val="none"/>
        </w:rPr>
      </w:pPr>
      <w:r>
        <w:rPr>
          <w:rFonts w:hint="eastAsia" w:ascii="宋体" w:hAnsi="宋体"/>
          <w:b/>
          <w:spacing w:val="-6"/>
          <w:sz w:val="52"/>
          <w:szCs w:val="52"/>
          <w:highlight w:val="none"/>
        </w:rPr>
        <w:br w:type="page"/>
      </w:r>
    </w:p>
    <w:p>
      <w:pPr>
        <w:tabs>
          <w:tab w:val="center" w:pos="4706"/>
        </w:tabs>
        <w:spacing w:line="360" w:lineRule="auto"/>
        <w:jc w:val="center"/>
        <w:rPr>
          <w:rFonts w:hint="eastAsia" w:ascii="宋体" w:hAnsi="宋体"/>
          <w:bCs/>
          <w:spacing w:val="-6"/>
          <w:sz w:val="32"/>
          <w:szCs w:val="32"/>
          <w:highlight w:val="none"/>
        </w:rPr>
      </w:pPr>
      <w:r>
        <w:rPr>
          <w:rFonts w:hint="eastAsia" w:ascii="宋体" w:hAnsi="宋体"/>
          <w:bCs/>
          <w:spacing w:val="-6"/>
          <w:sz w:val="32"/>
          <w:szCs w:val="32"/>
          <w:highlight w:val="none"/>
        </w:rPr>
        <w:t>评分索引表</w:t>
      </w:r>
    </w:p>
    <w:tbl>
      <w:tblPr>
        <w:tblStyle w:val="48"/>
        <w:tblW w:w="98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465"/>
        <w:gridCol w:w="967"/>
        <w:gridCol w:w="1053"/>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noWrap w:val="0"/>
            <w:vAlign w:val="center"/>
          </w:tcPr>
          <w:p>
            <w:pPr>
              <w:spacing w:line="288" w:lineRule="auto"/>
              <w:jc w:val="center"/>
              <w:rPr>
                <w:rFonts w:hint="eastAsia" w:ascii="宋体" w:hAnsi="宋体"/>
                <w:b/>
                <w:spacing w:val="-6"/>
                <w:sz w:val="21"/>
                <w:szCs w:val="21"/>
                <w:highlight w:val="none"/>
              </w:rPr>
            </w:pPr>
            <w:r>
              <w:rPr>
                <w:rFonts w:hint="eastAsia" w:ascii="宋体" w:hAnsi="宋体"/>
                <w:b/>
                <w:spacing w:val="-6"/>
                <w:sz w:val="21"/>
                <w:szCs w:val="21"/>
                <w:highlight w:val="none"/>
              </w:rPr>
              <w:t>序号</w:t>
            </w:r>
          </w:p>
        </w:tc>
        <w:tc>
          <w:tcPr>
            <w:tcW w:w="2091" w:type="dxa"/>
            <w:noWrap w:val="0"/>
            <w:vAlign w:val="center"/>
          </w:tcPr>
          <w:p>
            <w:pPr>
              <w:spacing w:line="288" w:lineRule="auto"/>
              <w:jc w:val="center"/>
              <w:rPr>
                <w:rFonts w:hint="eastAsia" w:ascii="宋体" w:hAnsi="宋体"/>
                <w:b/>
                <w:spacing w:val="-6"/>
                <w:sz w:val="21"/>
                <w:szCs w:val="21"/>
                <w:highlight w:val="none"/>
              </w:rPr>
            </w:pPr>
            <w:r>
              <w:rPr>
                <w:rFonts w:hint="eastAsia" w:ascii="宋体" w:hAnsi="宋体"/>
                <w:b/>
                <w:spacing w:val="-6"/>
                <w:sz w:val="21"/>
                <w:szCs w:val="21"/>
                <w:highlight w:val="none"/>
              </w:rPr>
              <w:t>评审因素</w:t>
            </w:r>
          </w:p>
        </w:tc>
        <w:tc>
          <w:tcPr>
            <w:tcW w:w="709" w:type="dxa"/>
            <w:noWrap w:val="0"/>
            <w:vAlign w:val="center"/>
          </w:tcPr>
          <w:p>
            <w:pPr>
              <w:spacing w:line="288" w:lineRule="auto"/>
              <w:jc w:val="center"/>
              <w:rPr>
                <w:rFonts w:hint="eastAsia" w:ascii="宋体" w:hAnsi="宋体"/>
                <w:b/>
                <w:spacing w:val="-6"/>
                <w:sz w:val="21"/>
                <w:szCs w:val="21"/>
                <w:highlight w:val="none"/>
              </w:rPr>
            </w:pPr>
            <w:r>
              <w:rPr>
                <w:rFonts w:hint="eastAsia" w:ascii="宋体" w:hAnsi="宋体"/>
                <w:b/>
                <w:spacing w:val="-6"/>
                <w:sz w:val="21"/>
                <w:szCs w:val="21"/>
                <w:highlight w:val="none"/>
              </w:rPr>
              <w:t>分值</w:t>
            </w:r>
          </w:p>
        </w:tc>
        <w:tc>
          <w:tcPr>
            <w:tcW w:w="3465" w:type="dxa"/>
            <w:noWrap w:val="0"/>
            <w:vAlign w:val="center"/>
          </w:tcPr>
          <w:p>
            <w:pPr>
              <w:pStyle w:val="265"/>
              <w:spacing w:line="288" w:lineRule="auto"/>
              <w:ind w:firstLine="398"/>
              <w:rPr>
                <w:rFonts w:ascii="宋体" w:hAnsi="宋体" w:eastAsia="宋体"/>
                <w:b/>
                <w:spacing w:val="-6"/>
                <w:sz w:val="21"/>
                <w:szCs w:val="21"/>
                <w:highlight w:val="none"/>
              </w:rPr>
            </w:pPr>
            <w:r>
              <w:rPr>
                <w:rFonts w:ascii="宋体" w:hAnsi="宋体" w:eastAsia="宋体"/>
                <w:b/>
                <w:spacing w:val="-6"/>
                <w:sz w:val="21"/>
                <w:szCs w:val="21"/>
                <w:highlight w:val="none"/>
              </w:rPr>
              <w:t>评分细则</w:t>
            </w:r>
          </w:p>
        </w:tc>
        <w:tc>
          <w:tcPr>
            <w:tcW w:w="967" w:type="dxa"/>
            <w:noWrap w:val="0"/>
            <w:vAlign w:val="center"/>
          </w:tcPr>
          <w:p>
            <w:pPr>
              <w:pStyle w:val="265"/>
              <w:spacing w:line="288" w:lineRule="auto"/>
              <w:rPr>
                <w:rFonts w:ascii="宋体" w:hAnsi="宋体" w:eastAsia="宋体"/>
                <w:b/>
                <w:spacing w:val="-6"/>
                <w:sz w:val="21"/>
                <w:szCs w:val="21"/>
                <w:highlight w:val="none"/>
              </w:rPr>
            </w:pPr>
            <w:r>
              <w:rPr>
                <w:rFonts w:ascii="宋体" w:hAnsi="宋体" w:eastAsia="宋体"/>
                <w:b/>
                <w:spacing w:val="-6"/>
                <w:sz w:val="21"/>
                <w:szCs w:val="21"/>
                <w:highlight w:val="none"/>
              </w:rPr>
              <w:t>自评分</w:t>
            </w:r>
          </w:p>
        </w:tc>
        <w:tc>
          <w:tcPr>
            <w:tcW w:w="1053" w:type="dxa"/>
            <w:noWrap w:val="0"/>
            <w:vAlign w:val="center"/>
          </w:tcPr>
          <w:p>
            <w:pPr>
              <w:pStyle w:val="265"/>
              <w:spacing w:line="288" w:lineRule="auto"/>
              <w:rPr>
                <w:rFonts w:ascii="宋体" w:hAnsi="宋体" w:eastAsia="宋体"/>
                <w:b/>
                <w:spacing w:val="-6"/>
                <w:sz w:val="21"/>
                <w:szCs w:val="21"/>
                <w:highlight w:val="none"/>
              </w:rPr>
            </w:pPr>
            <w:r>
              <w:rPr>
                <w:rFonts w:ascii="宋体" w:hAnsi="宋体" w:eastAsia="宋体"/>
                <w:b/>
                <w:spacing w:val="-6"/>
                <w:sz w:val="21"/>
                <w:szCs w:val="21"/>
                <w:highlight w:val="none"/>
              </w:rPr>
              <w:t>自评依据</w:t>
            </w:r>
          </w:p>
        </w:tc>
        <w:tc>
          <w:tcPr>
            <w:tcW w:w="881" w:type="dxa"/>
            <w:noWrap w:val="0"/>
            <w:vAlign w:val="center"/>
          </w:tcPr>
          <w:p>
            <w:pPr>
              <w:pStyle w:val="265"/>
              <w:spacing w:line="288" w:lineRule="auto"/>
              <w:rPr>
                <w:rFonts w:ascii="宋体" w:hAnsi="宋体" w:eastAsia="宋体"/>
                <w:b/>
                <w:spacing w:val="-6"/>
                <w:sz w:val="21"/>
                <w:szCs w:val="21"/>
                <w:highlight w:val="none"/>
              </w:rPr>
            </w:pPr>
            <w:r>
              <w:rPr>
                <w:rFonts w:ascii="宋体" w:hAnsi="宋体" w:eastAsia="宋体"/>
                <w:b/>
                <w:spacing w:val="-6"/>
                <w:sz w:val="21"/>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noWrap w:val="0"/>
            <w:vAlign w:val="center"/>
          </w:tcPr>
          <w:p>
            <w:pPr>
              <w:spacing w:line="288" w:lineRule="auto"/>
              <w:jc w:val="center"/>
              <w:rPr>
                <w:rFonts w:hint="eastAsia" w:ascii="宋体" w:hAnsi="宋体"/>
                <w:spacing w:val="-6"/>
                <w:sz w:val="21"/>
                <w:szCs w:val="21"/>
                <w:highlight w:val="none"/>
              </w:rPr>
            </w:pPr>
          </w:p>
        </w:tc>
        <w:tc>
          <w:tcPr>
            <w:tcW w:w="2091" w:type="dxa"/>
            <w:noWrap w:val="0"/>
            <w:vAlign w:val="center"/>
          </w:tcPr>
          <w:p>
            <w:pPr>
              <w:spacing w:line="288" w:lineRule="auto"/>
              <w:jc w:val="center"/>
              <w:rPr>
                <w:rFonts w:hint="eastAsia" w:ascii="宋体" w:hAnsi="宋体"/>
                <w:spacing w:val="-6"/>
                <w:sz w:val="21"/>
                <w:szCs w:val="21"/>
                <w:highlight w:val="none"/>
              </w:rPr>
            </w:pPr>
          </w:p>
        </w:tc>
        <w:tc>
          <w:tcPr>
            <w:tcW w:w="709" w:type="dxa"/>
            <w:noWrap w:val="0"/>
            <w:vAlign w:val="center"/>
          </w:tcPr>
          <w:p>
            <w:pPr>
              <w:spacing w:line="288" w:lineRule="auto"/>
              <w:jc w:val="center"/>
              <w:rPr>
                <w:rFonts w:hint="eastAsia" w:ascii="宋体" w:hAnsi="宋体"/>
                <w:spacing w:val="-6"/>
                <w:sz w:val="21"/>
                <w:szCs w:val="21"/>
                <w:highlight w:val="none"/>
              </w:rPr>
            </w:pPr>
          </w:p>
        </w:tc>
        <w:tc>
          <w:tcPr>
            <w:tcW w:w="3465" w:type="dxa"/>
            <w:noWrap w:val="0"/>
            <w:vAlign w:val="center"/>
          </w:tcPr>
          <w:p>
            <w:pPr>
              <w:spacing w:line="288" w:lineRule="auto"/>
              <w:rPr>
                <w:rFonts w:hint="eastAsia" w:ascii="宋体" w:hAnsi="宋体"/>
                <w:spacing w:val="-6"/>
                <w:sz w:val="21"/>
                <w:szCs w:val="21"/>
                <w:highlight w:val="none"/>
              </w:rPr>
            </w:pPr>
          </w:p>
        </w:tc>
        <w:tc>
          <w:tcPr>
            <w:tcW w:w="967" w:type="dxa"/>
            <w:noWrap w:val="0"/>
            <w:vAlign w:val="center"/>
          </w:tcPr>
          <w:p>
            <w:pPr>
              <w:spacing w:line="288" w:lineRule="auto"/>
              <w:jc w:val="center"/>
              <w:rPr>
                <w:rFonts w:hint="eastAsia" w:ascii="宋体" w:hAnsi="宋体"/>
                <w:spacing w:val="-6"/>
                <w:sz w:val="21"/>
                <w:szCs w:val="21"/>
                <w:highlight w:val="none"/>
              </w:rPr>
            </w:pPr>
          </w:p>
        </w:tc>
        <w:tc>
          <w:tcPr>
            <w:tcW w:w="1053" w:type="dxa"/>
            <w:noWrap w:val="0"/>
            <w:vAlign w:val="center"/>
          </w:tcPr>
          <w:p>
            <w:pPr>
              <w:spacing w:line="288" w:lineRule="auto"/>
              <w:jc w:val="center"/>
              <w:rPr>
                <w:rFonts w:hint="eastAsia" w:ascii="宋体" w:hAnsi="宋体"/>
                <w:spacing w:val="-6"/>
                <w:sz w:val="21"/>
                <w:szCs w:val="21"/>
                <w:highlight w:val="none"/>
              </w:rPr>
            </w:pPr>
          </w:p>
        </w:tc>
        <w:tc>
          <w:tcPr>
            <w:tcW w:w="881" w:type="dxa"/>
            <w:noWrap w:val="0"/>
            <w:vAlign w:val="top"/>
          </w:tcPr>
          <w:p>
            <w:pPr>
              <w:spacing w:line="288" w:lineRule="auto"/>
              <w:jc w:val="center"/>
              <w:rPr>
                <w:rFonts w:hint="eastAsia" w:ascii="宋体" w:hAnsi="宋体"/>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noWrap w:val="0"/>
            <w:vAlign w:val="center"/>
          </w:tcPr>
          <w:p>
            <w:pPr>
              <w:spacing w:line="288" w:lineRule="auto"/>
              <w:jc w:val="center"/>
              <w:rPr>
                <w:rFonts w:hint="eastAsia" w:ascii="宋体" w:hAnsi="宋体"/>
                <w:spacing w:val="-6"/>
                <w:sz w:val="21"/>
                <w:szCs w:val="21"/>
                <w:highlight w:val="none"/>
              </w:rPr>
            </w:pPr>
          </w:p>
        </w:tc>
        <w:tc>
          <w:tcPr>
            <w:tcW w:w="2091" w:type="dxa"/>
            <w:noWrap w:val="0"/>
            <w:vAlign w:val="center"/>
          </w:tcPr>
          <w:p>
            <w:pPr>
              <w:spacing w:line="288" w:lineRule="auto"/>
              <w:jc w:val="center"/>
              <w:rPr>
                <w:rFonts w:hint="eastAsia" w:ascii="宋体" w:hAnsi="宋体"/>
                <w:spacing w:val="-6"/>
                <w:sz w:val="21"/>
                <w:szCs w:val="21"/>
                <w:highlight w:val="none"/>
              </w:rPr>
            </w:pPr>
          </w:p>
        </w:tc>
        <w:tc>
          <w:tcPr>
            <w:tcW w:w="709" w:type="dxa"/>
            <w:noWrap w:val="0"/>
            <w:vAlign w:val="center"/>
          </w:tcPr>
          <w:p>
            <w:pPr>
              <w:spacing w:line="288" w:lineRule="auto"/>
              <w:jc w:val="center"/>
              <w:rPr>
                <w:rFonts w:ascii="宋体" w:hAnsi="宋体"/>
                <w:spacing w:val="-6"/>
                <w:sz w:val="21"/>
                <w:szCs w:val="21"/>
                <w:highlight w:val="none"/>
              </w:rPr>
            </w:pPr>
          </w:p>
        </w:tc>
        <w:tc>
          <w:tcPr>
            <w:tcW w:w="3465" w:type="dxa"/>
            <w:noWrap w:val="0"/>
            <w:vAlign w:val="center"/>
          </w:tcPr>
          <w:p>
            <w:pPr>
              <w:spacing w:line="288" w:lineRule="auto"/>
              <w:rPr>
                <w:rFonts w:hint="eastAsia" w:ascii="宋体" w:hAnsi="宋体"/>
                <w:spacing w:val="-6"/>
                <w:sz w:val="21"/>
                <w:szCs w:val="21"/>
                <w:highlight w:val="none"/>
              </w:rPr>
            </w:pPr>
          </w:p>
        </w:tc>
        <w:tc>
          <w:tcPr>
            <w:tcW w:w="967" w:type="dxa"/>
            <w:noWrap w:val="0"/>
            <w:vAlign w:val="center"/>
          </w:tcPr>
          <w:p>
            <w:pPr>
              <w:spacing w:line="288" w:lineRule="auto"/>
              <w:jc w:val="center"/>
              <w:rPr>
                <w:rFonts w:hint="eastAsia" w:ascii="宋体" w:hAnsi="宋体"/>
                <w:spacing w:val="-6"/>
                <w:sz w:val="21"/>
                <w:szCs w:val="21"/>
                <w:highlight w:val="none"/>
              </w:rPr>
            </w:pPr>
          </w:p>
        </w:tc>
        <w:tc>
          <w:tcPr>
            <w:tcW w:w="1053" w:type="dxa"/>
            <w:noWrap w:val="0"/>
            <w:vAlign w:val="center"/>
          </w:tcPr>
          <w:p>
            <w:pPr>
              <w:spacing w:line="288" w:lineRule="auto"/>
              <w:jc w:val="center"/>
              <w:rPr>
                <w:rFonts w:hint="eastAsia" w:ascii="宋体" w:hAnsi="宋体"/>
                <w:spacing w:val="-6"/>
                <w:sz w:val="21"/>
                <w:szCs w:val="21"/>
                <w:highlight w:val="none"/>
              </w:rPr>
            </w:pPr>
          </w:p>
        </w:tc>
        <w:tc>
          <w:tcPr>
            <w:tcW w:w="881" w:type="dxa"/>
            <w:noWrap w:val="0"/>
            <w:vAlign w:val="top"/>
          </w:tcPr>
          <w:p>
            <w:pPr>
              <w:spacing w:line="288" w:lineRule="auto"/>
              <w:jc w:val="center"/>
              <w:rPr>
                <w:rFonts w:hint="eastAsia" w:ascii="宋体" w:hAnsi="宋体"/>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noWrap w:val="0"/>
            <w:vAlign w:val="center"/>
          </w:tcPr>
          <w:p>
            <w:pPr>
              <w:spacing w:line="288" w:lineRule="auto"/>
              <w:jc w:val="center"/>
              <w:rPr>
                <w:rFonts w:hint="eastAsia" w:ascii="宋体" w:hAnsi="宋体"/>
                <w:kern w:val="0"/>
                <w:sz w:val="21"/>
                <w:szCs w:val="21"/>
                <w:highlight w:val="none"/>
              </w:rPr>
            </w:pPr>
          </w:p>
        </w:tc>
        <w:tc>
          <w:tcPr>
            <w:tcW w:w="2091" w:type="dxa"/>
            <w:noWrap w:val="0"/>
            <w:vAlign w:val="center"/>
          </w:tcPr>
          <w:p>
            <w:pPr>
              <w:spacing w:line="288" w:lineRule="auto"/>
              <w:jc w:val="center"/>
              <w:rPr>
                <w:rFonts w:hint="eastAsia" w:ascii="宋体" w:hAnsi="宋体"/>
                <w:kern w:val="0"/>
                <w:sz w:val="21"/>
                <w:szCs w:val="21"/>
                <w:highlight w:val="none"/>
              </w:rPr>
            </w:pPr>
          </w:p>
        </w:tc>
        <w:tc>
          <w:tcPr>
            <w:tcW w:w="709" w:type="dxa"/>
            <w:noWrap w:val="0"/>
            <w:vAlign w:val="center"/>
          </w:tcPr>
          <w:p>
            <w:pPr>
              <w:spacing w:line="288" w:lineRule="auto"/>
              <w:jc w:val="center"/>
              <w:rPr>
                <w:rFonts w:hint="eastAsia" w:ascii="宋体" w:hAnsi="宋体"/>
                <w:kern w:val="0"/>
                <w:sz w:val="21"/>
                <w:szCs w:val="21"/>
                <w:highlight w:val="none"/>
              </w:rPr>
            </w:pPr>
          </w:p>
        </w:tc>
        <w:tc>
          <w:tcPr>
            <w:tcW w:w="3465" w:type="dxa"/>
            <w:noWrap w:val="0"/>
            <w:vAlign w:val="center"/>
          </w:tcPr>
          <w:p>
            <w:pPr>
              <w:spacing w:line="288" w:lineRule="auto"/>
              <w:rPr>
                <w:rFonts w:hint="eastAsia" w:ascii="宋体" w:hAnsi="宋体"/>
                <w:kern w:val="0"/>
                <w:sz w:val="21"/>
                <w:szCs w:val="21"/>
                <w:highlight w:val="none"/>
              </w:rPr>
            </w:pPr>
          </w:p>
        </w:tc>
        <w:tc>
          <w:tcPr>
            <w:tcW w:w="967" w:type="dxa"/>
            <w:noWrap w:val="0"/>
            <w:vAlign w:val="center"/>
          </w:tcPr>
          <w:p>
            <w:pPr>
              <w:spacing w:line="288" w:lineRule="auto"/>
              <w:jc w:val="center"/>
              <w:rPr>
                <w:rFonts w:hint="eastAsia" w:ascii="宋体" w:hAnsi="宋体"/>
                <w:sz w:val="21"/>
                <w:szCs w:val="21"/>
                <w:highlight w:val="none"/>
              </w:rPr>
            </w:pPr>
          </w:p>
        </w:tc>
        <w:tc>
          <w:tcPr>
            <w:tcW w:w="1053" w:type="dxa"/>
            <w:noWrap w:val="0"/>
            <w:vAlign w:val="center"/>
          </w:tcPr>
          <w:p>
            <w:pPr>
              <w:spacing w:line="288" w:lineRule="auto"/>
              <w:jc w:val="center"/>
              <w:rPr>
                <w:rFonts w:hint="eastAsia" w:ascii="宋体" w:hAnsi="宋体"/>
                <w:sz w:val="21"/>
                <w:szCs w:val="21"/>
                <w:highlight w:val="none"/>
              </w:rPr>
            </w:pPr>
          </w:p>
        </w:tc>
        <w:tc>
          <w:tcPr>
            <w:tcW w:w="881" w:type="dxa"/>
            <w:noWrap w:val="0"/>
            <w:vAlign w:val="top"/>
          </w:tcPr>
          <w:p>
            <w:pPr>
              <w:spacing w:line="288" w:lineRule="auto"/>
              <w:jc w:val="center"/>
              <w:rPr>
                <w:rFonts w:hint="eastAsia"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noWrap w:val="0"/>
            <w:vAlign w:val="center"/>
          </w:tcPr>
          <w:p>
            <w:pPr>
              <w:spacing w:line="288" w:lineRule="auto"/>
              <w:jc w:val="center"/>
              <w:rPr>
                <w:rFonts w:hint="eastAsia" w:ascii="宋体" w:hAnsi="宋体"/>
                <w:spacing w:val="-6"/>
                <w:sz w:val="21"/>
                <w:szCs w:val="21"/>
                <w:highlight w:val="none"/>
              </w:rPr>
            </w:pPr>
          </w:p>
        </w:tc>
        <w:tc>
          <w:tcPr>
            <w:tcW w:w="2091" w:type="dxa"/>
            <w:noWrap w:val="0"/>
            <w:vAlign w:val="center"/>
          </w:tcPr>
          <w:p>
            <w:pPr>
              <w:spacing w:line="288" w:lineRule="auto"/>
              <w:jc w:val="center"/>
              <w:rPr>
                <w:rFonts w:hint="eastAsia" w:ascii="宋体" w:hAnsi="宋体"/>
                <w:spacing w:val="-6"/>
                <w:sz w:val="21"/>
                <w:szCs w:val="21"/>
                <w:highlight w:val="none"/>
              </w:rPr>
            </w:pPr>
          </w:p>
        </w:tc>
        <w:tc>
          <w:tcPr>
            <w:tcW w:w="709" w:type="dxa"/>
            <w:noWrap w:val="0"/>
            <w:vAlign w:val="center"/>
          </w:tcPr>
          <w:p>
            <w:pPr>
              <w:spacing w:line="288" w:lineRule="auto"/>
              <w:jc w:val="center"/>
              <w:rPr>
                <w:rFonts w:hint="eastAsia" w:ascii="宋体" w:hAnsi="宋体"/>
                <w:spacing w:val="-6"/>
                <w:sz w:val="21"/>
                <w:szCs w:val="21"/>
                <w:highlight w:val="none"/>
              </w:rPr>
            </w:pPr>
          </w:p>
        </w:tc>
        <w:tc>
          <w:tcPr>
            <w:tcW w:w="3465" w:type="dxa"/>
            <w:noWrap w:val="0"/>
            <w:vAlign w:val="center"/>
          </w:tcPr>
          <w:p>
            <w:pPr>
              <w:spacing w:line="288" w:lineRule="auto"/>
              <w:rPr>
                <w:rFonts w:hint="eastAsia" w:ascii="宋体" w:hAnsi="宋体"/>
                <w:spacing w:val="-6"/>
                <w:sz w:val="21"/>
                <w:szCs w:val="21"/>
                <w:highlight w:val="none"/>
              </w:rPr>
            </w:pPr>
          </w:p>
        </w:tc>
        <w:tc>
          <w:tcPr>
            <w:tcW w:w="967" w:type="dxa"/>
            <w:noWrap w:val="0"/>
            <w:vAlign w:val="center"/>
          </w:tcPr>
          <w:p>
            <w:pPr>
              <w:spacing w:line="288" w:lineRule="auto"/>
              <w:jc w:val="center"/>
              <w:rPr>
                <w:rFonts w:hint="eastAsia" w:ascii="宋体" w:hAnsi="宋体"/>
                <w:spacing w:val="-6"/>
                <w:sz w:val="21"/>
                <w:szCs w:val="21"/>
                <w:highlight w:val="none"/>
              </w:rPr>
            </w:pPr>
          </w:p>
        </w:tc>
        <w:tc>
          <w:tcPr>
            <w:tcW w:w="1053" w:type="dxa"/>
            <w:noWrap w:val="0"/>
            <w:vAlign w:val="center"/>
          </w:tcPr>
          <w:p>
            <w:pPr>
              <w:spacing w:line="288" w:lineRule="auto"/>
              <w:jc w:val="center"/>
              <w:rPr>
                <w:rFonts w:hint="eastAsia" w:ascii="宋体" w:hAnsi="宋体"/>
                <w:spacing w:val="-6"/>
                <w:sz w:val="21"/>
                <w:szCs w:val="21"/>
                <w:highlight w:val="none"/>
              </w:rPr>
            </w:pPr>
          </w:p>
        </w:tc>
        <w:tc>
          <w:tcPr>
            <w:tcW w:w="881" w:type="dxa"/>
            <w:noWrap w:val="0"/>
            <w:vAlign w:val="top"/>
          </w:tcPr>
          <w:p>
            <w:pPr>
              <w:spacing w:line="288" w:lineRule="auto"/>
              <w:jc w:val="center"/>
              <w:rPr>
                <w:rFonts w:hint="eastAsia" w:ascii="宋体" w:hAnsi="宋体"/>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noWrap w:val="0"/>
            <w:vAlign w:val="center"/>
          </w:tcPr>
          <w:p>
            <w:pPr>
              <w:spacing w:line="288" w:lineRule="auto"/>
              <w:jc w:val="center"/>
              <w:rPr>
                <w:rFonts w:hint="eastAsia" w:ascii="宋体" w:hAnsi="宋体"/>
                <w:spacing w:val="-6"/>
                <w:sz w:val="21"/>
                <w:szCs w:val="21"/>
                <w:highlight w:val="none"/>
              </w:rPr>
            </w:pPr>
          </w:p>
        </w:tc>
        <w:tc>
          <w:tcPr>
            <w:tcW w:w="2091" w:type="dxa"/>
            <w:noWrap w:val="0"/>
            <w:vAlign w:val="center"/>
          </w:tcPr>
          <w:p>
            <w:pPr>
              <w:spacing w:line="288" w:lineRule="auto"/>
              <w:jc w:val="center"/>
              <w:rPr>
                <w:rFonts w:hint="eastAsia" w:ascii="宋体" w:hAnsi="宋体"/>
                <w:spacing w:val="-6"/>
                <w:sz w:val="21"/>
                <w:szCs w:val="21"/>
                <w:highlight w:val="none"/>
              </w:rPr>
            </w:pPr>
          </w:p>
        </w:tc>
        <w:tc>
          <w:tcPr>
            <w:tcW w:w="709" w:type="dxa"/>
            <w:noWrap w:val="0"/>
            <w:vAlign w:val="center"/>
          </w:tcPr>
          <w:p>
            <w:pPr>
              <w:spacing w:line="288" w:lineRule="auto"/>
              <w:jc w:val="center"/>
              <w:rPr>
                <w:rFonts w:ascii="宋体" w:hAnsi="宋体"/>
                <w:spacing w:val="-6"/>
                <w:sz w:val="21"/>
                <w:szCs w:val="21"/>
                <w:highlight w:val="none"/>
              </w:rPr>
            </w:pPr>
          </w:p>
        </w:tc>
        <w:tc>
          <w:tcPr>
            <w:tcW w:w="3465" w:type="dxa"/>
            <w:noWrap w:val="0"/>
            <w:vAlign w:val="center"/>
          </w:tcPr>
          <w:p>
            <w:pPr>
              <w:spacing w:line="288" w:lineRule="auto"/>
              <w:rPr>
                <w:rFonts w:hint="eastAsia" w:ascii="宋体" w:hAnsi="宋体"/>
                <w:spacing w:val="-6"/>
                <w:sz w:val="21"/>
                <w:szCs w:val="21"/>
                <w:highlight w:val="none"/>
              </w:rPr>
            </w:pPr>
          </w:p>
        </w:tc>
        <w:tc>
          <w:tcPr>
            <w:tcW w:w="967" w:type="dxa"/>
            <w:noWrap w:val="0"/>
            <w:vAlign w:val="center"/>
          </w:tcPr>
          <w:p>
            <w:pPr>
              <w:spacing w:line="288" w:lineRule="auto"/>
              <w:jc w:val="center"/>
              <w:rPr>
                <w:rFonts w:hint="eastAsia" w:ascii="宋体" w:hAnsi="宋体"/>
                <w:spacing w:val="-6"/>
                <w:sz w:val="21"/>
                <w:szCs w:val="21"/>
                <w:highlight w:val="none"/>
              </w:rPr>
            </w:pPr>
          </w:p>
        </w:tc>
        <w:tc>
          <w:tcPr>
            <w:tcW w:w="1053" w:type="dxa"/>
            <w:noWrap w:val="0"/>
            <w:vAlign w:val="center"/>
          </w:tcPr>
          <w:p>
            <w:pPr>
              <w:spacing w:line="288" w:lineRule="auto"/>
              <w:jc w:val="center"/>
              <w:rPr>
                <w:rFonts w:hint="eastAsia" w:ascii="宋体" w:hAnsi="宋体"/>
                <w:spacing w:val="-6"/>
                <w:sz w:val="21"/>
                <w:szCs w:val="21"/>
                <w:highlight w:val="none"/>
              </w:rPr>
            </w:pPr>
          </w:p>
        </w:tc>
        <w:tc>
          <w:tcPr>
            <w:tcW w:w="881" w:type="dxa"/>
            <w:noWrap w:val="0"/>
            <w:vAlign w:val="top"/>
          </w:tcPr>
          <w:p>
            <w:pPr>
              <w:spacing w:line="288" w:lineRule="auto"/>
              <w:jc w:val="center"/>
              <w:rPr>
                <w:rFonts w:hint="eastAsia" w:ascii="宋体" w:hAnsi="宋体"/>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noWrap w:val="0"/>
            <w:vAlign w:val="center"/>
          </w:tcPr>
          <w:p>
            <w:pPr>
              <w:spacing w:line="288" w:lineRule="auto"/>
              <w:jc w:val="center"/>
              <w:rPr>
                <w:rFonts w:hint="eastAsia" w:ascii="宋体" w:hAnsi="宋体"/>
                <w:spacing w:val="-6"/>
                <w:sz w:val="21"/>
                <w:szCs w:val="21"/>
                <w:highlight w:val="none"/>
              </w:rPr>
            </w:pPr>
          </w:p>
        </w:tc>
        <w:tc>
          <w:tcPr>
            <w:tcW w:w="2091" w:type="dxa"/>
            <w:noWrap w:val="0"/>
            <w:vAlign w:val="center"/>
          </w:tcPr>
          <w:p>
            <w:pPr>
              <w:spacing w:line="288" w:lineRule="auto"/>
              <w:jc w:val="center"/>
              <w:rPr>
                <w:rFonts w:hint="eastAsia" w:ascii="宋体" w:hAnsi="宋体"/>
                <w:spacing w:val="-6"/>
                <w:sz w:val="21"/>
                <w:szCs w:val="21"/>
                <w:highlight w:val="none"/>
              </w:rPr>
            </w:pPr>
          </w:p>
        </w:tc>
        <w:tc>
          <w:tcPr>
            <w:tcW w:w="709" w:type="dxa"/>
            <w:noWrap w:val="0"/>
            <w:vAlign w:val="center"/>
          </w:tcPr>
          <w:p>
            <w:pPr>
              <w:spacing w:line="288" w:lineRule="auto"/>
              <w:jc w:val="center"/>
              <w:rPr>
                <w:rFonts w:ascii="宋体" w:hAnsi="宋体"/>
                <w:spacing w:val="-6"/>
                <w:sz w:val="21"/>
                <w:szCs w:val="21"/>
                <w:highlight w:val="none"/>
              </w:rPr>
            </w:pPr>
          </w:p>
        </w:tc>
        <w:tc>
          <w:tcPr>
            <w:tcW w:w="3465" w:type="dxa"/>
            <w:noWrap w:val="0"/>
            <w:vAlign w:val="center"/>
          </w:tcPr>
          <w:p>
            <w:pPr>
              <w:spacing w:line="288" w:lineRule="auto"/>
              <w:rPr>
                <w:rFonts w:hint="eastAsia" w:ascii="宋体" w:hAnsi="宋体"/>
                <w:spacing w:val="-6"/>
                <w:sz w:val="21"/>
                <w:szCs w:val="21"/>
                <w:highlight w:val="none"/>
              </w:rPr>
            </w:pPr>
          </w:p>
        </w:tc>
        <w:tc>
          <w:tcPr>
            <w:tcW w:w="967" w:type="dxa"/>
            <w:noWrap w:val="0"/>
            <w:vAlign w:val="center"/>
          </w:tcPr>
          <w:p>
            <w:pPr>
              <w:spacing w:line="288" w:lineRule="auto"/>
              <w:jc w:val="center"/>
              <w:rPr>
                <w:rFonts w:hint="eastAsia" w:ascii="宋体" w:hAnsi="宋体"/>
                <w:spacing w:val="-6"/>
                <w:sz w:val="21"/>
                <w:szCs w:val="21"/>
                <w:highlight w:val="none"/>
              </w:rPr>
            </w:pPr>
          </w:p>
        </w:tc>
        <w:tc>
          <w:tcPr>
            <w:tcW w:w="1053" w:type="dxa"/>
            <w:noWrap w:val="0"/>
            <w:vAlign w:val="center"/>
          </w:tcPr>
          <w:p>
            <w:pPr>
              <w:spacing w:line="288" w:lineRule="auto"/>
              <w:jc w:val="center"/>
              <w:rPr>
                <w:rFonts w:hint="eastAsia" w:ascii="宋体" w:hAnsi="宋体"/>
                <w:spacing w:val="-6"/>
                <w:sz w:val="21"/>
                <w:szCs w:val="21"/>
                <w:highlight w:val="none"/>
              </w:rPr>
            </w:pPr>
          </w:p>
        </w:tc>
        <w:tc>
          <w:tcPr>
            <w:tcW w:w="881" w:type="dxa"/>
            <w:noWrap w:val="0"/>
            <w:vAlign w:val="top"/>
          </w:tcPr>
          <w:p>
            <w:pPr>
              <w:spacing w:line="288" w:lineRule="auto"/>
              <w:jc w:val="center"/>
              <w:rPr>
                <w:rFonts w:hint="eastAsia" w:ascii="宋体" w:hAnsi="宋体"/>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noWrap w:val="0"/>
            <w:vAlign w:val="center"/>
          </w:tcPr>
          <w:p>
            <w:pPr>
              <w:spacing w:line="288" w:lineRule="auto"/>
              <w:jc w:val="center"/>
              <w:rPr>
                <w:rFonts w:ascii="宋体" w:hAnsi="宋体"/>
                <w:spacing w:val="-6"/>
                <w:sz w:val="21"/>
                <w:szCs w:val="21"/>
                <w:highlight w:val="none"/>
              </w:rPr>
            </w:pPr>
          </w:p>
        </w:tc>
        <w:tc>
          <w:tcPr>
            <w:tcW w:w="2091" w:type="dxa"/>
            <w:noWrap w:val="0"/>
            <w:vAlign w:val="center"/>
          </w:tcPr>
          <w:p>
            <w:pPr>
              <w:spacing w:line="288" w:lineRule="auto"/>
              <w:jc w:val="center"/>
              <w:rPr>
                <w:rFonts w:ascii="宋体" w:hAnsi="宋体"/>
                <w:spacing w:val="-6"/>
                <w:sz w:val="21"/>
                <w:szCs w:val="21"/>
                <w:highlight w:val="none"/>
              </w:rPr>
            </w:pPr>
          </w:p>
        </w:tc>
        <w:tc>
          <w:tcPr>
            <w:tcW w:w="709" w:type="dxa"/>
            <w:noWrap w:val="0"/>
            <w:vAlign w:val="center"/>
          </w:tcPr>
          <w:p>
            <w:pPr>
              <w:spacing w:line="288" w:lineRule="auto"/>
              <w:jc w:val="center"/>
              <w:rPr>
                <w:rFonts w:hint="eastAsia" w:ascii="宋体" w:hAnsi="宋体"/>
                <w:spacing w:val="-6"/>
                <w:sz w:val="21"/>
                <w:szCs w:val="21"/>
                <w:highlight w:val="none"/>
              </w:rPr>
            </w:pPr>
          </w:p>
        </w:tc>
        <w:tc>
          <w:tcPr>
            <w:tcW w:w="3465" w:type="dxa"/>
            <w:noWrap w:val="0"/>
            <w:vAlign w:val="center"/>
          </w:tcPr>
          <w:p>
            <w:pPr>
              <w:spacing w:line="288" w:lineRule="auto"/>
              <w:rPr>
                <w:rFonts w:ascii="宋体" w:hAnsi="宋体"/>
                <w:spacing w:val="-6"/>
                <w:sz w:val="21"/>
                <w:szCs w:val="21"/>
                <w:highlight w:val="none"/>
              </w:rPr>
            </w:pPr>
          </w:p>
        </w:tc>
        <w:tc>
          <w:tcPr>
            <w:tcW w:w="967" w:type="dxa"/>
            <w:noWrap w:val="0"/>
            <w:vAlign w:val="center"/>
          </w:tcPr>
          <w:p>
            <w:pPr>
              <w:spacing w:line="288" w:lineRule="auto"/>
              <w:jc w:val="center"/>
              <w:rPr>
                <w:rFonts w:hint="eastAsia" w:ascii="宋体" w:hAnsi="宋体"/>
                <w:spacing w:val="-6"/>
                <w:sz w:val="21"/>
                <w:szCs w:val="21"/>
                <w:highlight w:val="none"/>
              </w:rPr>
            </w:pPr>
          </w:p>
        </w:tc>
        <w:tc>
          <w:tcPr>
            <w:tcW w:w="1053" w:type="dxa"/>
            <w:noWrap w:val="0"/>
            <w:vAlign w:val="center"/>
          </w:tcPr>
          <w:p>
            <w:pPr>
              <w:spacing w:line="288" w:lineRule="auto"/>
              <w:jc w:val="center"/>
              <w:rPr>
                <w:rFonts w:hint="eastAsia" w:ascii="宋体" w:hAnsi="宋体"/>
                <w:spacing w:val="-6"/>
                <w:sz w:val="21"/>
                <w:szCs w:val="21"/>
                <w:highlight w:val="none"/>
              </w:rPr>
            </w:pPr>
          </w:p>
        </w:tc>
        <w:tc>
          <w:tcPr>
            <w:tcW w:w="881" w:type="dxa"/>
            <w:noWrap w:val="0"/>
            <w:vAlign w:val="top"/>
          </w:tcPr>
          <w:p>
            <w:pPr>
              <w:spacing w:line="288" w:lineRule="auto"/>
              <w:jc w:val="center"/>
              <w:rPr>
                <w:rFonts w:hint="eastAsia" w:ascii="宋体" w:hAnsi="宋体"/>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noWrap w:val="0"/>
            <w:vAlign w:val="center"/>
          </w:tcPr>
          <w:p>
            <w:pPr>
              <w:spacing w:line="288" w:lineRule="auto"/>
              <w:jc w:val="center"/>
              <w:rPr>
                <w:rFonts w:hint="eastAsia" w:ascii="宋体" w:hAnsi="宋体"/>
                <w:spacing w:val="-6"/>
                <w:sz w:val="21"/>
                <w:szCs w:val="21"/>
                <w:highlight w:val="none"/>
              </w:rPr>
            </w:pPr>
          </w:p>
        </w:tc>
        <w:tc>
          <w:tcPr>
            <w:tcW w:w="2091" w:type="dxa"/>
            <w:noWrap w:val="0"/>
            <w:vAlign w:val="center"/>
          </w:tcPr>
          <w:p>
            <w:pPr>
              <w:spacing w:line="288" w:lineRule="auto"/>
              <w:jc w:val="center"/>
              <w:rPr>
                <w:rFonts w:hint="eastAsia" w:ascii="宋体" w:hAnsi="宋体"/>
                <w:spacing w:val="-6"/>
                <w:sz w:val="21"/>
                <w:szCs w:val="21"/>
                <w:highlight w:val="none"/>
              </w:rPr>
            </w:pPr>
          </w:p>
        </w:tc>
        <w:tc>
          <w:tcPr>
            <w:tcW w:w="709" w:type="dxa"/>
            <w:noWrap w:val="0"/>
            <w:vAlign w:val="center"/>
          </w:tcPr>
          <w:p>
            <w:pPr>
              <w:spacing w:line="288" w:lineRule="auto"/>
              <w:jc w:val="center"/>
              <w:rPr>
                <w:rFonts w:hint="eastAsia" w:ascii="宋体" w:hAnsi="宋体"/>
                <w:spacing w:val="-6"/>
                <w:sz w:val="21"/>
                <w:szCs w:val="21"/>
                <w:highlight w:val="none"/>
              </w:rPr>
            </w:pPr>
          </w:p>
        </w:tc>
        <w:tc>
          <w:tcPr>
            <w:tcW w:w="3465" w:type="dxa"/>
            <w:noWrap w:val="0"/>
            <w:vAlign w:val="center"/>
          </w:tcPr>
          <w:p>
            <w:pPr>
              <w:spacing w:line="288" w:lineRule="auto"/>
              <w:rPr>
                <w:rFonts w:hint="eastAsia" w:ascii="宋体" w:hAnsi="宋体"/>
                <w:spacing w:val="-6"/>
                <w:sz w:val="21"/>
                <w:szCs w:val="21"/>
                <w:highlight w:val="none"/>
              </w:rPr>
            </w:pPr>
          </w:p>
        </w:tc>
        <w:tc>
          <w:tcPr>
            <w:tcW w:w="967" w:type="dxa"/>
            <w:noWrap w:val="0"/>
            <w:vAlign w:val="center"/>
          </w:tcPr>
          <w:p>
            <w:pPr>
              <w:spacing w:line="288" w:lineRule="auto"/>
              <w:jc w:val="center"/>
              <w:rPr>
                <w:rFonts w:hint="eastAsia" w:ascii="宋体" w:hAnsi="宋体"/>
                <w:spacing w:val="-6"/>
                <w:sz w:val="21"/>
                <w:szCs w:val="21"/>
                <w:highlight w:val="none"/>
              </w:rPr>
            </w:pPr>
          </w:p>
        </w:tc>
        <w:tc>
          <w:tcPr>
            <w:tcW w:w="1053" w:type="dxa"/>
            <w:noWrap w:val="0"/>
            <w:vAlign w:val="center"/>
          </w:tcPr>
          <w:p>
            <w:pPr>
              <w:spacing w:line="288" w:lineRule="auto"/>
              <w:jc w:val="center"/>
              <w:rPr>
                <w:rFonts w:hint="eastAsia" w:ascii="宋体" w:hAnsi="宋体"/>
                <w:spacing w:val="-6"/>
                <w:sz w:val="21"/>
                <w:szCs w:val="21"/>
                <w:highlight w:val="none"/>
              </w:rPr>
            </w:pPr>
          </w:p>
        </w:tc>
        <w:tc>
          <w:tcPr>
            <w:tcW w:w="881" w:type="dxa"/>
            <w:noWrap w:val="0"/>
            <w:vAlign w:val="top"/>
          </w:tcPr>
          <w:p>
            <w:pPr>
              <w:spacing w:line="288" w:lineRule="auto"/>
              <w:jc w:val="center"/>
              <w:rPr>
                <w:rFonts w:hint="eastAsia" w:ascii="宋体" w:hAnsi="宋体"/>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noWrap w:val="0"/>
            <w:vAlign w:val="center"/>
          </w:tcPr>
          <w:p>
            <w:pPr>
              <w:spacing w:line="288" w:lineRule="auto"/>
              <w:jc w:val="center"/>
              <w:rPr>
                <w:rFonts w:hint="eastAsia" w:ascii="宋体" w:hAnsi="宋体"/>
                <w:spacing w:val="-6"/>
                <w:sz w:val="21"/>
                <w:szCs w:val="21"/>
                <w:highlight w:val="none"/>
              </w:rPr>
            </w:pPr>
          </w:p>
        </w:tc>
        <w:tc>
          <w:tcPr>
            <w:tcW w:w="2091" w:type="dxa"/>
            <w:noWrap w:val="0"/>
            <w:vAlign w:val="center"/>
          </w:tcPr>
          <w:p>
            <w:pPr>
              <w:spacing w:line="288" w:lineRule="auto"/>
              <w:jc w:val="center"/>
              <w:rPr>
                <w:rFonts w:hint="eastAsia" w:ascii="宋体" w:hAnsi="宋体"/>
                <w:spacing w:val="-6"/>
                <w:sz w:val="21"/>
                <w:szCs w:val="21"/>
                <w:highlight w:val="none"/>
              </w:rPr>
            </w:pPr>
          </w:p>
        </w:tc>
        <w:tc>
          <w:tcPr>
            <w:tcW w:w="709" w:type="dxa"/>
            <w:noWrap w:val="0"/>
            <w:vAlign w:val="center"/>
          </w:tcPr>
          <w:p>
            <w:pPr>
              <w:spacing w:line="288" w:lineRule="auto"/>
              <w:jc w:val="center"/>
              <w:rPr>
                <w:rFonts w:hint="eastAsia" w:ascii="宋体" w:hAnsi="宋体"/>
                <w:spacing w:val="-6"/>
                <w:sz w:val="21"/>
                <w:szCs w:val="21"/>
                <w:highlight w:val="none"/>
              </w:rPr>
            </w:pPr>
          </w:p>
        </w:tc>
        <w:tc>
          <w:tcPr>
            <w:tcW w:w="3465" w:type="dxa"/>
            <w:noWrap w:val="0"/>
            <w:vAlign w:val="center"/>
          </w:tcPr>
          <w:p>
            <w:pPr>
              <w:spacing w:line="288" w:lineRule="auto"/>
              <w:rPr>
                <w:rFonts w:hint="eastAsia" w:ascii="宋体" w:hAnsi="宋体"/>
                <w:spacing w:val="-6"/>
                <w:sz w:val="21"/>
                <w:szCs w:val="21"/>
                <w:highlight w:val="none"/>
              </w:rPr>
            </w:pPr>
          </w:p>
        </w:tc>
        <w:tc>
          <w:tcPr>
            <w:tcW w:w="967" w:type="dxa"/>
            <w:noWrap w:val="0"/>
            <w:vAlign w:val="center"/>
          </w:tcPr>
          <w:p>
            <w:pPr>
              <w:spacing w:line="288" w:lineRule="auto"/>
              <w:jc w:val="center"/>
              <w:rPr>
                <w:rFonts w:hint="eastAsia" w:ascii="宋体" w:hAnsi="宋体"/>
                <w:spacing w:val="-6"/>
                <w:sz w:val="21"/>
                <w:szCs w:val="21"/>
                <w:highlight w:val="none"/>
              </w:rPr>
            </w:pPr>
          </w:p>
        </w:tc>
        <w:tc>
          <w:tcPr>
            <w:tcW w:w="1053" w:type="dxa"/>
            <w:noWrap w:val="0"/>
            <w:vAlign w:val="center"/>
          </w:tcPr>
          <w:p>
            <w:pPr>
              <w:spacing w:line="288" w:lineRule="auto"/>
              <w:jc w:val="center"/>
              <w:rPr>
                <w:rFonts w:hint="eastAsia" w:ascii="宋体" w:hAnsi="宋体"/>
                <w:spacing w:val="-6"/>
                <w:sz w:val="21"/>
                <w:szCs w:val="21"/>
                <w:highlight w:val="none"/>
              </w:rPr>
            </w:pPr>
          </w:p>
        </w:tc>
        <w:tc>
          <w:tcPr>
            <w:tcW w:w="881" w:type="dxa"/>
            <w:noWrap w:val="0"/>
            <w:vAlign w:val="top"/>
          </w:tcPr>
          <w:p>
            <w:pPr>
              <w:spacing w:line="288" w:lineRule="auto"/>
              <w:jc w:val="center"/>
              <w:rPr>
                <w:rFonts w:hint="eastAsia" w:ascii="宋体" w:hAnsi="宋体"/>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noWrap w:val="0"/>
            <w:vAlign w:val="center"/>
          </w:tcPr>
          <w:p>
            <w:pPr>
              <w:spacing w:line="288" w:lineRule="auto"/>
              <w:jc w:val="center"/>
              <w:rPr>
                <w:rFonts w:hint="eastAsia" w:ascii="宋体" w:hAnsi="宋体"/>
                <w:spacing w:val="-6"/>
                <w:sz w:val="21"/>
                <w:szCs w:val="21"/>
                <w:highlight w:val="none"/>
              </w:rPr>
            </w:pPr>
          </w:p>
        </w:tc>
        <w:tc>
          <w:tcPr>
            <w:tcW w:w="2091" w:type="dxa"/>
            <w:noWrap w:val="0"/>
            <w:vAlign w:val="center"/>
          </w:tcPr>
          <w:p>
            <w:pPr>
              <w:spacing w:line="288" w:lineRule="auto"/>
              <w:jc w:val="center"/>
              <w:rPr>
                <w:rFonts w:hint="eastAsia" w:ascii="宋体" w:hAnsi="宋体"/>
                <w:spacing w:val="-6"/>
                <w:sz w:val="21"/>
                <w:szCs w:val="21"/>
                <w:highlight w:val="none"/>
              </w:rPr>
            </w:pPr>
          </w:p>
        </w:tc>
        <w:tc>
          <w:tcPr>
            <w:tcW w:w="709" w:type="dxa"/>
            <w:noWrap w:val="0"/>
            <w:vAlign w:val="center"/>
          </w:tcPr>
          <w:p>
            <w:pPr>
              <w:spacing w:line="288" w:lineRule="auto"/>
              <w:jc w:val="center"/>
              <w:rPr>
                <w:rFonts w:hint="eastAsia" w:ascii="宋体" w:hAnsi="宋体"/>
                <w:spacing w:val="-6"/>
                <w:sz w:val="21"/>
                <w:szCs w:val="21"/>
                <w:highlight w:val="none"/>
              </w:rPr>
            </w:pPr>
          </w:p>
        </w:tc>
        <w:tc>
          <w:tcPr>
            <w:tcW w:w="3465" w:type="dxa"/>
            <w:noWrap w:val="0"/>
            <w:vAlign w:val="center"/>
          </w:tcPr>
          <w:p>
            <w:pPr>
              <w:spacing w:line="288" w:lineRule="auto"/>
              <w:rPr>
                <w:rFonts w:hint="eastAsia" w:ascii="宋体" w:hAnsi="宋体"/>
                <w:spacing w:val="-6"/>
                <w:sz w:val="21"/>
                <w:szCs w:val="21"/>
                <w:highlight w:val="none"/>
              </w:rPr>
            </w:pPr>
          </w:p>
        </w:tc>
        <w:tc>
          <w:tcPr>
            <w:tcW w:w="967" w:type="dxa"/>
            <w:noWrap w:val="0"/>
            <w:vAlign w:val="center"/>
          </w:tcPr>
          <w:p>
            <w:pPr>
              <w:spacing w:line="288" w:lineRule="auto"/>
              <w:jc w:val="center"/>
              <w:rPr>
                <w:rFonts w:hint="eastAsia" w:ascii="宋体" w:hAnsi="宋体"/>
                <w:spacing w:val="-6"/>
                <w:sz w:val="21"/>
                <w:szCs w:val="21"/>
                <w:highlight w:val="none"/>
              </w:rPr>
            </w:pPr>
          </w:p>
        </w:tc>
        <w:tc>
          <w:tcPr>
            <w:tcW w:w="1053" w:type="dxa"/>
            <w:noWrap w:val="0"/>
            <w:vAlign w:val="center"/>
          </w:tcPr>
          <w:p>
            <w:pPr>
              <w:spacing w:line="288" w:lineRule="auto"/>
              <w:jc w:val="center"/>
              <w:rPr>
                <w:rFonts w:hint="eastAsia" w:ascii="宋体" w:hAnsi="宋体"/>
                <w:spacing w:val="-6"/>
                <w:sz w:val="21"/>
                <w:szCs w:val="21"/>
                <w:highlight w:val="none"/>
              </w:rPr>
            </w:pPr>
          </w:p>
        </w:tc>
        <w:tc>
          <w:tcPr>
            <w:tcW w:w="881" w:type="dxa"/>
            <w:noWrap w:val="0"/>
            <w:vAlign w:val="top"/>
          </w:tcPr>
          <w:p>
            <w:pPr>
              <w:spacing w:line="288" w:lineRule="auto"/>
              <w:jc w:val="center"/>
              <w:rPr>
                <w:rFonts w:hint="eastAsia" w:ascii="宋体" w:hAnsi="宋体"/>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noWrap w:val="0"/>
            <w:vAlign w:val="center"/>
          </w:tcPr>
          <w:p>
            <w:pPr>
              <w:spacing w:line="288" w:lineRule="auto"/>
              <w:jc w:val="center"/>
              <w:rPr>
                <w:rFonts w:hint="eastAsia" w:ascii="宋体" w:hAnsi="宋体"/>
                <w:spacing w:val="-6"/>
                <w:sz w:val="21"/>
                <w:szCs w:val="21"/>
                <w:highlight w:val="none"/>
              </w:rPr>
            </w:pPr>
          </w:p>
        </w:tc>
        <w:tc>
          <w:tcPr>
            <w:tcW w:w="2091" w:type="dxa"/>
            <w:noWrap w:val="0"/>
            <w:vAlign w:val="center"/>
          </w:tcPr>
          <w:p>
            <w:pPr>
              <w:spacing w:line="288" w:lineRule="auto"/>
              <w:jc w:val="center"/>
              <w:rPr>
                <w:rFonts w:hint="eastAsia" w:ascii="宋体" w:hAnsi="宋体"/>
                <w:spacing w:val="-6"/>
                <w:sz w:val="21"/>
                <w:szCs w:val="21"/>
                <w:highlight w:val="none"/>
              </w:rPr>
            </w:pPr>
          </w:p>
        </w:tc>
        <w:tc>
          <w:tcPr>
            <w:tcW w:w="709" w:type="dxa"/>
            <w:noWrap w:val="0"/>
            <w:vAlign w:val="center"/>
          </w:tcPr>
          <w:p>
            <w:pPr>
              <w:spacing w:line="288" w:lineRule="auto"/>
              <w:jc w:val="center"/>
              <w:rPr>
                <w:rFonts w:hint="eastAsia" w:ascii="宋体" w:hAnsi="宋体"/>
                <w:spacing w:val="-6"/>
                <w:sz w:val="21"/>
                <w:szCs w:val="21"/>
                <w:highlight w:val="none"/>
              </w:rPr>
            </w:pPr>
          </w:p>
        </w:tc>
        <w:tc>
          <w:tcPr>
            <w:tcW w:w="3465" w:type="dxa"/>
            <w:noWrap w:val="0"/>
            <w:vAlign w:val="center"/>
          </w:tcPr>
          <w:p>
            <w:pPr>
              <w:spacing w:line="288" w:lineRule="auto"/>
              <w:rPr>
                <w:rFonts w:hint="eastAsia" w:ascii="宋体" w:hAnsi="宋体"/>
                <w:spacing w:val="-6"/>
                <w:sz w:val="21"/>
                <w:szCs w:val="21"/>
                <w:highlight w:val="none"/>
              </w:rPr>
            </w:pPr>
          </w:p>
        </w:tc>
        <w:tc>
          <w:tcPr>
            <w:tcW w:w="967" w:type="dxa"/>
            <w:noWrap w:val="0"/>
            <w:vAlign w:val="center"/>
          </w:tcPr>
          <w:p>
            <w:pPr>
              <w:spacing w:line="288" w:lineRule="auto"/>
              <w:jc w:val="center"/>
              <w:rPr>
                <w:rFonts w:hint="eastAsia" w:ascii="宋体" w:hAnsi="宋体"/>
                <w:spacing w:val="-6"/>
                <w:sz w:val="21"/>
                <w:szCs w:val="21"/>
                <w:highlight w:val="none"/>
              </w:rPr>
            </w:pPr>
          </w:p>
        </w:tc>
        <w:tc>
          <w:tcPr>
            <w:tcW w:w="1053" w:type="dxa"/>
            <w:noWrap w:val="0"/>
            <w:vAlign w:val="center"/>
          </w:tcPr>
          <w:p>
            <w:pPr>
              <w:spacing w:line="288" w:lineRule="auto"/>
              <w:jc w:val="center"/>
              <w:rPr>
                <w:rFonts w:hint="eastAsia" w:ascii="宋体" w:hAnsi="宋体"/>
                <w:spacing w:val="-6"/>
                <w:sz w:val="21"/>
                <w:szCs w:val="21"/>
                <w:highlight w:val="none"/>
              </w:rPr>
            </w:pPr>
          </w:p>
        </w:tc>
        <w:tc>
          <w:tcPr>
            <w:tcW w:w="881" w:type="dxa"/>
            <w:noWrap w:val="0"/>
            <w:vAlign w:val="top"/>
          </w:tcPr>
          <w:p>
            <w:pPr>
              <w:spacing w:line="288" w:lineRule="auto"/>
              <w:jc w:val="center"/>
              <w:rPr>
                <w:rFonts w:hint="eastAsia" w:ascii="宋体" w:hAnsi="宋体"/>
                <w:spacing w:val="-6"/>
                <w:sz w:val="21"/>
                <w:szCs w:val="21"/>
                <w:highlight w:val="none"/>
              </w:rPr>
            </w:pPr>
          </w:p>
        </w:tc>
      </w:tr>
    </w:tbl>
    <w:p>
      <w:pPr>
        <w:spacing w:line="360" w:lineRule="auto"/>
        <w:rPr>
          <w:rFonts w:hint="eastAsia" w:ascii="宋体" w:hAnsi="宋体"/>
          <w:spacing w:val="-6"/>
          <w:sz w:val="24"/>
          <w:szCs w:val="20"/>
          <w:highlight w:val="none"/>
        </w:rPr>
      </w:pPr>
    </w:p>
    <w:p>
      <w:pPr>
        <w:spacing w:line="360" w:lineRule="auto"/>
        <w:rPr>
          <w:rFonts w:ascii="宋体" w:hAnsi="宋体"/>
          <w:spacing w:val="-6"/>
          <w:sz w:val="21"/>
          <w:szCs w:val="21"/>
          <w:highlight w:val="none"/>
        </w:rPr>
      </w:pPr>
      <w:r>
        <w:rPr>
          <w:rFonts w:hint="eastAsia" w:ascii="宋体" w:hAnsi="宋体"/>
          <w:spacing w:val="-6"/>
          <w:sz w:val="21"/>
          <w:szCs w:val="21"/>
          <w:highlight w:val="none"/>
        </w:rPr>
        <w:t>备注：本表仅为方便评标委员会评审使用，不作为判别投标文件是否有效的依据。</w:t>
      </w:r>
    </w:p>
    <w:p>
      <w:pPr>
        <w:pStyle w:val="35"/>
        <w:spacing w:line="360" w:lineRule="auto"/>
        <w:ind w:left="0" w:firstLine="0" w:firstLineChars="0"/>
        <w:jc w:val="center"/>
        <w:rPr>
          <w:rFonts w:hint="eastAsia" w:ascii="宋体" w:hAnsi="宋体"/>
          <w:bCs/>
          <w:spacing w:val="-6"/>
          <w:sz w:val="24"/>
          <w:highlight w:val="none"/>
        </w:rPr>
      </w:pPr>
      <w:r>
        <w:rPr>
          <w:rFonts w:hAnsi="宋体"/>
          <w:b/>
          <w:spacing w:val="-6"/>
          <w:sz w:val="24"/>
          <w:highlight w:val="none"/>
        </w:rPr>
        <w:br w:type="page"/>
      </w:r>
      <w:r>
        <w:rPr>
          <w:rFonts w:hint="eastAsia" w:ascii="宋体" w:hAnsi="宋体"/>
          <w:b/>
          <w:spacing w:val="-6"/>
          <w:sz w:val="52"/>
          <w:szCs w:val="52"/>
          <w:highlight w:val="none"/>
        </w:rPr>
        <w:t>商务文件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ascii="宋体" w:hAnsi="宋体" w:eastAsia="宋体" w:cs="Times New Roman"/>
          <w:b/>
          <w:spacing w:val="-6"/>
          <w:sz w:val="24"/>
          <w:highlight w:val="none"/>
        </w:rPr>
      </w:pPr>
      <w:r>
        <w:rPr>
          <w:rFonts w:hint="eastAsia" w:ascii="宋体" w:hAnsi="宋体" w:eastAsia="宋体" w:cs="Times New Roman"/>
          <w:b/>
          <w:spacing w:val="-6"/>
          <w:sz w:val="24"/>
          <w:highlight w:val="none"/>
        </w:rPr>
        <w:t>投 标 函</w:t>
      </w:r>
    </w:p>
    <w:p>
      <w:pPr>
        <w:spacing w:line="288" w:lineRule="auto"/>
        <w:jc w:val="center"/>
        <w:rPr>
          <w:rFonts w:hint="eastAsia" w:ascii="宋体" w:hAnsi="宋体"/>
          <w:b/>
          <w:spacing w:val="-6"/>
          <w:sz w:val="24"/>
          <w:highlight w:val="none"/>
        </w:rPr>
      </w:pPr>
    </w:p>
    <w:p>
      <w:pPr>
        <w:spacing w:line="360" w:lineRule="auto"/>
        <w:rPr>
          <w:rFonts w:hint="eastAsia" w:ascii="宋体" w:hAnsi="宋体"/>
          <w:spacing w:val="-6"/>
          <w:sz w:val="24"/>
          <w:highlight w:val="none"/>
        </w:rPr>
      </w:pPr>
      <w:r>
        <w:rPr>
          <w:rFonts w:hint="eastAsia" w:ascii="宋体" w:hAnsi="宋体"/>
          <w:spacing w:val="-6"/>
          <w:sz w:val="24"/>
          <w:highlight w:val="none"/>
        </w:rPr>
        <w:t>致：</w:t>
      </w:r>
      <w:r>
        <w:rPr>
          <w:rFonts w:hint="eastAsia" w:ascii="宋体" w:hAnsi="宋体"/>
          <w:spacing w:val="-6"/>
          <w:sz w:val="24"/>
          <w:highlight w:val="none"/>
          <w:lang w:eastAsia="zh-CN"/>
        </w:rPr>
        <w:t>浙江五石中正工程咨询有限公司</w:t>
      </w:r>
      <w:r>
        <w:rPr>
          <w:rFonts w:hint="eastAsia" w:ascii="宋体" w:hAnsi="宋体"/>
          <w:spacing w:val="-6"/>
          <w:sz w:val="24"/>
          <w:highlight w:val="none"/>
        </w:rPr>
        <w:t>：</w:t>
      </w:r>
    </w:p>
    <w:p>
      <w:pPr>
        <w:spacing w:line="360" w:lineRule="auto"/>
        <w:ind w:firstLine="456" w:firstLineChars="200"/>
        <w:rPr>
          <w:rFonts w:hint="eastAsia" w:ascii="宋体" w:hAnsi="宋体"/>
          <w:spacing w:val="-6"/>
          <w:sz w:val="24"/>
          <w:highlight w:val="none"/>
        </w:rPr>
      </w:pPr>
      <w:r>
        <w:rPr>
          <w:rFonts w:hint="eastAsia" w:ascii="宋体" w:hAnsi="宋体"/>
          <w:spacing w:val="-6"/>
          <w:sz w:val="24"/>
          <w:highlight w:val="none"/>
        </w:rPr>
        <w:t>根据贵方为</w:t>
      </w:r>
      <w:r>
        <w:rPr>
          <w:rFonts w:hint="eastAsia" w:ascii="宋体" w:hAnsi="宋体"/>
          <w:bCs/>
          <w:spacing w:val="-6"/>
          <w:sz w:val="24"/>
          <w:highlight w:val="none"/>
          <w:lang w:eastAsia="zh-CN"/>
        </w:rPr>
        <w:t>衢州动力电池和储能研究院高能比硫化物全固态电池自动孵化线</w:t>
      </w:r>
      <w:r>
        <w:rPr>
          <w:rFonts w:hint="eastAsia" w:ascii="宋体" w:hAnsi="宋体"/>
          <w:spacing w:val="-6"/>
          <w:sz w:val="24"/>
          <w:highlight w:val="none"/>
        </w:rPr>
        <w:t>的投标邀请（项目编号</w:t>
      </w:r>
      <w:r>
        <w:rPr>
          <w:rFonts w:hint="eastAsia" w:ascii="宋体" w:hAnsi="宋体"/>
          <w:bCs/>
          <w:spacing w:val="-6"/>
          <w:sz w:val="24"/>
          <w:highlight w:val="none"/>
        </w:rPr>
        <w:t>：）</w:t>
      </w:r>
      <w:r>
        <w:rPr>
          <w:rFonts w:hint="eastAsia" w:ascii="宋体" w:hAnsi="宋体"/>
          <w:spacing w:val="-6"/>
          <w:sz w:val="24"/>
          <w:highlight w:val="none"/>
        </w:rPr>
        <w:t>，签字代表</w:t>
      </w:r>
      <w:r>
        <w:rPr>
          <w:rFonts w:hint="eastAsia" w:ascii="宋体" w:hAnsi="宋体"/>
          <w:bCs/>
          <w:spacing w:val="-6"/>
          <w:sz w:val="24"/>
          <w:highlight w:val="none"/>
        </w:rPr>
        <w:t>____________</w:t>
      </w:r>
      <w:r>
        <w:rPr>
          <w:rFonts w:hint="eastAsia" w:ascii="宋体" w:hAnsi="宋体"/>
          <w:spacing w:val="-6"/>
          <w:sz w:val="24"/>
          <w:highlight w:val="none"/>
        </w:rPr>
        <w:t>（全名）经正式授权并代表投标人</w:t>
      </w:r>
      <w:r>
        <w:rPr>
          <w:rFonts w:hint="eastAsia" w:ascii="宋体" w:hAnsi="宋体"/>
          <w:bCs/>
          <w:spacing w:val="-6"/>
          <w:sz w:val="24"/>
          <w:highlight w:val="none"/>
          <w:u w:val="single"/>
        </w:rPr>
        <w:t xml:space="preserve">      </w:t>
      </w:r>
      <w:r>
        <w:rPr>
          <w:rFonts w:ascii="宋体" w:hAnsi="宋体"/>
          <w:bCs/>
          <w:spacing w:val="-6"/>
          <w:sz w:val="24"/>
          <w:highlight w:val="none"/>
          <w:u w:val="single"/>
        </w:rPr>
        <w:t xml:space="preserve">           </w:t>
      </w:r>
      <w:r>
        <w:rPr>
          <w:rFonts w:hint="eastAsia" w:ascii="宋体" w:hAnsi="宋体"/>
          <w:bCs/>
          <w:spacing w:val="-6"/>
          <w:sz w:val="24"/>
          <w:highlight w:val="none"/>
          <w:u w:val="single"/>
        </w:rPr>
        <w:t xml:space="preserve">       </w:t>
      </w:r>
      <w:r>
        <w:rPr>
          <w:rFonts w:hint="eastAsia" w:ascii="宋体" w:hAnsi="宋体"/>
          <w:spacing w:val="-6"/>
          <w:sz w:val="24"/>
          <w:highlight w:val="none"/>
        </w:rPr>
        <w:t>（投标人名称）提交资格</w:t>
      </w:r>
      <w:r>
        <w:rPr>
          <w:rFonts w:ascii="宋体" w:hAnsi="宋体"/>
          <w:spacing w:val="-6"/>
          <w:sz w:val="24"/>
          <w:highlight w:val="none"/>
        </w:rPr>
        <w:t>文件及</w:t>
      </w:r>
      <w:r>
        <w:rPr>
          <w:rFonts w:hint="eastAsia" w:ascii="宋体" w:hAnsi="宋体"/>
          <w:spacing w:val="-6"/>
          <w:sz w:val="24"/>
          <w:highlight w:val="none"/>
        </w:rPr>
        <w:t>商务和技术文件正本一份、副本</w:t>
      </w:r>
      <w:r>
        <w:rPr>
          <w:rFonts w:hint="eastAsia" w:ascii="宋体" w:hAnsi="宋体"/>
          <w:spacing w:val="-6"/>
          <w:sz w:val="24"/>
          <w:highlight w:val="none"/>
          <w:u w:val="single"/>
        </w:rPr>
        <w:t xml:space="preserve">   </w:t>
      </w:r>
      <w:r>
        <w:rPr>
          <w:rFonts w:hint="eastAsia" w:ascii="宋体" w:hAnsi="宋体"/>
          <w:spacing w:val="-6"/>
          <w:sz w:val="24"/>
          <w:highlight w:val="none"/>
        </w:rPr>
        <w:t>份。</w:t>
      </w:r>
    </w:p>
    <w:p>
      <w:pPr>
        <w:spacing w:line="360" w:lineRule="auto"/>
        <w:ind w:firstLine="456" w:firstLineChars="200"/>
        <w:rPr>
          <w:rFonts w:hint="eastAsia" w:ascii="宋体" w:hAnsi="宋体"/>
          <w:spacing w:val="-6"/>
          <w:sz w:val="24"/>
          <w:highlight w:val="none"/>
        </w:rPr>
      </w:pPr>
      <w:r>
        <w:rPr>
          <w:rFonts w:hint="eastAsia" w:ascii="宋体" w:hAnsi="宋体"/>
          <w:spacing w:val="-6"/>
          <w:sz w:val="24"/>
          <w:highlight w:val="none"/>
        </w:rPr>
        <w:t>据此函，签字代表宣布同意如下：</w:t>
      </w:r>
    </w:p>
    <w:p>
      <w:pPr>
        <w:spacing w:line="360" w:lineRule="auto"/>
        <w:ind w:firstLine="456" w:firstLineChars="200"/>
        <w:rPr>
          <w:rFonts w:hint="eastAsia" w:ascii="宋体" w:hAnsi="宋体"/>
          <w:spacing w:val="-6"/>
          <w:sz w:val="24"/>
          <w:highlight w:val="none"/>
        </w:rPr>
      </w:pPr>
      <w:r>
        <w:rPr>
          <w:rFonts w:hint="eastAsia" w:ascii="宋体" w:hAnsi="宋体"/>
          <w:spacing w:val="-6"/>
          <w:sz w:val="24"/>
          <w:highlight w:val="none"/>
        </w:rPr>
        <w:t>1</w:t>
      </w:r>
      <w:r>
        <w:rPr>
          <w:rFonts w:ascii="宋体" w:hAnsi="宋体"/>
          <w:spacing w:val="-6"/>
          <w:sz w:val="24"/>
          <w:highlight w:val="none"/>
        </w:rPr>
        <w:t>.</w:t>
      </w:r>
      <w:r>
        <w:rPr>
          <w:rFonts w:hint="eastAsia" w:ascii="宋体" w:hAnsi="宋体"/>
          <w:spacing w:val="-6"/>
          <w:sz w:val="24"/>
          <w:highlight w:val="none"/>
        </w:rPr>
        <w:t>投标人已详细审查全部“招标文件”，包括修改文件（如有）以及全部参考资料和有关附件，已经了解我方对于招标文件、招标过程、中标结果有依法进行询问、质疑、投诉的权利及相关渠道和要求。</w:t>
      </w:r>
    </w:p>
    <w:p>
      <w:pPr>
        <w:spacing w:line="360" w:lineRule="auto"/>
        <w:ind w:firstLine="456" w:firstLineChars="200"/>
        <w:rPr>
          <w:rFonts w:hint="eastAsia" w:ascii="宋体" w:hAnsi="宋体"/>
          <w:spacing w:val="-6"/>
          <w:sz w:val="24"/>
          <w:highlight w:val="none"/>
        </w:rPr>
      </w:pPr>
      <w:r>
        <w:rPr>
          <w:rFonts w:hint="eastAsia" w:ascii="宋体" w:hAnsi="宋体"/>
          <w:spacing w:val="-6"/>
          <w:sz w:val="24"/>
          <w:highlight w:val="none"/>
        </w:rPr>
        <w:t>2</w:t>
      </w:r>
      <w:r>
        <w:rPr>
          <w:rFonts w:ascii="宋体" w:hAnsi="宋体"/>
          <w:spacing w:val="-6"/>
          <w:sz w:val="24"/>
          <w:highlight w:val="none"/>
        </w:rPr>
        <w:t>.</w:t>
      </w:r>
      <w:r>
        <w:rPr>
          <w:rFonts w:hint="eastAsia" w:ascii="宋体" w:hAnsi="宋体"/>
          <w:spacing w:val="-6"/>
          <w:sz w:val="24"/>
          <w:highlight w:val="none"/>
        </w:rPr>
        <w:t>投标人在投标之前已经与贵方进行了充分的沟通，完全理解并接受招标文件的各项规定和要求，对招标文件的合理性、合法性不再有异议。</w:t>
      </w:r>
    </w:p>
    <w:p>
      <w:pPr>
        <w:spacing w:line="360" w:lineRule="auto"/>
        <w:ind w:firstLine="456" w:firstLineChars="200"/>
        <w:rPr>
          <w:rFonts w:hint="eastAsia" w:ascii="宋体" w:hAnsi="宋体"/>
          <w:spacing w:val="-6"/>
          <w:sz w:val="24"/>
          <w:highlight w:val="none"/>
        </w:rPr>
      </w:pPr>
      <w:r>
        <w:rPr>
          <w:rFonts w:hint="eastAsia" w:ascii="宋体" w:hAnsi="宋体"/>
          <w:spacing w:val="-6"/>
          <w:sz w:val="24"/>
          <w:highlight w:val="none"/>
        </w:rPr>
        <w:t>3</w:t>
      </w:r>
      <w:r>
        <w:rPr>
          <w:rFonts w:ascii="宋体" w:hAnsi="宋体"/>
          <w:spacing w:val="-6"/>
          <w:sz w:val="24"/>
          <w:highlight w:val="none"/>
        </w:rPr>
        <w:t>.</w:t>
      </w:r>
      <w:r>
        <w:rPr>
          <w:rFonts w:hint="eastAsia" w:ascii="宋体" w:hAnsi="宋体"/>
          <w:spacing w:val="-6"/>
          <w:sz w:val="24"/>
          <w:highlight w:val="none"/>
        </w:rPr>
        <w:t>投标有效期自提交投标文件的截止之日起</w:t>
      </w:r>
      <w:r>
        <w:rPr>
          <w:rFonts w:hint="eastAsia" w:ascii="宋体" w:hAnsi="宋体"/>
          <w:bCs/>
          <w:spacing w:val="-6"/>
          <w:sz w:val="24"/>
          <w:highlight w:val="none"/>
          <w:u w:val="single"/>
        </w:rPr>
        <w:t xml:space="preserve"> 90</w:t>
      </w:r>
      <w:r>
        <w:rPr>
          <w:rFonts w:ascii="宋体" w:hAnsi="宋体"/>
          <w:bCs/>
          <w:spacing w:val="-6"/>
          <w:sz w:val="24"/>
          <w:highlight w:val="none"/>
          <w:u w:val="single"/>
        </w:rPr>
        <w:t xml:space="preserve"> </w:t>
      </w:r>
      <w:r>
        <w:rPr>
          <w:rFonts w:hint="eastAsia" w:ascii="宋体" w:hAnsi="宋体"/>
          <w:spacing w:val="-6"/>
          <w:sz w:val="24"/>
          <w:highlight w:val="none"/>
        </w:rPr>
        <w:t>天。</w:t>
      </w:r>
    </w:p>
    <w:p>
      <w:pPr>
        <w:spacing w:line="360" w:lineRule="auto"/>
        <w:ind w:firstLine="456" w:firstLineChars="200"/>
        <w:rPr>
          <w:rFonts w:hint="eastAsia" w:ascii="宋体" w:hAnsi="宋体"/>
          <w:spacing w:val="-6"/>
          <w:sz w:val="24"/>
          <w:highlight w:val="none"/>
        </w:rPr>
      </w:pPr>
      <w:r>
        <w:rPr>
          <w:rFonts w:hint="eastAsia" w:ascii="宋体" w:hAnsi="宋体"/>
          <w:spacing w:val="-6"/>
          <w:sz w:val="24"/>
          <w:highlight w:val="none"/>
        </w:rPr>
        <w:t>4</w:t>
      </w:r>
      <w:r>
        <w:rPr>
          <w:rFonts w:ascii="宋体" w:hAnsi="宋体"/>
          <w:spacing w:val="-6"/>
          <w:sz w:val="24"/>
          <w:highlight w:val="none"/>
        </w:rPr>
        <w:t>.</w:t>
      </w:r>
      <w:r>
        <w:rPr>
          <w:rFonts w:hint="eastAsia" w:ascii="宋体" w:hAnsi="宋体"/>
          <w:spacing w:val="-6"/>
          <w:sz w:val="24"/>
          <w:highlight w:val="none"/>
        </w:rPr>
        <w:t>如中标，本投标文件至本项目合同履行完毕止均保持有效，本投标人将按“招标文件”及采购法律、法规的规定履行合同责任和义务。关于代理服务费，本投标人承诺按照本招标文件的规定履行并承担相应的责任。</w:t>
      </w:r>
    </w:p>
    <w:p>
      <w:pPr>
        <w:spacing w:line="360" w:lineRule="auto"/>
        <w:ind w:firstLine="456" w:firstLineChars="200"/>
        <w:rPr>
          <w:rFonts w:hint="eastAsia" w:ascii="宋体" w:hAnsi="宋体"/>
          <w:spacing w:val="-6"/>
          <w:sz w:val="24"/>
          <w:highlight w:val="none"/>
        </w:rPr>
      </w:pPr>
      <w:r>
        <w:rPr>
          <w:rFonts w:hint="eastAsia" w:ascii="宋体" w:hAnsi="宋体"/>
          <w:spacing w:val="-6"/>
          <w:sz w:val="24"/>
          <w:highlight w:val="none"/>
        </w:rPr>
        <w:t>5</w:t>
      </w:r>
      <w:r>
        <w:rPr>
          <w:rFonts w:ascii="宋体" w:hAnsi="宋体"/>
          <w:spacing w:val="-6"/>
          <w:sz w:val="24"/>
          <w:highlight w:val="none"/>
        </w:rPr>
        <w:t>.</w:t>
      </w:r>
      <w:r>
        <w:rPr>
          <w:rFonts w:hint="eastAsia" w:ascii="宋体" w:hAnsi="宋体"/>
          <w:spacing w:val="-6"/>
          <w:sz w:val="24"/>
          <w:highlight w:val="none"/>
        </w:rPr>
        <w:t>投标人同意按照贵方要求提供与投标有关的一切数据或资料。</w:t>
      </w:r>
    </w:p>
    <w:p>
      <w:pPr>
        <w:spacing w:line="360" w:lineRule="auto"/>
        <w:ind w:firstLine="456" w:firstLineChars="200"/>
        <w:rPr>
          <w:rFonts w:hint="eastAsia" w:ascii="宋体" w:hAnsi="宋体"/>
          <w:spacing w:val="-6"/>
          <w:sz w:val="24"/>
          <w:highlight w:val="none"/>
        </w:rPr>
      </w:pPr>
      <w:r>
        <w:rPr>
          <w:rFonts w:hint="eastAsia" w:ascii="宋体" w:hAnsi="宋体"/>
          <w:spacing w:val="-6"/>
          <w:sz w:val="24"/>
          <w:highlight w:val="none"/>
        </w:rPr>
        <w:t>6. 与本投标有关的一切正式往来信函请寄：</w:t>
      </w:r>
    </w:p>
    <w:p>
      <w:pPr>
        <w:spacing w:line="360" w:lineRule="auto"/>
        <w:rPr>
          <w:rFonts w:ascii="宋体" w:hAnsi="宋体"/>
          <w:spacing w:val="-6"/>
          <w:sz w:val="24"/>
          <w:highlight w:val="none"/>
        </w:rPr>
      </w:pPr>
      <w:r>
        <w:rPr>
          <w:rFonts w:hint="eastAsia" w:ascii="宋体" w:hAnsi="宋体"/>
          <w:spacing w:val="-6"/>
          <w:sz w:val="24"/>
          <w:highlight w:val="none"/>
        </w:rPr>
        <w:t xml:space="preserve">地址：                         </w:t>
      </w:r>
      <w:r>
        <w:rPr>
          <w:rFonts w:ascii="宋体" w:hAnsi="宋体"/>
          <w:spacing w:val="-6"/>
          <w:sz w:val="24"/>
          <w:highlight w:val="none"/>
        </w:rPr>
        <w:t xml:space="preserve">     </w:t>
      </w:r>
      <w:r>
        <w:rPr>
          <w:rFonts w:hint="eastAsia" w:ascii="宋体" w:hAnsi="宋体"/>
          <w:spacing w:val="-6"/>
          <w:sz w:val="24"/>
          <w:highlight w:val="none"/>
        </w:rPr>
        <w:t>邮编：</w:t>
      </w:r>
      <w:r>
        <w:rPr>
          <w:rFonts w:hint="eastAsia" w:ascii="宋体" w:hAnsi="宋体"/>
          <w:spacing w:val="-6"/>
          <w:sz w:val="24"/>
          <w:highlight w:val="none"/>
          <w:u w:val="single"/>
        </w:rPr>
        <w:t xml:space="preserve">                         </w:t>
      </w:r>
    </w:p>
    <w:p>
      <w:pPr>
        <w:spacing w:line="360" w:lineRule="auto"/>
        <w:rPr>
          <w:rFonts w:hint="eastAsia" w:ascii="宋体" w:hAnsi="宋体"/>
          <w:spacing w:val="-6"/>
          <w:sz w:val="24"/>
          <w:highlight w:val="none"/>
          <w:u w:val="single"/>
        </w:rPr>
      </w:pPr>
      <w:r>
        <w:rPr>
          <w:rFonts w:hint="eastAsia" w:ascii="宋体" w:hAnsi="宋体"/>
          <w:spacing w:val="-6"/>
          <w:sz w:val="24"/>
          <w:highlight w:val="none"/>
        </w:rPr>
        <w:t xml:space="preserve">电话：                         </w:t>
      </w:r>
      <w:r>
        <w:rPr>
          <w:rFonts w:ascii="宋体" w:hAnsi="宋体"/>
          <w:spacing w:val="-6"/>
          <w:sz w:val="24"/>
          <w:highlight w:val="none"/>
        </w:rPr>
        <w:t xml:space="preserve">     </w:t>
      </w:r>
      <w:r>
        <w:rPr>
          <w:rFonts w:hint="eastAsia" w:ascii="宋体" w:hAnsi="宋体"/>
          <w:spacing w:val="-6"/>
          <w:sz w:val="24"/>
          <w:highlight w:val="none"/>
        </w:rPr>
        <w:t xml:space="preserve">传真：                         </w:t>
      </w:r>
    </w:p>
    <w:p>
      <w:pPr>
        <w:spacing w:line="360" w:lineRule="auto"/>
        <w:rPr>
          <w:rFonts w:hint="eastAsia" w:ascii="宋体" w:hAnsi="宋体"/>
          <w:spacing w:val="-6"/>
          <w:sz w:val="24"/>
          <w:highlight w:val="none"/>
        </w:rPr>
      </w:pPr>
      <w:r>
        <w:rPr>
          <w:rFonts w:hint="eastAsia" w:ascii="宋体" w:hAnsi="宋体"/>
          <w:spacing w:val="-6"/>
          <w:sz w:val="24"/>
          <w:highlight w:val="none"/>
        </w:rPr>
        <w:t xml:space="preserve">投标人代表姓名：               </w:t>
      </w:r>
      <w:r>
        <w:rPr>
          <w:rFonts w:ascii="宋体" w:hAnsi="宋体"/>
          <w:spacing w:val="-6"/>
          <w:sz w:val="24"/>
          <w:highlight w:val="none"/>
        </w:rPr>
        <w:t xml:space="preserve">     </w:t>
      </w:r>
      <w:r>
        <w:rPr>
          <w:rFonts w:hint="eastAsia" w:ascii="宋体" w:hAnsi="宋体"/>
          <w:spacing w:val="-6"/>
          <w:sz w:val="24"/>
          <w:highlight w:val="none"/>
        </w:rPr>
        <w:t xml:space="preserve">职务：                        </w:t>
      </w:r>
    </w:p>
    <w:p>
      <w:pPr>
        <w:spacing w:line="360" w:lineRule="auto"/>
        <w:rPr>
          <w:rFonts w:hint="eastAsia" w:ascii="宋体" w:hAnsi="宋体"/>
          <w:spacing w:val="-6"/>
          <w:sz w:val="24"/>
          <w:highlight w:val="none"/>
        </w:rPr>
      </w:pPr>
      <w:r>
        <w:rPr>
          <w:rFonts w:hint="eastAsia" w:ascii="宋体" w:hAnsi="宋体"/>
          <w:spacing w:val="-6"/>
          <w:sz w:val="24"/>
          <w:highlight w:val="none"/>
        </w:rPr>
        <w:t>开户银行：</w:t>
      </w:r>
    </w:p>
    <w:p>
      <w:pPr>
        <w:spacing w:line="360" w:lineRule="auto"/>
        <w:rPr>
          <w:rFonts w:hint="eastAsia" w:ascii="宋体" w:hAnsi="宋体"/>
          <w:spacing w:val="-6"/>
          <w:sz w:val="24"/>
          <w:highlight w:val="none"/>
        </w:rPr>
      </w:pPr>
      <w:r>
        <w:rPr>
          <w:rFonts w:hint="eastAsia" w:ascii="宋体" w:hAnsi="宋体"/>
          <w:spacing w:val="-6"/>
          <w:sz w:val="24"/>
          <w:highlight w:val="none"/>
        </w:rPr>
        <w:t>银行帐号：</w:t>
      </w:r>
    </w:p>
    <w:p>
      <w:pPr>
        <w:spacing w:line="360" w:lineRule="auto"/>
        <w:rPr>
          <w:rFonts w:hint="eastAsia" w:ascii="宋体" w:hAnsi="宋体"/>
          <w:spacing w:val="-6"/>
          <w:sz w:val="24"/>
          <w:highlight w:val="none"/>
        </w:rPr>
      </w:pPr>
    </w:p>
    <w:p>
      <w:pPr>
        <w:spacing w:line="360" w:lineRule="auto"/>
        <w:rPr>
          <w:rFonts w:hint="eastAsia" w:ascii="宋体" w:hAnsi="宋体"/>
          <w:spacing w:val="-6"/>
          <w:sz w:val="24"/>
          <w:highlight w:val="none"/>
        </w:rPr>
      </w:pPr>
      <w:r>
        <w:rPr>
          <w:rFonts w:hint="eastAsia" w:ascii="宋体" w:hAnsi="宋体"/>
          <w:spacing w:val="-6"/>
          <w:sz w:val="24"/>
          <w:highlight w:val="none"/>
        </w:rPr>
        <w:t>投标人名称（盖章）：</w:t>
      </w:r>
    </w:p>
    <w:p>
      <w:pPr>
        <w:spacing w:line="360" w:lineRule="auto"/>
        <w:rPr>
          <w:rFonts w:hint="eastAsia" w:ascii="宋体" w:hAnsi="宋体"/>
          <w:spacing w:val="-6"/>
          <w:sz w:val="24"/>
          <w:highlight w:val="none"/>
        </w:rPr>
      </w:pPr>
      <w:r>
        <w:rPr>
          <w:rFonts w:hint="eastAsia" w:ascii="宋体" w:hAnsi="宋体"/>
          <w:spacing w:val="-6"/>
          <w:sz w:val="24"/>
          <w:highlight w:val="none"/>
        </w:rPr>
        <w:t>投标人代表签字</w:t>
      </w:r>
      <w:r>
        <w:rPr>
          <w:rFonts w:hint="eastAsia" w:ascii="宋体" w:hAnsi="宋体"/>
          <w:bCs/>
          <w:spacing w:val="-6"/>
          <w:sz w:val="24"/>
          <w:highlight w:val="none"/>
        </w:rPr>
        <w:t>：</w:t>
      </w:r>
    </w:p>
    <w:p>
      <w:pPr>
        <w:spacing w:line="360" w:lineRule="auto"/>
        <w:rPr>
          <w:rFonts w:hint="eastAsia" w:ascii="宋体" w:hAnsi="宋体"/>
          <w:spacing w:val="-6"/>
          <w:sz w:val="24"/>
          <w:highlight w:val="none"/>
        </w:rPr>
      </w:pPr>
      <w:r>
        <w:rPr>
          <w:rFonts w:hint="eastAsia" w:ascii="宋体" w:hAnsi="宋体"/>
          <w:bCs/>
          <w:spacing w:val="-6"/>
          <w:sz w:val="24"/>
          <w:highlight w:val="none"/>
        </w:rPr>
        <w:t xml:space="preserve">日期：  </w:t>
      </w:r>
      <w:r>
        <w:rPr>
          <w:rFonts w:ascii="宋体" w:hAnsi="宋体"/>
          <w:bCs/>
          <w:spacing w:val="-6"/>
          <w:sz w:val="24"/>
          <w:highlight w:val="none"/>
        </w:rPr>
        <w:t xml:space="preserve">  </w:t>
      </w:r>
      <w:r>
        <w:rPr>
          <w:rFonts w:hint="eastAsia" w:ascii="宋体" w:hAnsi="宋体"/>
          <w:bCs/>
          <w:spacing w:val="-6"/>
          <w:sz w:val="24"/>
          <w:highlight w:val="none"/>
        </w:rPr>
        <w:t>年  月  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ascii="宋体" w:hAnsi="宋体"/>
          <w:b/>
          <w:spacing w:val="-6"/>
          <w:sz w:val="24"/>
          <w:highlight w:val="none"/>
        </w:rPr>
      </w:pPr>
      <w:r>
        <w:rPr>
          <w:rFonts w:ascii="宋体" w:hAnsi="宋体"/>
          <w:b/>
          <w:spacing w:val="-6"/>
          <w:sz w:val="24"/>
          <w:highlight w:val="none"/>
        </w:rPr>
        <w:br w:type="page"/>
      </w:r>
      <w:r>
        <w:rPr>
          <w:rFonts w:ascii="宋体" w:hAnsi="宋体"/>
          <w:b/>
          <w:spacing w:val="-6"/>
          <w:sz w:val="24"/>
          <w:highlight w:val="none"/>
        </w:rPr>
        <w:t>法定代表人资格证明书</w:t>
      </w:r>
    </w:p>
    <w:p>
      <w:pPr>
        <w:spacing w:line="360" w:lineRule="auto"/>
        <w:jc w:val="center"/>
        <w:rPr>
          <w:rFonts w:hint="eastAsia" w:ascii="宋体" w:hAnsi="宋体"/>
          <w:b/>
          <w:spacing w:val="-6"/>
          <w:sz w:val="24"/>
          <w:highlight w:val="none"/>
        </w:rPr>
      </w:pPr>
    </w:p>
    <w:p>
      <w:pPr>
        <w:spacing w:line="360" w:lineRule="auto"/>
        <w:rPr>
          <w:rFonts w:hint="eastAsia" w:ascii="宋体" w:hAnsi="宋体"/>
          <w:bCs/>
          <w:spacing w:val="-6"/>
          <w:sz w:val="24"/>
          <w:highlight w:val="none"/>
        </w:rPr>
      </w:pPr>
      <w:r>
        <w:rPr>
          <w:rFonts w:hint="eastAsia" w:ascii="宋体" w:hAnsi="宋体"/>
          <w:bCs/>
          <w:spacing w:val="-6"/>
          <w:sz w:val="24"/>
          <w:highlight w:val="none"/>
        </w:rPr>
        <w:t>致：</w:t>
      </w:r>
      <w:r>
        <w:rPr>
          <w:rFonts w:hint="eastAsia" w:ascii="宋体" w:hAnsi="宋体"/>
          <w:bCs/>
          <w:spacing w:val="-6"/>
          <w:sz w:val="24"/>
          <w:highlight w:val="none"/>
          <w:lang w:eastAsia="zh-CN"/>
        </w:rPr>
        <w:t>衢州动力电池和储能研究院</w:t>
      </w:r>
      <w:r>
        <w:rPr>
          <w:rFonts w:hint="eastAsia" w:ascii="宋体" w:hAnsi="宋体"/>
          <w:bCs/>
          <w:spacing w:val="-6"/>
          <w:sz w:val="24"/>
          <w:highlight w:val="none"/>
        </w:rPr>
        <w:t>、</w:t>
      </w:r>
      <w:r>
        <w:rPr>
          <w:rFonts w:hint="eastAsia" w:ascii="宋体" w:hAnsi="宋体"/>
          <w:bCs/>
          <w:spacing w:val="-6"/>
          <w:sz w:val="24"/>
          <w:highlight w:val="none"/>
          <w:lang w:eastAsia="zh-CN"/>
        </w:rPr>
        <w:t>浙江五石中正工程咨询有限公司</w:t>
      </w:r>
      <w:r>
        <w:rPr>
          <w:rFonts w:hint="eastAsia" w:ascii="宋体" w:hAnsi="宋体"/>
          <w:bCs/>
          <w:spacing w:val="-6"/>
          <w:sz w:val="24"/>
          <w:highlight w:val="none"/>
        </w:rPr>
        <w:t>：</w:t>
      </w:r>
    </w:p>
    <w:p>
      <w:pPr>
        <w:spacing w:line="360" w:lineRule="auto"/>
        <w:ind w:firstLine="456" w:firstLineChars="200"/>
        <w:rPr>
          <w:rFonts w:hint="eastAsia" w:ascii="宋体" w:hAnsi="宋体"/>
          <w:bCs/>
          <w:spacing w:val="-6"/>
          <w:sz w:val="24"/>
          <w:highlight w:val="none"/>
        </w:rPr>
      </w:pPr>
      <w:r>
        <w:rPr>
          <w:rFonts w:hint="eastAsia" w:ascii="宋体" w:hAnsi="宋体"/>
          <w:bCs/>
          <w:spacing w:val="-6"/>
          <w:sz w:val="24"/>
          <w:highlight w:val="none"/>
        </w:rPr>
        <w:t>我</w:t>
      </w:r>
      <w:r>
        <w:rPr>
          <w:rFonts w:hint="eastAsia" w:ascii="宋体" w:hAnsi="宋体"/>
          <w:spacing w:val="-6"/>
          <w:sz w:val="24"/>
          <w:highlight w:val="none"/>
          <w:u w:val="single"/>
        </w:rPr>
        <w:t xml:space="preserve">                 </w:t>
      </w:r>
      <w:r>
        <w:rPr>
          <w:rFonts w:ascii="宋体" w:hAnsi="宋体"/>
          <w:bCs/>
          <w:spacing w:val="-6"/>
          <w:sz w:val="24"/>
          <w:highlight w:val="none"/>
        </w:rPr>
        <w:t>（姓名）系</w:t>
      </w:r>
      <w:r>
        <w:rPr>
          <w:rFonts w:hint="eastAsia" w:ascii="宋体" w:hAnsi="宋体"/>
          <w:spacing w:val="-6"/>
          <w:sz w:val="24"/>
          <w:highlight w:val="none"/>
          <w:u w:val="single"/>
        </w:rPr>
        <w:t xml:space="preserve">                            </w:t>
      </w:r>
      <w:r>
        <w:rPr>
          <w:rFonts w:hint="eastAsia" w:ascii="宋体" w:hAnsi="宋体"/>
          <w:bCs/>
          <w:spacing w:val="-6"/>
          <w:sz w:val="24"/>
          <w:highlight w:val="none"/>
        </w:rPr>
        <w:t>（投标人名称）</w:t>
      </w:r>
      <w:r>
        <w:rPr>
          <w:rFonts w:ascii="宋体" w:hAnsi="宋体"/>
          <w:bCs/>
          <w:spacing w:val="-6"/>
          <w:sz w:val="24"/>
          <w:highlight w:val="none"/>
        </w:rPr>
        <w:t>的法定代表人，身份证号</w:t>
      </w:r>
      <w:r>
        <w:rPr>
          <w:rFonts w:hint="eastAsia" w:ascii="宋体" w:hAnsi="宋体"/>
          <w:bCs/>
          <w:spacing w:val="-6"/>
          <w:sz w:val="24"/>
          <w:highlight w:val="none"/>
        </w:rPr>
        <w:t>：</w:t>
      </w:r>
      <w:r>
        <w:rPr>
          <w:rFonts w:hint="eastAsia" w:ascii="宋体" w:hAnsi="宋体"/>
          <w:spacing w:val="-6"/>
          <w:sz w:val="24"/>
          <w:highlight w:val="none"/>
          <w:u w:val="single"/>
        </w:rPr>
        <w:t xml:space="preserve">                                     </w:t>
      </w:r>
      <w:r>
        <w:rPr>
          <w:rFonts w:ascii="宋体" w:hAnsi="宋体"/>
          <w:bCs/>
          <w:spacing w:val="-6"/>
          <w:sz w:val="24"/>
          <w:highlight w:val="none"/>
        </w:rPr>
        <w:t>。</w:t>
      </w:r>
    </w:p>
    <w:p>
      <w:pPr>
        <w:spacing w:line="360" w:lineRule="auto"/>
        <w:ind w:firstLine="456" w:firstLineChars="200"/>
        <w:rPr>
          <w:rFonts w:hint="eastAsia" w:ascii="宋体" w:hAnsi="宋体"/>
          <w:bCs/>
          <w:spacing w:val="-6"/>
          <w:sz w:val="24"/>
          <w:highlight w:val="none"/>
        </w:rPr>
      </w:pPr>
      <w:r>
        <w:rPr>
          <w:rFonts w:ascii="宋体" w:hAnsi="宋体"/>
          <w:bCs/>
          <w:spacing w:val="-6"/>
          <w:sz w:val="24"/>
          <w:highlight w:val="none"/>
        </w:rPr>
        <w:t>特此证明。</w:t>
      </w:r>
    </w:p>
    <w:p>
      <w:pPr>
        <w:spacing w:line="360" w:lineRule="auto"/>
        <w:rPr>
          <w:rFonts w:hint="eastAsia" w:ascii="宋体" w:hAnsi="宋体"/>
          <w:bCs/>
          <w:spacing w:val="-6"/>
          <w:sz w:val="24"/>
          <w:highlight w:val="none"/>
        </w:rPr>
      </w:pP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9498" w:type="dxa"/>
            <w:noWrap w:val="0"/>
            <w:vAlign w:val="top"/>
          </w:tcPr>
          <w:p>
            <w:pPr>
              <w:rPr>
                <w:rFonts w:hint="eastAsia" w:ascii="宋体" w:hAnsi="宋体"/>
                <w:sz w:val="24"/>
                <w:highlight w:val="none"/>
              </w:rPr>
            </w:pPr>
            <w:r>
              <w:rPr>
                <w:rFonts w:hint="eastAsia" w:ascii="新宋体" w:hAnsi="新宋体" w:eastAsia="新宋体"/>
                <w:sz w:val="24"/>
                <w:highlight w:val="none"/>
              </w:rPr>
              <w:t>法定代表人</w:t>
            </w:r>
            <w:r>
              <w:rPr>
                <w:rFonts w:hint="eastAsia" w:ascii="宋体" w:hAnsi="宋体"/>
                <w:sz w:val="24"/>
                <w:highlight w:val="none"/>
              </w:rPr>
              <w:t>身份证：</w:t>
            </w:r>
          </w:p>
          <w:p>
            <w:pPr>
              <w:rPr>
                <w:rFonts w:hint="eastAsia" w:ascii="宋体" w:hAnsi="宋体"/>
                <w:sz w:val="24"/>
                <w:highlight w:val="none"/>
              </w:rPr>
            </w:pPr>
          </w:p>
          <w:p>
            <w:pPr>
              <w:rPr>
                <w:rFonts w:hint="eastAsia" w:ascii="宋体" w:hAnsi="宋体"/>
                <w:sz w:val="24"/>
                <w:highlight w:val="none"/>
              </w:rPr>
            </w:pPr>
          </w:p>
          <w:p>
            <w:pPr>
              <w:rPr>
                <w:rFonts w:hint="eastAsia" w:ascii="宋体" w:hAnsi="宋体"/>
                <w:sz w:val="24"/>
                <w:highlight w:val="none"/>
              </w:rPr>
            </w:pPr>
          </w:p>
          <w:p>
            <w:pPr>
              <w:rPr>
                <w:rFonts w:hint="eastAsia" w:ascii="宋体" w:hAnsi="宋体"/>
                <w:sz w:val="24"/>
                <w:highlight w:val="none"/>
              </w:rPr>
            </w:pPr>
          </w:p>
          <w:p>
            <w:pPr>
              <w:rPr>
                <w:rFonts w:hint="eastAsia" w:ascii="宋体" w:hAnsi="宋体"/>
                <w:sz w:val="24"/>
                <w:highlight w:val="none"/>
              </w:rPr>
            </w:pPr>
            <w:r>
              <w:rPr>
                <w:rFonts w:hint="eastAsia" w:ascii="宋体" w:hAnsi="宋体"/>
                <w:sz w:val="24"/>
                <w:highlight w:val="none"/>
              </w:rPr>
              <w:t>复印件粘贴处</w:t>
            </w:r>
          </w:p>
        </w:tc>
      </w:tr>
    </w:tbl>
    <w:p>
      <w:pPr>
        <w:spacing w:line="360" w:lineRule="auto"/>
        <w:rPr>
          <w:rFonts w:hint="eastAsia" w:ascii="宋体" w:hAnsi="宋体"/>
          <w:bCs/>
          <w:spacing w:val="-6"/>
          <w:sz w:val="24"/>
          <w:highlight w:val="none"/>
        </w:rPr>
      </w:pPr>
    </w:p>
    <w:p>
      <w:pPr>
        <w:spacing w:line="360" w:lineRule="auto"/>
        <w:ind w:right="456"/>
        <w:rPr>
          <w:rFonts w:hint="eastAsia" w:ascii="宋体" w:hAnsi="宋体"/>
          <w:b/>
          <w:bCs/>
          <w:spacing w:val="-6"/>
          <w:sz w:val="24"/>
          <w:highlight w:val="none"/>
        </w:rPr>
      </w:pPr>
    </w:p>
    <w:p>
      <w:pPr>
        <w:spacing w:line="360" w:lineRule="auto"/>
        <w:ind w:right="456"/>
        <w:rPr>
          <w:rFonts w:ascii="宋体" w:hAnsi="宋体"/>
          <w:spacing w:val="-6"/>
          <w:sz w:val="24"/>
          <w:highlight w:val="none"/>
        </w:rPr>
      </w:pPr>
      <w:r>
        <w:rPr>
          <w:rFonts w:hint="eastAsia" w:ascii="宋体" w:hAnsi="宋体"/>
          <w:spacing w:val="-6"/>
          <w:sz w:val="24"/>
          <w:highlight w:val="none"/>
        </w:rPr>
        <w:t>投标人名称（盖章）：</w:t>
      </w:r>
    </w:p>
    <w:p>
      <w:pPr>
        <w:spacing w:line="360" w:lineRule="auto"/>
        <w:ind w:right="456"/>
        <w:rPr>
          <w:rFonts w:hint="eastAsia" w:ascii="宋体" w:hAnsi="宋体"/>
          <w:spacing w:val="-6"/>
          <w:sz w:val="24"/>
          <w:highlight w:val="none"/>
        </w:rPr>
      </w:pPr>
      <w:r>
        <w:rPr>
          <w:rFonts w:hint="eastAsia" w:ascii="宋体" w:hAnsi="宋体"/>
          <w:bCs/>
          <w:spacing w:val="-6"/>
          <w:sz w:val="24"/>
          <w:highlight w:val="none"/>
        </w:rPr>
        <w:t xml:space="preserve">日期：  </w:t>
      </w:r>
      <w:r>
        <w:rPr>
          <w:rFonts w:ascii="宋体" w:hAnsi="宋体"/>
          <w:bCs/>
          <w:spacing w:val="-6"/>
          <w:sz w:val="24"/>
          <w:highlight w:val="none"/>
        </w:rPr>
        <w:t xml:space="preserve">  </w:t>
      </w:r>
      <w:r>
        <w:rPr>
          <w:rFonts w:hint="eastAsia" w:ascii="宋体" w:hAnsi="宋体"/>
          <w:bCs/>
          <w:spacing w:val="-6"/>
          <w:sz w:val="24"/>
          <w:highlight w:val="none"/>
        </w:rPr>
        <w:t>年  月  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ascii="宋体" w:hAnsi="宋体"/>
          <w:b/>
          <w:spacing w:val="-6"/>
          <w:sz w:val="24"/>
          <w:highlight w:val="none"/>
        </w:rPr>
      </w:pPr>
      <w:r>
        <w:rPr>
          <w:rFonts w:ascii="宋体" w:hAnsi="宋体"/>
          <w:b/>
          <w:spacing w:val="-6"/>
          <w:sz w:val="24"/>
          <w:highlight w:val="none"/>
        </w:rPr>
        <w:br w:type="page"/>
      </w:r>
      <w:r>
        <w:rPr>
          <w:rFonts w:hint="eastAsia" w:ascii="宋体" w:hAnsi="宋体" w:eastAsia="宋体" w:cs="Times New Roman"/>
          <w:b/>
          <w:spacing w:val="-6"/>
          <w:sz w:val="24"/>
          <w:highlight w:val="none"/>
        </w:rPr>
        <w:t>法定代表人授权委托书</w:t>
      </w:r>
    </w:p>
    <w:p>
      <w:pPr>
        <w:spacing w:line="360" w:lineRule="auto"/>
        <w:jc w:val="center"/>
        <w:rPr>
          <w:rFonts w:hint="eastAsia" w:ascii="宋体" w:hAnsi="宋体"/>
          <w:b/>
          <w:bCs/>
          <w:spacing w:val="-6"/>
          <w:sz w:val="24"/>
          <w:highlight w:val="none"/>
        </w:rPr>
      </w:pPr>
    </w:p>
    <w:p>
      <w:pPr>
        <w:spacing w:line="360" w:lineRule="auto"/>
        <w:rPr>
          <w:rFonts w:hint="eastAsia" w:ascii="宋体" w:hAnsi="宋体"/>
          <w:b/>
          <w:bCs/>
          <w:spacing w:val="-6"/>
          <w:sz w:val="24"/>
          <w:highlight w:val="none"/>
        </w:rPr>
      </w:pPr>
      <w:r>
        <w:rPr>
          <w:rFonts w:hint="eastAsia" w:ascii="宋体" w:hAnsi="宋体"/>
          <w:bCs/>
          <w:spacing w:val="-6"/>
          <w:sz w:val="24"/>
          <w:highlight w:val="none"/>
        </w:rPr>
        <w:t>致：</w:t>
      </w:r>
      <w:r>
        <w:rPr>
          <w:rFonts w:hint="eastAsia" w:ascii="宋体" w:hAnsi="宋体"/>
          <w:bCs/>
          <w:spacing w:val="-6"/>
          <w:sz w:val="24"/>
          <w:highlight w:val="none"/>
          <w:lang w:eastAsia="zh-CN"/>
        </w:rPr>
        <w:t>衢州动力电池和储能研究院</w:t>
      </w:r>
      <w:r>
        <w:rPr>
          <w:rFonts w:hint="eastAsia" w:ascii="宋体" w:hAnsi="宋体"/>
          <w:bCs/>
          <w:spacing w:val="-6"/>
          <w:sz w:val="24"/>
          <w:highlight w:val="none"/>
        </w:rPr>
        <w:t>、</w:t>
      </w:r>
      <w:r>
        <w:rPr>
          <w:rFonts w:hint="eastAsia" w:ascii="宋体" w:hAnsi="宋体"/>
          <w:bCs/>
          <w:spacing w:val="-6"/>
          <w:sz w:val="24"/>
          <w:highlight w:val="none"/>
          <w:lang w:eastAsia="zh-CN"/>
        </w:rPr>
        <w:t>浙江五石中正工程咨询有限公司</w:t>
      </w:r>
      <w:r>
        <w:rPr>
          <w:rFonts w:hint="eastAsia" w:ascii="宋体" w:hAnsi="宋体"/>
          <w:spacing w:val="-6"/>
          <w:sz w:val="24"/>
          <w:highlight w:val="none"/>
        </w:rPr>
        <w:t>：</w:t>
      </w:r>
    </w:p>
    <w:p>
      <w:pPr>
        <w:spacing w:line="360" w:lineRule="auto"/>
        <w:ind w:firstLine="456" w:firstLineChars="200"/>
        <w:rPr>
          <w:rFonts w:hint="eastAsia" w:ascii="宋体" w:hAnsi="宋体"/>
          <w:spacing w:val="-6"/>
          <w:sz w:val="24"/>
          <w:highlight w:val="none"/>
        </w:rPr>
      </w:pPr>
      <w:r>
        <w:rPr>
          <w:rFonts w:hint="eastAsia" w:ascii="宋体" w:hAnsi="宋体"/>
          <w:spacing w:val="-6"/>
          <w:sz w:val="24"/>
          <w:highlight w:val="none"/>
        </w:rPr>
        <w:t xml:space="preserve">我 </w:t>
      </w:r>
      <w:r>
        <w:rPr>
          <w:rFonts w:hint="eastAsia" w:ascii="宋体" w:hAnsi="宋体"/>
          <w:spacing w:val="-6"/>
          <w:sz w:val="24"/>
          <w:highlight w:val="none"/>
          <w:u w:val="single"/>
        </w:rPr>
        <w:t xml:space="preserve">              </w:t>
      </w:r>
      <w:r>
        <w:rPr>
          <w:rFonts w:hint="eastAsia" w:ascii="宋体" w:hAnsi="宋体"/>
          <w:spacing w:val="-6"/>
          <w:sz w:val="24"/>
          <w:highlight w:val="none"/>
        </w:rPr>
        <w:t xml:space="preserve">（姓名）系 </w:t>
      </w:r>
      <w:r>
        <w:rPr>
          <w:rFonts w:hint="eastAsia" w:ascii="宋体" w:hAnsi="宋体"/>
          <w:spacing w:val="-6"/>
          <w:sz w:val="24"/>
          <w:highlight w:val="none"/>
          <w:u w:val="single"/>
        </w:rPr>
        <w:t xml:space="preserve">                             </w:t>
      </w:r>
      <w:r>
        <w:rPr>
          <w:rFonts w:hint="eastAsia" w:ascii="宋体" w:hAnsi="宋体"/>
          <w:spacing w:val="-6"/>
          <w:sz w:val="24"/>
          <w:highlight w:val="none"/>
        </w:rPr>
        <w:t>（投标人名称）的法定代表人，现授权委托本单位在职职工：</w:t>
      </w:r>
      <w:r>
        <w:rPr>
          <w:rFonts w:hint="eastAsia" w:ascii="宋体" w:hAnsi="宋体"/>
          <w:spacing w:val="-6"/>
          <w:sz w:val="24"/>
          <w:highlight w:val="none"/>
          <w:u w:val="single"/>
        </w:rPr>
        <w:t xml:space="preserve">        </w:t>
      </w:r>
      <w:r>
        <w:rPr>
          <w:rFonts w:hint="eastAsia" w:ascii="宋体" w:hAnsi="宋体"/>
          <w:spacing w:val="-6"/>
          <w:sz w:val="24"/>
          <w:highlight w:val="none"/>
        </w:rPr>
        <w:t>（姓名），身份证号码：</w:t>
      </w:r>
      <w:r>
        <w:rPr>
          <w:rFonts w:hint="eastAsia" w:ascii="宋体" w:hAnsi="宋体"/>
          <w:spacing w:val="-6"/>
          <w:sz w:val="24"/>
          <w:highlight w:val="none"/>
          <w:u w:val="single"/>
        </w:rPr>
        <w:t xml:space="preserve">                            </w:t>
      </w:r>
      <w:r>
        <w:rPr>
          <w:rFonts w:hint="eastAsia" w:ascii="宋体" w:hAnsi="宋体"/>
          <w:spacing w:val="-6"/>
          <w:sz w:val="24"/>
          <w:highlight w:val="none"/>
        </w:rPr>
        <w:t>以我方的名义参加</w:t>
      </w:r>
      <w:r>
        <w:rPr>
          <w:rFonts w:hint="eastAsia" w:ascii="宋体" w:hAnsi="宋体"/>
          <w:bCs/>
          <w:spacing w:val="-6"/>
          <w:sz w:val="24"/>
          <w:highlight w:val="none"/>
          <w:u w:val="single"/>
          <w:lang w:eastAsia="zh-CN"/>
        </w:rPr>
        <w:t>衢州动力电池和储能研究院高能比硫化物全固态电池自动孵化线</w:t>
      </w:r>
      <w:r>
        <w:rPr>
          <w:rFonts w:hint="eastAsia" w:ascii="宋体" w:hAnsi="宋体"/>
          <w:spacing w:val="-6"/>
          <w:sz w:val="24"/>
          <w:highlight w:val="none"/>
        </w:rPr>
        <w:t>的投标活动，并代表我方全权办理针对上述项目的投标、开标、评标、签约等具体事务和签署相关文件。</w:t>
      </w:r>
    </w:p>
    <w:p>
      <w:pPr>
        <w:spacing w:line="360" w:lineRule="auto"/>
        <w:ind w:firstLine="456" w:firstLineChars="200"/>
        <w:rPr>
          <w:rFonts w:hint="eastAsia" w:ascii="宋体" w:hAnsi="宋体"/>
          <w:spacing w:val="-6"/>
          <w:sz w:val="24"/>
          <w:highlight w:val="none"/>
        </w:rPr>
      </w:pPr>
      <w:r>
        <w:rPr>
          <w:rFonts w:hint="eastAsia" w:ascii="宋体" w:hAnsi="宋体"/>
          <w:spacing w:val="-6"/>
          <w:sz w:val="24"/>
          <w:highlight w:val="none"/>
        </w:rPr>
        <w:t>我方对被授权人的签名负全部责任。</w:t>
      </w:r>
    </w:p>
    <w:p>
      <w:pPr>
        <w:spacing w:line="360" w:lineRule="auto"/>
        <w:ind w:firstLine="456" w:firstLineChars="200"/>
        <w:rPr>
          <w:rFonts w:hint="eastAsia" w:ascii="宋体" w:hAnsi="宋体"/>
          <w:spacing w:val="-6"/>
          <w:sz w:val="24"/>
          <w:highlight w:val="none"/>
        </w:rPr>
      </w:pPr>
      <w:r>
        <w:rPr>
          <w:rFonts w:hint="eastAsia" w:ascii="宋体" w:hAnsi="宋体"/>
          <w:spacing w:val="-6"/>
          <w:sz w:val="24"/>
          <w:highlight w:val="none"/>
        </w:rPr>
        <w:t>在撤销授权的书面通知以前，本授权书一直有效。被授权人在授权书有效期内签署的所有文件不因授权的撤销而失效。</w:t>
      </w:r>
    </w:p>
    <w:p>
      <w:pPr>
        <w:spacing w:line="360" w:lineRule="auto"/>
        <w:ind w:firstLine="456" w:firstLineChars="200"/>
        <w:rPr>
          <w:rFonts w:hint="eastAsia" w:ascii="宋体" w:hAnsi="宋体"/>
          <w:spacing w:val="-6"/>
          <w:sz w:val="24"/>
          <w:highlight w:val="none"/>
        </w:rPr>
      </w:pPr>
      <w:r>
        <w:rPr>
          <w:rFonts w:hint="eastAsia" w:ascii="宋体" w:hAnsi="宋体"/>
          <w:spacing w:val="-6"/>
          <w:sz w:val="24"/>
          <w:highlight w:val="none"/>
        </w:rPr>
        <w:t>被授权人无转委托权，特此委托。</w:t>
      </w:r>
    </w:p>
    <w:p>
      <w:pPr>
        <w:spacing w:line="360" w:lineRule="auto"/>
        <w:ind w:firstLine="424" w:firstLineChars="186"/>
        <w:rPr>
          <w:rFonts w:hint="eastAsia" w:ascii="宋体" w:hAnsi="宋体"/>
          <w:spacing w:val="-6"/>
          <w:sz w:val="24"/>
          <w:highlight w:val="none"/>
        </w:rPr>
      </w:pPr>
    </w:p>
    <w:p>
      <w:pPr>
        <w:spacing w:line="360" w:lineRule="auto"/>
        <w:ind w:firstLine="424" w:firstLineChars="186"/>
        <w:rPr>
          <w:rFonts w:hint="eastAsia" w:ascii="宋体" w:hAnsi="宋体"/>
          <w:spacing w:val="-6"/>
          <w:sz w:val="24"/>
          <w:highlight w:val="none"/>
          <w:u w:val="single"/>
        </w:rPr>
      </w:pPr>
      <w:r>
        <w:rPr>
          <w:rFonts w:hint="eastAsia" w:ascii="宋体" w:hAnsi="宋体"/>
          <w:spacing w:val="-6"/>
          <w:sz w:val="24"/>
          <w:highlight w:val="none"/>
        </w:rPr>
        <w:t>法定代表人（签字或盖章）：</w:t>
      </w:r>
      <w:r>
        <w:rPr>
          <w:rFonts w:hint="eastAsia" w:ascii="宋体" w:hAnsi="宋体"/>
          <w:spacing w:val="-6"/>
          <w:sz w:val="24"/>
          <w:highlight w:val="none"/>
          <w:u w:val="single"/>
        </w:rPr>
        <w:t xml:space="preserve">                      </w:t>
      </w:r>
    </w:p>
    <w:p>
      <w:pPr>
        <w:spacing w:line="360" w:lineRule="auto"/>
        <w:ind w:firstLine="424" w:firstLineChars="186"/>
        <w:rPr>
          <w:rFonts w:hint="eastAsia" w:ascii="宋体" w:hAnsi="宋体"/>
          <w:spacing w:val="-6"/>
          <w:sz w:val="24"/>
          <w:highlight w:val="none"/>
        </w:rPr>
      </w:pPr>
    </w:p>
    <w:p>
      <w:pPr>
        <w:spacing w:line="360" w:lineRule="auto"/>
        <w:rPr>
          <w:rFonts w:hint="eastAsia" w:ascii="宋体" w:hAnsi="宋体"/>
          <w:spacing w:val="-6"/>
          <w:sz w:val="24"/>
          <w:highlight w:val="none"/>
        </w:rPr>
      </w:pPr>
      <w:r>
        <w:rPr>
          <w:rFonts w:hint="eastAsia" w:ascii="宋体" w:hAnsi="宋体"/>
          <w:spacing w:val="-6"/>
          <w:sz w:val="24"/>
          <w:highlight w:val="none"/>
        </w:rPr>
        <w:t>投标人名称（盖章）：</w:t>
      </w:r>
    </w:p>
    <w:p>
      <w:pPr>
        <w:spacing w:line="360" w:lineRule="auto"/>
        <w:rPr>
          <w:rFonts w:hint="eastAsia" w:ascii="宋体" w:hAnsi="宋体"/>
          <w:bCs/>
          <w:spacing w:val="-6"/>
          <w:sz w:val="24"/>
          <w:highlight w:val="none"/>
        </w:rPr>
      </w:pPr>
      <w:r>
        <w:rPr>
          <w:rFonts w:hint="eastAsia" w:ascii="宋体" w:hAnsi="宋体"/>
          <w:bCs/>
          <w:spacing w:val="-6"/>
          <w:sz w:val="24"/>
          <w:highlight w:val="none"/>
        </w:rPr>
        <w:t xml:space="preserve">日期：  </w:t>
      </w:r>
      <w:r>
        <w:rPr>
          <w:rFonts w:ascii="宋体" w:hAnsi="宋体"/>
          <w:bCs/>
          <w:spacing w:val="-6"/>
          <w:sz w:val="24"/>
          <w:highlight w:val="none"/>
        </w:rPr>
        <w:t xml:space="preserve">  </w:t>
      </w:r>
      <w:r>
        <w:rPr>
          <w:rFonts w:hint="eastAsia" w:ascii="宋体" w:hAnsi="宋体"/>
          <w:bCs/>
          <w:spacing w:val="-6"/>
          <w:sz w:val="24"/>
          <w:highlight w:val="none"/>
        </w:rPr>
        <w:t>年  月  日</w:t>
      </w:r>
    </w:p>
    <w:p>
      <w:pPr>
        <w:spacing w:line="360" w:lineRule="auto"/>
        <w:rPr>
          <w:rFonts w:hint="eastAsia" w:ascii="宋体" w:hAnsi="宋体"/>
          <w:spacing w:val="-6"/>
          <w:sz w:val="24"/>
          <w:highlight w:val="none"/>
        </w:rPr>
      </w:pP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7" w:hRule="atLeast"/>
        </w:trPr>
        <w:tc>
          <w:tcPr>
            <w:tcW w:w="9639" w:type="dxa"/>
            <w:noWrap w:val="0"/>
            <w:vAlign w:val="top"/>
          </w:tcPr>
          <w:p>
            <w:pPr>
              <w:rPr>
                <w:rFonts w:hint="eastAsia" w:ascii="宋体" w:hAnsi="宋体"/>
                <w:sz w:val="24"/>
                <w:highlight w:val="none"/>
              </w:rPr>
            </w:pPr>
            <w:r>
              <w:rPr>
                <w:rFonts w:hint="eastAsia" w:ascii="新宋体" w:hAnsi="新宋体" w:eastAsia="新宋体"/>
                <w:sz w:val="24"/>
                <w:highlight w:val="none"/>
              </w:rPr>
              <w:t>授权代表</w:t>
            </w:r>
            <w:r>
              <w:rPr>
                <w:rFonts w:hint="eastAsia" w:ascii="宋体" w:hAnsi="宋体"/>
                <w:sz w:val="24"/>
                <w:highlight w:val="none"/>
              </w:rPr>
              <w:t>身份证：</w:t>
            </w:r>
          </w:p>
          <w:p>
            <w:pPr>
              <w:rPr>
                <w:rFonts w:hint="eastAsia" w:ascii="宋体" w:hAnsi="宋体"/>
                <w:sz w:val="24"/>
                <w:highlight w:val="none"/>
              </w:rPr>
            </w:pPr>
          </w:p>
          <w:p>
            <w:pPr>
              <w:rPr>
                <w:rFonts w:hint="eastAsia" w:ascii="宋体" w:hAnsi="宋体"/>
                <w:sz w:val="24"/>
                <w:highlight w:val="none"/>
              </w:rPr>
            </w:pPr>
          </w:p>
          <w:p>
            <w:pPr>
              <w:rPr>
                <w:rFonts w:hint="eastAsia" w:ascii="宋体" w:hAnsi="宋体"/>
                <w:sz w:val="24"/>
                <w:highlight w:val="none"/>
              </w:rPr>
            </w:pPr>
          </w:p>
          <w:p>
            <w:pPr>
              <w:rPr>
                <w:rFonts w:hint="eastAsia" w:ascii="宋体" w:hAnsi="宋体"/>
                <w:sz w:val="24"/>
                <w:highlight w:val="none"/>
              </w:rPr>
            </w:pPr>
          </w:p>
          <w:p>
            <w:pPr>
              <w:rPr>
                <w:rFonts w:hint="eastAsia" w:ascii="宋体" w:hAnsi="宋体"/>
                <w:sz w:val="24"/>
                <w:highlight w:val="none"/>
              </w:rPr>
            </w:pPr>
            <w:r>
              <w:rPr>
                <w:rFonts w:hint="eastAsia" w:ascii="宋体" w:hAnsi="宋体"/>
                <w:sz w:val="24"/>
                <w:highlight w:val="none"/>
              </w:rPr>
              <w:t>复印件粘贴处</w:t>
            </w:r>
          </w:p>
        </w:tc>
      </w:tr>
    </w:tbl>
    <w:p>
      <w:pPr>
        <w:pStyle w:val="25"/>
        <w:spacing w:before="0" w:beforeLines="0" w:after="0" w:afterLines="0" w:line="360" w:lineRule="auto"/>
        <w:rPr>
          <w:rFonts w:hint="eastAsia" w:hAnsi="宋体"/>
          <w:b/>
          <w:spacing w:val="-6"/>
          <w:highlight w:val="none"/>
        </w:rPr>
      </w:pPr>
    </w:p>
    <w:p>
      <w:pPr>
        <w:spacing w:line="360" w:lineRule="auto"/>
        <w:rPr>
          <w:rFonts w:hint="eastAsia" w:ascii="宋体" w:hAnsi="宋体"/>
          <w:b/>
          <w:bCs/>
          <w:spacing w:val="-6"/>
          <w:sz w:val="21"/>
          <w:szCs w:val="21"/>
          <w:highlight w:val="none"/>
        </w:rPr>
      </w:pPr>
      <w:r>
        <w:rPr>
          <w:rFonts w:hint="eastAsia" w:ascii="宋体" w:hAnsi="宋体"/>
          <w:b/>
          <w:bCs/>
          <w:spacing w:val="-6"/>
          <w:sz w:val="21"/>
          <w:szCs w:val="21"/>
          <w:highlight w:val="none"/>
        </w:rPr>
        <w:t>说明：</w:t>
      </w:r>
    </w:p>
    <w:p>
      <w:pPr>
        <w:spacing w:line="360" w:lineRule="auto"/>
        <w:rPr>
          <w:rFonts w:hint="eastAsia" w:ascii="宋体" w:hAnsi="宋体"/>
          <w:b/>
          <w:bCs/>
          <w:spacing w:val="-6"/>
          <w:sz w:val="21"/>
          <w:szCs w:val="21"/>
          <w:highlight w:val="none"/>
        </w:rPr>
      </w:pPr>
      <w:r>
        <w:rPr>
          <w:rFonts w:hint="eastAsia" w:ascii="宋体" w:hAnsi="宋体"/>
          <w:b/>
          <w:bCs/>
          <w:spacing w:val="-6"/>
          <w:sz w:val="21"/>
          <w:szCs w:val="21"/>
          <w:highlight w:val="none"/>
        </w:rPr>
        <w:t>1、投标人的</w:t>
      </w:r>
      <w:r>
        <w:rPr>
          <w:rFonts w:ascii="宋体" w:hAnsi="宋体"/>
          <w:b/>
          <w:bCs/>
          <w:spacing w:val="-6"/>
          <w:sz w:val="21"/>
          <w:szCs w:val="21"/>
          <w:highlight w:val="none"/>
        </w:rPr>
        <w:t>法定代表人参加投标，须在投标文件中提供</w:t>
      </w:r>
      <w:r>
        <w:rPr>
          <w:rFonts w:hint="eastAsia" w:ascii="宋体" w:hAnsi="宋体"/>
          <w:b/>
          <w:bCs/>
          <w:spacing w:val="-6"/>
          <w:sz w:val="21"/>
          <w:szCs w:val="21"/>
          <w:highlight w:val="none"/>
        </w:rPr>
        <w:t>：</w:t>
      </w:r>
      <w:r>
        <w:rPr>
          <w:rFonts w:ascii="宋体" w:hAnsi="宋体"/>
          <w:b/>
          <w:bCs/>
          <w:spacing w:val="-6"/>
          <w:sz w:val="21"/>
          <w:szCs w:val="21"/>
          <w:highlight w:val="none"/>
        </w:rPr>
        <w:t>法定代表人资格证明</w:t>
      </w:r>
      <w:r>
        <w:rPr>
          <w:rFonts w:hint="eastAsia" w:ascii="宋体" w:hAnsi="宋体"/>
          <w:b/>
          <w:bCs/>
          <w:spacing w:val="-6"/>
          <w:sz w:val="21"/>
          <w:szCs w:val="21"/>
          <w:highlight w:val="none"/>
        </w:rPr>
        <w:t>书；</w:t>
      </w:r>
    </w:p>
    <w:p>
      <w:pPr>
        <w:spacing w:line="360" w:lineRule="auto"/>
        <w:rPr>
          <w:rFonts w:hint="eastAsia" w:ascii="宋体" w:hAnsi="宋体"/>
          <w:b/>
          <w:bCs/>
          <w:spacing w:val="-6"/>
          <w:sz w:val="21"/>
          <w:szCs w:val="21"/>
          <w:highlight w:val="none"/>
        </w:rPr>
      </w:pPr>
      <w:r>
        <w:rPr>
          <w:rFonts w:hint="eastAsia" w:ascii="宋体" w:hAnsi="宋体"/>
          <w:b/>
          <w:bCs/>
          <w:spacing w:val="-6"/>
          <w:sz w:val="21"/>
          <w:szCs w:val="21"/>
          <w:highlight w:val="none"/>
        </w:rPr>
        <w:t>2、投标人的法定代表人委托授权代表</w:t>
      </w:r>
      <w:r>
        <w:rPr>
          <w:rFonts w:ascii="宋体" w:hAnsi="宋体"/>
          <w:b/>
          <w:bCs/>
          <w:spacing w:val="-6"/>
          <w:sz w:val="21"/>
          <w:szCs w:val="21"/>
          <w:highlight w:val="none"/>
        </w:rPr>
        <w:t>参加投标，须在投标文件中提供</w:t>
      </w:r>
      <w:r>
        <w:rPr>
          <w:rFonts w:hint="eastAsia" w:ascii="宋体" w:hAnsi="宋体"/>
          <w:b/>
          <w:bCs/>
          <w:spacing w:val="-6"/>
          <w:sz w:val="21"/>
          <w:szCs w:val="21"/>
          <w:highlight w:val="none"/>
        </w:rPr>
        <w:t>：</w:t>
      </w:r>
      <w:r>
        <w:rPr>
          <w:rFonts w:ascii="宋体" w:hAnsi="宋体"/>
          <w:b/>
          <w:bCs/>
          <w:spacing w:val="-6"/>
          <w:sz w:val="21"/>
          <w:szCs w:val="21"/>
          <w:highlight w:val="none"/>
        </w:rPr>
        <w:t>法定代表人资格证明</w:t>
      </w:r>
      <w:r>
        <w:rPr>
          <w:rFonts w:hint="eastAsia" w:ascii="宋体" w:hAnsi="宋体"/>
          <w:b/>
          <w:bCs/>
          <w:spacing w:val="-6"/>
          <w:sz w:val="21"/>
          <w:szCs w:val="21"/>
          <w:highlight w:val="none"/>
        </w:rPr>
        <w:t>书和</w:t>
      </w:r>
      <w:r>
        <w:rPr>
          <w:rFonts w:ascii="宋体" w:hAnsi="宋体"/>
          <w:b/>
          <w:bCs/>
          <w:spacing w:val="-6"/>
          <w:sz w:val="21"/>
          <w:szCs w:val="21"/>
          <w:highlight w:val="none"/>
        </w:rPr>
        <w:t>法定代表人授权</w:t>
      </w:r>
      <w:r>
        <w:rPr>
          <w:rFonts w:hint="eastAsia" w:ascii="宋体" w:hAnsi="宋体"/>
          <w:b/>
          <w:bCs/>
          <w:spacing w:val="-6"/>
          <w:sz w:val="21"/>
          <w:szCs w:val="21"/>
          <w:highlight w:val="none"/>
        </w:rPr>
        <w:t>委托</w:t>
      </w:r>
      <w:r>
        <w:rPr>
          <w:rFonts w:ascii="宋体" w:hAnsi="宋体"/>
          <w:b/>
          <w:bCs/>
          <w:spacing w:val="-6"/>
          <w:sz w:val="21"/>
          <w:szCs w:val="21"/>
          <w:highlight w:val="none"/>
        </w:rPr>
        <w:t>书</w:t>
      </w:r>
      <w:r>
        <w:rPr>
          <w:rFonts w:hint="eastAsia" w:ascii="宋体" w:hAnsi="宋体"/>
          <w:b/>
          <w:bCs/>
          <w:spacing w:val="-6"/>
          <w:sz w:val="21"/>
          <w:szCs w:val="21"/>
          <w:highlight w:val="none"/>
        </w:rPr>
        <w:t>。</w:t>
      </w:r>
    </w:p>
    <w:p>
      <w:pPr>
        <w:rPr>
          <w:rFonts w:hint="eastAsia" w:ascii="宋体" w:hAnsi="宋体" w:eastAsia="宋体" w:cs="Times New Roman"/>
          <w:b/>
          <w:spacing w:val="-6"/>
          <w:sz w:val="24"/>
          <w:highlight w:val="none"/>
        </w:rPr>
      </w:pPr>
      <w:r>
        <w:rPr>
          <w:rFonts w:hint="eastAsia" w:ascii="宋体" w:hAnsi="宋体" w:eastAsia="宋体" w:cs="Times New Roman"/>
          <w:b/>
          <w:spacing w:val="-6"/>
          <w:sz w:val="24"/>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ascii="宋体" w:hAnsi="宋体" w:eastAsia="宋体" w:cs="Times New Roman"/>
          <w:b/>
          <w:spacing w:val="-6"/>
          <w:sz w:val="24"/>
          <w:highlight w:val="none"/>
        </w:rPr>
      </w:pPr>
      <w:r>
        <w:rPr>
          <w:rFonts w:hint="eastAsia" w:ascii="宋体" w:hAnsi="宋体" w:eastAsia="宋体" w:cs="Times New Roman"/>
          <w:b/>
          <w:spacing w:val="-6"/>
          <w:sz w:val="24"/>
          <w:highlight w:val="none"/>
        </w:rPr>
        <w:t>投标声明书</w:t>
      </w:r>
    </w:p>
    <w:p>
      <w:pPr>
        <w:spacing w:line="360" w:lineRule="auto"/>
        <w:rPr>
          <w:rFonts w:ascii="宋体" w:hAnsi="宋体"/>
          <w:spacing w:val="-6"/>
          <w:sz w:val="24"/>
          <w:highlight w:val="none"/>
        </w:rPr>
      </w:pPr>
      <w:r>
        <w:rPr>
          <w:rFonts w:hint="eastAsia" w:ascii="宋体" w:hAnsi="宋体"/>
          <w:spacing w:val="-6"/>
          <w:sz w:val="24"/>
          <w:highlight w:val="none"/>
        </w:rPr>
        <w:t>致：</w:t>
      </w:r>
      <w:r>
        <w:rPr>
          <w:rFonts w:hint="eastAsia" w:ascii="宋体" w:hAnsi="宋体"/>
          <w:spacing w:val="-6"/>
          <w:sz w:val="24"/>
          <w:highlight w:val="none"/>
          <w:lang w:eastAsia="zh-CN"/>
        </w:rPr>
        <w:t>浙江五石中正工程咨询有限公司</w:t>
      </w:r>
      <w:r>
        <w:rPr>
          <w:rFonts w:hint="eastAsia" w:ascii="宋体" w:hAnsi="宋体"/>
          <w:spacing w:val="-6"/>
          <w:sz w:val="24"/>
          <w:highlight w:val="none"/>
        </w:rPr>
        <w:t>：</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u w:val="single"/>
        </w:rPr>
        <w:t xml:space="preserve">                                   </w:t>
      </w:r>
      <w:r>
        <w:rPr>
          <w:rFonts w:hint="eastAsia" w:ascii="宋体" w:hAnsi="宋体"/>
          <w:spacing w:val="-6"/>
          <w:sz w:val="24"/>
          <w:highlight w:val="none"/>
        </w:rPr>
        <w:t>（投标人名称）系中华人民共和国合法企业，经营地址</w:t>
      </w:r>
      <w:r>
        <w:rPr>
          <w:rFonts w:hint="eastAsia" w:ascii="宋体" w:hAnsi="宋体"/>
          <w:spacing w:val="-6"/>
          <w:sz w:val="24"/>
          <w:highlight w:val="none"/>
          <w:u w:val="single"/>
        </w:rPr>
        <w:t xml:space="preserve">                               </w:t>
      </w:r>
      <w:r>
        <w:rPr>
          <w:rFonts w:hint="eastAsia" w:ascii="宋体" w:hAnsi="宋体"/>
          <w:spacing w:val="-6"/>
          <w:sz w:val="24"/>
          <w:highlight w:val="none"/>
        </w:rPr>
        <w:t>。</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我方愿意参加贵方组织的</w:t>
      </w:r>
      <w:r>
        <w:rPr>
          <w:rFonts w:hint="eastAsia" w:ascii="宋体" w:hAnsi="宋体"/>
          <w:spacing w:val="-6"/>
          <w:sz w:val="24"/>
          <w:highlight w:val="none"/>
          <w:lang w:eastAsia="zh-CN"/>
        </w:rPr>
        <w:t>衢州动力电池和储能研究院高能比硫化物全固态电池自动孵化线</w:t>
      </w:r>
      <w:r>
        <w:rPr>
          <w:rFonts w:hint="eastAsia" w:ascii="宋体" w:hAnsi="宋体"/>
          <w:spacing w:val="-6"/>
          <w:sz w:val="24"/>
          <w:highlight w:val="none"/>
        </w:rPr>
        <w:t>的投标，为便于贵方公正、择优地确定中标人及其投标产品和服务，我方就本次投标有关事项郑重声明如下：</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1</w:t>
      </w:r>
      <w:r>
        <w:rPr>
          <w:rFonts w:ascii="宋体" w:hAnsi="宋体"/>
          <w:spacing w:val="-6"/>
          <w:sz w:val="24"/>
          <w:highlight w:val="none"/>
        </w:rPr>
        <w:t>.</w:t>
      </w:r>
      <w:r>
        <w:rPr>
          <w:rFonts w:hint="eastAsia" w:ascii="宋体" w:hAnsi="宋体"/>
          <w:spacing w:val="-6"/>
          <w:sz w:val="24"/>
          <w:highlight w:val="none"/>
        </w:rPr>
        <w:t>我方向贵方提交的所有投标文件、资料都是准确的和真实的；</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2</w:t>
      </w:r>
      <w:r>
        <w:rPr>
          <w:rFonts w:ascii="宋体" w:hAnsi="宋体"/>
          <w:spacing w:val="-6"/>
          <w:sz w:val="24"/>
          <w:highlight w:val="none"/>
        </w:rPr>
        <w:t>.</w:t>
      </w:r>
      <w:r>
        <w:rPr>
          <w:rFonts w:hint="eastAsia" w:ascii="宋体" w:hAnsi="宋体"/>
          <w:spacing w:val="-6"/>
          <w:sz w:val="24"/>
          <w:highlight w:val="none"/>
        </w:rPr>
        <w:t>我方不是招标人的附属机构；在获知本项目采购信息后，与招标人聘请的为此项目提供咨询服务的公司及其附属机构没有任何联系。</w:t>
      </w:r>
    </w:p>
    <w:p>
      <w:pPr>
        <w:pStyle w:val="19"/>
        <w:spacing w:line="360" w:lineRule="auto"/>
        <w:ind w:firstLine="456" w:firstLineChars="200"/>
        <w:rPr>
          <w:rFonts w:hint="eastAsia" w:hAnsi="宋体"/>
          <w:spacing w:val="-6"/>
          <w:sz w:val="24"/>
          <w:szCs w:val="24"/>
          <w:highlight w:val="none"/>
        </w:rPr>
      </w:pPr>
      <w:r>
        <w:rPr>
          <w:rFonts w:hAnsi="宋体"/>
          <w:spacing w:val="-6"/>
          <w:sz w:val="24"/>
          <w:szCs w:val="24"/>
          <w:highlight w:val="none"/>
        </w:rPr>
        <w:t>3.我方</w:t>
      </w:r>
      <w:r>
        <w:rPr>
          <w:rFonts w:hint="eastAsia" w:hAnsi="宋体"/>
          <w:spacing w:val="-6"/>
          <w:sz w:val="24"/>
          <w:szCs w:val="24"/>
          <w:highlight w:val="none"/>
        </w:rPr>
        <w:t>在参加采购活动前3年内：</w:t>
      </w:r>
      <w:r>
        <w:rPr>
          <w:rFonts w:hint="eastAsia" w:hAnsi="宋体"/>
          <w:b/>
          <w:spacing w:val="-6"/>
          <w:sz w:val="24"/>
          <w:szCs w:val="24"/>
          <w:highlight w:val="none"/>
          <w:u w:val="single"/>
        </w:rPr>
        <w:t xml:space="preserve">      </w:t>
      </w:r>
      <w:r>
        <w:rPr>
          <w:rFonts w:hint="eastAsia" w:hAnsi="宋体"/>
          <w:b/>
          <w:spacing w:val="-6"/>
          <w:sz w:val="24"/>
          <w:szCs w:val="24"/>
          <w:highlight w:val="none"/>
        </w:rPr>
        <w:t>（填写“有”或“没有”，如实填写，如不填写视同未按要求填写）</w:t>
      </w:r>
      <w:r>
        <w:rPr>
          <w:rFonts w:hint="eastAsia" w:hAnsi="宋体"/>
          <w:spacing w:val="-6"/>
          <w:sz w:val="24"/>
          <w:szCs w:val="24"/>
          <w:highlight w:val="none"/>
        </w:rPr>
        <w:t>因违法经营被禁止在一定期限内参加采购活动,且期限未满的情形；</w:t>
      </w:r>
    </w:p>
    <w:p>
      <w:pPr>
        <w:pStyle w:val="19"/>
        <w:spacing w:line="360" w:lineRule="auto"/>
        <w:ind w:firstLine="456" w:firstLineChars="200"/>
        <w:rPr>
          <w:rFonts w:hAnsi="宋体"/>
          <w:spacing w:val="-6"/>
          <w:sz w:val="24"/>
          <w:szCs w:val="24"/>
          <w:highlight w:val="none"/>
        </w:rPr>
      </w:pPr>
      <w:r>
        <w:rPr>
          <w:rFonts w:hAnsi="宋体"/>
          <w:spacing w:val="-6"/>
          <w:sz w:val="24"/>
          <w:szCs w:val="24"/>
          <w:highlight w:val="none"/>
        </w:rPr>
        <w:t>4.以上事项如有虚假或隐瞒，我方愿意承担一切后果和责任。</w:t>
      </w:r>
    </w:p>
    <w:p>
      <w:pPr>
        <w:pStyle w:val="266"/>
        <w:spacing w:line="360" w:lineRule="auto"/>
        <w:rPr>
          <w:rFonts w:ascii="宋体" w:hAnsi="宋体"/>
          <w:spacing w:val="-6"/>
          <w:szCs w:val="24"/>
          <w:highlight w:val="none"/>
        </w:rPr>
      </w:pPr>
    </w:p>
    <w:p>
      <w:pPr>
        <w:pStyle w:val="266"/>
        <w:spacing w:line="360" w:lineRule="auto"/>
        <w:rPr>
          <w:rFonts w:hint="eastAsia" w:ascii="宋体" w:hAnsi="宋体"/>
          <w:spacing w:val="-6"/>
          <w:szCs w:val="24"/>
          <w:highlight w:val="none"/>
        </w:rPr>
      </w:pPr>
    </w:p>
    <w:p>
      <w:pPr>
        <w:spacing w:line="360" w:lineRule="auto"/>
        <w:rPr>
          <w:rFonts w:ascii="宋体" w:hAnsi="宋体"/>
          <w:spacing w:val="-6"/>
          <w:sz w:val="24"/>
          <w:highlight w:val="none"/>
        </w:rPr>
      </w:pPr>
      <w:r>
        <w:rPr>
          <w:rFonts w:hint="eastAsia" w:ascii="宋体" w:hAnsi="宋体"/>
          <w:spacing w:val="-6"/>
          <w:sz w:val="24"/>
          <w:highlight w:val="none"/>
        </w:rPr>
        <w:t>投标人名称（盖章）：</w:t>
      </w:r>
    </w:p>
    <w:p>
      <w:pPr>
        <w:spacing w:line="360" w:lineRule="auto"/>
        <w:rPr>
          <w:rFonts w:ascii="宋体" w:hAnsi="宋体"/>
          <w:spacing w:val="-6"/>
          <w:sz w:val="24"/>
          <w:highlight w:val="none"/>
        </w:rPr>
      </w:pPr>
      <w:r>
        <w:rPr>
          <w:rFonts w:hint="eastAsia" w:ascii="宋体" w:hAnsi="宋体"/>
          <w:spacing w:val="-6"/>
          <w:sz w:val="24"/>
          <w:highlight w:val="none"/>
        </w:rPr>
        <w:t>投标人代表签字：</w:t>
      </w:r>
    </w:p>
    <w:p>
      <w:pPr>
        <w:spacing w:line="360" w:lineRule="auto"/>
        <w:rPr>
          <w:rFonts w:hint="eastAsia" w:ascii="宋体" w:hAnsi="宋体"/>
          <w:spacing w:val="-6"/>
          <w:sz w:val="24"/>
          <w:highlight w:val="none"/>
        </w:rPr>
      </w:pPr>
      <w:r>
        <w:rPr>
          <w:rFonts w:hint="eastAsia" w:ascii="宋体" w:hAnsi="宋体"/>
          <w:bCs/>
          <w:spacing w:val="-6"/>
          <w:sz w:val="24"/>
          <w:highlight w:val="none"/>
        </w:rPr>
        <w:t xml:space="preserve">日期：  </w:t>
      </w:r>
      <w:r>
        <w:rPr>
          <w:rFonts w:ascii="宋体" w:hAnsi="宋体"/>
          <w:bCs/>
          <w:spacing w:val="-6"/>
          <w:sz w:val="24"/>
          <w:highlight w:val="none"/>
        </w:rPr>
        <w:t xml:space="preserve">  </w:t>
      </w:r>
      <w:r>
        <w:rPr>
          <w:rFonts w:hint="eastAsia" w:ascii="宋体" w:hAnsi="宋体"/>
          <w:bCs/>
          <w:spacing w:val="-6"/>
          <w:sz w:val="24"/>
          <w:highlight w:val="none"/>
        </w:rPr>
        <w:t>年  月  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ascii="宋体" w:hAnsi="宋体"/>
          <w:b/>
          <w:spacing w:val="-6"/>
          <w:sz w:val="24"/>
          <w:highlight w:val="none"/>
        </w:rPr>
      </w:pPr>
      <w:r>
        <w:rPr>
          <w:rFonts w:ascii="宋体" w:hAnsi="宋体"/>
          <w:b/>
          <w:spacing w:val="-6"/>
          <w:sz w:val="24"/>
          <w:highlight w:val="none"/>
        </w:rPr>
        <w:br w:type="page"/>
      </w:r>
      <w:r>
        <w:rPr>
          <w:rFonts w:hint="eastAsia" w:ascii="宋体" w:hAnsi="宋体" w:eastAsia="宋体" w:cs="Times New Roman"/>
          <w:b/>
          <w:spacing w:val="-6"/>
          <w:sz w:val="24"/>
          <w:highlight w:val="none"/>
        </w:rPr>
        <w:t>投标人一般情况</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384"/>
        <w:gridCol w:w="1921"/>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pPr>
              <w:spacing w:line="360" w:lineRule="auto"/>
              <w:jc w:val="center"/>
              <w:rPr>
                <w:rFonts w:hint="eastAsia" w:ascii="宋体" w:hAnsi="宋体"/>
                <w:spacing w:val="-6"/>
                <w:sz w:val="24"/>
                <w:highlight w:val="none"/>
              </w:rPr>
            </w:pPr>
            <w:r>
              <w:rPr>
                <w:rFonts w:hint="eastAsia" w:ascii="宋体" w:hAnsi="宋体"/>
                <w:spacing w:val="-6"/>
                <w:sz w:val="24"/>
                <w:highlight w:val="none"/>
              </w:rPr>
              <w:t>1</w:t>
            </w:r>
          </w:p>
        </w:tc>
        <w:tc>
          <w:tcPr>
            <w:tcW w:w="8763" w:type="dxa"/>
            <w:gridSpan w:val="3"/>
            <w:noWrap w:val="0"/>
            <w:vAlign w:val="center"/>
          </w:tcPr>
          <w:p>
            <w:pPr>
              <w:spacing w:line="360" w:lineRule="auto"/>
              <w:rPr>
                <w:rFonts w:hint="eastAsia" w:ascii="宋体" w:hAnsi="宋体"/>
                <w:spacing w:val="-6"/>
                <w:sz w:val="24"/>
                <w:highlight w:val="none"/>
              </w:rPr>
            </w:pPr>
            <w:r>
              <w:rPr>
                <w:rFonts w:hint="eastAsia" w:ascii="宋体" w:hAnsi="宋体"/>
                <w:spacing w:val="-6"/>
                <w:sz w:val="24"/>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pPr>
              <w:spacing w:line="360" w:lineRule="auto"/>
              <w:jc w:val="center"/>
              <w:rPr>
                <w:rFonts w:hint="eastAsia" w:ascii="宋体" w:hAnsi="宋体"/>
                <w:spacing w:val="-6"/>
                <w:sz w:val="24"/>
                <w:highlight w:val="none"/>
              </w:rPr>
            </w:pPr>
            <w:r>
              <w:rPr>
                <w:rFonts w:hint="eastAsia" w:ascii="宋体" w:hAnsi="宋体"/>
                <w:spacing w:val="-6"/>
                <w:sz w:val="24"/>
                <w:highlight w:val="none"/>
              </w:rPr>
              <w:t>2</w:t>
            </w:r>
          </w:p>
        </w:tc>
        <w:tc>
          <w:tcPr>
            <w:tcW w:w="8763" w:type="dxa"/>
            <w:gridSpan w:val="3"/>
            <w:noWrap w:val="0"/>
            <w:vAlign w:val="center"/>
          </w:tcPr>
          <w:p>
            <w:pPr>
              <w:spacing w:line="360" w:lineRule="auto"/>
              <w:rPr>
                <w:rFonts w:hint="eastAsia" w:ascii="宋体" w:hAnsi="宋体"/>
                <w:spacing w:val="-6"/>
                <w:sz w:val="24"/>
                <w:highlight w:val="none"/>
              </w:rPr>
            </w:pPr>
            <w:r>
              <w:rPr>
                <w:rFonts w:hint="eastAsia" w:ascii="宋体" w:hAnsi="宋体"/>
                <w:spacing w:val="-6"/>
                <w:sz w:val="24"/>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pPr>
              <w:spacing w:line="360" w:lineRule="auto"/>
              <w:jc w:val="center"/>
              <w:rPr>
                <w:rFonts w:hint="eastAsia" w:ascii="宋体" w:hAnsi="宋体"/>
                <w:spacing w:val="-6"/>
                <w:sz w:val="24"/>
                <w:highlight w:val="none"/>
              </w:rPr>
            </w:pPr>
            <w:r>
              <w:rPr>
                <w:rFonts w:hint="eastAsia" w:ascii="宋体" w:hAnsi="宋体"/>
                <w:spacing w:val="-6"/>
                <w:sz w:val="24"/>
                <w:highlight w:val="none"/>
              </w:rPr>
              <w:t>3</w:t>
            </w:r>
          </w:p>
        </w:tc>
        <w:tc>
          <w:tcPr>
            <w:tcW w:w="8763" w:type="dxa"/>
            <w:gridSpan w:val="3"/>
            <w:noWrap w:val="0"/>
            <w:vAlign w:val="center"/>
          </w:tcPr>
          <w:p>
            <w:pPr>
              <w:spacing w:line="360" w:lineRule="auto"/>
              <w:rPr>
                <w:rFonts w:hint="eastAsia" w:ascii="宋体" w:hAnsi="宋体"/>
                <w:spacing w:val="-6"/>
                <w:sz w:val="24"/>
                <w:highlight w:val="none"/>
              </w:rPr>
            </w:pPr>
            <w:r>
              <w:rPr>
                <w:rFonts w:hint="eastAsia" w:ascii="宋体" w:hAnsi="宋体"/>
                <w:spacing w:val="-6"/>
                <w:sz w:val="24"/>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pPr>
              <w:spacing w:line="360" w:lineRule="auto"/>
              <w:jc w:val="center"/>
              <w:rPr>
                <w:rFonts w:hint="eastAsia" w:ascii="宋体" w:hAnsi="宋体"/>
                <w:spacing w:val="-6"/>
                <w:sz w:val="24"/>
                <w:highlight w:val="none"/>
              </w:rPr>
            </w:pPr>
            <w:r>
              <w:rPr>
                <w:rFonts w:hint="eastAsia" w:ascii="宋体" w:hAnsi="宋体"/>
                <w:spacing w:val="-6"/>
                <w:sz w:val="24"/>
                <w:highlight w:val="none"/>
              </w:rPr>
              <w:t>4</w:t>
            </w:r>
          </w:p>
        </w:tc>
        <w:tc>
          <w:tcPr>
            <w:tcW w:w="4305" w:type="dxa"/>
            <w:gridSpan w:val="2"/>
            <w:noWrap w:val="0"/>
            <w:vAlign w:val="center"/>
          </w:tcPr>
          <w:p>
            <w:pPr>
              <w:spacing w:line="360" w:lineRule="auto"/>
              <w:rPr>
                <w:rFonts w:hint="eastAsia" w:ascii="宋体" w:hAnsi="宋体"/>
                <w:spacing w:val="-6"/>
                <w:sz w:val="24"/>
                <w:highlight w:val="none"/>
              </w:rPr>
            </w:pPr>
            <w:r>
              <w:rPr>
                <w:rFonts w:hint="eastAsia" w:ascii="宋体" w:hAnsi="宋体"/>
                <w:spacing w:val="-6"/>
                <w:sz w:val="24"/>
                <w:highlight w:val="none"/>
              </w:rPr>
              <w:t>联系人：</w:t>
            </w:r>
          </w:p>
        </w:tc>
        <w:tc>
          <w:tcPr>
            <w:tcW w:w="4458" w:type="dxa"/>
            <w:noWrap w:val="0"/>
            <w:vAlign w:val="center"/>
          </w:tcPr>
          <w:p>
            <w:pPr>
              <w:spacing w:line="360" w:lineRule="auto"/>
              <w:rPr>
                <w:rFonts w:hint="eastAsia" w:ascii="宋体" w:hAnsi="宋体"/>
                <w:spacing w:val="-6"/>
                <w:sz w:val="24"/>
                <w:highlight w:val="none"/>
              </w:rPr>
            </w:pPr>
            <w:r>
              <w:rPr>
                <w:rFonts w:hint="eastAsia" w:ascii="宋体" w:hAnsi="宋体"/>
                <w:spacing w:val="-6"/>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pPr>
              <w:spacing w:line="360" w:lineRule="auto"/>
              <w:jc w:val="center"/>
              <w:rPr>
                <w:rFonts w:hint="eastAsia" w:ascii="宋体" w:hAnsi="宋体"/>
                <w:spacing w:val="-6"/>
                <w:sz w:val="24"/>
                <w:highlight w:val="none"/>
              </w:rPr>
            </w:pPr>
            <w:r>
              <w:rPr>
                <w:rFonts w:hint="eastAsia" w:ascii="宋体" w:hAnsi="宋体"/>
                <w:spacing w:val="-6"/>
                <w:sz w:val="24"/>
                <w:highlight w:val="none"/>
              </w:rPr>
              <w:t>5</w:t>
            </w:r>
          </w:p>
        </w:tc>
        <w:tc>
          <w:tcPr>
            <w:tcW w:w="4305" w:type="dxa"/>
            <w:gridSpan w:val="2"/>
            <w:noWrap w:val="0"/>
            <w:vAlign w:val="center"/>
          </w:tcPr>
          <w:p>
            <w:pPr>
              <w:spacing w:line="360" w:lineRule="auto"/>
              <w:rPr>
                <w:rFonts w:hint="eastAsia" w:ascii="宋体" w:hAnsi="宋体"/>
                <w:spacing w:val="-6"/>
                <w:sz w:val="24"/>
                <w:highlight w:val="none"/>
              </w:rPr>
            </w:pPr>
            <w:r>
              <w:rPr>
                <w:rFonts w:hint="eastAsia" w:ascii="宋体" w:hAnsi="宋体"/>
                <w:spacing w:val="-6"/>
                <w:sz w:val="24"/>
                <w:highlight w:val="none"/>
              </w:rPr>
              <w:t>电子信箱：</w:t>
            </w:r>
          </w:p>
        </w:tc>
        <w:tc>
          <w:tcPr>
            <w:tcW w:w="4458" w:type="dxa"/>
            <w:noWrap w:val="0"/>
            <w:vAlign w:val="center"/>
          </w:tcPr>
          <w:p>
            <w:pPr>
              <w:spacing w:line="360" w:lineRule="auto"/>
              <w:rPr>
                <w:rFonts w:hint="eastAsia" w:ascii="宋体" w:hAnsi="宋体"/>
                <w:spacing w:val="-6"/>
                <w:sz w:val="24"/>
                <w:highlight w:val="none"/>
              </w:rPr>
            </w:pPr>
            <w:r>
              <w:rPr>
                <w:rFonts w:hint="eastAsia" w:ascii="宋体" w:hAnsi="宋体"/>
                <w:spacing w:val="-6"/>
                <w:sz w:val="24"/>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pPr>
              <w:spacing w:line="360" w:lineRule="auto"/>
              <w:jc w:val="center"/>
              <w:rPr>
                <w:rFonts w:hint="eastAsia" w:ascii="宋体" w:hAnsi="宋体"/>
                <w:spacing w:val="-6"/>
                <w:sz w:val="24"/>
                <w:highlight w:val="none"/>
              </w:rPr>
            </w:pPr>
            <w:r>
              <w:rPr>
                <w:rFonts w:hint="eastAsia" w:ascii="宋体" w:hAnsi="宋体"/>
                <w:spacing w:val="-6"/>
                <w:sz w:val="24"/>
                <w:highlight w:val="none"/>
              </w:rPr>
              <w:t>6</w:t>
            </w:r>
          </w:p>
        </w:tc>
        <w:tc>
          <w:tcPr>
            <w:tcW w:w="4305" w:type="dxa"/>
            <w:gridSpan w:val="2"/>
            <w:noWrap w:val="0"/>
            <w:vAlign w:val="center"/>
          </w:tcPr>
          <w:p>
            <w:pPr>
              <w:spacing w:line="360" w:lineRule="auto"/>
              <w:rPr>
                <w:rFonts w:hint="eastAsia" w:ascii="宋体" w:hAnsi="宋体"/>
                <w:spacing w:val="-6"/>
                <w:sz w:val="24"/>
                <w:highlight w:val="none"/>
              </w:rPr>
            </w:pPr>
            <w:r>
              <w:rPr>
                <w:rFonts w:hint="eastAsia" w:ascii="宋体" w:hAnsi="宋体"/>
                <w:spacing w:val="-6"/>
                <w:sz w:val="24"/>
                <w:highlight w:val="none"/>
              </w:rPr>
              <w:t>注册地：</w:t>
            </w:r>
          </w:p>
        </w:tc>
        <w:tc>
          <w:tcPr>
            <w:tcW w:w="4458" w:type="dxa"/>
            <w:noWrap w:val="0"/>
            <w:vAlign w:val="center"/>
          </w:tcPr>
          <w:p>
            <w:pPr>
              <w:spacing w:line="360" w:lineRule="auto"/>
              <w:rPr>
                <w:rFonts w:hint="eastAsia" w:ascii="宋体" w:hAnsi="宋体"/>
                <w:spacing w:val="-6"/>
                <w:sz w:val="24"/>
                <w:highlight w:val="none"/>
              </w:rPr>
            </w:pPr>
            <w:r>
              <w:rPr>
                <w:rFonts w:hint="eastAsia" w:ascii="宋体" w:hAnsi="宋体"/>
                <w:spacing w:val="-6"/>
                <w:sz w:val="24"/>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735" w:type="dxa"/>
            <w:noWrap w:val="0"/>
            <w:vAlign w:val="center"/>
          </w:tcPr>
          <w:p>
            <w:pPr>
              <w:spacing w:line="360" w:lineRule="auto"/>
              <w:jc w:val="center"/>
              <w:rPr>
                <w:rFonts w:hint="eastAsia" w:ascii="宋体" w:hAnsi="宋体"/>
                <w:spacing w:val="-6"/>
                <w:sz w:val="24"/>
                <w:highlight w:val="none"/>
              </w:rPr>
            </w:pPr>
            <w:r>
              <w:rPr>
                <w:rFonts w:hint="eastAsia" w:ascii="宋体" w:hAnsi="宋体"/>
                <w:spacing w:val="-6"/>
                <w:sz w:val="24"/>
                <w:highlight w:val="none"/>
              </w:rPr>
              <w:t>7</w:t>
            </w:r>
          </w:p>
        </w:tc>
        <w:tc>
          <w:tcPr>
            <w:tcW w:w="2384" w:type="dxa"/>
            <w:noWrap w:val="0"/>
            <w:vAlign w:val="center"/>
          </w:tcPr>
          <w:p>
            <w:pPr>
              <w:spacing w:line="360" w:lineRule="auto"/>
              <w:rPr>
                <w:rFonts w:hint="eastAsia" w:ascii="宋体" w:hAnsi="宋体"/>
                <w:spacing w:val="-6"/>
                <w:sz w:val="24"/>
                <w:highlight w:val="none"/>
              </w:rPr>
            </w:pPr>
            <w:r>
              <w:rPr>
                <w:rFonts w:hint="eastAsia" w:ascii="宋体" w:hAnsi="宋体"/>
                <w:spacing w:val="-6"/>
                <w:sz w:val="24"/>
                <w:highlight w:val="none"/>
              </w:rPr>
              <w:t>其他需要说明的情况</w:t>
            </w:r>
          </w:p>
        </w:tc>
        <w:tc>
          <w:tcPr>
            <w:tcW w:w="6379" w:type="dxa"/>
            <w:gridSpan w:val="2"/>
            <w:noWrap w:val="0"/>
            <w:vAlign w:val="center"/>
          </w:tcPr>
          <w:p>
            <w:pPr>
              <w:spacing w:line="360" w:lineRule="auto"/>
              <w:rPr>
                <w:rFonts w:hint="eastAsia" w:ascii="宋体" w:hAnsi="宋体"/>
                <w:spacing w:val="-6"/>
                <w:sz w:val="24"/>
                <w:highlight w:val="none"/>
              </w:rPr>
            </w:pPr>
          </w:p>
        </w:tc>
      </w:tr>
    </w:tbl>
    <w:p>
      <w:pPr>
        <w:spacing w:line="360" w:lineRule="auto"/>
        <w:rPr>
          <w:rFonts w:hint="eastAsia" w:ascii="宋体" w:hAnsi="宋体"/>
          <w:spacing w:val="-6"/>
          <w:sz w:val="24"/>
          <w:highlight w:val="none"/>
        </w:rPr>
      </w:pPr>
    </w:p>
    <w:p>
      <w:pPr>
        <w:spacing w:line="360" w:lineRule="auto"/>
        <w:rPr>
          <w:rFonts w:hint="eastAsia" w:ascii="宋体" w:hAnsi="宋体"/>
          <w:b/>
          <w:spacing w:val="-6"/>
          <w:sz w:val="24"/>
          <w:highlight w:val="none"/>
        </w:rPr>
      </w:pPr>
      <w:r>
        <w:rPr>
          <w:rFonts w:hint="eastAsia" w:ascii="宋体" w:hAnsi="宋体"/>
          <w:b/>
          <w:spacing w:val="-6"/>
          <w:sz w:val="24"/>
          <w:highlight w:val="none"/>
        </w:rPr>
        <w:t>说明：所有投标人都须填写此表。</w:t>
      </w:r>
    </w:p>
    <w:p>
      <w:pPr>
        <w:spacing w:line="360" w:lineRule="auto"/>
        <w:rPr>
          <w:rFonts w:hint="eastAsia" w:ascii="宋体" w:hAnsi="宋体"/>
          <w:spacing w:val="-6"/>
          <w:sz w:val="24"/>
          <w:highlight w:val="none"/>
        </w:rPr>
      </w:pPr>
    </w:p>
    <w:p>
      <w:pPr>
        <w:spacing w:line="360" w:lineRule="auto"/>
        <w:rPr>
          <w:rFonts w:hint="eastAsia" w:ascii="宋体" w:hAnsi="宋体"/>
          <w:spacing w:val="-6"/>
          <w:sz w:val="24"/>
          <w:highlight w:val="none"/>
        </w:rPr>
      </w:pPr>
    </w:p>
    <w:p>
      <w:pPr>
        <w:spacing w:line="360" w:lineRule="auto"/>
        <w:rPr>
          <w:rFonts w:hint="eastAsia" w:ascii="宋体" w:hAnsi="宋体"/>
          <w:spacing w:val="-6"/>
          <w:sz w:val="24"/>
          <w:highlight w:val="none"/>
        </w:rPr>
      </w:pPr>
      <w:r>
        <w:rPr>
          <w:rFonts w:hint="eastAsia" w:ascii="宋体" w:hAnsi="宋体"/>
          <w:spacing w:val="-6"/>
          <w:sz w:val="24"/>
          <w:highlight w:val="none"/>
        </w:rPr>
        <w:t>投标人名称（盖章）：</w:t>
      </w:r>
    </w:p>
    <w:p>
      <w:pPr>
        <w:spacing w:line="360" w:lineRule="auto"/>
        <w:rPr>
          <w:rFonts w:hint="eastAsia" w:ascii="宋体" w:hAnsi="宋体"/>
          <w:spacing w:val="-6"/>
          <w:sz w:val="24"/>
          <w:highlight w:val="none"/>
        </w:rPr>
      </w:pPr>
      <w:r>
        <w:rPr>
          <w:rFonts w:hint="eastAsia" w:ascii="宋体" w:hAnsi="宋体"/>
          <w:spacing w:val="-6"/>
          <w:sz w:val="24"/>
          <w:highlight w:val="none"/>
        </w:rPr>
        <w:t>投标人代表签字：</w:t>
      </w:r>
    </w:p>
    <w:p>
      <w:pPr>
        <w:spacing w:line="360" w:lineRule="auto"/>
        <w:rPr>
          <w:rFonts w:hint="eastAsia" w:ascii="宋体" w:hAnsi="宋体"/>
          <w:spacing w:val="-6"/>
          <w:sz w:val="24"/>
          <w:highlight w:val="none"/>
        </w:rPr>
      </w:pPr>
      <w:r>
        <w:rPr>
          <w:rFonts w:hint="eastAsia" w:ascii="宋体" w:hAnsi="宋体"/>
          <w:spacing w:val="-6"/>
          <w:sz w:val="24"/>
          <w:highlight w:val="none"/>
        </w:rPr>
        <w:t xml:space="preserve">日期：  </w:t>
      </w:r>
      <w:r>
        <w:rPr>
          <w:rFonts w:ascii="宋体" w:hAnsi="宋体"/>
          <w:spacing w:val="-6"/>
          <w:sz w:val="24"/>
          <w:highlight w:val="none"/>
        </w:rPr>
        <w:t xml:space="preserve">  </w:t>
      </w:r>
      <w:r>
        <w:rPr>
          <w:rFonts w:hint="eastAsia" w:ascii="宋体" w:hAnsi="宋体"/>
          <w:spacing w:val="-6"/>
          <w:sz w:val="24"/>
          <w:highlight w:val="none"/>
        </w:rPr>
        <w:t>年  月  日</w:t>
      </w:r>
    </w:p>
    <w:p>
      <w:pPr>
        <w:pStyle w:val="35"/>
        <w:spacing w:line="360" w:lineRule="auto"/>
        <w:ind w:left="0" w:firstLine="0" w:firstLineChars="0"/>
        <w:jc w:val="center"/>
        <w:rPr>
          <w:rFonts w:ascii="宋体" w:hAnsi="宋体"/>
          <w:b/>
          <w:spacing w:val="-6"/>
          <w:sz w:val="24"/>
          <w:highlight w:val="none"/>
        </w:rPr>
      </w:pPr>
      <w:r>
        <w:rPr>
          <w:rFonts w:ascii="宋体" w:hAnsi="宋体"/>
          <w:b/>
          <w:spacing w:val="-6"/>
          <w:sz w:val="24"/>
          <w:highlight w:val="none"/>
        </w:rPr>
        <w:br w:type="page"/>
      </w:r>
    </w:p>
    <w:p>
      <w:pPr>
        <w:keepNext w:val="0"/>
        <w:keepLines w:val="0"/>
        <w:pageBreakBefore w:val="0"/>
        <w:widowControl w:val="0"/>
        <w:kinsoku/>
        <w:wordWrap/>
        <w:overflowPunct/>
        <w:topLinePunct w:val="0"/>
        <w:autoSpaceDE/>
        <w:autoSpaceDN/>
        <w:bidi w:val="0"/>
        <w:adjustRightInd/>
        <w:snapToGrid w:val="0"/>
        <w:spacing w:before="50" w:after="120" w:afterLines="50"/>
        <w:jc w:val="center"/>
        <w:textAlignment w:val="auto"/>
        <w:outlineLvl w:val="1"/>
        <w:rPr>
          <w:rFonts w:hint="eastAsia" w:ascii="宋体" w:hAnsi="宋体"/>
          <w:b/>
          <w:spacing w:val="40"/>
          <w:kern w:val="0"/>
          <w:sz w:val="36"/>
          <w:szCs w:val="36"/>
          <w:highlight w:val="none"/>
        </w:rPr>
      </w:pPr>
      <w:r>
        <w:rPr>
          <w:rFonts w:hint="eastAsia" w:ascii="宋体" w:hAnsi="宋体"/>
          <w:b/>
          <w:spacing w:val="-6"/>
          <w:sz w:val="24"/>
          <w:highlight w:val="none"/>
        </w:rPr>
        <w:t>投标项目明细清单</w:t>
      </w:r>
    </w:p>
    <w:p>
      <w:pPr>
        <w:snapToGrid w:val="0"/>
        <w:spacing w:before="50" w:after="120" w:afterLines="50"/>
        <w:jc w:val="center"/>
        <w:rPr>
          <w:rFonts w:hint="eastAsia" w:ascii="宋体" w:hAnsi="宋体"/>
          <w:b/>
          <w:spacing w:val="40"/>
          <w:kern w:val="0"/>
          <w:sz w:val="36"/>
          <w:szCs w:val="36"/>
          <w:highlight w:val="none"/>
        </w:rPr>
      </w:pPr>
    </w:p>
    <w:p>
      <w:pPr>
        <w:pStyle w:val="14"/>
        <w:snapToGrid w:val="0"/>
        <w:rPr>
          <w:rFonts w:hint="eastAsia" w:ascii="宋体" w:hAnsi="宋体" w:eastAsia="宋体"/>
          <w:kern w:val="0"/>
          <w:sz w:val="24"/>
          <w:szCs w:val="24"/>
          <w:highlight w:val="none"/>
          <w:u w:val="single"/>
        </w:rPr>
      </w:pPr>
      <w:r>
        <w:rPr>
          <w:rFonts w:hint="eastAsia" w:ascii="宋体" w:hAnsi="宋体" w:eastAsia="宋体"/>
          <w:sz w:val="24"/>
          <w:szCs w:val="24"/>
          <w:highlight w:val="none"/>
        </w:rPr>
        <w:t>投标人全称（公章）：</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 xml:space="preserve">                </w:t>
      </w:r>
    </w:p>
    <w:tbl>
      <w:tblPr>
        <w:tblStyle w:val="48"/>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57"/>
        <w:gridCol w:w="1674"/>
        <w:gridCol w:w="1826"/>
        <w:gridCol w:w="1826"/>
        <w:gridCol w:w="25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85"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pacing w:val="-6"/>
                <w:sz w:val="24"/>
                <w:szCs w:val="24"/>
                <w:highlight w:val="none"/>
              </w:rPr>
            </w:pPr>
            <w:r>
              <w:rPr>
                <w:rFonts w:hint="eastAsia" w:ascii="宋体" w:hAnsi="宋体"/>
                <w:spacing w:val="-6"/>
                <w:sz w:val="24"/>
                <w:szCs w:val="24"/>
                <w:highlight w:val="none"/>
              </w:rPr>
              <w:t>序号</w:t>
            </w:r>
          </w:p>
        </w:tc>
        <w:tc>
          <w:tcPr>
            <w:tcW w:w="90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pacing w:val="-6"/>
                <w:sz w:val="24"/>
                <w:szCs w:val="24"/>
                <w:highlight w:val="none"/>
              </w:rPr>
            </w:pPr>
            <w:r>
              <w:rPr>
                <w:rFonts w:hint="eastAsia" w:ascii="宋体" w:hAnsi="宋体"/>
                <w:spacing w:val="-6"/>
                <w:sz w:val="24"/>
                <w:szCs w:val="24"/>
                <w:highlight w:val="none"/>
              </w:rPr>
              <w:t>名称</w:t>
            </w:r>
          </w:p>
        </w:tc>
        <w:tc>
          <w:tcPr>
            <w:tcW w:w="98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pacing w:val="-6"/>
                <w:sz w:val="24"/>
                <w:szCs w:val="24"/>
                <w:highlight w:val="none"/>
              </w:rPr>
            </w:pPr>
            <w:r>
              <w:rPr>
                <w:rFonts w:hint="eastAsia" w:ascii="宋体" w:hAnsi="宋体"/>
                <w:spacing w:val="-6"/>
                <w:sz w:val="24"/>
                <w:szCs w:val="24"/>
                <w:highlight w:val="none"/>
              </w:rPr>
              <w:t>品牌</w:t>
            </w:r>
          </w:p>
        </w:tc>
        <w:tc>
          <w:tcPr>
            <w:tcW w:w="98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pacing w:val="-6"/>
                <w:sz w:val="24"/>
                <w:szCs w:val="24"/>
                <w:highlight w:val="none"/>
              </w:rPr>
            </w:pPr>
            <w:r>
              <w:rPr>
                <w:rFonts w:hint="eastAsia" w:ascii="宋体" w:hAnsi="宋体"/>
                <w:spacing w:val="-6"/>
                <w:sz w:val="24"/>
                <w:szCs w:val="24"/>
                <w:highlight w:val="none"/>
              </w:rPr>
              <w:t>产地</w:t>
            </w:r>
          </w:p>
        </w:tc>
        <w:tc>
          <w:tcPr>
            <w:tcW w:w="134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pacing w:val="-6"/>
                <w:sz w:val="24"/>
                <w:szCs w:val="24"/>
                <w:highlight w:val="none"/>
              </w:rPr>
            </w:pPr>
            <w:r>
              <w:rPr>
                <w:rFonts w:hint="eastAsia" w:ascii="宋体" w:hAnsi="宋体"/>
                <w:spacing w:val="-6"/>
                <w:sz w:val="24"/>
                <w:szCs w:val="24"/>
                <w:highlight w:val="none"/>
              </w:rPr>
              <w:t>产品描述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85"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pacing w:val="-6"/>
                <w:sz w:val="24"/>
                <w:szCs w:val="24"/>
                <w:highlight w:val="none"/>
              </w:rPr>
            </w:pPr>
          </w:p>
        </w:tc>
        <w:tc>
          <w:tcPr>
            <w:tcW w:w="90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pacing w:val="-6"/>
                <w:sz w:val="24"/>
                <w:szCs w:val="24"/>
                <w:highlight w:val="none"/>
              </w:rPr>
            </w:pPr>
          </w:p>
        </w:tc>
        <w:tc>
          <w:tcPr>
            <w:tcW w:w="983"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spacing w:val="-6"/>
                <w:sz w:val="24"/>
                <w:szCs w:val="24"/>
                <w:highlight w:val="none"/>
              </w:rPr>
            </w:pPr>
          </w:p>
        </w:tc>
        <w:tc>
          <w:tcPr>
            <w:tcW w:w="98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pacing w:val="-6"/>
                <w:sz w:val="24"/>
                <w:szCs w:val="24"/>
                <w:highlight w:val="none"/>
              </w:rPr>
            </w:pPr>
          </w:p>
        </w:tc>
        <w:tc>
          <w:tcPr>
            <w:tcW w:w="134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pacing w:val="-6"/>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85"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pacing w:val="-6"/>
                <w:sz w:val="24"/>
                <w:szCs w:val="24"/>
                <w:highlight w:val="none"/>
              </w:rPr>
            </w:pPr>
          </w:p>
        </w:tc>
        <w:tc>
          <w:tcPr>
            <w:tcW w:w="90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pacing w:val="-6"/>
                <w:sz w:val="24"/>
                <w:szCs w:val="24"/>
                <w:highlight w:val="none"/>
              </w:rPr>
            </w:pPr>
          </w:p>
        </w:tc>
        <w:tc>
          <w:tcPr>
            <w:tcW w:w="983"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spacing w:val="-6"/>
                <w:sz w:val="24"/>
                <w:szCs w:val="24"/>
                <w:highlight w:val="none"/>
              </w:rPr>
            </w:pPr>
          </w:p>
        </w:tc>
        <w:tc>
          <w:tcPr>
            <w:tcW w:w="98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pacing w:val="-6"/>
                <w:sz w:val="24"/>
                <w:szCs w:val="24"/>
                <w:highlight w:val="none"/>
              </w:rPr>
            </w:pPr>
          </w:p>
        </w:tc>
        <w:tc>
          <w:tcPr>
            <w:tcW w:w="134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pacing w:val="-6"/>
                <w:sz w:val="24"/>
                <w:szCs w:val="24"/>
                <w:highlight w:val="none"/>
              </w:rPr>
            </w:pPr>
          </w:p>
        </w:tc>
      </w:tr>
    </w:tbl>
    <w:p>
      <w:pPr>
        <w:snapToGrid w:val="0"/>
        <w:spacing w:before="120" w:beforeLines="50"/>
        <w:rPr>
          <w:rFonts w:hint="eastAsia" w:ascii="宋体" w:hAnsi="宋体"/>
          <w:sz w:val="24"/>
          <w:szCs w:val="24"/>
          <w:highlight w:val="none"/>
        </w:rPr>
      </w:pPr>
      <w:r>
        <w:rPr>
          <w:rFonts w:hint="eastAsia" w:ascii="宋体" w:hAnsi="宋体"/>
          <w:sz w:val="24"/>
          <w:szCs w:val="24"/>
          <w:highlight w:val="none"/>
        </w:rPr>
        <w:t>注：在填写时，如上表不适合本项目的实际情况，可在确保投标明细内容完整的情况下，根据上表格式自行划表填写。</w:t>
      </w:r>
    </w:p>
    <w:p>
      <w:pPr>
        <w:snapToGrid w:val="0"/>
        <w:spacing w:before="120" w:beforeLines="50"/>
        <w:rPr>
          <w:rFonts w:hint="eastAsia" w:ascii="宋体" w:hAnsi="宋体"/>
          <w:sz w:val="24"/>
          <w:szCs w:val="24"/>
          <w:highlight w:val="none"/>
        </w:rPr>
      </w:pPr>
    </w:p>
    <w:p>
      <w:pPr>
        <w:spacing w:line="360" w:lineRule="auto"/>
        <w:rPr>
          <w:rFonts w:hint="eastAsia" w:ascii="宋体" w:hAnsi="宋体"/>
          <w:spacing w:val="-6"/>
          <w:sz w:val="24"/>
          <w:highlight w:val="none"/>
        </w:rPr>
      </w:pPr>
      <w:r>
        <w:rPr>
          <w:rFonts w:hint="eastAsia" w:ascii="宋体" w:hAnsi="宋体"/>
          <w:spacing w:val="-6"/>
          <w:sz w:val="24"/>
          <w:highlight w:val="none"/>
        </w:rPr>
        <w:t>投标人名称（盖章）：</w:t>
      </w:r>
    </w:p>
    <w:p>
      <w:pPr>
        <w:spacing w:line="360" w:lineRule="auto"/>
        <w:rPr>
          <w:rFonts w:hint="eastAsia" w:ascii="宋体" w:hAnsi="宋体"/>
          <w:spacing w:val="-6"/>
          <w:sz w:val="24"/>
          <w:highlight w:val="none"/>
        </w:rPr>
      </w:pPr>
      <w:r>
        <w:rPr>
          <w:rFonts w:hint="eastAsia" w:ascii="宋体" w:hAnsi="宋体"/>
          <w:spacing w:val="-6"/>
          <w:sz w:val="24"/>
          <w:highlight w:val="none"/>
        </w:rPr>
        <w:t>投标人代表签字：</w:t>
      </w:r>
    </w:p>
    <w:p>
      <w:pPr>
        <w:spacing w:line="360" w:lineRule="auto"/>
        <w:rPr>
          <w:rFonts w:hint="eastAsia" w:ascii="宋体" w:hAnsi="宋体"/>
          <w:spacing w:val="-6"/>
          <w:sz w:val="24"/>
          <w:highlight w:val="none"/>
        </w:rPr>
      </w:pPr>
      <w:r>
        <w:rPr>
          <w:rFonts w:hint="eastAsia" w:ascii="宋体" w:hAnsi="宋体"/>
          <w:spacing w:val="-6"/>
          <w:sz w:val="24"/>
          <w:highlight w:val="none"/>
        </w:rPr>
        <w:t xml:space="preserve">日期：  </w:t>
      </w:r>
      <w:r>
        <w:rPr>
          <w:rFonts w:ascii="宋体" w:hAnsi="宋体"/>
          <w:spacing w:val="-6"/>
          <w:sz w:val="24"/>
          <w:highlight w:val="none"/>
        </w:rPr>
        <w:t xml:space="preserve">  </w:t>
      </w:r>
      <w:r>
        <w:rPr>
          <w:rFonts w:hint="eastAsia" w:ascii="宋体" w:hAnsi="宋体"/>
          <w:spacing w:val="-6"/>
          <w:sz w:val="24"/>
          <w:highlight w:val="none"/>
        </w:rPr>
        <w:t>年  月  日</w:t>
      </w:r>
    </w:p>
    <w:p>
      <w:pPr>
        <w:snapToGrid w:val="0"/>
        <w:spacing w:before="50" w:after="50"/>
        <w:rPr>
          <w:rFonts w:hint="eastAsia" w:ascii="宋体" w:hAnsi="宋体"/>
          <w:spacing w:val="20"/>
          <w:sz w:val="30"/>
          <w:szCs w:val="30"/>
          <w:highlight w:val="none"/>
        </w:rPr>
      </w:pPr>
    </w:p>
    <w:p>
      <w:pPr>
        <w:snapToGrid w:val="0"/>
        <w:spacing w:before="50" w:after="50"/>
        <w:rPr>
          <w:rFonts w:hint="eastAsia" w:ascii="宋体" w:hAnsi="宋体"/>
          <w:spacing w:val="20"/>
          <w:sz w:val="30"/>
          <w:szCs w:val="30"/>
          <w:highlight w:val="none"/>
        </w:rPr>
      </w:pPr>
    </w:p>
    <w:p>
      <w:pPr>
        <w:snapToGrid w:val="0"/>
        <w:spacing w:before="50" w:after="50"/>
        <w:rPr>
          <w:rFonts w:hint="eastAsia" w:ascii="宋体" w:hAnsi="宋体"/>
          <w:sz w:val="30"/>
          <w:szCs w:val="30"/>
          <w:highlight w:val="none"/>
        </w:rPr>
      </w:pPr>
      <w:r>
        <w:rPr>
          <w:rFonts w:hint="eastAsia" w:ascii="宋体" w:hAnsi="宋体"/>
          <w:spacing w:val="20"/>
          <w:sz w:val="30"/>
          <w:szCs w:val="30"/>
          <w:highlight w:val="none"/>
        </w:rPr>
        <w:br w:type="page"/>
      </w:r>
    </w:p>
    <w:p>
      <w:pPr>
        <w:spacing w:line="360" w:lineRule="auto"/>
        <w:jc w:val="center"/>
        <w:rPr>
          <w:rFonts w:ascii="宋体" w:hAnsi="宋体"/>
          <w:b/>
          <w:sz w:val="24"/>
          <w:highlight w:val="none"/>
        </w:rPr>
      </w:pPr>
      <w:r>
        <w:rPr>
          <w:rFonts w:hint="eastAsia" w:ascii="宋体" w:hAnsi="宋体" w:eastAsia="宋体" w:cs="Times New Roman"/>
          <w:b/>
          <w:spacing w:val="-6"/>
          <w:sz w:val="24"/>
          <w:highlight w:val="none"/>
        </w:rPr>
        <w:t>投标人需要说明的其他文件和材料</w:t>
      </w:r>
    </w:p>
    <w:p>
      <w:pPr>
        <w:spacing w:line="360" w:lineRule="auto"/>
        <w:jc w:val="center"/>
        <w:rPr>
          <w:rFonts w:hint="eastAsia" w:ascii="宋体" w:hAnsi="宋体"/>
          <w:b/>
          <w:sz w:val="24"/>
          <w:highlight w:val="none"/>
        </w:rPr>
      </w:pPr>
    </w:p>
    <w:p>
      <w:pPr>
        <w:spacing w:line="360" w:lineRule="auto"/>
        <w:jc w:val="center"/>
        <w:rPr>
          <w:rFonts w:hint="eastAsia" w:ascii="宋体" w:hAnsi="宋体"/>
          <w:b/>
          <w:sz w:val="52"/>
          <w:szCs w:val="52"/>
          <w:highlight w:val="none"/>
        </w:rPr>
      </w:pPr>
      <w:r>
        <w:rPr>
          <w:rFonts w:ascii="宋体" w:hAnsi="宋体"/>
          <w:b/>
          <w:sz w:val="52"/>
          <w:szCs w:val="52"/>
          <w:highlight w:val="none"/>
        </w:rPr>
        <w:br w:type="page"/>
      </w:r>
      <w:r>
        <w:rPr>
          <w:rFonts w:hint="eastAsia" w:ascii="宋体" w:hAnsi="宋体"/>
          <w:b/>
          <w:sz w:val="52"/>
          <w:szCs w:val="52"/>
          <w:highlight w:val="none"/>
        </w:rPr>
        <w:t>技术文件</w:t>
      </w:r>
    </w:p>
    <w:p>
      <w:pPr>
        <w:spacing w:line="288" w:lineRule="auto"/>
        <w:jc w:val="center"/>
        <w:rPr>
          <w:rFonts w:hint="eastAsia" w:ascii="宋体" w:hAnsi="宋体"/>
          <w:b/>
          <w:bCs/>
          <w:iCs/>
          <w:spacing w:val="-6"/>
          <w:sz w:val="24"/>
          <w:highlight w:val="none"/>
        </w:rPr>
      </w:pPr>
      <w:r>
        <w:rPr>
          <w:rFonts w:hint="eastAsia" w:ascii="宋体" w:hAnsi="宋体"/>
          <w:b/>
          <w:bCs/>
          <w:iCs/>
          <w:spacing w:val="-6"/>
          <w:sz w:val="24"/>
          <w:highlight w:val="none"/>
        </w:rPr>
        <w:t>采购</w:t>
      </w:r>
      <w:r>
        <w:rPr>
          <w:rFonts w:ascii="宋体" w:hAnsi="宋体"/>
          <w:b/>
          <w:bCs/>
          <w:iCs/>
          <w:spacing w:val="-6"/>
          <w:sz w:val="24"/>
          <w:highlight w:val="none"/>
        </w:rPr>
        <w:t>需求</w:t>
      </w:r>
      <w:r>
        <w:rPr>
          <w:rFonts w:hint="eastAsia" w:ascii="宋体" w:hAnsi="宋体"/>
          <w:b/>
          <w:bCs/>
          <w:iCs/>
          <w:spacing w:val="-6"/>
          <w:sz w:val="24"/>
          <w:highlight w:val="none"/>
        </w:rPr>
        <w:t>偏离表</w:t>
      </w:r>
    </w:p>
    <w:p>
      <w:pPr>
        <w:spacing w:line="288" w:lineRule="auto"/>
        <w:rPr>
          <w:rFonts w:hint="eastAsia" w:ascii="宋体" w:hAnsi="宋体" w:eastAsia="宋体"/>
          <w:bCs/>
          <w:spacing w:val="-6"/>
          <w:sz w:val="24"/>
          <w:highlight w:val="none"/>
          <w:lang w:eastAsia="zh-CN"/>
        </w:rPr>
      </w:pPr>
      <w:r>
        <w:rPr>
          <w:rFonts w:hint="eastAsia" w:ascii="宋体" w:hAnsi="宋体"/>
          <w:bCs/>
          <w:spacing w:val="-6"/>
          <w:sz w:val="24"/>
          <w:highlight w:val="none"/>
        </w:rPr>
        <w:t>招标人：</w:t>
      </w:r>
      <w:r>
        <w:rPr>
          <w:rFonts w:hint="eastAsia" w:ascii="宋体" w:hAnsi="宋体"/>
          <w:bCs/>
          <w:spacing w:val="-6"/>
          <w:sz w:val="24"/>
          <w:highlight w:val="none"/>
          <w:lang w:eastAsia="zh-CN"/>
        </w:rPr>
        <w:t>衢州动力电池和储能研究院</w:t>
      </w:r>
    </w:p>
    <w:p>
      <w:pPr>
        <w:spacing w:line="288" w:lineRule="auto"/>
        <w:rPr>
          <w:rFonts w:hint="eastAsia" w:ascii="宋体" w:hAnsi="宋体" w:eastAsia="宋体"/>
          <w:bCs/>
          <w:spacing w:val="-6"/>
          <w:sz w:val="24"/>
          <w:highlight w:val="none"/>
          <w:lang w:eastAsia="zh-CN"/>
        </w:rPr>
      </w:pPr>
      <w:r>
        <w:rPr>
          <w:rFonts w:hint="eastAsia" w:ascii="宋体" w:hAnsi="宋体"/>
          <w:bCs/>
          <w:spacing w:val="-6"/>
          <w:sz w:val="24"/>
          <w:highlight w:val="none"/>
        </w:rPr>
        <w:t>项目名称：</w:t>
      </w:r>
      <w:r>
        <w:rPr>
          <w:rFonts w:hint="eastAsia" w:ascii="宋体" w:hAnsi="宋体"/>
          <w:bCs/>
          <w:spacing w:val="-6"/>
          <w:sz w:val="24"/>
          <w:highlight w:val="none"/>
          <w:lang w:eastAsia="zh-CN"/>
        </w:rPr>
        <w:t>衢州动力电池和储能研究院高能比硫化物全固态电池自动孵化线</w:t>
      </w:r>
    </w:p>
    <w:p>
      <w:pPr>
        <w:spacing w:line="288" w:lineRule="auto"/>
        <w:rPr>
          <w:rFonts w:hint="eastAsia" w:ascii="宋体" w:hAnsi="宋体" w:eastAsia="宋体"/>
          <w:bCs/>
          <w:spacing w:val="-6"/>
          <w:sz w:val="24"/>
          <w:highlight w:val="none"/>
          <w:lang w:eastAsia="zh-CN"/>
        </w:rPr>
      </w:pPr>
      <w:r>
        <w:rPr>
          <w:rFonts w:hint="eastAsia" w:ascii="宋体" w:hAnsi="宋体"/>
          <w:bCs/>
          <w:spacing w:val="-6"/>
          <w:sz w:val="24"/>
          <w:highlight w:val="none"/>
        </w:rPr>
        <w:t>项目编号：</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noWrap w:val="0"/>
            <w:vAlign w:val="center"/>
          </w:tcPr>
          <w:p>
            <w:pPr>
              <w:snapToGrid w:val="0"/>
              <w:spacing w:line="288" w:lineRule="auto"/>
              <w:jc w:val="center"/>
              <w:rPr>
                <w:rFonts w:hint="eastAsia" w:ascii="宋体" w:hAnsi="宋体"/>
                <w:b/>
                <w:spacing w:val="-6"/>
                <w:sz w:val="24"/>
                <w:highlight w:val="none"/>
              </w:rPr>
            </w:pPr>
            <w:r>
              <w:rPr>
                <w:rFonts w:hint="eastAsia" w:ascii="宋体" w:hAnsi="宋体"/>
                <w:b/>
                <w:spacing w:val="-6"/>
                <w:sz w:val="24"/>
                <w:highlight w:val="none"/>
              </w:rPr>
              <w:t>序号</w:t>
            </w:r>
          </w:p>
        </w:tc>
        <w:tc>
          <w:tcPr>
            <w:tcW w:w="3260" w:type="dxa"/>
            <w:noWrap w:val="0"/>
            <w:vAlign w:val="center"/>
          </w:tcPr>
          <w:p>
            <w:pPr>
              <w:snapToGrid w:val="0"/>
              <w:spacing w:line="288" w:lineRule="auto"/>
              <w:jc w:val="center"/>
              <w:rPr>
                <w:rFonts w:hint="eastAsia" w:ascii="宋体" w:hAnsi="宋体"/>
                <w:b/>
                <w:spacing w:val="-6"/>
                <w:sz w:val="24"/>
                <w:highlight w:val="none"/>
              </w:rPr>
            </w:pPr>
            <w:r>
              <w:rPr>
                <w:rFonts w:hint="eastAsia" w:ascii="宋体" w:hAnsi="宋体"/>
                <w:b/>
                <w:spacing w:val="-6"/>
                <w:sz w:val="24"/>
                <w:highlight w:val="none"/>
              </w:rPr>
              <w:t>招标文件要求</w:t>
            </w:r>
          </w:p>
        </w:tc>
        <w:tc>
          <w:tcPr>
            <w:tcW w:w="3402" w:type="dxa"/>
            <w:noWrap w:val="0"/>
            <w:vAlign w:val="center"/>
          </w:tcPr>
          <w:p>
            <w:pPr>
              <w:snapToGrid w:val="0"/>
              <w:spacing w:line="288" w:lineRule="auto"/>
              <w:jc w:val="center"/>
              <w:rPr>
                <w:rFonts w:hint="eastAsia" w:ascii="宋体" w:hAnsi="宋体"/>
                <w:b/>
                <w:spacing w:val="-6"/>
                <w:sz w:val="24"/>
                <w:highlight w:val="none"/>
              </w:rPr>
            </w:pPr>
            <w:r>
              <w:rPr>
                <w:rFonts w:hint="eastAsia" w:ascii="宋体" w:hAnsi="宋体"/>
                <w:b/>
                <w:spacing w:val="-6"/>
                <w:sz w:val="24"/>
                <w:highlight w:val="none"/>
              </w:rPr>
              <w:t>响应内容</w:t>
            </w:r>
          </w:p>
        </w:tc>
        <w:tc>
          <w:tcPr>
            <w:tcW w:w="1985" w:type="dxa"/>
            <w:noWrap w:val="0"/>
            <w:vAlign w:val="center"/>
          </w:tcPr>
          <w:p>
            <w:pPr>
              <w:snapToGrid w:val="0"/>
              <w:spacing w:line="288" w:lineRule="auto"/>
              <w:jc w:val="center"/>
              <w:rPr>
                <w:rFonts w:hint="eastAsia" w:ascii="宋体" w:hAnsi="宋体"/>
                <w:b/>
                <w:spacing w:val="-6"/>
                <w:sz w:val="24"/>
                <w:highlight w:val="none"/>
              </w:rPr>
            </w:pPr>
            <w:r>
              <w:rPr>
                <w:rFonts w:hint="eastAsia" w:ascii="宋体" w:hAnsi="宋体"/>
                <w:b/>
                <w:spacing w:val="-6"/>
                <w:sz w:val="24"/>
                <w:highlight w:val="none"/>
              </w:rPr>
              <w:t>是否偏离</w:t>
            </w:r>
          </w:p>
          <w:p>
            <w:pPr>
              <w:snapToGrid w:val="0"/>
              <w:spacing w:line="288" w:lineRule="auto"/>
              <w:jc w:val="center"/>
              <w:rPr>
                <w:rFonts w:hint="eastAsia" w:ascii="宋体" w:hAnsi="宋体"/>
                <w:b/>
                <w:spacing w:val="-6"/>
                <w:sz w:val="24"/>
                <w:highlight w:val="none"/>
              </w:rPr>
            </w:pPr>
            <w:r>
              <w:rPr>
                <w:rFonts w:hint="eastAsia" w:ascii="宋体" w:hAnsi="宋体"/>
                <w:b/>
                <w:spacing w:val="-6"/>
                <w:sz w:val="24"/>
                <w:highlight w:val="none"/>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4"/>
            <w:noWrap w:val="0"/>
            <w:vAlign w:val="center"/>
          </w:tcPr>
          <w:p>
            <w:pPr>
              <w:spacing w:line="288" w:lineRule="auto"/>
              <w:rPr>
                <w:rFonts w:hint="eastAsia" w:ascii="宋体" w:hAnsi="宋体"/>
                <w:b/>
                <w:sz w:val="21"/>
                <w:szCs w:val="21"/>
                <w:highlight w:val="none"/>
              </w:rPr>
            </w:pPr>
            <w:r>
              <w:rPr>
                <w:rFonts w:hint="eastAsia" w:ascii="宋体" w:hAnsi="宋体"/>
                <w:b/>
                <w:sz w:val="21"/>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noWrap w:val="0"/>
            <w:vAlign w:val="center"/>
          </w:tcPr>
          <w:p>
            <w:pPr>
              <w:snapToGrid w:val="0"/>
              <w:spacing w:line="288" w:lineRule="auto"/>
              <w:jc w:val="center"/>
              <w:rPr>
                <w:rFonts w:hint="eastAsia" w:ascii="宋体" w:hAnsi="宋体"/>
                <w:spacing w:val="-6"/>
                <w:sz w:val="21"/>
                <w:szCs w:val="21"/>
                <w:highlight w:val="none"/>
              </w:rPr>
            </w:pPr>
            <w:r>
              <w:rPr>
                <w:rFonts w:hint="eastAsia" w:ascii="宋体" w:hAnsi="宋体"/>
                <w:spacing w:val="-6"/>
                <w:sz w:val="21"/>
                <w:szCs w:val="21"/>
                <w:highlight w:val="none"/>
              </w:rPr>
              <w:t>1</w:t>
            </w:r>
          </w:p>
        </w:tc>
        <w:tc>
          <w:tcPr>
            <w:tcW w:w="3260" w:type="dxa"/>
            <w:noWrap w:val="0"/>
            <w:vAlign w:val="center"/>
          </w:tcPr>
          <w:p>
            <w:pPr>
              <w:spacing w:line="288" w:lineRule="auto"/>
              <w:jc w:val="center"/>
              <w:rPr>
                <w:rFonts w:hint="eastAsia" w:ascii="宋体" w:hAnsi="宋体"/>
                <w:sz w:val="21"/>
                <w:szCs w:val="21"/>
                <w:highlight w:val="none"/>
              </w:rPr>
            </w:pPr>
          </w:p>
        </w:tc>
        <w:tc>
          <w:tcPr>
            <w:tcW w:w="3402" w:type="dxa"/>
            <w:noWrap w:val="0"/>
            <w:vAlign w:val="center"/>
          </w:tcPr>
          <w:p>
            <w:pPr>
              <w:snapToGrid w:val="0"/>
              <w:spacing w:line="288" w:lineRule="auto"/>
              <w:jc w:val="center"/>
              <w:rPr>
                <w:rFonts w:hint="eastAsia" w:ascii="宋体" w:hAnsi="宋体"/>
                <w:spacing w:val="-6"/>
                <w:sz w:val="21"/>
                <w:szCs w:val="21"/>
                <w:highlight w:val="none"/>
              </w:rPr>
            </w:pPr>
          </w:p>
        </w:tc>
        <w:tc>
          <w:tcPr>
            <w:tcW w:w="1985" w:type="dxa"/>
            <w:noWrap w:val="0"/>
            <w:vAlign w:val="center"/>
          </w:tcPr>
          <w:p>
            <w:pPr>
              <w:snapToGrid w:val="0"/>
              <w:spacing w:line="288" w:lineRule="auto"/>
              <w:jc w:val="center"/>
              <w:rPr>
                <w:rFonts w:hint="eastAsia" w:ascii="宋体" w:hAnsi="宋体"/>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noWrap w:val="0"/>
            <w:vAlign w:val="center"/>
          </w:tcPr>
          <w:p>
            <w:pPr>
              <w:snapToGrid w:val="0"/>
              <w:spacing w:line="288" w:lineRule="auto"/>
              <w:jc w:val="center"/>
              <w:rPr>
                <w:rFonts w:hint="eastAsia" w:ascii="宋体" w:hAnsi="宋体"/>
                <w:spacing w:val="-6"/>
                <w:sz w:val="21"/>
                <w:szCs w:val="21"/>
                <w:highlight w:val="none"/>
              </w:rPr>
            </w:pPr>
            <w:r>
              <w:rPr>
                <w:rFonts w:hint="eastAsia" w:ascii="宋体" w:hAnsi="宋体"/>
                <w:spacing w:val="-6"/>
                <w:sz w:val="21"/>
                <w:szCs w:val="21"/>
                <w:highlight w:val="none"/>
              </w:rPr>
              <w:t>2</w:t>
            </w:r>
          </w:p>
        </w:tc>
        <w:tc>
          <w:tcPr>
            <w:tcW w:w="3260" w:type="dxa"/>
            <w:noWrap w:val="0"/>
            <w:vAlign w:val="center"/>
          </w:tcPr>
          <w:p>
            <w:pPr>
              <w:spacing w:line="288" w:lineRule="auto"/>
              <w:jc w:val="center"/>
              <w:rPr>
                <w:rFonts w:hint="eastAsia" w:ascii="宋体" w:hAnsi="宋体"/>
                <w:spacing w:val="-6"/>
                <w:sz w:val="21"/>
                <w:szCs w:val="21"/>
                <w:highlight w:val="none"/>
              </w:rPr>
            </w:pPr>
          </w:p>
        </w:tc>
        <w:tc>
          <w:tcPr>
            <w:tcW w:w="3402" w:type="dxa"/>
            <w:noWrap w:val="0"/>
            <w:vAlign w:val="center"/>
          </w:tcPr>
          <w:p>
            <w:pPr>
              <w:snapToGrid w:val="0"/>
              <w:spacing w:line="288" w:lineRule="auto"/>
              <w:jc w:val="center"/>
              <w:rPr>
                <w:rFonts w:hint="eastAsia" w:ascii="宋体" w:hAnsi="宋体"/>
                <w:spacing w:val="-6"/>
                <w:sz w:val="21"/>
                <w:szCs w:val="21"/>
                <w:highlight w:val="none"/>
              </w:rPr>
            </w:pPr>
          </w:p>
        </w:tc>
        <w:tc>
          <w:tcPr>
            <w:tcW w:w="1985" w:type="dxa"/>
            <w:noWrap w:val="0"/>
            <w:vAlign w:val="center"/>
          </w:tcPr>
          <w:p>
            <w:pPr>
              <w:snapToGrid w:val="0"/>
              <w:spacing w:line="288" w:lineRule="auto"/>
              <w:jc w:val="center"/>
              <w:rPr>
                <w:rFonts w:hint="eastAsia" w:ascii="宋体" w:hAnsi="宋体"/>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noWrap w:val="0"/>
            <w:vAlign w:val="center"/>
          </w:tcPr>
          <w:p>
            <w:pPr>
              <w:snapToGrid w:val="0"/>
              <w:spacing w:line="288" w:lineRule="auto"/>
              <w:jc w:val="center"/>
              <w:rPr>
                <w:rFonts w:hint="eastAsia" w:ascii="宋体" w:hAnsi="宋体"/>
                <w:spacing w:val="-6"/>
                <w:sz w:val="21"/>
                <w:szCs w:val="21"/>
                <w:highlight w:val="none"/>
              </w:rPr>
            </w:pPr>
            <w:r>
              <w:rPr>
                <w:rFonts w:ascii="宋体" w:hAnsi="宋体"/>
                <w:spacing w:val="-6"/>
                <w:sz w:val="21"/>
                <w:szCs w:val="21"/>
                <w:highlight w:val="none"/>
              </w:rPr>
              <w:t>……</w:t>
            </w:r>
          </w:p>
        </w:tc>
        <w:tc>
          <w:tcPr>
            <w:tcW w:w="3260" w:type="dxa"/>
            <w:noWrap w:val="0"/>
            <w:vAlign w:val="center"/>
          </w:tcPr>
          <w:p>
            <w:pPr>
              <w:spacing w:line="288" w:lineRule="auto"/>
              <w:jc w:val="center"/>
              <w:rPr>
                <w:rFonts w:hint="eastAsia" w:ascii="宋体" w:hAnsi="宋体"/>
                <w:spacing w:val="-6"/>
                <w:sz w:val="21"/>
                <w:szCs w:val="21"/>
                <w:highlight w:val="none"/>
              </w:rPr>
            </w:pPr>
          </w:p>
        </w:tc>
        <w:tc>
          <w:tcPr>
            <w:tcW w:w="3402" w:type="dxa"/>
            <w:noWrap w:val="0"/>
            <w:vAlign w:val="center"/>
          </w:tcPr>
          <w:p>
            <w:pPr>
              <w:snapToGrid w:val="0"/>
              <w:spacing w:line="288" w:lineRule="auto"/>
              <w:jc w:val="center"/>
              <w:rPr>
                <w:rFonts w:hint="eastAsia" w:ascii="宋体" w:hAnsi="宋体"/>
                <w:spacing w:val="-6"/>
                <w:sz w:val="21"/>
                <w:szCs w:val="21"/>
                <w:highlight w:val="none"/>
              </w:rPr>
            </w:pPr>
          </w:p>
        </w:tc>
        <w:tc>
          <w:tcPr>
            <w:tcW w:w="1985" w:type="dxa"/>
            <w:noWrap w:val="0"/>
            <w:vAlign w:val="center"/>
          </w:tcPr>
          <w:p>
            <w:pPr>
              <w:snapToGrid w:val="0"/>
              <w:spacing w:line="288" w:lineRule="auto"/>
              <w:jc w:val="center"/>
              <w:rPr>
                <w:rFonts w:hint="eastAsia" w:ascii="宋体" w:hAnsi="宋体"/>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4"/>
            <w:noWrap w:val="0"/>
            <w:vAlign w:val="center"/>
          </w:tcPr>
          <w:p>
            <w:pPr>
              <w:snapToGrid w:val="0"/>
              <w:spacing w:line="288" w:lineRule="auto"/>
              <w:rPr>
                <w:rFonts w:hint="eastAsia" w:ascii="宋体" w:hAnsi="宋体"/>
                <w:b/>
                <w:spacing w:val="-6"/>
                <w:sz w:val="21"/>
                <w:szCs w:val="21"/>
                <w:highlight w:val="none"/>
              </w:rPr>
            </w:pPr>
            <w:r>
              <w:rPr>
                <w:rFonts w:hint="eastAsia" w:ascii="宋体" w:hAnsi="宋体"/>
                <w:b/>
                <w:sz w:val="21"/>
                <w:szCs w:val="21"/>
                <w:highlight w:val="none"/>
                <w:lang w:eastAsia="zh-CN"/>
              </w:rPr>
              <w:t>技术</w:t>
            </w:r>
            <w:r>
              <w:rPr>
                <w:rFonts w:ascii="宋体" w:hAnsi="宋体"/>
                <w:b/>
                <w:sz w:val="21"/>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noWrap w:val="0"/>
            <w:vAlign w:val="center"/>
          </w:tcPr>
          <w:p>
            <w:pPr>
              <w:snapToGrid w:val="0"/>
              <w:spacing w:line="288" w:lineRule="auto"/>
              <w:jc w:val="center"/>
              <w:rPr>
                <w:rFonts w:hint="eastAsia" w:ascii="宋体" w:hAnsi="宋体"/>
                <w:spacing w:val="-6"/>
                <w:sz w:val="21"/>
                <w:szCs w:val="21"/>
                <w:highlight w:val="none"/>
              </w:rPr>
            </w:pPr>
            <w:r>
              <w:rPr>
                <w:rFonts w:hint="eastAsia" w:ascii="宋体" w:hAnsi="宋体"/>
                <w:spacing w:val="-6"/>
                <w:sz w:val="21"/>
                <w:szCs w:val="21"/>
                <w:highlight w:val="none"/>
              </w:rPr>
              <w:t>1</w:t>
            </w:r>
          </w:p>
        </w:tc>
        <w:tc>
          <w:tcPr>
            <w:tcW w:w="3260" w:type="dxa"/>
            <w:noWrap w:val="0"/>
            <w:vAlign w:val="center"/>
          </w:tcPr>
          <w:p>
            <w:pPr>
              <w:spacing w:line="288" w:lineRule="auto"/>
              <w:jc w:val="center"/>
              <w:rPr>
                <w:rFonts w:hint="eastAsia" w:ascii="宋体" w:hAnsi="宋体"/>
                <w:spacing w:val="-6"/>
                <w:sz w:val="21"/>
                <w:szCs w:val="21"/>
                <w:highlight w:val="none"/>
              </w:rPr>
            </w:pPr>
          </w:p>
        </w:tc>
        <w:tc>
          <w:tcPr>
            <w:tcW w:w="3402" w:type="dxa"/>
            <w:noWrap w:val="0"/>
            <w:vAlign w:val="center"/>
          </w:tcPr>
          <w:p>
            <w:pPr>
              <w:snapToGrid w:val="0"/>
              <w:spacing w:line="288" w:lineRule="auto"/>
              <w:jc w:val="center"/>
              <w:rPr>
                <w:rFonts w:hint="eastAsia" w:ascii="宋体" w:hAnsi="宋体"/>
                <w:spacing w:val="-6"/>
                <w:sz w:val="21"/>
                <w:szCs w:val="21"/>
                <w:highlight w:val="none"/>
              </w:rPr>
            </w:pPr>
          </w:p>
        </w:tc>
        <w:tc>
          <w:tcPr>
            <w:tcW w:w="1985" w:type="dxa"/>
            <w:noWrap w:val="0"/>
            <w:vAlign w:val="center"/>
          </w:tcPr>
          <w:p>
            <w:pPr>
              <w:snapToGrid w:val="0"/>
              <w:spacing w:line="288" w:lineRule="auto"/>
              <w:jc w:val="center"/>
              <w:rPr>
                <w:rFonts w:hint="eastAsia" w:ascii="宋体" w:hAnsi="宋体"/>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noWrap w:val="0"/>
            <w:vAlign w:val="center"/>
          </w:tcPr>
          <w:p>
            <w:pPr>
              <w:snapToGrid w:val="0"/>
              <w:spacing w:line="288" w:lineRule="auto"/>
              <w:jc w:val="center"/>
              <w:rPr>
                <w:rFonts w:hint="eastAsia" w:ascii="宋体" w:hAnsi="宋体"/>
                <w:spacing w:val="-6"/>
                <w:sz w:val="21"/>
                <w:szCs w:val="21"/>
                <w:highlight w:val="none"/>
              </w:rPr>
            </w:pPr>
            <w:r>
              <w:rPr>
                <w:rFonts w:hint="eastAsia" w:ascii="宋体" w:hAnsi="宋体"/>
                <w:spacing w:val="-6"/>
                <w:sz w:val="21"/>
                <w:szCs w:val="21"/>
                <w:highlight w:val="none"/>
              </w:rPr>
              <w:t>2</w:t>
            </w:r>
          </w:p>
        </w:tc>
        <w:tc>
          <w:tcPr>
            <w:tcW w:w="3260" w:type="dxa"/>
            <w:noWrap w:val="0"/>
            <w:vAlign w:val="center"/>
          </w:tcPr>
          <w:p>
            <w:pPr>
              <w:spacing w:line="288" w:lineRule="auto"/>
              <w:jc w:val="center"/>
              <w:rPr>
                <w:rFonts w:ascii="宋体" w:hAnsi="宋体"/>
                <w:sz w:val="21"/>
                <w:szCs w:val="21"/>
                <w:highlight w:val="none"/>
              </w:rPr>
            </w:pPr>
          </w:p>
        </w:tc>
        <w:tc>
          <w:tcPr>
            <w:tcW w:w="3402" w:type="dxa"/>
            <w:noWrap w:val="0"/>
            <w:vAlign w:val="center"/>
          </w:tcPr>
          <w:p>
            <w:pPr>
              <w:snapToGrid w:val="0"/>
              <w:spacing w:line="288" w:lineRule="auto"/>
              <w:jc w:val="center"/>
              <w:rPr>
                <w:rFonts w:hint="eastAsia" w:ascii="宋体" w:hAnsi="宋体"/>
                <w:spacing w:val="-6"/>
                <w:sz w:val="21"/>
                <w:szCs w:val="21"/>
                <w:highlight w:val="none"/>
              </w:rPr>
            </w:pPr>
          </w:p>
        </w:tc>
        <w:tc>
          <w:tcPr>
            <w:tcW w:w="1985" w:type="dxa"/>
            <w:noWrap w:val="0"/>
            <w:vAlign w:val="center"/>
          </w:tcPr>
          <w:p>
            <w:pPr>
              <w:snapToGrid w:val="0"/>
              <w:spacing w:line="288" w:lineRule="auto"/>
              <w:jc w:val="center"/>
              <w:rPr>
                <w:rFonts w:hint="eastAsia" w:ascii="宋体" w:hAnsi="宋体"/>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noWrap w:val="0"/>
            <w:vAlign w:val="center"/>
          </w:tcPr>
          <w:p>
            <w:pPr>
              <w:snapToGrid w:val="0"/>
              <w:spacing w:line="288" w:lineRule="auto"/>
              <w:jc w:val="center"/>
              <w:rPr>
                <w:rFonts w:hint="eastAsia" w:ascii="宋体" w:hAnsi="宋体"/>
                <w:spacing w:val="-6"/>
                <w:sz w:val="21"/>
                <w:szCs w:val="21"/>
                <w:highlight w:val="none"/>
              </w:rPr>
            </w:pPr>
            <w:r>
              <w:rPr>
                <w:rFonts w:ascii="宋体" w:hAnsi="宋体"/>
                <w:spacing w:val="-6"/>
                <w:sz w:val="21"/>
                <w:szCs w:val="21"/>
                <w:highlight w:val="none"/>
              </w:rPr>
              <w:t>……</w:t>
            </w:r>
          </w:p>
        </w:tc>
        <w:tc>
          <w:tcPr>
            <w:tcW w:w="3260" w:type="dxa"/>
            <w:noWrap w:val="0"/>
            <w:vAlign w:val="center"/>
          </w:tcPr>
          <w:p>
            <w:pPr>
              <w:spacing w:line="288" w:lineRule="auto"/>
              <w:jc w:val="center"/>
              <w:rPr>
                <w:rFonts w:hint="eastAsia" w:ascii="宋体" w:hAnsi="宋体"/>
                <w:sz w:val="21"/>
                <w:szCs w:val="21"/>
                <w:highlight w:val="none"/>
              </w:rPr>
            </w:pPr>
          </w:p>
        </w:tc>
        <w:tc>
          <w:tcPr>
            <w:tcW w:w="3402" w:type="dxa"/>
            <w:noWrap w:val="0"/>
            <w:vAlign w:val="center"/>
          </w:tcPr>
          <w:p>
            <w:pPr>
              <w:snapToGrid w:val="0"/>
              <w:spacing w:line="288" w:lineRule="auto"/>
              <w:jc w:val="center"/>
              <w:rPr>
                <w:rFonts w:hint="eastAsia" w:ascii="宋体" w:hAnsi="宋体"/>
                <w:spacing w:val="-6"/>
                <w:sz w:val="21"/>
                <w:szCs w:val="21"/>
                <w:highlight w:val="none"/>
              </w:rPr>
            </w:pPr>
          </w:p>
        </w:tc>
        <w:tc>
          <w:tcPr>
            <w:tcW w:w="1985" w:type="dxa"/>
            <w:noWrap w:val="0"/>
            <w:vAlign w:val="center"/>
          </w:tcPr>
          <w:p>
            <w:pPr>
              <w:snapToGrid w:val="0"/>
              <w:spacing w:line="288" w:lineRule="auto"/>
              <w:jc w:val="center"/>
              <w:rPr>
                <w:rFonts w:hint="eastAsia" w:ascii="宋体" w:hAnsi="宋体"/>
                <w:spacing w:val="-6"/>
                <w:sz w:val="21"/>
                <w:szCs w:val="21"/>
                <w:highlight w:val="none"/>
              </w:rPr>
            </w:pPr>
          </w:p>
        </w:tc>
      </w:tr>
    </w:tbl>
    <w:p>
      <w:pPr>
        <w:spacing w:line="288" w:lineRule="auto"/>
        <w:rPr>
          <w:rFonts w:hint="eastAsia" w:ascii="宋体" w:hAnsi="宋体"/>
          <w:b/>
          <w:bCs/>
          <w:spacing w:val="-6"/>
          <w:sz w:val="24"/>
          <w:highlight w:val="none"/>
        </w:rPr>
      </w:pPr>
    </w:p>
    <w:p>
      <w:pPr>
        <w:spacing w:line="288" w:lineRule="auto"/>
        <w:rPr>
          <w:rFonts w:hint="eastAsia" w:ascii="宋体" w:hAnsi="宋体"/>
          <w:b/>
          <w:bCs/>
          <w:spacing w:val="-6"/>
          <w:sz w:val="24"/>
          <w:highlight w:val="none"/>
        </w:rPr>
      </w:pPr>
      <w:r>
        <w:rPr>
          <w:rFonts w:hint="eastAsia" w:ascii="宋体" w:hAnsi="宋体"/>
          <w:b/>
          <w:bCs/>
          <w:spacing w:val="-6"/>
          <w:sz w:val="24"/>
          <w:highlight w:val="none"/>
        </w:rPr>
        <w:t>说明：</w:t>
      </w:r>
    </w:p>
    <w:p>
      <w:pPr>
        <w:spacing w:line="288" w:lineRule="auto"/>
        <w:rPr>
          <w:rFonts w:hint="eastAsia" w:ascii="宋体" w:hAnsi="宋体"/>
          <w:b/>
          <w:bCs/>
          <w:spacing w:val="-6"/>
          <w:sz w:val="24"/>
          <w:highlight w:val="none"/>
        </w:rPr>
      </w:pPr>
      <w:r>
        <w:rPr>
          <w:rFonts w:hint="eastAsia" w:ascii="宋体" w:hAnsi="宋体"/>
          <w:b/>
          <w:bCs/>
          <w:spacing w:val="-6"/>
          <w:sz w:val="24"/>
          <w:highlight w:val="none"/>
        </w:rPr>
        <w:t>1</w:t>
      </w:r>
      <w:r>
        <w:rPr>
          <w:rFonts w:ascii="宋体" w:hAnsi="宋体"/>
          <w:b/>
          <w:bCs/>
          <w:spacing w:val="-6"/>
          <w:sz w:val="24"/>
          <w:highlight w:val="none"/>
        </w:rPr>
        <w:t>.</w:t>
      </w:r>
      <w:r>
        <w:rPr>
          <w:rFonts w:hint="eastAsia" w:ascii="宋体" w:hAnsi="宋体"/>
          <w:b/>
          <w:bCs/>
          <w:spacing w:val="-6"/>
          <w:sz w:val="24"/>
          <w:highlight w:val="none"/>
        </w:rPr>
        <w:t>逐项按照招标文件要求填写响应规格；</w:t>
      </w:r>
    </w:p>
    <w:p>
      <w:pPr>
        <w:spacing w:line="288" w:lineRule="auto"/>
        <w:rPr>
          <w:rFonts w:hint="eastAsia" w:ascii="宋体" w:hAnsi="宋体"/>
          <w:b/>
          <w:bCs/>
          <w:spacing w:val="-6"/>
          <w:sz w:val="24"/>
          <w:highlight w:val="none"/>
        </w:rPr>
      </w:pPr>
      <w:r>
        <w:rPr>
          <w:rFonts w:hint="eastAsia" w:ascii="宋体" w:hAnsi="宋体"/>
          <w:b/>
          <w:bCs/>
          <w:spacing w:val="-6"/>
          <w:sz w:val="24"/>
          <w:highlight w:val="none"/>
        </w:rPr>
        <w:t>2</w:t>
      </w:r>
      <w:r>
        <w:rPr>
          <w:rFonts w:ascii="宋体" w:hAnsi="宋体"/>
          <w:b/>
          <w:bCs/>
          <w:spacing w:val="-6"/>
          <w:sz w:val="24"/>
          <w:highlight w:val="none"/>
        </w:rPr>
        <w:t>.</w:t>
      </w:r>
      <w:r>
        <w:rPr>
          <w:rFonts w:hint="eastAsia" w:ascii="宋体" w:hAnsi="宋体"/>
          <w:b/>
          <w:bCs/>
          <w:spacing w:val="-6"/>
          <w:sz w:val="24"/>
          <w:highlight w:val="none"/>
        </w:rPr>
        <w:t>偏离说明是指对招标文件要求存在不同之处的解释说明。偏离系指：正偏离（高于招标要求）、负偏离（低于招标要求）、无偏离（满足招标要求）；</w:t>
      </w:r>
    </w:p>
    <w:p>
      <w:pPr>
        <w:spacing w:line="288" w:lineRule="auto"/>
        <w:rPr>
          <w:rFonts w:hint="eastAsia" w:ascii="宋体" w:hAnsi="宋体"/>
          <w:b/>
          <w:spacing w:val="-6"/>
          <w:sz w:val="24"/>
          <w:highlight w:val="none"/>
        </w:rPr>
      </w:pPr>
      <w:r>
        <w:rPr>
          <w:rFonts w:hint="eastAsia" w:ascii="宋体" w:hAnsi="宋体"/>
          <w:b/>
          <w:bCs/>
          <w:spacing w:val="-6"/>
          <w:sz w:val="24"/>
          <w:highlight w:val="none"/>
        </w:rPr>
        <w:t>3</w:t>
      </w:r>
      <w:r>
        <w:rPr>
          <w:rFonts w:ascii="宋体" w:hAnsi="宋体"/>
          <w:b/>
          <w:bCs/>
          <w:spacing w:val="-6"/>
          <w:sz w:val="24"/>
          <w:highlight w:val="none"/>
        </w:rPr>
        <w:t>.</w:t>
      </w:r>
      <w:r>
        <w:rPr>
          <w:rFonts w:hint="eastAsia" w:ascii="宋体" w:hAnsi="宋体"/>
          <w:b/>
          <w:bCs/>
          <w:spacing w:val="-6"/>
          <w:sz w:val="24"/>
          <w:highlight w:val="none"/>
        </w:rPr>
        <w:t>如不填写或未如实填写</w:t>
      </w:r>
      <w:r>
        <w:rPr>
          <w:rFonts w:hint="eastAsia" w:ascii="宋体" w:hAnsi="宋体"/>
          <w:b/>
          <w:spacing w:val="-6"/>
          <w:sz w:val="24"/>
          <w:highlight w:val="none"/>
        </w:rPr>
        <w:t>，自行承担投标风险。</w:t>
      </w:r>
    </w:p>
    <w:p>
      <w:pPr>
        <w:spacing w:line="288" w:lineRule="auto"/>
        <w:rPr>
          <w:rFonts w:ascii="宋体" w:hAnsi="宋体"/>
          <w:spacing w:val="-6"/>
          <w:sz w:val="24"/>
          <w:highlight w:val="none"/>
        </w:rPr>
      </w:pPr>
    </w:p>
    <w:p>
      <w:pPr>
        <w:spacing w:line="288" w:lineRule="auto"/>
        <w:rPr>
          <w:rFonts w:hint="eastAsia" w:ascii="宋体" w:hAnsi="宋体"/>
          <w:spacing w:val="-6"/>
          <w:sz w:val="24"/>
          <w:highlight w:val="none"/>
        </w:rPr>
      </w:pPr>
    </w:p>
    <w:p>
      <w:pPr>
        <w:spacing w:line="288" w:lineRule="auto"/>
        <w:rPr>
          <w:rFonts w:hint="eastAsia" w:ascii="宋体" w:hAnsi="宋体"/>
          <w:spacing w:val="-6"/>
          <w:sz w:val="24"/>
          <w:highlight w:val="none"/>
        </w:rPr>
      </w:pPr>
      <w:r>
        <w:rPr>
          <w:rFonts w:hint="eastAsia" w:ascii="宋体" w:hAnsi="宋体"/>
          <w:spacing w:val="-6"/>
          <w:sz w:val="24"/>
          <w:highlight w:val="none"/>
        </w:rPr>
        <w:t>投标人名称（盖章）：</w:t>
      </w:r>
    </w:p>
    <w:p>
      <w:pPr>
        <w:spacing w:line="288" w:lineRule="auto"/>
        <w:rPr>
          <w:rFonts w:hint="eastAsia" w:ascii="宋体" w:hAnsi="宋体"/>
          <w:spacing w:val="-6"/>
          <w:sz w:val="24"/>
          <w:highlight w:val="none"/>
        </w:rPr>
      </w:pPr>
      <w:r>
        <w:rPr>
          <w:rFonts w:hint="eastAsia" w:ascii="宋体" w:hAnsi="宋体"/>
          <w:spacing w:val="-6"/>
          <w:sz w:val="24"/>
          <w:highlight w:val="none"/>
        </w:rPr>
        <w:t>投标人代表签字：</w:t>
      </w:r>
    </w:p>
    <w:p>
      <w:pPr>
        <w:spacing w:line="288" w:lineRule="auto"/>
        <w:rPr>
          <w:rFonts w:hint="eastAsia" w:ascii="宋体" w:hAnsi="宋体"/>
          <w:spacing w:val="-6"/>
          <w:sz w:val="24"/>
          <w:highlight w:val="none"/>
        </w:rPr>
      </w:pPr>
      <w:r>
        <w:rPr>
          <w:rFonts w:hint="eastAsia" w:ascii="宋体" w:hAnsi="宋体"/>
          <w:spacing w:val="-6"/>
          <w:sz w:val="24"/>
          <w:highlight w:val="none"/>
        </w:rPr>
        <w:t>日期：  年  月  日</w:t>
      </w:r>
    </w:p>
    <w:p>
      <w:pPr>
        <w:spacing w:line="360" w:lineRule="auto"/>
        <w:rPr>
          <w:rFonts w:ascii="宋体" w:hAnsi="宋体"/>
          <w:b/>
          <w:spacing w:val="-6"/>
          <w:sz w:val="24"/>
          <w:highlight w:val="none"/>
        </w:rPr>
      </w:pPr>
    </w:p>
    <w:p>
      <w:pPr>
        <w:spacing w:line="360" w:lineRule="auto"/>
        <w:jc w:val="left"/>
        <w:rPr>
          <w:rFonts w:hint="eastAsia" w:ascii="宋体" w:hAnsi="宋体"/>
          <w:b/>
          <w:bCs/>
          <w:iCs/>
          <w:spacing w:val="-6"/>
          <w:sz w:val="24"/>
          <w:highlight w:val="none"/>
        </w:rPr>
      </w:pPr>
      <w:r>
        <w:rPr>
          <w:rFonts w:ascii="宋体" w:hAnsi="宋体"/>
          <w:b/>
          <w:spacing w:val="-6"/>
          <w:sz w:val="24"/>
          <w:highlight w:val="none"/>
        </w:rPr>
        <w:br w:type="page"/>
      </w:r>
      <w:r>
        <w:rPr>
          <w:rFonts w:hint="eastAsia" w:ascii="宋体" w:hAnsi="宋体"/>
          <w:b/>
          <w:bCs/>
          <w:iCs/>
          <w:spacing w:val="-6"/>
          <w:sz w:val="24"/>
          <w:highlight w:val="none"/>
        </w:rPr>
        <w:t>技术方案（格式自拟）</w:t>
      </w:r>
    </w:p>
    <w:p>
      <w:pPr>
        <w:spacing w:line="360" w:lineRule="auto"/>
        <w:jc w:val="center"/>
        <w:textAlignment w:val="baseline"/>
        <w:rPr>
          <w:rFonts w:ascii="仿宋" w:hAnsi="仿宋" w:eastAsia="仿宋"/>
          <w:highlight w:val="none"/>
        </w:rPr>
      </w:pPr>
    </w:p>
    <w:sectPr>
      <w:footerReference r:id="rId6" w:type="default"/>
      <w:footerReference r:id="rId7" w:type="even"/>
      <w:pgSz w:w="11906" w:h="16838"/>
      <w:pgMar w:top="1417" w:right="1417" w:bottom="1276" w:left="1418" w:header="851" w:footer="78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panose1 w:val="020B0502020202020204"/>
    <w:charset w:val="00"/>
    <w:family w:val="swiss"/>
    <w:pitch w:val="default"/>
    <w:sig w:usb0="00000287"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Lucida Sans">
    <w:panose1 w:val="020B0602030504020204"/>
    <w:charset w:val="00"/>
    <w:family w:val="swiss"/>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b/>
        <w:sz w:val="24"/>
        <w:szCs w:val="24"/>
      </w:rPr>
      <w:fldChar w:fldCharType="begin"/>
    </w:r>
    <w:r>
      <w:rPr>
        <w:b/>
      </w:rPr>
      <w:instrText xml:space="preserve">PAGE</w:instrText>
    </w:r>
    <w:r>
      <w:rPr>
        <w:b/>
        <w:sz w:val="24"/>
        <w:szCs w:val="24"/>
      </w:rPr>
      <w:fldChar w:fldCharType="separate"/>
    </w:r>
    <w:r>
      <w:rPr>
        <w:b/>
      </w:rPr>
      <w:t>21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49</w:t>
    </w:r>
    <w:r>
      <w:rPr>
        <w:b/>
        <w:sz w:val="24"/>
        <w:szCs w:val="24"/>
      </w:rPr>
      <w:fldChar w:fldCharType="end"/>
    </w:r>
  </w:p>
  <w:p>
    <w:pPr>
      <w:pStyle w:val="30"/>
      <w:ind w:right="360"/>
      <w:rPr>
        <w:rFonts w:eastAsia="宋体"/>
        <w:snapToGrid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4"/>
      </w:rPr>
    </w:pPr>
    <w:r>
      <w:fldChar w:fldCharType="begin"/>
    </w:r>
    <w:r>
      <w:rPr>
        <w:rStyle w:val="54"/>
      </w:rPr>
      <w:instrText xml:space="preserve">PAGE  </w:instrText>
    </w:r>
    <w:r>
      <w:fldChar w:fldCharType="end"/>
    </w:r>
  </w:p>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30"/>
                            <w:rPr>
                              <w:rFonts w:eastAsia="宋体"/>
                            </w:rPr>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ql5uc8AAAAFAQAADwAAAAAAAAABACAAAAAiAAAAZHJzL2Rvd25y&#10;ZXYueG1sUEsBAhQAFAAAAAgAh07iQKidR78HAgAAEgQAAA4AAAAAAAAAAQAgAAAAHgEAAGRycy9l&#10;Mm9Eb2MueG1sUEsFBgAAAAAGAAYAWQEAAJcFAAAAAA==&#10;">
              <v:fill on="f" focussize="0,0"/>
              <v:stroke on="f"/>
              <v:imagedata o:title=""/>
              <o:lock v:ext="edit" aspectratio="f"/>
              <v:textbox inset="0mm,0mm,0mm,0mm" style="mso-fit-shape-to-text:t;">
                <w:txbxContent>
                  <w:p>
                    <w:pPr>
                      <w:pStyle w:val="30"/>
                      <w:rPr>
                        <w:rFonts w:eastAsia="宋体"/>
                      </w:rPr>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pPr>
                          <w:r>
                            <w:fldChar w:fldCharType="begin"/>
                          </w:r>
                          <w:r>
                            <w:instrText xml:space="preserve"> PAGE  \* MERGEFORMAT </w:instrText>
                          </w:r>
                          <w:r>
                            <w:fldChar w:fldCharType="separate"/>
                          </w:r>
                          <w:r>
                            <w:t>100</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SAYMIBAACN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JiPXgPDukLBw6SejjlBTMZxSYTRtVF6DP+8l6+kv2v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v0gGDCAQAAjQMAAA4AAAAAAAAAAQAgAAAAHgEAAGRycy9lMm9Eb2MueG1sUEsF&#10;BgAAAAAGAAYAWQEAAFIFAAAAAA==&#10;">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4"/>
      </w:rPr>
    </w:pPr>
    <w:r>
      <w:fldChar w:fldCharType="begin"/>
    </w:r>
    <w:r>
      <w:rPr>
        <w:rStyle w:val="54"/>
      </w:rPr>
      <w:instrText xml:space="preserve">PAGE  </w:instrText>
    </w:r>
    <w:r>
      <w:fldChar w:fldCharType="end"/>
    </w:r>
  </w:p>
  <w:p>
    <w:pPr>
      <w:pStyle w:val="3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B6994"/>
    <w:multiLevelType w:val="singleLevel"/>
    <w:tmpl w:val="A76B6994"/>
    <w:lvl w:ilvl="0" w:tentative="0">
      <w:start w:val="1"/>
      <w:numFmt w:val="chineseCounting"/>
      <w:suff w:val="nothing"/>
      <w:lvlText w:val="%1、"/>
      <w:lvlJc w:val="left"/>
      <w:rPr>
        <w:rFonts w:hint="eastAsia"/>
      </w:rPr>
    </w:lvl>
  </w:abstractNum>
  <w:abstractNum w:abstractNumId="1">
    <w:nsid w:val="AA95F445"/>
    <w:multiLevelType w:val="singleLevel"/>
    <w:tmpl w:val="AA95F445"/>
    <w:lvl w:ilvl="0" w:tentative="0">
      <w:start w:val="5"/>
      <w:numFmt w:val="decimal"/>
      <w:lvlText w:val="%1."/>
      <w:lvlJc w:val="left"/>
      <w:pPr>
        <w:tabs>
          <w:tab w:val="left" w:pos="312"/>
        </w:tabs>
      </w:pPr>
    </w:lvl>
  </w:abstractNum>
  <w:abstractNum w:abstractNumId="2">
    <w:nsid w:val="DE69B5FC"/>
    <w:multiLevelType w:val="singleLevel"/>
    <w:tmpl w:val="DE69B5FC"/>
    <w:lvl w:ilvl="0" w:tentative="0">
      <w:start w:val="9"/>
      <w:numFmt w:val="decimal"/>
      <w:lvlText w:val="%1."/>
      <w:lvlJc w:val="left"/>
      <w:pPr>
        <w:tabs>
          <w:tab w:val="left" w:pos="312"/>
        </w:tabs>
      </w:pPr>
    </w:lvl>
  </w:abstractNum>
  <w:abstractNum w:abstractNumId="3">
    <w:nsid w:val="56787698"/>
    <w:multiLevelType w:val="multilevel"/>
    <w:tmpl w:val="56787698"/>
    <w:lvl w:ilvl="0" w:tentative="0">
      <w:start w:val="1"/>
      <w:numFmt w:val="decimal"/>
      <w:lvlText w:val="（%1）"/>
      <w:lvlJc w:val="left"/>
      <w:pPr>
        <w:ind w:left="902" w:hanging="4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697422B5"/>
    <w:multiLevelType w:val="singleLevel"/>
    <w:tmpl w:val="697422B5"/>
    <w:lvl w:ilvl="0" w:tentative="0">
      <w:start w:val="2"/>
      <w:numFmt w:val="decimal"/>
      <w:suff w:val="nothing"/>
      <w:lvlText w:val="%1、"/>
      <w:lvlJc w:val="left"/>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hideSpellingErrors/>
  <w:hideGrammaticalErrors/>
  <w:documentProtection w:enforcement="0"/>
  <w:defaultTabStop w:val="420"/>
  <w:drawingGridHorizontalSpacing w:val="105"/>
  <w:drawingGridVerticalSpacing w:val="23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wZDA0NTk2NTYzODU5NzZkYWI5YzQyODkzOTI1MDUifQ=="/>
  </w:docVars>
  <w:rsids>
    <w:rsidRoot w:val="00907D99"/>
    <w:rsid w:val="00000134"/>
    <w:rsid w:val="0000014B"/>
    <w:rsid w:val="00000421"/>
    <w:rsid w:val="000011A1"/>
    <w:rsid w:val="000016BE"/>
    <w:rsid w:val="00001DCC"/>
    <w:rsid w:val="000020D6"/>
    <w:rsid w:val="00002B03"/>
    <w:rsid w:val="00002E0A"/>
    <w:rsid w:val="0000322E"/>
    <w:rsid w:val="00003507"/>
    <w:rsid w:val="00003E1A"/>
    <w:rsid w:val="00004126"/>
    <w:rsid w:val="000043C3"/>
    <w:rsid w:val="00004530"/>
    <w:rsid w:val="00004955"/>
    <w:rsid w:val="000049B3"/>
    <w:rsid w:val="00004D37"/>
    <w:rsid w:val="00005462"/>
    <w:rsid w:val="000055A6"/>
    <w:rsid w:val="0000681A"/>
    <w:rsid w:val="0000756B"/>
    <w:rsid w:val="0001005F"/>
    <w:rsid w:val="000100FB"/>
    <w:rsid w:val="00010751"/>
    <w:rsid w:val="00010AC8"/>
    <w:rsid w:val="00010D72"/>
    <w:rsid w:val="00010FB3"/>
    <w:rsid w:val="00011E0F"/>
    <w:rsid w:val="00011E7D"/>
    <w:rsid w:val="00011F13"/>
    <w:rsid w:val="0001216E"/>
    <w:rsid w:val="000121DC"/>
    <w:rsid w:val="00012359"/>
    <w:rsid w:val="00012EA5"/>
    <w:rsid w:val="00013EF6"/>
    <w:rsid w:val="00013F67"/>
    <w:rsid w:val="000142AC"/>
    <w:rsid w:val="000143B8"/>
    <w:rsid w:val="00015079"/>
    <w:rsid w:val="0001620A"/>
    <w:rsid w:val="000168F2"/>
    <w:rsid w:val="000171EE"/>
    <w:rsid w:val="00017AD7"/>
    <w:rsid w:val="00020A5F"/>
    <w:rsid w:val="00020BD5"/>
    <w:rsid w:val="0002154B"/>
    <w:rsid w:val="00021AC3"/>
    <w:rsid w:val="000223F7"/>
    <w:rsid w:val="0002246C"/>
    <w:rsid w:val="0002273F"/>
    <w:rsid w:val="00022AC2"/>
    <w:rsid w:val="0002331A"/>
    <w:rsid w:val="000248EB"/>
    <w:rsid w:val="00024A54"/>
    <w:rsid w:val="000258FF"/>
    <w:rsid w:val="00026572"/>
    <w:rsid w:val="000270B5"/>
    <w:rsid w:val="00027EF4"/>
    <w:rsid w:val="00027FE9"/>
    <w:rsid w:val="000302C6"/>
    <w:rsid w:val="00030FD2"/>
    <w:rsid w:val="000310B7"/>
    <w:rsid w:val="00031304"/>
    <w:rsid w:val="000313B7"/>
    <w:rsid w:val="00031413"/>
    <w:rsid w:val="00031646"/>
    <w:rsid w:val="00031955"/>
    <w:rsid w:val="000327A6"/>
    <w:rsid w:val="00032A62"/>
    <w:rsid w:val="00033653"/>
    <w:rsid w:val="000338BC"/>
    <w:rsid w:val="00033D0E"/>
    <w:rsid w:val="00033E18"/>
    <w:rsid w:val="00033EC1"/>
    <w:rsid w:val="0003401D"/>
    <w:rsid w:val="0003410A"/>
    <w:rsid w:val="00034260"/>
    <w:rsid w:val="00034347"/>
    <w:rsid w:val="000348FA"/>
    <w:rsid w:val="00034C42"/>
    <w:rsid w:val="000355FA"/>
    <w:rsid w:val="00036284"/>
    <w:rsid w:val="00036412"/>
    <w:rsid w:val="000403F0"/>
    <w:rsid w:val="00040566"/>
    <w:rsid w:val="0004071C"/>
    <w:rsid w:val="000412FB"/>
    <w:rsid w:val="00041405"/>
    <w:rsid w:val="00041F7A"/>
    <w:rsid w:val="00043437"/>
    <w:rsid w:val="00043989"/>
    <w:rsid w:val="00043A05"/>
    <w:rsid w:val="00043B3E"/>
    <w:rsid w:val="00043F6C"/>
    <w:rsid w:val="000444BB"/>
    <w:rsid w:val="000449FC"/>
    <w:rsid w:val="0004570C"/>
    <w:rsid w:val="0004629C"/>
    <w:rsid w:val="00046769"/>
    <w:rsid w:val="0004691F"/>
    <w:rsid w:val="00046B4C"/>
    <w:rsid w:val="00047921"/>
    <w:rsid w:val="000512F1"/>
    <w:rsid w:val="00053058"/>
    <w:rsid w:val="00053AB7"/>
    <w:rsid w:val="00054A9A"/>
    <w:rsid w:val="00054B98"/>
    <w:rsid w:val="00054DA1"/>
    <w:rsid w:val="000571BA"/>
    <w:rsid w:val="00057741"/>
    <w:rsid w:val="00057C91"/>
    <w:rsid w:val="00060087"/>
    <w:rsid w:val="000602FC"/>
    <w:rsid w:val="0006073D"/>
    <w:rsid w:val="00060A2A"/>
    <w:rsid w:val="00060F96"/>
    <w:rsid w:val="000615BC"/>
    <w:rsid w:val="0006194D"/>
    <w:rsid w:val="00062260"/>
    <w:rsid w:val="00062C84"/>
    <w:rsid w:val="00062FF8"/>
    <w:rsid w:val="00063027"/>
    <w:rsid w:val="00064B93"/>
    <w:rsid w:val="0006513F"/>
    <w:rsid w:val="000655B4"/>
    <w:rsid w:val="00065640"/>
    <w:rsid w:val="000663E6"/>
    <w:rsid w:val="0006754C"/>
    <w:rsid w:val="000677A0"/>
    <w:rsid w:val="000711F0"/>
    <w:rsid w:val="000716E2"/>
    <w:rsid w:val="000735A6"/>
    <w:rsid w:val="0007366C"/>
    <w:rsid w:val="0007367D"/>
    <w:rsid w:val="000737A8"/>
    <w:rsid w:val="00073AEF"/>
    <w:rsid w:val="000740BB"/>
    <w:rsid w:val="000741B6"/>
    <w:rsid w:val="00074202"/>
    <w:rsid w:val="000745A4"/>
    <w:rsid w:val="00074C65"/>
    <w:rsid w:val="0007582A"/>
    <w:rsid w:val="0007658E"/>
    <w:rsid w:val="00076D73"/>
    <w:rsid w:val="00076D9B"/>
    <w:rsid w:val="00077401"/>
    <w:rsid w:val="000775F2"/>
    <w:rsid w:val="00077A8F"/>
    <w:rsid w:val="00077C54"/>
    <w:rsid w:val="00077C95"/>
    <w:rsid w:val="000800D4"/>
    <w:rsid w:val="00080240"/>
    <w:rsid w:val="000808F1"/>
    <w:rsid w:val="00080A5E"/>
    <w:rsid w:val="00081D42"/>
    <w:rsid w:val="000820DB"/>
    <w:rsid w:val="00082571"/>
    <w:rsid w:val="00082ADB"/>
    <w:rsid w:val="00082B88"/>
    <w:rsid w:val="00082B8D"/>
    <w:rsid w:val="00083139"/>
    <w:rsid w:val="000843B6"/>
    <w:rsid w:val="00084D66"/>
    <w:rsid w:val="0009010A"/>
    <w:rsid w:val="00090345"/>
    <w:rsid w:val="00091096"/>
    <w:rsid w:val="000919C7"/>
    <w:rsid w:val="00092051"/>
    <w:rsid w:val="00092185"/>
    <w:rsid w:val="000925AC"/>
    <w:rsid w:val="00092B5C"/>
    <w:rsid w:val="00092BEA"/>
    <w:rsid w:val="000933FA"/>
    <w:rsid w:val="00093A82"/>
    <w:rsid w:val="00093FBF"/>
    <w:rsid w:val="000946B7"/>
    <w:rsid w:val="00094F37"/>
    <w:rsid w:val="0009515C"/>
    <w:rsid w:val="0009599C"/>
    <w:rsid w:val="000972DD"/>
    <w:rsid w:val="000973AF"/>
    <w:rsid w:val="00097D46"/>
    <w:rsid w:val="000A0827"/>
    <w:rsid w:val="000A08A1"/>
    <w:rsid w:val="000A1652"/>
    <w:rsid w:val="000A236D"/>
    <w:rsid w:val="000A2466"/>
    <w:rsid w:val="000A2692"/>
    <w:rsid w:val="000A3108"/>
    <w:rsid w:val="000A3AD3"/>
    <w:rsid w:val="000A564F"/>
    <w:rsid w:val="000A5DFF"/>
    <w:rsid w:val="000A5F0B"/>
    <w:rsid w:val="000A6147"/>
    <w:rsid w:val="000A6CEE"/>
    <w:rsid w:val="000A7FE5"/>
    <w:rsid w:val="000B007D"/>
    <w:rsid w:val="000B1C20"/>
    <w:rsid w:val="000B1C4D"/>
    <w:rsid w:val="000B2E7F"/>
    <w:rsid w:val="000B325E"/>
    <w:rsid w:val="000B3FEC"/>
    <w:rsid w:val="000B427E"/>
    <w:rsid w:val="000B4834"/>
    <w:rsid w:val="000B497F"/>
    <w:rsid w:val="000B4ED1"/>
    <w:rsid w:val="000B5310"/>
    <w:rsid w:val="000B55B4"/>
    <w:rsid w:val="000B6287"/>
    <w:rsid w:val="000B6608"/>
    <w:rsid w:val="000C0287"/>
    <w:rsid w:val="000C07A6"/>
    <w:rsid w:val="000C1D9F"/>
    <w:rsid w:val="000C1E14"/>
    <w:rsid w:val="000C22A9"/>
    <w:rsid w:val="000C2664"/>
    <w:rsid w:val="000C440E"/>
    <w:rsid w:val="000C455A"/>
    <w:rsid w:val="000C51D5"/>
    <w:rsid w:val="000C52D4"/>
    <w:rsid w:val="000C53E5"/>
    <w:rsid w:val="000C5413"/>
    <w:rsid w:val="000C55C4"/>
    <w:rsid w:val="000C5FCD"/>
    <w:rsid w:val="000C6093"/>
    <w:rsid w:val="000C64EE"/>
    <w:rsid w:val="000C6C14"/>
    <w:rsid w:val="000C6FBB"/>
    <w:rsid w:val="000C72D3"/>
    <w:rsid w:val="000C741C"/>
    <w:rsid w:val="000C77D6"/>
    <w:rsid w:val="000D037B"/>
    <w:rsid w:val="000D0E12"/>
    <w:rsid w:val="000D113A"/>
    <w:rsid w:val="000D1321"/>
    <w:rsid w:val="000D1E5F"/>
    <w:rsid w:val="000D40B3"/>
    <w:rsid w:val="000D421E"/>
    <w:rsid w:val="000D51FB"/>
    <w:rsid w:val="000D5573"/>
    <w:rsid w:val="000D5936"/>
    <w:rsid w:val="000D5EBF"/>
    <w:rsid w:val="000D655F"/>
    <w:rsid w:val="000D6593"/>
    <w:rsid w:val="000D65D4"/>
    <w:rsid w:val="000D6D8C"/>
    <w:rsid w:val="000D6E53"/>
    <w:rsid w:val="000D7596"/>
    <w:rsid w:val="000D7F2C"/>
    <w:rsid w:val="000E0462"/>
    <w:rsid w:val="000E1117"/>
    <w:rsid w:val="000E165C"/>
    <w:rsid w:val="000E1F5F"/>
    <w:rsid w:val="000E2141"/>
    <w:rsid w:val="000E25A6"/>
    <w:rsid w:val="000E2761"/>
    <w:rsid w:val="000E2FEA"/>
    <w:rsid w:val="000E30B5"/>
    <w:rsid w:val="000E3A48"/>
    <w:rsid w:val="000E49BE"/>
    <w:rsid w:val="000E536D"/>
    <w:rsid w:val="000E5A61"/>
    <w:rsid w:val="000E5E5D"/>
    <w:rsid w:val="000E60F3"/>
    <w:rsid w:val="000E6C68"/>
    <w:rsid w:val="000E6FDF"/>
    <w:rsid w:val="000E7E93"/>
    <w:rsid w:val="000F0B15"/>
    <w:rsid w:val="000F0C42"/>
    <w:rsid w:val="000F11BA"/>
    <w:rsid w:val="000F126C"/>
    <w:rsid w:val="000F16AD"/>
    <w:rsid w:val="000F1A72"/>
    <w:rsid w:val="000F1C20"/>
    <w:rsid w:val="000F1E4F"/>
    <w:rsid w:val="000F2382"/>
    <w:rsid w:val="000F385F"/>
    <w:rsid w:val="000F3F9A"/>
    <w:rsid w:val="000F42DF"/>
    <w:rsid w:val="000F4355"/>
    <w:rsid w:val="000F4463"/>
    <w:rsid w:val="000F44F6"/>
    <w:rsid w:val="000F4507"/>
    <w:rsid w:val="000F5F3E"/>
    <w:rsid w:val="000F6157"/>
    <w:rsid w:val="000F644A"/>
    <w:rsid w:val="000F6A17"/>
    <w:rsid w:val="000F6E7B"/>
    <w:rsid w:val="000F7620"/>
    <w:rsid w:val="000F79E1"/>
    <w:rsid w:val="0010007D"/>
    <w:rsid w:val="00100B1B"/>
    <w:rsid w:val="00100DC4"/>
    <w:rsid w:val="0010108B"/>
    <w:rsid w:val="00101953"/>
    <w:rsid w:val="00101D7A"/>
    <w:rsid w:val="00101EFA"/>
    <w:rsid w:val="00102B40"/>
    <w:rsid w:val="00102DD2"/>
    <w:rsid w:val="001033E0"/>
    <w:rsid w:val="0010418E"/>
    <w:rsid w:val="001053C7"/>
    <w:rsid w:val="00105A92"/>
    <w:rsid w:val="001064BC"/>
    <w:rsid w:val="0010661B"/>
    <w:rsid w:val="001066F9"/>
    <w:rsid w:val="00106A94"/>
    <w:rsid w:val="00106C3A"/>
    <w:rsid w:val="00106D25"/>
    <w:rsid w:val="001073C4"/>
    <w:rsid w:val="00107689"/>
    <w:rsid w:val="00110002"/>
    <w:rsid w:val="00110239"/>
    <w:rsid w:val="001106B0"/>
    <w:rsid w:val="001109D1"/>
    <w:rsid w:val="001110E5"/>
    <w:rsid w:val="0011120C"/>
    <w:rsid w:val="00111B96"/>
    <w:rsid w:val="0011240B"/>
    <w:rsid w:val="00112693"/>
    <w:rsid w:val="0011271D"/>
    <w:rsid w:val="001129FB"/>
    <w:rsid w:val="00113341"/>
    <w:rsid w:val="00113708"/>
    <w:rsid w:val="0011398B"/>
    <w:rsid w:val="00114E5C"/>
    <w:rsid w:val="001151BA"/>
    <w:rsid w:val="0011601D"/>
    <w:rsid w:val="0011700D"/>
    <w:rsid w:val="00117260"/>
    <w:rsid w:val="00120148"/>
    <w:rsid w:val="001208D5"/>
    <w:rsid w:val="00120AC6"/>
    <w:rsid w:val="001214E7"/>
    <w:rsid w:val="0012183E"/>
    <w:rsid w:val="00121843"/>
    <w:rsid w:val="00121856"/>
    <w:rsid w:val="00121D61"/>
    <w:rsid w:val="00121E58"/>
    <w:rsid w:val="00122608"/>
    <w:rsid w:val="001226C8"/>
    <w:rsid w:val="001228B5"/>
    <w:rsid w:val="00122A1B"/>
    <w:rsid w:val="00123231"/>
    <w:rsid w:val="00123330"/>
    <w:rsid w:val="00123AC9"/>
    <w:rsid w:val="00123C40"/>
    <w:rsid w:val="00123FBE"/>
    <w:rsid w:val="00125219"/>
    <w:rsid w:val="0012551C"/>
    <w:rsid w:val="001259C4"/>
    <w:rsid w:val="00125D52"/>
    <w:rsid w:val="00125E26"/>
    <w:rsid w:val="00125E2B"/>
    <w:rsid w:val="0012706C"/>
    <w:rsid w:val="001271E4"/>
    <w:rsid w:val="00127AC1"/>
    <w:rsid w:val="00130002"/>
    <w:rsid w:val="001304CA"/>
    <w:rsid w:val="001309D2"/>
    <w:rsid w:val="001318B4"/>
    <w:rsid w:val="00131BEC"/>
    <w:rsid w:val="00131DB4"/>
    <w:rsid w:val="00132104"/>
    <w:rsid w:val="00133D28"/>
    <w:rsid w:val="00133D59"/>
    <w:rsid w:val="00133D84"/>
    <w:rsid w:val="001340DF"/>
    <w:rsid w:val="0013413C"/>
    <w:rsid w:val="001343C2"/>
    <w:rsid w:val="00134C0B"/>
    <w:rsid w:val="00134CC9"/>
    <w:rsid w:val="00135274"/>
    <w:rsid w:val="00135B9D"/>
    <w:rsid w:val="00135C40"/>
    <w:rsid w:val="00135D0C"/>
    <w:rsid w:val="0013633F"/>
    <w:rsid w:val="00136EAE"/>
    <w:rsid w:val="001370CD"/>
    <w:rsid w:val="001403C6"/>
    <w:rsid w:val="0014049A"/>
    <w:rsid w:val="00140DC2"/>
    <w:rsid w:val="0014127F"/>
    <w:rsid w:val="001417B0"/>
    <w:rsid w:val="00142359"/>
    <w:rsid w:val="0014251D"/>
    <w:rsid w:val="0014263D"/>
    <w:rsid w:val="001435FC"/>
    <w:rsid w:val="00143A56"/>
    <w:rsid w:val="00143D55"/>
    <w:rsid w:val="0014589A"/>
    <w:rsid w:val="00145DDE"/>
    <w:rsid w:val="001467B7"/>
    <w:rsid w:val="001468AF"/>
    <w:rsid w:val="00146F37"/>
    <w:rsid w:val="0014788C"/>
    <w:rsid w:val="00147977"/>
    <w:rsid w:val="00147A46"/>
    <w:rsid w:val="001501F4"/>
    <w:rsid w:val="0015030F"/>
    <w:rsid w:val="001506EB"/>
    <w:rsid w:val="00150D99"/>
    <w:rsid w:val="00150E75"/>
    <w:rsid w:val="00150FA1"/>
    <w:rsid w:val="0015161D"/>
    <w:rsid w:val="00151947"/>
    <w:rsid w:val="00151C89"/>
    <w:rsid w:val="0015230F"/>
    <w:rsid w:val="0015244F"/>
    <w:rsid w:val="00152938"/>
    <w:rsid w:val="00152B0E"/>
    <w:rsid w:val="00152C0C"/>
    <w:rsid w:val="0015391C"/>
    <w:rsid w:val="00153ADA"/>
    <w:rsid w:val="00153B50"/>
    <w:rsid w:val="001548C1"/>
    <w:rsid w:val="00154DFE"/>
    <w:rsid w:val="00155013"/>
    <w:rsid w:val="00155132"/>
    <w:rsid w:val="00155B78"/>
    <w:rsid w:val="00155C72"/>
    <w:rsid w:val="00155EB4"/>
    <w:rsid w:val="00155F10"/>
    <w:rsid w:val="0015614C"/>
    <w:rsid w:val="00156829"/>
    <w:rsid w:val="00156A03"/>
    <w:rsid w:val="00156E28"/>
    <w:rsid w:val="00160122"/>
    <w:rsid w:val="0016014F"/>
    <w:rsid w:val="001616BB"/>
    <w:rsid w:val="001639A0"/>
    <w:rsid w:val="001642F2"/>
    <w:rsid w:val="00164C3B"/>
    <w:rsid w:val="00165086"/>
    <w:rsid w:val="00165BCF"/>
    <w:rsid w:val="001661E6"/>
    <w:rsid w:val="00166D80"/>
    <w:rsid w:val="00166FE0"/>
    <w:rsid w:val="001677C6"/>
    <w:rsid w:val="00167A8A"/>
    <w:rsid w:val="001702F6"/>
    <w:rsid w:val="001705C5"/>
    <w:rsid w:val="00170766"/>
    <w:rsid w:val="0017209D"/>
    <w:rsid w:val="00172B01"/>
    <w:rsid w:val="0017313F"/>
    <w:rsid w:val="0017384F"/>
    <w:rsid w:val="00174513"/>
    <w:rsid w:val="0017491E"/>
    <w:rsid w:val="001752F1"/>
    <w:rsid w:val="00176014"/>
    <w:rsid w:val="001767A8"/>
    <w:rsid w:val="00176885"/>
    <w:rsid w:val="00176942"/>
    <w:rsid w:val="00176E11"/>
    <w:rsid w:val="0017724B"/>
    <w:rsid w:val="00177677"/>
    <w:rsid w:val="001779D6"/>
    <w:rsid w:val="00177FBE"/>
    <w:rsid w:val="00180219"/>
    <w:rsid w:val="0018204B"/>
    <w:rsid w:val="001820F6"/>
    <w:rsid w:val="00182707"/>
    <w:rsid w:val="00183F60"/>
    <w:rsid w:val="001841AE"/>
    <w:rsid w:val="00186ABF"/>
    <w:rsid w:val="00186B47"/>
    <w:rsid w:val="00186B76"/>
    <w:rsid w:val="001872CD"/>
    <w:rsid w:val="001873E0"/>
    <w:rsid w:val="001878B8"/>
    <w:rsid w:val="001902E1"/>
    <w:rsid w:val="00190415"/>
    <w:rsid w:val="0019074F"/>
    <w:rsid w:val="00190C1F"/>
    <w:rsid w:val="00190C58"/>
    <w:rsid w:val="00190C76"/>
    <w:rsid w:val="001910CE"/>
    <w:rsid w:val="00191326"/>
    <w:rsid w:val="00191CC7"/>
    <w:rsid w:val="00192BF0"/>
    <w:rsid w:val="00192D43"/>
    <w:rsid w:val="00193D6D"/>
    <w:rsid w:val="00193FC9"/>
    <w:rsid w:val="00194C12"/>
    <w:rsid w:val="0019562A"/>
    <w:rsid w:val="00195B3A"/>
    <w:rsid w:val="00196E7D"/>
    <w:rsid w:val="00196FC0"/>
    <w:rsid w:val="00197576"/>
    <w:rsid w:val="00197664"/>
    <w:rsid w:val="001977DB"/>
    <w:rsid w:val="001977E7"/>
    <w:rsid w:val="0019790B"/>
    <w:rsid w:val="00197C5C"/>
    <w:rsid w:val="001A0289"/>
    <w:rsid w:val="001A0349"/>
    <w:rsid w:val="001A0AF7"/>
    <w:rsid w:val="001A1531"/>
    <w:rsid w:val="001A187A"/>
    <w:rsid w:val="001A1D81"/>
    <w:rsid w:val="001A2720"/>
    <w:rsid w:val="001A2A18"/>
    <w:rsid w:val="001A48F6"/>
    <w:rsid w:val="001A5F67"/>
    <w:rsid w:val="001A634C"/>
    <w:rsid w:val="001A63B5"/>
    <w:rsid w:val="001A7991"/>
    <w:rsid w:val="001A7C65"/>
    <w:rsid w:val="001B0393"/>
    <w:rsid w:val="001B078E"/>
    <w:rsid w:val="001B0D09"/>
    <w:rsid w:val="001B1786"/>
    <w:rsid w:val="001B203C"/>
    <w:rsid w:val="001B27F5"/>
    <w:rsid w:val="001B290D"/>
    <w:rsid w:val="001B2CDC"/>
    <w:rsid w:val="001B3CDB"/>
    <w:rsid w:val="001B3FF3"/>
    <w:rsid w:val="001B415D"/>
    <w:rsid w:val="001B41C1"/>
    <w:rsid w:val="001B4CFD"/>
    <w:rsid w:val="001B522F"/>
    <w:rsid w:val="001B5335"/>
    <w:rsid w:val="001B5592"/>
    <w:rsid w:val="001B597E"/>
    <w:rsid w:val="001B608D"/>
    <w:rsid w:val="001B6197"/>
    <w:rsid w:val="001B61C2"/>
    <w:rsid w:val="001B67E8"/>
    <w:rsid w:val="001B7A1A"/>
    <w:rsid w:val="001B7AF9"/>
    <w:rsid w:val="001B7D1F"/>
    <w:rsid w:val="001B7EBF"/>
    <w:rsid w:val="001C125B"/>
    <w:rsid w:val="001C13BB"/>
    <w:rsid w:val="001C175E"/>
    <w:rsid w:val="001C1C4C"/>
    <w:rsid w:val="001C1D4E"/>
    <w:rsid w:val="001C2086"/>
    <w:rsid w:val="001C296B"/>
    <w:rsid w:val="001C329B"/>
    <w:rsid w:val="001C3AB5"/>
    <w:rsid w:val="001C4319"/>
    <w:rsid w:val="001C4E33"/>
    <w:rsid w:val="001C4FD9"/>
    <w:rsid w:val="001C5138"/>
    <w:rsid w:val="001C6A1C"/>
    <w:rsid w:val="001C6F94"/>
    <w:rsid w:val="001C7452"/>
    <w:rsid w:val="001C7B6F"/>
    <w:rsid w:val="001C7D0D"/>
    <w:rsid w:val="001C7D22"/>
    <w:rsid w:val="001D01FC"/>
    <w:rsid w:val="001D0DF3"/>
    <w:rsid w:val="001D0FF0"/>
    <w:rsid w:val="001D2466"/>
    <w:rsid w:val="001D3138"/>
    <w:rsid w:val="001D32D5"/>
    <w:rsid w:val="001D34C5"/>
    <w:rsid w:val="001D4D66"/>
    <w:rsid w:val="001D743E"/>
    <w:rsid w:val="001D7AF6"/>
    <w:rsid w:val="001E0C04"/>
    <w:rsid w:val="001E183C"/>
    <w:rsid w:val="001E1C25"/>
    <w:rsid w:val="001E21D2"/>
    <w:rsid w:val="001E26B3"/>
    <w:rsid w:val="001E2B93"/>
    <w:rsid w:val="001E2C07"/>
    <w:rsid w:val="001E2D8E"/>
    <w:rsid w:val="001E3BED"/>
    <w:rsid w:val="001E43B5"/>
    <w:rsid w:val="001E5D10"/>
    <w:rsid w:val="001E6398"/>
    <w:rsid w:val="001E6884"/>
    <w:rsid w:val="001E6B5E"/>
    <w:rsid w:val="001E769D"/>
    <w:rsid w:val="001E7AFA"/>
    <w:rsid w:val="001E7B6B"/>
    <w:rsid w:val="001E7C33"/>
    <w:rsid w:val="001F1241"/>
    <w:rsid w:val="001F1330"/>
    <w:rsid w:val="001F14A9"/>
    <w:rsid w:val="001F1713"/>
    <w:rsid w:val="001F1A74"/>
    <w:rsid w:val="001F1ECB"/>
    <w:rsid w:val="001F246F"/>
    <w:rsid w:val="001F2750"/>
    <w:rsid w:val="001F2F71"/>
    <w:rsid w:val="001F2F8E"/>
    <w:rsid w:val="001F4569"/>
    <w:rsid w:val="001F6EE8"/>
    <w:rsid w:val="001F6F20"/>
    <w:rsid w:val="001F6F9E"/>
    <w:rsid w:val="001F7112"/>
    <w:rsid w:val="001F741F"/>
    <w:rsid w:val="001F7776"/>
    <w:rsid w:val="0020028B"/>
    <w:rsid w:val="00200669"/>
    <w:rsid w:val="00200698"/>
    <w:rsid w:val="002016BC"/>
    <w:rsid w:val="002018EC"/>
    <w:rsid w:val="00201E40"/>
    <w:rsid w:val="002020C4"/>
    <w:rsid w:val="0020266A"/>
    <w:rsid w:val="0020323D"/>
    <w:rsid w:val="002045B2"/>
    <w:rsid w:val="00204A2D"/>
    <w:rsid w:val="00204D29"/>
    <w:rsid w:val="0020527D"/>
    <w:rsid w:val="002065B8"/>
    <w:rsid w:val="00206B55"/>
    <w:rsid w:val="00207FBF"/>
    <w:rsid w:val="002104DC"/>
    <w:rsid w:val="00210B72"/>
    <w:rsid w:val="00210EA8"/>
    <w:rsid w:val="0021109E"/>
    <w:rsid w:val="0021119B"/>
    <w:rsid w:val="002116BA"/>
    <w:rsid w:val="0021214E"/>
    <w:rsid w:val="0021229F"/>
    <w:rsid w:val="002123EF"/>
    <w:rsid w:val="00213AE0"/>
    <w:rsid w:val="00213FA3"/>
    <w:rsid w:val="002143E3"/>
    <w:rsid w:val="002153A3"/>
    <w:rsid w:val="002153A6"/>
    <w:rsid w:val="002153EF"/>
    <w:rsid w:val="00215E0A"/>
    <w:rsid w:val="0021629C"/>
    <w:rsid w:val="00216AB1"/>
    <w:rsid w:val="00216AE1"/>
    <w:rsid w:val="00216F59"/>
    <w:rsid w:val="00217714"/>
    <w:rsid w:val="002179A0"/>
    <w:rsid w:val="00217B3B"/>
    <w:rsid w:val="00217B4E"/>
    <w:rsid w:val="002205D0"/>
    <w:rsid w:val="00220DBD"/>
    <w:rsid w:val="00221F2F"/>
    <w:rsid w:val="00222020"/>
    <w:rsid w:val="00222B76"/>
    <w:rsid w:val="00222E44"/>
    <w:rsid w:val="00223022"/>
    <w:rsid w:val="0022384B"/>
    <w:rsid w:val="00223AB1"/>
    <w:rsid w:val="00223C4F"/>
    <w:rsid w:val="00224565"/>
    <w:rsid w:val="0022468D"/>
    <w:rsid w:val="00224CF7"/>
    <w:rsid w:val="00224D51"/>
    <w:rsid w:val="0022558E"/>
    <w:rsid w:val="00225CA1"/>
    <w:rsid w:val="00226080"/>
    <w:rsid w:val="002271BF"/>
    <w:rsid w:val="00227484"/>
    <w:rsid w:val="002277E1"/>
    <w:rsid w:val="002301C6"/>
    <w:rsid w:val="0023093B"/>
    <w:rsid w:val="00230D97"/>
    <w:rsid w:val="00230F7B"/>
    <w:rsid w:val="00231904"/>
    <w:rsid w:val="00231F7E"/>
    <w:rsid w:val="00232BBE"/>
    <w:rsid w:val="00233060"/>
    <w:rsid w:val="00234C70"/>
    <w:rsid w:val="002350C5"/>
    <w:rsid w:val="002354D9"/>
    <w:rsid w:val="0023726D"/>
    <w:rsid w:val="00237653"/>
    <w:rsid w:val="0023779F"/>
    <w:rsid w:val="00237BA7"/>
    <w:rsid w:val="00240C39"/>
    <w:rsid w:val="002413CE"/>
    <w:rsid w:val="00243218"/>
    <w:rsid w:val="00243601"/>
    <w:rsid w:val="00243B7E"/>
    <w:rsid w:val="00244551"/>
    <w:rsid w:val="00244DE1"/>
    <w:rsid w:val="00245969"/>
    <w:rsid w:val="00245E68"/>
    <w:rsid w:val="00246578"/>
    <w:rsid w:val="0024743D"/>
    <w:rsid w:val="0024781A"/>
    <w:rsid w:val="00247BE6"/>
    <w:rsid w:val="00247C7F"/>
    <w:rsid w:val="0025046C"/>
    <w:rsid w:val="00250E8F"/>
    <w:rsid w:val="00251CB9"/>
    <w:rsid w:val="002532C7"/>
    <w:rsid w:val="002533AE"/>
    <w:rsid w:val="00253E16"/>
    <w:rsid w:val="002543D9"/>
    <w:rsid w:val="0025452C"/>
    <w:rsid w:val="00254938"/>
    <w:rsid w:val="00255061"/>
    <w:rsid w:val="0025674A"/>
    <w:rsid w:val="00256C5E"/>
    <w:rsid w:val="0025797A"/>
    <w:rsid w:val="002579C1"/>
    <w:rsid w:val="00257B48"/>
    <w:rsid w:val="002619C7"/>
    <w:rsid w:val="0026272C"/>
    <w:rsid w:val="00262A25"/>
    <w:rsid w:val="00264B96"/>
    <w:rsid w:val="00265B88"/>
    <w:rsid w:val="00266027"/>
    <w:rsid w:val="00266EFD"/>
    <w:rsid w:val="00267110"/>
    <w:rsid w:val="00267EF0"/>
    <w:rsid w:val="00267FD0"/>
    <w:rsid w:val="0027013B"/>
    <w:rsid w:val="002717FB"/>
    <w:rsid w:val="00271A41"/>
    <w:rsid w:val="00271CE3"/>
    <w:rsid w:val="002726E1"/>
    <w:rsid w:val="00272A00"/>
    <w:rsid w:val="00272FD7"/>
    <w:rsid w:val="002731B5"/>
    <w:rsid w:val="002744A3"/>
    <w:rsid w:val="0027450F"/>
    <w:rsid w:val="002750FB"/>
    <w:rsid w:val="0027651E"/>
    <w:rsid w:val="0027653D"/>
    <w:rsid w:val="00276898"/>
    <w:rsid w:val="002776AE"/>
    <w:rsid w:val="002802F2"/>
    <w:rsid w:val="00280664"/>
    <w:rsid w:val="00280BC0"/>
    <w:rsid w:val="00281AF7"/>
    <w:rsid w:val="00281B2A"/>
    <w:rsid w:val="00281BFE"/>
    <w:rsid w:val="00281CF8"/>
    <w:rsid w:val="002824CE"/>
    <w:rsid w:val="00282674"/>
    <w:rsid w:val="00283232"/>
    <w:rsid w:val="00283F2E"/>
    <w:rsid w:val="00284BE6"/>
    <w:rsid w:val="00285318"/>
    <w:rsid w:val="0028540F"/>
    <w:rsid w:val="00286DAB"/>
    <w:rsid w:val="0028711C"/>
    <w:rsid w:val="00287253"/>
    <w:rsid w:val="002877A0"/>
    <w:rsid w:val="002878B4"/>
    <w:rsid w:val="002920DA"/>
    <w:rsid w:val="002927DF"/>
    <w:rsid w:val="00292B31"/>
    <w:rsid w:val="00292DBA"/>
    <w:rsid w:val="00293722"/>
    <w:rsid w:val="00293D26"/>
    <w:rsid w:val="00295C2D"/>
    <w:rsid w:val="00295CFE"/>
    <w:rsid w:val="0029632B"/>
    <w:rsid w:val="0029717B"/>
    <w:rsid w:val="00297D55"/>
    <w:rsid w:val="002A0184"/>
    <w:rsid w:val="002A06A4"/>
    <w:rsid w:val="002A0706"/>
    <w:rsid w:val="002A08DE"/>
    <w:rsid w:val="002A0D62"/>
    <w:rsid w:val="002A1246"/>
    <w:rsid w:val="002A163F"/>
    <w:rsid w:val="002A19AD"/>
    <w:rsid w:val="002A240B"/>
    <w:rsid w:val="002A27CA"/>
    <w:rsid w:val="002A305B"/>
    <w:rsid w:val="002A3D15"/>
    <w:rsid w:val="002A3E85"/>
    <w:rsid w:val="002A4A25"/>
    <w:rsid w:val="002A50BE"/>
    <w:rsid w:val="002A56A5"/>
    <w:rsid w:val="002A5F32"/>
    <w:rsid w:val="002A6310"/>
    <w:rsid w:val="002A640A"/>
    <w:rsid w:val="002A6428"/>
    <w:rsid w:val="002A6D27"/>
    <w:rsid w:val="002A6E11"/>
    <w:rsid w:val="002A6E6A"/>
    <w:rsid w:val="002A7EBC"/>
    <w:rsid w:val="002B03B0"/>
    <w:rsid w:val="002B1391"/>
    <w:rsid w:val="002B15E9"/>
    <w:rsid w:val="002B2992"/>
    <w:rsid w:val="002B2B5D"/>
    <w:rsid w:val="002B306F"/>
    <w:rsid w:val="002B31A6"/>
    <w:rsid w:val="002B35E9"/>
    <w:rsid w:val="002B3D2E"/>
    <w:rsid w:val="002B481C"/>
    <w:rsid w:val="002B4A16"/>
    <w:rsid w:val="002B4D26"/>
    <w:rsid w:val="002B5082"/>
    <w:rsid w:val="002B5566"/>
    <w:rsid w:val="002B5851"/>
    <w:rsid w:val="002B58C6"/>
    <w:rsid w:val="002B62F9"/>
    <w:rsid w:val="002B6389"/>
    <w:rsid w:val="002B6863"/>
    <w:rsid w:val="002B6DF0"/>
    <w:rsid w:val="002B6DF5"/>
    <w:rsid w:val="002B6F18"/>
    <w:rsid w:val="002B7B88"/>
    <w:rsid w:val="002B7E46"/>
    <w:rsid w:val="002C0554"/>
    <w:rsid w:val="002C0971"/>
    <w:rsid w:val="002C1119"/>
    <w:rsid w:val="002C227E"/>
    <w:rsid w:val="002C27E0"/>
    <w:rsid w:val="002C28C4"/>
    <w:rsid w:val="002C34B7"/>
    <w:rsid w:val="002C4082"/>
    <w:rsid w:val="002C456A"/>
    <w:rsid w:val="002C4E4A"/>
    <w:rsid w:val="002C4FB7"/>
    <w:rsid w:val="002C5424"/>
    <w:rsid w:val="002C66D0"/>
    <w:rsid w:val="002C71C9"/>
    <w:rsid w:val="002C73A1"/>
    <w:rsid w:val="002D00DB"/>
    <w:rsid w:val="002D0A64"/>
    <w:rsid w:val="002D0A9F"/>
    <w:rsid w:val="002D1528"/>
    <w:rsid w:val="002D1BA7"/>
    <w:rsid w:val="002D1D30"/>
    <w:rsid w:val="002D2417"/>
    <w:rsid w:val="002D2422"/>
    <w:rsid w:val="002D291D"/>
    <w:rsid w:val="002D394B"/>
    <w:rsid w:val="002D42E3"/>
    <w:rsid w:val="002D4485"/>
    <w:rsid w:val="002D4ADC"/>
    <w:rsid w:val="002D7700"/>
    <w:rsid w:val="002D7B07"/>
    <w:rsid w:val="002E05CC"/>
    <w:rsid w:val="002E0FCC"/>
    <w:rsid w:val="002E1659"/>
    <w:rsid w:val="002E1923"/>
    <w:rsid w:val="002E1F7D"/>
    <w:rsid w:val="002E21BE"/>
    <w:rsid w:val="002E24DC"/>
    <w:rsid w:val="002E2B47"/>
    <w:rsid w:val="002E2C29"/>
    <w:rsid w:val="002E3756"/>
    <w:rsid w:val="002E3AD5"/>
    <w:rsid w:val="002E40FE"/>
    <w:rsid w:val="002E49B0"/>
    <w:rsid w:val="002E5BB2"/>
    <w:rsid w:val="002E5F4B"/>
    <w:rsid w:val="002E6263"/>
    <w:rsid w:val="002E6944"/>
    <w:rsid w:val="002E6A42"/>
    <w:rsid w:val="002E71F7"/>
    <w:rsid w:val="002E795A"/>
    <w:rsid w:val="002E7D76"/>
    <w:rsid w:val="002F08C9"/>
    <w:rsid w:val="002F0943"/>
    <w:rsid w:val="002F0A54"/>
    <w:rsid w:val="002F0E79"/>
    <w:rsid w:val="002F1743"/>
    <w:rsid w:val="002F1CA9"/>
    <w:rsid w:val="002F2B18"/>
    <w:rsid w:val="002F626C"/>
    <w:rsid w:val="002F659C"/>
    <w:rsid w:val="002F6D01"/>
    <w:rsid w:val="002F6D47"/>
    <w:rsid w:val="002F6DB1"/>
    <w:rsid w:val="002F6EEB"/>
    <w:rsid w:val="002F743C"/>
    <w:rsid w:val="002F7E21"/>
    <w:rsid w:val="0030085C"/>
    <w:rsid w:val="00300AF5"/>
    <w:rsid w:val="00301016"/>
    <w:rsid w:val="00301023"/>
    <w:rsid w:val="0030157A"/>
    <w:rsid w:val="00301EB2"/>
    <w:rsid w:val="003023D5"/>
    <w:rsid w:val="00302B7A"/>
    <w:rsid w:val="003037B1"/>
    <w:rsid w:val="00304AA0"/>
    <w:rsid w:val="00304B4B"/>
    <w:rsid w:val="00305007"/>
    <w:rsid w:val="00305148"/>
    <w:rsid w:val="00305394"/>
    <w:rsid w:val="003053F6"/>
    <w:rsid w:val="003060A3"/>
    <w:rsid w:val="003062B2"/>
    <w:rsid w:val="00306FC9"/>
    <w:rsid w:val="0030750B"/>
    <w:rsid w:val="00307BDD"/>
    <w:rsid w:val="0031028F"/>
    <w:rsid w:val="003102F1"/>
    <w:rsid w:val="0031071A"/>
    <w:rsid w:val="00310825"/>
    <w:rsid w:val="00310898"/>
    <w:rsid w:val="00310A72"/>
    <w:rsid w:val="00310AA1"/>
    <w:rsid w:val="0031164D"/>
    <w:rsid w:val="0031196F"/>
    <w:rsid w:val="00311F7A"/>
    <w:rsid w:val="003122DD"/>
    <w:rsid w:val="00312641"/>
    <w:rsid w:val="00312B66"/>
    <w:rsid w:val="003132D2"/>
    <w:rsid w:val="0031520D"/>
    <w:rsid w:val="0031533E"/>
    <w:rsid w:val="00315D94"/>
    <w:rsid w:val="00315F12"/>
    <w:rsid w:val="00315F59"/>
    <w:rsid w:val="00315FFA"/>
    <w:rsid w:val="003160FC"/>
    <w:rsid w:val="003162A2"/>
    <w:rsid w:val="003162B5"/>
    <w:rsid w:val="0031664B"/>
    <w:rsid w:val="003169A3"/>
    <w:rsid w:val="00316B61"/>
    <w:rsid w:val="00316F5A"/>
    <w:rsid w:val="003172FB"/>
    <w:rsid w:val="003178CA"/>
    <w:rsid w:val="00317938"/>
    <w:rsid w:val="0032034E"/>
    <w:rsid w:val="003203C1"/>
    <w:rsid w:val="00320796"/>
    <w:rsid w:val="00320B50"/>
    <w:rsid w:val="00320F6C"/>
    <w:rsid w:val="003211A7"/>
    <w:rsid w:val="00321660"/>
    <w:rsid w:val="00321F91"/>
    <w:rsid w:val="00321FDC"/>
    <w:rsid w:val="003226FB"/>
    <w:rsid w:val="003231E7"/>
    <w:rsid w:val="0032327D"/>
    <w:rsid w:val="003242E2"/>
    <w:rsid w:val="00324524"/>
    <w:rsid w:val="00324C90"/>
    <w:rsid w:val="003250BA"/>
    <w:rsid w:val="00325463"/>
    <w:rsid w:val="00325FD3"/>
    <w:rsid w:val="00326584"/>
    <w:rsid w:val="00326839"/>
    <w:rsid w:val="00327228"/>
    <w:rsid w:val="003273D2"/>
    <w:rsid w:val="003278ED"/>
    <w:rsid w:val="00330536"/>
    <w:rsid w:val="00330D71"/>
    <w:rsid w:val="003327AC"/>
    <w:rsid w:val="003329BF"/>
    <w:rsid w:val="00332AD3"/>
    <w:rsid w:val="00332D75"/>
    <w:rsid w:val="00332FF7"/>
    <w:rsid w:val="003339BB"/>
    <w:rsid w:val="00334017"/>
    <w:rsid w:val="00334346"/>
    <w:rsid w:val="003345E2"/>
    <w:rsid w:val="00334B4F"/>
    <w:rsid w:val="00334E48"/>
    <w:rsid w:val="00335B58"/>
    <w:rsid w:val="00335CB2"/>
    <w:rsid w:val="0033600F"/>
    <w:rsid w:val="00336114"/>
    <w:rsid w:val="003365B4"/>
    <w:rsid w:val="00337100"/>
    <w:rsid w:val="00337AB4"/>
    <w:rsid w:val="00340423"/>
    <w:rsid w:val="00340755"/>
    <w:rsid w:val="00340827"/>
    <w:rsid w:val="00340FCD"/>
    <w:rsid w:val="0034197B"/>
    <w:rsid w:val="0034197D"/>
    <w:rsid w:val="00341989"/>
    <w:rsid w:val="00341CFE"/>
    <w:rsid w:val="00341E76"/>
    <w:rsid w:val="00343086"/>
    <w:rsid w:val="00343D04"/>
    <w:rsid w:val="003443AD"/>
    <w:rsid w:val="0034448F"/>
    <w:rsid w:val="003444E4"/>
    <w:rsid w:val="00345DAF"/>
    <w:rsid w:val="003501B5"/>
    <w:rsid w:val="003505FE"/>
    <w:rsid w:val="003507EF"/>
    <w:rsid w:val="00350EF9"/>
    <w:rsid w:val="003518E2"/>
    <w:rsid w:val="00351B46"/>
    <w:rsid w:val="00353B1C"/>
    <w:rsid w:val="00353BC7"/>
    <w:rsid w:val="00354236"/>
    <w:rsid w:val="003542D6"/>
    <w:rsid w:val="003545A2"/>
    <w:rsid w:val="003554AA"/>
    <w:rsid w:val="0035571E"/>
    <w:rsid w:val="00355776"/>
    <w:rsid w:val="00355B4A"/>
    <w:rsid w:val="00355CEA"/>
    <w:rsid w:val="00356D01"/>
    <w:rsid w:val="00357081"/>
    <w:rsid w:val="003571F9"/>
    <w:rsid w:val="00357810"/>
    <w:rsid w:val="00357B68"/>
    <w:rsid w:val="00357ED7"/>
    <w:rsid w:val="003609CC"/>
    <w:rsid w:val="00360A21"/>
    <w:rsid w:val="00361060"/>
    <w:rsid w:val="003615F6"/>
    <w:rsid w:val="003616C7"/>
    <w:rsid w:val="00361733"/>
    <w:rsid w:val="00361B1B"/>
    <w:rsid w:val="00362225"/>
    <w:rsid w:val="00362BC6"/>
    <w:rsid w:val="00363127"/>
    <w:rsid w:val="00363A7B"/>
    <w:rsid w:val="00363FBB"/>
    <w:rsid w:val="003646AA"/>
    <w:rsid w:val="00365136"/>
    <w:rsid w:val="00366879"/>
    <w:rsid w:val="00367821"/>
    <w:rsid w:val="00370033"/>
    <w:rsid w:val="0037090E"/>
    <w:rsid w:val="00370C2C"/>
    <w:rsid w:val="00370CF3"/>
    <w:rsid w:val="00371B54"/>
    <w:rsid w:val="00371DE7"/>
    <w:rsid w:val="00371EB9"/>
    <w:rsid w:val="0037206C"/>
    <w:rsid w:val="0037213C"/>
    <w:rsid w:val="003721FD"/>
    <w:rsid w:val="00373394"/>
    <w:rsid w:val="003739B3"/>
    <w:rsid w:val="00373DC2"/>
    <w:rsid w:val="003740CF"/>
    <w:rsid w:val="00374454"/>
    <w:rsid w:val="00374763"/>
    <w:rsid w:val="003747A6"/>
    <w:rsid w:val="00374E03"/>
    <w:rsid w:val="00375217"/>
    <w:rsid w:val="00375BEF"/>
    <w:rsid w:val="00375F65"/>
    <w:rsid w:val="003763DE"/>
    <w:rsid w:val="00376DA1"/>
    <w:rsid w:val="00376E00"/>
    <w:rsid w:val="00376ED6"/>
    <w:rsid w:val="00377170"/>
    <w:rsid w:val="0037757A"/>
    <w:rsid w:val="0037769E"/>
    <w:rsid w:val="00377BAD"/>
    <w:rsid w:val="003800EF"/>
    <w:rsid w:val="00380DAE"/>
    <w:rsid w:val="00380EB5"/>
    <w:rsid w:val="003818B7"/>
    <w:rsid w:val="00382A36"/>
    <w:rsid w:val="00382B70"/>
    <w:rsid w:val="00383119"/>
    <w:rsid w:val="00383482"/>
    <w:rsid w:val="00383CBC"/>
    <w:rsid w:val="00383DDD"/>
    <w:rsid w:val="00384110"/>
    <w:rsid w:val="0038548D"/>
    <w:rsid w:val="00385557"/>
    <w:rsid w:val="00385D1E"/>
    <w:rsid w:val="0038648A"/>
    <w:rsid w:val="00386817"/>
    <w:rsid w:val="00386D3F"/>
    <w:rsid w:val="00387BA3"/>
    <w:rsid w:val="00387EB7"/>
    <w:rsid w:val="0039001C"/>
    <w:rsid w:val="003912BB"/>
    <w:rsid w:val="00392D0C"/>
    <w:rsid w:val="003930A1"/>
    <w:rsid w:val="00393524"/>
    <w:rsid w:val="00394061"/>
    <w:rsid w:val="00394B59"/>
    <w:rsid w:val="00394FA4"/>
    <w:rsid w:val="003951C7"/>
    <w:rsid w:val="00395367"/>
    <w:rsid w:val="0039656E"/>
    <w:rsid w:val="003970DD"/>
    <w:rsid w:val="00397599"/>
    <w:rsid w:val="003A053E"/>
    <w:rsid w:val="003A0A90"/>
    <w:rsid w:val="003A0ADF"/>
    <w:rsid w:val="003A0BB3"/>
    <w:rsid w:val="003A198F"/>
    <w:rsid w:val="003A1EC7"/>
    <w:rsid w:val="003A29F4"/>
    <w:rsid w:val="003A2DB8"/>
    <w:rsid w:val="003A42C8"/>
    <w:rsid w:val="003A44E0"/>
    <w:rsid w:val="003A52DE"/>
    <w:rsid w:val="003A5F9B"/>
    <w:rsid w:val="003A6530"/>
    <w:rsid w:val="003A7033"/>
    <w:rsid w:val="003A7E14"/>
    <w:rsid w:val="003B004C"/>
    <w:rsid w:val="003B0294"/>
    <w:rsid w:val="003B0EAA"/>
    <w:rsid w:val="003B17A0"/>
    <w:rsid w:val="003B25AE"/>
    <w:rsid w:val="003B269C"/>
    <w:rsid w:val="003B2A44"/>
    <w:rsid w:val="003B2BC5"/>
    <w:rsid w:val="003B32A9"/>
    <w:rsid w:val="003B3F4F"/>
    <w:rsid w:val="003B4CBB"/>
    <w:rsid w:val="003B5380"/>
    <w:rsid w:val="003B55A0"/>
    <w:rsid w:val="003B5A51"/>
    <w:rsid w:val="003B6408"/>
    <w:rsid w:val="003B7198"/>
    <w:rsid w:val="003B7E59"/>
    <w:rsid w:val="003C0228"/>
    <w:rsid w:val="003C0593"/>
    <w:rsid w:val="003C0F81"/>
    <w:rsid w:val="003C107D"/>
    <w:rsid w:val="003C130F"/>
    <w:rsid w:val="003C173B"/>
    <w:rsid w:val="003C1E8C"/>
    <w:rsid w:val="003C2AE8"/>
    <w:rsid w:val="003C36EE"/>
    <w:rsid w:val="003C3E92"/>
    <w:rsid w:val="003C426A"/>
    <w:rsid w:val="003C428D"/>
    <w:rsid w:val="003C4617"/>
    <w:rsid w:val="003C53E8"/>
    <w:rsid w:val="003C5753"/>
    <w:rsid w:val="003C57E6"/>
    <w:rsid w:val="003C66A5"/>
    <w:rsid w:val="003C67CB"/>
    <w:rsid w:val="003C6C07"/>
    <w:rsid w:val="003C70DB"/>
    <w:rsid w:val="003C7CE6"/>
    <w:rsid w:val="003D12B0"/>
    <w:rsid w:val="003D1981"/>
    <w:rsid w:val="003D2606"/>
    <w:rsid w:val="003D27B8"/>
    <w:rsid w:val="003D28D4"/>
    <w:rsid w:val="003D2E4A"/>
    <w:rsid w:val="003D36B5"/>
    <w:rsid w:val="003D4AD8"/>
    <w:rsid w:val="003D5477"/>
    <w:rsid w:val="003D65DD"/>
    <w:rsid w:val="003D73B0"/>
    <w:rsid w:val="003D77EA"/>
    <w:rsid w:val="003D7925"/>
    <w:rsid w:val="003D7AD3"/>
    <w:rsid w:val="003E1310"/>
    <w:rsid w:val="003E2347"/>
    <w:rsid w:val="003E2867"/>
    <w:rsid w:val="003E2A83"/>
    <w:rsid w:val="003E4261"/>
    <w:rsid w:val="003E487B"/>
    <w:rsid w:val="003E524A"/>
    <w:rsid w:val="003E52E6"/>
    <w:rsid w:val="003E52EA"/>
    <w:rsid w:val="003E5373"/>
    <w:rsid w:val="003E5618"/>
    <w:rsid w:val="003E5998"/>
    <w:rsid w:val="003E5C8B"/>
    <w:rsid w:val="003E6231"/>
    <w:rsid w:val="003E62E3"/>
    <w:rsid w:val="003E6763"/>
    <w:rsid w:val="003E74D5"/>
    <w:rsid w:val="003F0948"/>
    <w:rsid w:val="003F0D48"/>
    <w:rsid w:val="003F0E96"/>
    <w:rsid w:val="003F0F19"/>
    <w:rsid w:val="003F106D"/>
    <w:rsid w:val="003F123B"/>
    <w:rsid w:val="003F1F1D"/>
    <w:rsid w:val="003F2783"/>
    <w:rsid w:val="003F2994"/>
    <w:rsid w:val="003F2AD6"/>
    <w:rsid w:val="003F2CF1"/>
    <w:rsid w:val="003F3216"/>
    <w:rsid w:val="003F434D"/>
    <w:rsid w:val="003F465D"/>
    <w:rsid w:val="003F55A2"/>
    <w:rsid w:val="003F5D12"/>
    <w:rsid w:val="003F5DEC"/>
    <w:rsid w:val="003F6C6D"/>
    <w:rsid w:val="003F75FD"/>
    <w:rsid w:val="004003A1"/>
    <w:rsid w:val="004005F8"/>
    <w:rsid w:val="0040075D"/>
    <w:rsid w:val="004007C7"/>
    <w:rsid w:val="00400A47"/>
    <w:rsid w:val="00400FBF"/>
    <w:rsid w:val="00403A24"/>
    <w:rsid w:val="0040499B"/>
    <w:rsid w:val="00405C70"/>
    <w:rsid w:val="00405CEA"/>
    <w:rsid w:val="00407757"/>
    <w:rsid w:val="00407DDF"/>
    <w:rsid w:val="00410235"/>
    <w:rsid w:val="00410744"/>
    <w:rsid w:val="00410EDB"/>
    <w:rsid w:val="00411240"/>
    <w:rsid w:val="004112BC"/>
    <w:rsid w:val="00411626"/>
    <w:rsid w:val="004118AC"/>
    <w:rsid w:val="00411B8C"/>
    <w:rsid w:val="00412B3B"/>
    <w:rsid w:val="0041387A"/>
    <w:rsid w:val="00413F35"/>
    <w:rsid w:val="00413FF7"/>
    <w:rsid w:val="0041422F"/>
    <w:rsid w:val="00414B6C"/>
    <w:rsid w:val="00415390"/>
    <w:rsid w:val="00415CD8"/>
    <w:rsid w:val="00417281"/>
    <w:rsid w:val="00417BE6"/>
    <w:rsid w:val="00417D50"/>
    <w:rsid w:val="00420F1E"/>
    <w:rsid w:val="00421830"/>
    <w:rsid w:val="00421E0E"/>
    <w:rsid w:val="00421FDD"/>
    <w:rsid w:val="00422773"/>
    <w:rsid w:val="0042279D"/>
    <w:rsid w:val="00422B88"/>
    <w:rsid w:val="00422C67"/>
    <w:rsid w:val="00423246"/>
    <w:rsid w:val="00423D63"/>
    <w:rsid w:val="0042421B"/>
    <w:rsid w:val="00424430"/>
    <w:rsid w:val="00424684"/>
    <w:rsid w:val="004247C9"/>
    <w:rsid w:val="004252F3"/>
    <w:rsid w:val="0042540E"/>
    <w:rsid w:val="004258B7"/>
    <w:rsid w:val="004258BC"/>
    <w:rsid w:val="004268BC"/>
    <w:rsid w:val="00426D72"/>
    <w:rsid w:val="00426F96"/>
    <w:rsid w:val="0042728D"/>
    <w:rsid w:val="00427DC3"/>
    <w:rsid w:val="00427EDD"/>
    <w:rsid w:val="00430444"/>
    <w:rsid w:val="00430D8B"/>
    <w:rsid w:val="00430F7E"/>
    <w:rsid w:val="0043298D"/>
    <w:rsid w:val="00432BD9"/>
    <w:rsid w:val="004332D3"/>
    <w:rsid w:val="00433DC0"/>
    <w:rsid w:val="0043467C"/>
    <w:rsid w:val="00434936"/>
    <w:rsid w:val="00435521"/>
    <w:rsid w:val="004357F7"/>
    <w:rsid w:val="004361E1"/>
    <w:rsid w:val="004366DD"/>
    <w:rsid w:val="00436799"/>
    <w:rsid w:val="00436FB5"/>
    <w:rsid w:val="0043702B"/>
    <w:rsid w:val="004373A4"/>
    <w:rsid w:val="00437701"/>
    <w:rsid w:val="00437AF1"/>
    <w:rsid w:val="004401E8"/>
    <w:rsid w:val="00440881"/>
    <w:rsid w:val="004416F0"/>
    <w:rsid w:val="00441EDC"/>
    <w:rsid w:val="00442BA9"/>
    <w:rsid w:val="004431AB"/>
    <w:rsid w:val="00443832"/>
    <w:rsid w:val="00444640"/>
    <w:rsid w:val="0044518C"/>
    <w:rsid w:val="00446240"/>
    <w:rsid w:val="004469AA"/>
    <w:rsid w:val="00446E51"/>
    <w:rsid w:val="00447126"/>
    <w:rsid w:val="00447591"/>
    <w:rsid w:val="00447BE6"/>
    <w:rsid w:val="004500C6"/>
    <w:rsid w:val="00450AE0"/>
    <w:rsid w:val="00452390"/>
    <w:rsid w:val="004546D9"/>
    <w:rsid w:val="00454FC0"/>
    <w:rsid w:val="0045534E"/>
    <w:rsid w:val="0045659A"/>
    <w:rsid w:val="00456934"/>
    <w:rsid w:val="0045710C"/>
    <w:rsid w:val="00460EB8"/>
    <w:rsid w:val="0046115B"/>
    <w:rsid w:val="0046160A"/>
    <w:rsid w:val="00461AB1"/>
    <w:rsid w:val="00461EA0"/>
    <w:rsid w:val="0046201F"/>
    <w:rsid w:val="00464B53"/>
    <w:rsid w:val="00465512"/>
    <w:rsid w:val="0046577E"/>
    <w:rsid w:val="0046791F"/>
    <w:rsid w:val="0046793A"/>
    <w:rsid w:val="00470583"/>
    <w:rsid w:val="00470660"/>
    <w:rsid w:val="00470EDD"/>
    <w:rsid w:val="00471D33"/>
    <w:rsid w:val="00471DAE"/>
    <w:rsid w:val="00471EA4"/>
    <w:rsid w:val="00471F0B"/>
    <w:rsid w:val="004722F7"/>
    <w:rsid w:val="00473870"/>
    <w:rsid w:val="004741CA"/>
    <w:rsid w:val="00474246"/>
    <w:rsid w:val="004742D5"/>
    <w:rsid w:val="0047445E"/>
    <w:rsid w:val="00474A95"/>
    <w:rsid w:val="00474BA3"/>
    <w:rsid w:val="00474D1D"/>
    <w:rsid w:val="00474E02"/>
    <w:rsid w:val="0047536A"/>
    <w:rsid w:val="0047701E"/>
    <w:rsid w:val="00477191"/>
    <w:rsid w:val="004779A3"/>
    <w:rsid w:val="004779C8"/>
    <w:rsid w:val="004803B1"/>
    <w:rsid w:val="004804D0"/>
    <w:rsid w:val="00481027"/>
    <w:rsid w:val="004814BE"/>
    <w:rsid w:val="00481AB2"/>
    <w:rsid w:val="00481C64"/>
    <w:rsid w:val="00481DB0"/>
    <w:rsid w:val="00481DB1"/>
    <w:rsid w:val="0048205B"/>
    <w:rsid w:val="004824C4"/>
    <w:rsid w:val="00482902"/>
    <w:rsid w:val="0048342A"/>
    <w:rsid w:val="004838AE"/>
    <w:rsid w:val="0048418D"/>
    <w:rsid w:val="00484B2E"/>
    <w:rsid w:val="00486CDC"/>
    <w:rsid w:val="004874D5"/>
    <w:rsid w:val="00487855"/>
    <w:rsid w:val="00487879"/>
    <w:rsid w:val="00487A0F"/>
    <w:rsid w:val="00487E90"/>
    <w:rsid w:val="004909BD"/>
    <w:rsid w:val="00490A9E"/>
    <w:rsid w:val="00491C07"/>
    <w:rsid w:val="00491C1A"/>
    <w:rsid w:val="00492160"/>
    <w:rsid w:val="00492E1A"/>
    <w:rsid w:val="00492F20"/>
    <w:rsid w:val="00493D74"/>
    <w:rsid w:val="00494A50"/>
    <w:rsid w:val="00495765"/>
    <w:rsid w:val="00495E46"/>
    <w:rsid w:val="0049664B"/>
    <w:rsid w:val="00496E94"/>
    <w:rsid w:val="004A01E0"/>
    <w:rsid w:val="004A040B"/>
    <w:rsid w:val="004A0F83"/>
    <w:rsid w:val="004A11C4"/>
    <w:rsid w:val="004A11CE"/>
    <w:rsid w:val="004A1379"/>
    <w:rsid w:val="004A15B5"/>
    <w:rsid w:val="004A1B3C"/>
    <w:rsid w:val="004A289D"/>
    <w:rsid w:val="004A2DC2"/>
    <w:rsid w:val="004A36BA"/>
    <w:rsid w:val="004A3761"/>
    <w:rsid w:val="004A3B9B"/>
    <w:rsid w:val="004A42E0"/>
    <w:rsid w:val="004A42F3"/>
    <w:rsid w:val="004A48A1"/>
    <w:rsid w:val="004A4B9E"/>
    <w:rsid w:val="004A6742"/>
    <w:rsid w:val="004A6A9D"/>
    <w:rsid w:val="004A6D3B"/>
    <w:rsid w:val="004A76B7"/>
    <w:rsid w:val="004A7CC0"/>
    <w:rsid w:val="004B009E"/>
    <w:rsid w:val="004B00B5"/>
    <w:rsid w:val="004B0DAC"/>
    <w:rsid w:val="004B0FAF"/>
    <w:rsid w:val="004B17E5"/>
    <w:rsid w:val="004B2827"/>
    <w:rsid w:val="004B291B"/>
    <w:rsid w:val="004B31E3"/>
    <w:rsid w:val="004B3A7D"/>
    <w:rsid w:val="004B41A0"/>
    <w:rsid w:val="004B42CD"/>
    <w:rsid w:val="004B4BD3"/>
    <w:rsid w:val="004B662E"/>
    <w:rsid w:val="004B7F0D"/>
    <w:rsid w:val="004C0AEC"/>
    <w:rsid w:val="004C0E29"/>
    <w:rsid w:val="004C0F12"/>
    <w:rsid w:val="004C1DC6"/>
    <w:rsid w:val="004C2037"/>
    <w:rsid w:val="004C2064"/>
    <w:rsid w:val="004C23BF"/>
    <w:rsid w:val="004C286F"/>
    <w:rsid w:val="004C37F2"/>
    <w:rsid w:val="004C3AF2"/>
    <w:rsid w:val="004C3B31"/>
    <w:rsid w:val="004C3DA9"/>
    <w:rsid w:val="004C4FCD"/>
    <w:rsid w:val="004C5587"/>
    <w:rsid w:val="004C59B1"/>
    <w:rsid w:val="004C5BB0"/>
    <w:rsid w:val="004C5F68"/>
    <w:rsid w:val="004C62F0"/>
    <w:rsid w:val="004C7568"/>
    <w:rsid w:val="004C7C72"/>
    <w:rsid w:val="004D0975"/>
    <w:rsid w:val="004D0CDA"/>
    <w:rsid w:val="004D1147"/>
    <w:rsid w:val="004D1684"/>
    <w:rsid w:val="004D1A8B"/>
    <w:rsid w:val="004D1C3F"/>
    <w:rsid w:val="004D1EE0"/>
    <w:rsid w:val="004D29DB"/>
    <w:rsid w:val="004D40EB"/>
    <w:rsid w:val="004D4B8F"/>
    <w:rsid w:val="004D4E68"/>
    <w:rsid w:val="004D570B"/>
    <w:rsid w:val="004D5AF8"/>
    <w:rsid w:val="004D5DCE"/>
    <w:rsid w:val="004D67DC"/>
    <w:rsid w:val="004D6B89"/>
    <w:rsid w:val="004D757C"/>
    <w:rsid w:val="004D77CE"/>
    <w:rsid w:val="004D782E"/>
    <w:rsid w:val="004E0F38"/>
    <w:rsid w:val="004E119D"/>
    <w:rsid w:val="004E137B"/>
    <w:rsid w:val="004E3339"/>
    <w:rsid w:val="004E3F92"/>
    <w:rsid w:val="004E4510"/>
    <w:rsid w:val="004E4EFC"/>
    <w:rsid w:val="004E5EAA"/>
    <w:rsid w:val="004E6150"/>
    <w:rsid w:val="004E669D"/>
    <w:rsid w:val="004E6C04"/>
    <w:rsid w:val="004E6C0D"/>
    <w:rsid w:val="004E743B"/>
    <w:rsid w:val="004E7C15"/>
    <w:rsid w:val="004F00E9"/>
    <w:rsid w:val="004F033A"/>
    <w:rsid w:val="004F0431"/>
    <w:rsid w:val="004F0DB1"/>
    <w:rsid w:val="004F12D3"/>
    <w:rsid w:val="004F2E27"/>
    <w:rsid w:val="004F3332"/>
    <w:rsid w:val="004F3815"/>
    <w:rsid w:val="004F4D4F"/>
    <w:rsid w:val="004F7D4F"/>
    <w:rsid w:val="005009F4"/>
    <w:rsid w:val="005010B5"/>
    <w:rsid w:val="0050180E"/>
    <w:rsid w:val="00501E89"/>
    <w:rsid w:val="00503880"/>
    <w:rsid w:val="005051C9"/>
    <w:rsid w:val="00505205"/>
    <w:rsid w:val="005052DC"/>
    <w:rsid w:val="00505334"/>
    <w:rsid w:val="005066BF"/>
    <w:rsid w:val="00506C61"/>
    <w:rsid w:val="00506E13"/>
    <w:rsid w:val="00507AF6"/>
    <w:rsid w:val="005107AC"/>
    <w:rsid w:val="00512C96"/>
    <w:rsid w:val="00512E54"/>
    <w:rsid w:val="00513182"/>
    <w:rsid w:val="0051319F"/>
    <w:rsid w:val="0051328B"/>
    <w:rsid w:val="0051370A"/>
    <w:rsid w:val="00513C9F"/>
    <w:rsid w:val="00513E0A"/>
    <w:rsid w:val="00515157"/>
    <w:rsid w:val="005156BD"/>
    <w:rsid w:val="005158F1"/>
    <w:rsid w:val="00516AF9"/>
    <w:rsid w:val="00516C72"/>
    <w:rsid w:val="005173EA"/>
    <w:rsid w:val="00517537"/>
    <w:rsid w:val="00517715"/>
    <w:rsid w:val="00517787"/>
    <w:rsid w:val="00520C93"/>
    <w:rsid w:val="005215B2"/>
    <w:rsid w:val="0052195F"/>
    <w:rsid w:val="00521BE6"/>
    <w:rsid w:val="00522C73"/>
    <w:rsid w:val="005235DB"/>
    <w:rsid w:val="005238D9"/>
    <w:rsid w:val="00523996"/>
    <w:rsid w:val="005245B9"/>
    <w:rsid w:val="0052472D"/>
    <w:rsid w:val="00526909"/>
    <w:rsid w:val="00526BD5"/>
    <w:rsid w:val="00526C4C"/>
    <w:rsid w:val="00526F21"/>
    <w:rsid w:val="00527269"/>
    <w:rsid w:val="00527734"/>
    <w:rsid w:val="0053076F"/>
    <w:rsid w:val="00530819"/>
    <w:rsid w:val="00530856"/>
    <w:rsid w:val="0053184F"/>
    <w:rsid w:val="00531ADA"/>
    <w:rsid w:val="00532967"/>
    <w:rsid w:val="00532DB5"/>
    <w:rsid w:val="00532E08"/>
    <w:rsid w:val="00532E42"/>
    <w:rsid w:val="00532F99"/>
    <w:rsid w:val="0053427C"/>
    <w:rsid w:val="00534950"/>
    <w:rsid w:val="00534B31"/>
    <w:rsid w:val="00534EF0"/>
    <w:rsid w:val="0053551F"/>
    <w:rsid w:val="00535A03"/>
    <w:rsid w:val="00535CB4"/>
    <w:rsid w:val="00537DB7"/>
    <w:rsid w:val="005401A8"/>
    <w:rsid w:val="00540206"/>
    <w:rsid w:val="005403EB"/>
    <w:rsid w:val="00540CDC"/>
    <w:rsid w:val="00540D7E"/>
    <w:rsid w:val="00540DC2"/>
    <w:rsid w:val="00541953"/>
    <w:rsid w:val="00542A97"/>
    <w:rsid w:val="005438DE"/>
    <w:rsid w:val="005448E4"/>
    <w:rsid w:val="00544DE6"/>
    <w:rsid w:val="005452D8"/>
    <w:rsid w:val="00545936"/>
    <w:rsid w:val="00545C6A"/>
    <w:rsid w:val="00545E41"/>
    <w:rsid w:val="005466D9"/>
    <w:rsid w:val="00546B03"/>
    <w:rsid w:val="00546F9A"/>
    <w:rsid w:val="00547976"/>
    <w:rsid w:val="00547C3E"/>
    <w:rsid w:val="00547E81"/>
    <w:rsid w:val="00547F5D"/>
    <w:rsid w:val="0055030B"/>
    <w:rsid w:val="005505DC"/>
    <w:rsid w:val="00550A5B"/>
    <w:rsid w:val="00550CC0"/>
    <w:rsid w:val="00550CCB"/>
    <w:rsid w:val="005519EF"/>
    <w:rsid w:val="00551D57"/>
    <w:rsid w:val="00551D7A"/>
    <w:rsid w:val="00551EA6"/>
    <w:rsid w:val="00552253"/>
    <w:rsid w:val="005531CD"/>
    <w:rsid w:val="0055418E"/>
    <w:rsid w:val="00554AA1"/>
    <w:rsid w:val="00555230"/>
    <w:rsid w:val="005565C7"/>
    <w:rsid w:val="005565CC"/>
    <w:rsid w:val="00557364"/>
    <w:rsid w:val="00557B59"/>
    <w:rsid w:val="00560201"/>
    <w:rsid w:val="0056069D"/>
    <w:rsid w:val="005607AB"/>
    <w:rsid w:val="00561336"/>
    <w:rsid w:val="005615A2"/>
    <w:rsid w:val="00561A24"/>
    <w:rsid w:val="00562983"/>
    <w:rsid w:val="00562E9A"/>
    <w:rsid w:val="0056306E"/>
    <w:rsid w:val="00563A7C"/>
    <w:rsid w:val="00563D3F"/>
    <w:rsid w:val="0056447C"/>
    <w:rsid w:val="0056448B"/>
    <w:rsid w:val="00564B45"/>
    <w:rsid w:val="00564C7A"/>
    <w:rsid w:val="00565246"/>
    <w:rsid w:val="00565B92"/>
    <w:rsid w:val="00565E4A"/>
    <w:rsid w:val="005663F1"/>
    <w:rsid w:val="0056679E"/>
    <w:rsid w:val="0056719B"/>
    <w:rsid w:val="00567410"/>
    <w:rsid w:val="00570036"/>
    <w:rsid w:val="0057003D"/>
    <w:rsid w:val="00570108"/>
    <w:rsid w:val="00570D81"/>
    <w:rsid w:val="00571283"/>
    <w:rsid w:val="00571389"/>
    <w:rsid w:val="005714A8"/>
    <w:rsid w:val="00571675"/>
    <w:rsid w:val="00571FF1"/>
    <w:rsid w:val="005723F4"/>
    <w:rsid w:val="00572AE3"/>
    <w:rsid w:val="005749A4"/>
    <w:rsid w:val="00575922"/>
    <w:rsid w:val="00575C19"/>
    <w:rsid w:val="0057607E"/>
    <w:rsid w:val="00576BCC"/>
    <w:rsid w:val="00576FD7"/>
    <w:rsid w:val="00577802"/>
    <w:rsid w:val="005779BA"/>
    <w:rsid w:val="00577A2C"/>
    <w:rsid w:val="00577F4E"/>
    <w:rsid w:val="00580111"/>
    <w:rsid w:val="00580B8A"/>
    <w:rsid w:val="005813C7"/>
    <w:rsid w:val="00581E22"/>
    <w:rsid w:val="005841E0"/>
    <w:rsid w:val="0058434A"/>
    <w:rsid w:val="00584F76"/>
    <w:rsid w:val="005856DB"/>
    <w:rsid w:val="00585B2E"/>
    <w:rsid w:val="00585E28"/>
    <w:rsid w:val="00587298"/>
    <w:rsid w:val="005874BB"/>
    <w:rsid w:val="005877A4"/>
    <w:rsid w:val="00590416"/>
    <w:rsid w:val="00590B16"/>
    <w:rsid w:val="005915B0"/>
    <w:rsid w:val="005916BB"/>
    <w:rsid w:val="005920E7"/>
    <w:rsid w:val="00592820"/>
    <w:rsid w:val="0059287D"/>
    <w:rsid w:val="005938BD"/>
    <w:rsid w:val="00593E2A"/>
    <w:rsid w:val="00594D28"/>
    <w:rsid w:val="00596461"/>
    <w:rsid w:val="00596699"/>
    <w:rsid w:val="00596751"/>
    <w:rsid w:val="00596E76"/>
    <w:rsid w:val="00597ABB"/>
    <w:rsid w:val="00597E58"/>
    <w:rsid w:val="005A0247"/>
    <w:rsid w:val="005A0DE7"/>
    <w:rsid w:val="005A1C5F"/>
    <w:rsid w:val="005A1F44"/>
    <w:rsid w:val="005A20B9"/>
    <w:rsid w:val="005A39B3"/>
    <w:rsid w:val="005A3CB0"/>
    <w:rsid w:val="005A41F3"/>
    <w:rsid w:val="005A4F25"/>
    <w:rsid w:val="005A5488"/>
    <w:rsid w:val="005A56F2"/>
    <w:rsid w:val="005A6F1C"/>
    <w:rsid w:val="005A7558"/>
    <w:rsid w:val="005B139B"/>
    <w:rsid w:val="005B13C5"/>
    <w:rsid w:val="005B167C"/>
    <w:rsid w:val="005B1F45"/>
    <w:rsid w:val="005B222D"/>
    <w:rsid w:val="005B2280"/>
    <w:rsid w:val="005B239C"/>
    <w:rsid w:val="005B25D2"/>
    <w:rsid w:val="005B2724"/>
    <w:rsid w:val="005B2CA9"/>
    <w:rsid w:val="005B32C9"/>
    <w:rsid w:val="005B3595"/>
    <w:rsid w:val="005B3AE7"/>
    <w:rsid w:val="005B3DF0"/>
    <w:rsid w:val="005B4057"/>
    <w:rsid w:val="005B4371"/>
    <w:rsid w:val="005B4BED"/>
    <w:rsid w:val="005B5FA9"/>
    <w:rsid w:val="005B6259"/>
    <w:rsid w:val="005B6377"/>
    <w:rsid w:val="005B6B2B"/>
    <w:rsid w:val="005B6F98"/>
    <w:rsid w:val="005B711E"/>
    <w:rsid w:val="005B716D"/>
    <w:rsid w:val="005B7A53"/>
    <w:rsid w:val="005C088A"/>
    <w:rsid w:val="005C0975"/>
    <w:rsid w:val="005C1953"/>
    <w:rsid w:val="005C19FF"/>
    <w:rsid w:val="005C1F7A"/>
    <w:rsid w:val="005C2267"/>
    <w:rsid w:val="005C258A"/>
    <w:rsid w:val="005C3003"/>
    <w:rsid w:val="005C325B"/>
    <w:rsid w:val="005C381A"/>
    <w:rsid w:val="005C3A54"/>
    <w:rsid w:val="005C3F37"/>
    <w:rsid w:val="005C4930"/>
    <w:rsid w:val="005C527D"/>
    <w:rsid w:val="005C52B1"/>
    <w:rsid w:val="005C57E7"/>
    <w:rsid w:val="005C6664"/>
    <w:rsid w:val="005C67E8"/>
    <w:rsid w:val="005C763B"/>
    <w:rsid w:val="005D06D2"/>
    <w:rsid w:val="005D0818"/>
    <w:rsid w:val="005D09E2"/>
    <w:rsid w:val="005D106B"/>
    <w:rsid w:val="005D13EF"/>
    <w:rsid w:val="005D17DD"/>
    <w:rsid w:val="005D2C85"/>
    <w:rsid w:val="005D2D37"/>
    <w:rsid w:val="005D3070"/>
    <w:rsid w:val="005D3C6E"/>
    <w:rsid w:val="005D4522"/>
    <w:rsid w:val="005D494F"/>
    <w:rsid w:val="005D4CB2"/>
    <w:rsid w:val="005D512C"/>
    <w:rsid w:val="005D53A0"/>
    <w:rsid w:val="005D5621"/>
    <w:rsid w:val="005D5A9E"/>
    <w:rsid w:val="005D635A"/>
    <w:rsid w:val="005D635E"/>
    <w:rsid w:val="005D63B7"/>
    <w:rsid w:val="005D64DE"/>
    <w:rsid w:val="005D6B94"/>
    <w:rsid w:val="005D74AD"/>
    <w:rsid w:val="005D7F36"/>
    <w:rsid w:val="005E0AC6"/>
    <w:rsid w:val="005E1307"/>
    <w:rsid w:val="005E2DBF"/>
    <w:rsid w:val="005E2EB5"/>
    <w:rsid w:val="005E3867"/>
    <w:rsid w:val="005E4F25"/>
    <w:rsid w:val="005E5F6A"/>
    <w:rsid w:val="005E6A4A"/>
    <w:rsid w:val="005E6C80"/>
    <w:rsid w:val="005E6C84"/>
    <w:rsid w:val="005E7D9C"/>
    <w:rsid w:val="005E7F2D"/>
    <w:rsid w:val="005F1282"/>
    <w:rsid w:val="005F1895"/>
    <w:rsid w:val="005F20E5"/>
    <w:rsid w:val="005F27B0"/>
    <w:rsid w:val="005F5712"/>
    <w:rsid w:val="005F6484"/>
    <w:rsid w:val="005F7547"/>
    <w:rsid w:val="005F75BF"/>
    <w:rsid w:val="005F782F"/>
    <w:rsid w:val="005F7B3A"/>
    <w:rsid w:val="006003EC"/>
    <w:rsid w:val="006004AF"/>
    <w:rsid w:val="00600613"/>
    <w:rsid w:val="00600F0A"/>
    <w:rsid w:val="00602F1F"/>
    <w:rsid w:val="00602FCD"/>
    <w:rsid w:val="006036A3"/>
    <w:rsid w:val="00603E15"/>
    <w:rsid w:val="006041BE"/>
    <w:rsid w:val="0060447D"/>
    <w:rsid w:val="0060478B"/>
    <w:rsid w:val="006048C9"/>
    <w:rsid w:val="00604BC7"/>
    <w:rsid w:val="00604DE5"/>
    <w:rsid w:val="00605019"/>
    <w:rsid w:val="006051BB"/>
    <w:rsid w:val="006054AB"/>
    <w:rsid w:val="006054B2"/>
    <w:rsid w:val="0060667D"/>
    <w:rsid w:val="00606F79"/>
    <w:rsid w:val="00607F4F"/>
    <w:rsid w:val="00610134"/>
    <w:rsid w:val="00610653"/>
    <w:rsid w:val="00610B83"/>
    <w:rsid w:val="00610BD9"/>
    <w:rsid w:val="00610C05"/>
    <w:rsid w:val="0061159A"/>
    <w:rsid w:val="00611E37"/>
    <w:rsid w:val="00611EA2"/>
    <w:rsid w:val="00611F77"/>
    <w:rsid w:val="0061282E"/>
    <w:rsid w:val="00613029"/>
    <w:rsid w:val="00613BF9"/>
    <w:rsid w:val="00613C5E"/>
    <w:rsid w:val="00613CDC"/>
    <w:rsid w:val="00613E36"/>
    <w:rsid w:val="00614981"/>
    <w:rsid w:val="00614B63"/>
    <w:rsid w:val="00614C65"/>
    <w:rsid w:val="006152CC"/>
    <w:rsid w:val="0061536F"/>
    <w:rsid w:val="00615825"/>
    <w:rsid w:val="00615DDC"/>
    <w:rsid w:val="0061647A"/>
    <w:rsid w:val="006167BA"/>
    <w:rsid w:val="00617568"/>
    <w:rsid w:val="006179EE"/>
    <w:rsid w:val="00620E85"/>
    <w:rsid w:val="00621A56"/>
    <w:rsid w:val="00622A23"/>
    <w:rsid w:val="006231D6"/>
    <w:rsid w:val="0062472D"/>
    <w:rsid w:val="00624A65"/>
    <w:rsid w:val="00624B67"/>
    <w:rsid w:val="006251A5"/>
    <w:rsid w:val="006257BE"/>
    <w:rsid w:val="00625D95"/>
    <w:rsid w:val="00625FCD"/>
    <w:rsid w:val="006261FA"/>
    <w:rsid w:val="0062641D"/>
    <w:rsid w:val="0062652A"/>
    <w:rsid w:val="006267A7"/>
    <w:rsid w:val="006275B2"/>
    <w:rsid w:val="00627D6B"/>
    <w:rsid w:val="0063004F"/>
    <w:rsid w:val="0063020D"/>
    <w:rsid w:val="0063070A"/>
    <w:rsid w:val="00630A0E"/>
    <w:rsid w:val="00630B63"/>
    <w:rsid w:val="00631524"/>
    <w:rsid w:val="00631794"/>
    <w:rsid w:val="006330BC"/>
    <w:rsid w:val="00633EE6"/>
    <w:rsid w:val="006342D9"/>
    <w:rsid w:val="00634736"/>
    <w:rsid w:val="006351E3"/>
    <w:rsid w:val="00635D70"/>
    <w:rsid w:val="00636143"/>
    <w:rsid w:val="0063699E"/>
    <w:rsid w:val="00636BBA"/>
    <w:rsid w:val="00636CF6"/>
    <w:rsid w:val="006370C5"/>
    <w:rsid w:val="00640C14"/>
    <w:rsid w:val="0064164C"/>
    <w:rsid w:val="0064171D"/>
    <w:rsid w:val="006426BD"/>
    <w:rsid w:val="00642947"/>
    <w:rsid w:val="0064331B"/>
    <w:rsid w:val="00643607"/>
    <w:rsid w:val="00643DA5"/>
    <w:rsid w:val="006447BB"/>
    <w:rsid w:val="00644F52"/>
    <w:rsid w:val="0064590C"/>
    <w:rsid w:val="00645CC5"/>
    <w:rsid w:val="00646105"/>
    <w:rsid w:val="006465BB"/>
    <w:rsid w:val="00646A0A"/>
    <w:rsid w:val="00650267"/>
    <w:rsid w:val="00650567"/>
    <w:rsid w:val="00650660"/>
    <w:rsid w:val="00650A5B"/>
    <w:rsid w:val="00651727"/>
    <w:rsid w:val="00651F01"/>
    <w:rsid w:val="006532C0"/>
    <w:rsid w:val="00653351"/>
    <w:rsid w:val="0065385E"/>
    <w:rsid w:val="00653860"/>
    <w:rsid w:val="006538E5"/>
    <w:rsid w:val="00654D0F"/>
    <w:rsid w:val="00656759"/>
    <w:rsid w:val="00656CD6"/>
    <w:rsid w:val="00656D77"/>
    <w:rsid w:val="006571E9"/>
    <w:rsid w:val="00660030"/>
    <w:rsid w:val="00661115"/>
    <w:rsid w:val="006616AD"/>
    <w:rsid w:val="0066174F"/>
    <w:rsid w:val="006628D1"/>
    <w:rsid w:val="006628E5"/>
    <w:rsid w:val="00663ADB"/>
    <w:rsid w:val="00664297"/>
    <w:rsid w:val="00665396"/>
    <w:rsid w:val="00665C16"/>
    <w:rsid w:val="00665D3A"/>
    <w:rsid w:val="00667086"/>
    <w:rsid w:val="00667530"/>
    <w:rsid w:val="0066786D"/>
    <w:rsid w:val="006707AD"/>
    <w:rsid w:val="00671FBD"/>
    <w:rsid w:val="0067258D"/>
    <w:rsid w:val="00673CAB"/>
    <w:rsid w:val="00673FBE"/>
    <w:rsid w:val="00674168"/>
    <w:rsid w:val="006749D5"/>
    <w:rsid w:val="00674CC7"/>
    <w:rsid w:val="00676B4D"/>
    <w:rsid w:val="00676F7C"/>
    <w:rsid w:val="006770AB"/>
    <w:rsid w:val="006814CD"/>
    <w:rsid w:val="00681D9B"/>
    <w:rsid w:val="006827C7"/>
    <w:rsid w:val="0068403B"/>
    <w:rsid w:val="0068520A"/>
    <w:rsid w:val="0068562A"/>
    <w:rsid w:val="00685B05"/>
    <w:rsid w:val="006869DA"/>
    <w:rsid w:val="00686C36"/>
    <w:rsid w:val="006876BE"/>
    <w:rsid w:val="00687A29"/>
    <w:rsid w:val="006908D0"/>
    <w:rsid w:val="00690BB7"/>
    <w:rsid w:val="006910F6"/>
    <w:rsid w:val="00691193"/>
    <w:rsid w:val="006915FE"/>
    <w:rsid w:val="00691871"/>
    <w:rsid w:val="00691EDB"/>
    <w:rsid w:val="0069243F"/>
    <w:rsid w:val="006926B3"/>
    <w:rsid w:val="006927CC"/>
    <w:rsid w:val="00692BD8"/>
    <w:rsid w:val="00692D40"/>
    <w:rsid w:val="00693C97"/>
    <w:rsid w:val="00693CEA"/>
    <w:rsid w:val="00693D2B"/>
    <w:rsid w:val="00695534"/>
    <w:rsid w:val="006961D7"/>
    <w:rsid w:val="00696D3B"/>
    <w:rsid w:val="006978BB"/>
    <w:rsid w:val="006979CD"/>
    <w:rsid w:val="006A027F"/>
    <w:rsid w:val="006A03CC"/>
    <w:rsid w:val="006A0493"/>
    <w:rsid w:val="006A06DE"/>
    <w:rsid w:val="006A0DC3"/>
    <w:rsid w:val="006A145C"/>
    <w:rsid w:val="006A1730"/>
    <w:rsid w:val="006A225A"/>
    <w:rsid w:val="006A45BC"/>
    <w:rsid w:val="006A481C"/>
    <w:rsid w:val="006A4BF3"/>
    <w:rsid w:val="006A4E6E"/>
    <w:rsid w:val="006A547A"/>
    <w:rsid w:val="006A5DD3"/>
    <w:rsid w:val="006A6979"/>
    <w:rsid w:val="006A6F9E"/>
    <w:rsid w:val="006A71AA"/>
    <w:rsid w:val="006B0C15"/>
    <w:rsid w:val="006B11FA"/>
    <w:rsid w:val="006B2927"/>
    <w:rsid w:val="006B3063"/>
    <w:rsid w:val="006B32DA"/>
    <w:rsid w:val="006B3391"/>
    <w:rsid w:val="006B36A9"/>
    <w:rsid w:val="006B3FCD"/>
    <w:rsid w:val="006B44D5"/>
    <w:rsid w:val="006B4C0F"/>
    <w:rsid w:val="006B4E7A"/>
    <w:rsid w:val="006B5133"/>
    <w:rsid w:val="006B5269"/>
    <w:rsid w:val="006B5579"/>
    <w:rsid w:val="006B5D6D"/>
    <w:rsid w:val="006B5D77"/>
    <w:rsid w:val="006B5DE1"/>
    <w:rsid w:val="006B61C3"/>
    <w:rsid w:val="006B793C"/>
    <w:rsid w:val="006B7C59"/>
    <w:rsid w:val="006B7D29"/>
    <w:rsid w:val="006B7EDD"/>
    <w:rsid w:val="006C074F"/>
    <w:rsid w:val="006C07D7"/>
    <w:rsid w:val="006C09B4"/>
    <w:rsid w:val="006C0A54"/>
    <w:rsid w:val="006C0E0B"/>
    <w:rsid w:val="006C2208"/>
    <w:rsid w:val="006C3B46"/>
    <w:rsid w:val="006C3E10"/>
    <w:rsid w:val="006C4714"/>
    <w:rsid w:val="006C548E"/>
    <w:rsid w:val="006C564C"/>
    <w:rsid w:val="006C5888"/>
    <w:rsid w:val="006C5BBB"/>
    <w:rsid w:val="006C6997"/>
    <w:rsid w:val="006C6A75"/>
    <w:rsid w:val="006C70C7"/>
    <w:rsid w:val="006C77D7"/>
    <w:rsid w:val="006C7A6D"/>
    <w:rsid w:val="006D023A"/>
    <w:rsid w:val="006D0BA8"/>
    <w:rsid w:val="006D1279"/>
    <w:rsid w:val="006D1A33"/>
    <w:rsid w:val="006D1C94"/>
    <w:rsid w:val="006D373C"/>
    <w:rsid w:val="006D4100"/>
    <w:rsid w:val="006D4164"/>
    <w:rsid w:val="006D45D8"/>
    <w:rsid w:val="006D47E8"/>
    <w:rsid w:val="006D5589"/>
    <w:rsid w:val="006D560D"/>
    <w:rsid w:val="006D5A2B"/>
    <w:rsid w:val="006D5ED3"/>
    <w:rsid w:val="006D615E"/>
    <w:rsid w:val="006D640C"/>
    <w:rsid w:val="006D665D"/>
    <w:rsid w:val="006D7499"/>
    <w:rsid w:val="006D7617"/>
    <w:rsid w:val="006D7BDA"/>
    <w:rsid w:val="006E0377"/>
    <w:rsid w:val="006E09D0"/>
    <w:rsid w:val="006E0ACA"/>
    <w:rsid w:val="006E0AE7"/>
    <w:rsid w:val="006E0F54"/>
    <w:rsid w:val="006E27A3"/>
    <w:rsid w:val="006E282C"/>
    <w:rsid w:val="006E2C3C"/>
    <w:rsid w:val="006E3656"/>
    <w:rsid w:val="006E3A55"/>
    <w:rsid w:val="006E41E1"/>
    <w:rsid w:val="006E4C03"/>
    <w:rsid w:val="006E4E95"/>
    <w:rsid w:val="006E7ED2"/>
    <w:rsid w:val="006F0163"/>
    <w:rsid w:val="006F0240"/>
    <w:rsid w:val="006F0D53"/>
    <w:rsid w:val="006F0E19"/>
    <w:rsid w:val="006F0FEC"/>
    <w:rsid w:val="006F1C1B"/>
    <w:rsid w:val="006F2A6C"/>
    <w:rsid w:val="006F336E"/>
    <w:rsid w:val="006F378F"/>
    <w:rsid w:val="006F3A5C"/>
    <w:rsid w:val="006F3F0C"/>
    <w:rsid w:val="006F44B7"/>
    <w:rsid w:val="006F46F2"/>
    <w:rsid w:val="006F5597"/>
    <w:rsid w:val="006F56D4"/>
    <w:rsid w:val="006F5866"/>
    <w:rsid w:val="006F5BEA"/>
    <w:rsid w:val="006F6641"/>
    <w:rsid w:val="006F6CB5"/>
    <w:rsid w:val="006F6FB2"/>
    <w:rsid w:val="006F75C9"/>
    <w:rsid w:val="007004AD"/>
    <w:rsid w:val="00700982"/>
    <w:rsid w:val="0070130F"/>
    <w:rsid w:val="00701598"/>
    <w:rsid w:val="00702224"/>
    <w:rsid w:val="0070228F"/>
    <w:rsid w:val="00702973"/>
    <w:rsid w:val="00702AB9"/>
    <w:rsid w:val="00703099"/>
    <w:rsid w:val="00703106"/>
    <w:rsid w:val="007033C0"/>
    <w:rsid w:val="00703C2F"/>
    <w:rsid w:val="0070502C"/>
    <w:rsid w:val="00705F25"/>
    <w:rsid w:val="0070637C"/>
    <w:rsid w:val="00706922"/>
    <w:rsid w:val="007069BD"/>
    <w:rsid w:val="007106F5"/>
    <w:rsid w:val="00710BF7"/>
    <w:rsid w:val="00711926"/>
    <w:rsid w:val="0071209E"/>
    <w:rsid w:val="00713036"/>
    <w:rsid w:val="0071331D"/>
    <w:rsid w:val="007139A1"/>
    <w:rsid w:val="00713B19"/>
    <w:rsid w:val="00713E4E"/>
    <w:rsid w:val="007140AA"/>
    <w:rsid w:val="0071485E"/>
    <w:rsid w:val="007148A9"/>
    <w:rsid w:val="00714940"/>
    <w:rsid w:val="007150A4"/>
    <w:rsid w:val="0071538E"/>
    <w:rsid w:val="00716420"/>
    <w:rsid w:val="007168E7"/>
    <w:rsid w:val="00720130"/>
    <w:rsid w:val="007201A2"/>
    <w:rsid w:val="007205CA"/>
    <w:rsid w:val="00720F3F"/>
    <w:rsid w:val="00720F48"/>
    <w:rsid w:val="007216C0"/>
    <w:rsid w:val="00721E11"/>
    <w:rsid w:val="00721F96"/>
    <w:rsid w:val="007225E9"/>
    <w:rsid w:val="0072293B"/>
    <w:rsid w:val="00723505"/>
    <w:rsid w:val="00723698"/>
    <w:rsid w:val="00724DA7"/>
    <w:rsid w:val="0072587A"/>
    <w:rsid w:val="00725B17"/>
    <w:rsid w:val="00725B58"/>
    <w:rsid w:val="00725DE3"/>
    <w:rsid w:val="007260BF"/>
    <w:rsid w:val="0072627C"/>
    <w:rsid w:val="0072639A"/>
    <w:rsid w:val="00726679"/>
    <w:rsid w:val="0072700A"/>
    <w:rsid w:val="0072715E"/>
    <w:rsid w:val="00727C1D"/>
    <w:rsid w:val="00727F5F"/>
    <w:rsid w:val="007306B6"/>
    <w:rsid w:val="00730CBB"/>
    <w:rsid w:val="00730D98"/>
    <w:rsid w:val="007316EA"/>
    <w:rsid w:val="00731AEF"/>
    <w:rsid w:val="00732851"/>
    <w:rsid w:val="0073294F"/>
    <w:rsid w:val="007333EA"/>
    <w:rsid w:val="00733423"/>
    <w:rsid w:val="00733498"/>
    <w:rsid w:val="007339F1"/>
    <w:rsid w:val="00733C9D"/>
    <w:rsid w:val="007341BF"/>
    <w:rsid w:val="007344D0"/>
    <w:rsid w:val="00734819"/>
    <w:rsid w:val="00734F5E"/>
    <w:rsid w:val="00735CA5"/>
    <w:rsid w:val="00735E69"/>
    <w:rsid w:val="00735E8D"/>
    <w:rsid w:val="00736A45"/>
    <w:rsid w:val="007372C1"/>
    <w:rsid w:val="0073788F"/>
    <w:rsid w:val="0074014A"/>
    <w:rsid w:val="007404B4"/>
    <w:rsid w:val="00740C09"/>
    <w:rsid w:val="007414F5"/>
    <w:rsid w:val="00741790"/>
    <w:rsid w:val="0074190D"/>
    <w:rsid w:val="0074221F"/>
    <w:rsid w:val="00742752"/>
    <w:rsid w:val="00742F7D"/>
    <w:rsid w:val="0074311D"/>
    <w:rsid w:val="007436B6"/>
    <w:rsid w:val="007437CB"/>
    <w:rsid w:val="0074487D"/>
    <w:rsid w:val="00744E4B"/>
    <w:rsid w:val="00745120"/>
    <w:rsid w:val="00745334"/>
    <w:rsid w:val="007453B0"/>
    <w:rsid w:val="0074552C"/>
    <w:rsid w:val="00745CB1"/>
    <w:rsid w:val="00747DB6"/>
    <w:rsid w:val="00751379"/>
    <w:rsid w:val="00751431"/>
    <w:rsid w:val="00751FB4"/>
    <w:rsid w:val="007532A6"/>
    <w:rsid w:val="00753EB3"/>
    <w:rsid w:val="00754127"/>
    <w:rsid w:val="0075478C"/>
    <w:rsid w:val="00754E6E"/>
    <w:rsid w:val="007552FD"/>
    <w:rsid w:val="007553A5"/>
    <w:rsid w:val="00755532"/>
    <w:rsid w:val="00755846"/>
    <w:rsid w:val="0075585E"/>
    <w:rsid w:val="00755E56"/>
    <w:rsid w:val="00756031"/>
    <w:rsid w:val="00756698"/>
    <w:rsid w:val="00756CAB"/>
    <w:rsid w:val="00756F83"/>
    <w:rsid w:val="007577E8"/>
    <w:rsid w:val="007603EB"/>
    <w:rsid w:val="0076049D"/>
    <w:rsid w:val="0076050E"/>
    <w:rsid w:val="00760562"/>
    <w:rsid w:val="00760B1A"/>
    <w:rsid w:val="00760DF1"/>
    <w:rsid w:val="00761941"/>
    <w:rsid w:val="007619CF"/>
    <w:rsid w:val="00761E3D"/>
    <w:rsid w:val="007624A4"/>
    <w:rsid w:val="0076258C"/>
    <w:rsid w:val="00763009"/>
    <w:rsid w:val="00763212"/>
    <w:rsid w:val="007634FB"/>
    <w:rsid w:val="00763A23"/>
    <w:rsid w:val="00763C58"/>
    <w:rsid w:val="00763EE6"/>
    <w:rsid w:val="00763FBF"/>
    <w:rsid w:val="00764CDA"/>
    <w:rsid w:val="00764E39"/>
    <w:rsid w:val="00765AF8"/>
    <w:rsid w:val="00765BD4"/>
    <w:rsid w:val="0076626A"/>
    <w:rsid w:val="007666F0"/>
    <w:rsid w:val="00766711"/>
    <w:rsid w:val="00766A96"/>
    <w:rsid w:val="007673C0"/>
    <w:rsid w:val="007673CF"/>
    <w:rsid w:val="007705EC"/>
    <w:rsid w:val="007708BF"/>
    <w:rsid w:val="00770D64"/>
    <w:rsid w:val="007729ED"/>
    <w:rsid w:val="00772B86"/>
    <w:rsid w:val="00772C24"/>
    <w:rsid w:val="00772E07"/>
    <w:rsid w:val="00773108"/>
    <w:rsid w:val="0077331C"/>
    <w:rsid w:val="00773663"/>
    <w:rsid w:val="0077379D"/>
    <w:rsid w:val="007749AA"/>
    <w:rsid w:val="00775F84"/>
    <w:rsid w:val="007760D1"/>
    <w:rsid w:val="0077613E"/>
    <w:rsid w:val="007763BD"/>
    <w:rsid w:val="0077738C"/>
    <w:rsid w:val="007774CC"/>
    <w:rsid w:val="00777EA9"/>
    <w:rsid w:val="00780538"/>
    <w:rsid w:val="00780C08"/>
    <w:rsid w:val="00780D53"/>
    <w:rsid w:val="007818DE"/>
    <w:rsid w:val="007820BF"/>
    <w:rsid w:val="00782A80"/>
    <w:rsid w:val="00782CA8"/>
    <w:rsid w:val="00783FE8"/>
    <w:rsid w:val="00784332"/>
    <w:rsid w:val="00784C2B"/>
    <w:rsid w:val="007852FA"/>
    <w:rsid w:val="0078603A"/>
    <w:rsid w:val="0078639C"/>
    <w:rsid w:val="007864DB"/>
    <w:rsid w:val="00786A31"/>
    <w:rsid w:val="00786CBF"/>
    <w:rsid w:val="00786CEF"/>
    <w:rsid w:val="00786D68"/>
    <w:rsid w:val="007870A5"/>
    <w:rsid w:val="00787149"/>
    <w:rsid w:val="00787382"/>
    <w:rsid w:val="0078779D"/>
    <w:rsid w:val="00790378"/>
    <w:rsid w:val="0079226B"/>
    <w:rsid w:val="00793EBB"/>
    <w:rsid w:val="007945BF"/>
    <w:rsid w:val="00794A54"/>
    <w:rsid w:val="00795756"/>
    <w:rsid w:val="00795FC7"/>
    <w:rsid w:val="00796339"/>
    <w:rsid w:val="007967A0"/>
    <w:rsid w:val="007976E7"/>
    <w:rsid w:val="007977D5"/>
    <w:rsid w:val="007A0AC3"/>
    <w:rsid w:val="007A10D0"/>
    <w:rsid w:val="007A157A"/>
    <w:rsid w:val="007A1658"/>
    <w:rsid w:val="007A1B7C"/>
    <w:rsid w:val="007A1C18"/>
    <w:rsid w:val="007A20B9"/>
    <w:rsid w:val="007A24ED"/>
    <w:rsid w:val="007A2A78"/>
    <w:rsid w:val="007A2E76"/>
    <w:rsid w:val="007A328F"/>
    <w:rsid w:val="007A3355"/>
    <w:rsid w:val="007A38B2"/>
    <w:rsid w:val="007A398F"/>
    <w:rsid w:val="007A3D76"/>
    <w:rsid w:val="007A40D4"/>
    <w:rsid w:val="007A4FB3"/>
    <w:rsid w:val="007A5C42"/>
    <w:rsid w:val="007A648E"/>
    <w:rsid w:val="007A694C"/>
    <w:rsid w:val="007A6ACE"/>
    <w:rsid w:val="007A708F"/>
    <w:rsid w:val="007A7DFD"/>
    <w:rsid w:val="007B0226"/>
    <w:rsid w:val="007B0576"/>
    <w:rsid w:val="007B1C26"/>
    <w:rsid w:val="007B1D87"/>
    <w:rsid w:val="007B208E"/>
    <w:rsid w:val="007B451B"/>
    <w:rsid w:val="007B47D6"/>
    <w:rsid w:val="007B4BFD"/>
    <w:rsid w:val="007B5775"/>
    <w:rsid w:val="007B7A7A"/>
    <w:rsid w:val="007B7ED2"/>
    <w:rsid w:val="007B7F21"/>
    <w:rsid w:val="007B7FC8"/>
    <w:rsid w:val="007C0517"/>
    <w:rsid w:val="007C0804"/>
    <w:rsid w:val="007C0D43"/>
    <w:rsid w:val="007C1077"/>
    <w:rsid w:val="007C1C78"/>
    <w:rsid w:val="007C1DE1"/>
    <w:rsid w:val="007C38DA"/>
    <w:rsid w:val="007C396B"/>
    <w:rsid w:val="007C3F40"/>
    <w:rsid w:val="007C4DD6"/>
    <w:rsid w:val="007C4EBD"/>
    <w:rsid w:val="007C587D"/>
    <w:rsid w:val="007C5AB6"/>
    <w:rsid w:val="007C5DD9"/>
    <w:rsid w:val="007C66D0"/>
    <w:rsid w:val="007C6801"/>
    <w:rsid w:val="007C74CB"/>
    <w:rsid w:val="007C79AD"/>
    <w:rsid w:val="007C7A1F"/>
    <w:rsid w:val="007C7AEB"/>
    <w:rsid w:val="007D037D"/>
    <w:rsid w:val="007D0BA5"/>
    <w:rsid w:val="007D1C0F"/>
    <w:rsid w:val="007D2A83"/>
    <w:rsid w:val="007D2F08"/>
    <w:rsid w:val="007D3CFF"/>
    <w:rsid w:val="007D3E82"/>
    <w:rsid w:val="007D43BF"/>
    <w:rsid w:val="007D49B2"/>
    <w:rsid w:val="007D4B17"/>
    <w:rsid w:val="007D4C6A"/>
    <w:rsid w:val="007D4F1F"/>
    <w:rsid w:val="007D5BB7"/>
    <w:rsid w:val="007D66BF"/>
    <w:rsid w:val="007D6E8A"/>
    <w:rsid w:val="007D6ECE"/>
    <w:rsid w:val="007D750D"/>
    <w:rsid w:val="007E060B"/>
    <w:rsid w:val="007E0D10"/>
    <w:rsid w:val="007E0F81"/>
    <w:rsid w:val="007E1469"/>
    <w:rsid w:val="007E2282"/>
    <w:rsid w:val="007E228F"/>
    <w:rsid w:val="007E2599"/>
    <w:rsid w:val="007E3571"/>
    <w:rsid w:val="007E39C7"/>
    <w:rsid w:val="007E45D8"/>
    <w:rsid w:val="007E495F"/>
    <w:rsid w:val="007E4E09"/>
    <w:rsid w:val="007E4F14"/>
    <w:rsid w:val="007E53D6"/>
    <w:rsid w:val="007E60C3"/>
    <w:rsid w:val="007E635E"/>
    <w:rsid w:val="007E6AEE"/>
    <w:rsid w:val="007E6B10"/>
    <w:rsid w:val="007F08A7"/>
    <w:rsid w:val="007F0FB4"/>
    <w:rsid w:val="007F10B3"/>
    <w:rsid w:val="007F201E"/>
    <w:rsid w:val="007F3B39"/>
    <w:rsid w:val="007F3DAF"/>
    <w:rsid w:val="007F4273"/>
    <w:rsid w:val="007F4286"/>
    <w:rsid w:val="007F477B"/>
    <w:rsid w:val="007F59A2"/>
    <w:rsid w:val="007F6616"/>
    <w:rsid w:val="007F67C1"/>
    <w:rsid w:val="007F6DAE"/>
    <w:rsid w:val="007F6E4B"/>
    <w:rsid w:val="007F6EC4"/>
    <w:rsid w:val="007F7A75"/>
    <w:rsid w:val="007F7C86"/>
    <w:rsid w:val="0080002D"/>
    <w:rsid w:val="00800C25"/>
    <w:rsid w:val="0080149C"/>
    <w:rsid w:val="0080228D"/>
    <w:rsid w:val="00802F72"/>
    <w:rsid w:val="00803E69"/>
    <w:rsid w:val="0080424B"/>
    <w:rsid w:val="008042A0"/>
    <w:rsid w:val="008045DF"/>
    <w:rsid w:val="00804824"/>
    <w:rsid w:val="00804C7F"/>
    <w:rsid w:val="00804CFD"/>
    <w:rsid w:val="008051F8"/>
    <w:rsid w:val="00805940"/>
    <w:rsid w:val="00806050"/>
    <w:rsid w:val="008104E3"/>
    <w:rsid w:val="008107F2"/>
    <w:rsid w:val="00810829"/>
    <w:rsid w:val="00811027"/>
    <w:rsid w:val="00811375"/>
    <w:rsid w:val="00811A29"/>
    <w:rsid w:val="00813934"/>
    <w:rsid w:val="00813A78"/>
    <w:rsid w:val="00813A86"/>
    <w:rsid w:val="00813D58"/>
    <w:rsid w:val="00813D7A"/>
    <w:rsid w:val="008145D4"/>
    <w:rsid w:val="00814819"/>
    <w:rsid w:val="00815946"/>
    <w:rsid w:val="00815F5A"/>
    <w:rsid w:val="0081624A"/>
    <w:rsid w:val="00816BC3"/>
    <w:rsid w:val="00817062"/>
    <w:rsid w:val="008200B6"/>
    <w:rsid w:val="008206A3"/>
    <w:rsid w:val="00820A8B"/>
    <w:rsid w:val="008214A7"/>
    <w:rsid w:val="00821904"/>
    <w:rsid w:val="00823067"/>
    <w:rsid w:val="00824AF1"/>
    <w:rsid w:val="008257E3"/>
    <w:rsid w:val="00825AB9"/>
    <w:rsid w:val="00825BDF"/>
    <w:rsid w:val="00825C46"/>
    <w:rsid w:val="00825F2E"/>
    <w:rsid w:val="008270C1"/>
    <w:rsid w:val="00827166"/>
    <w:rsid w:val="0082725B"/>
    <w:rsid w:val="00830581"/>
    <w:rsid w:val="00831905"/>
    <w:rsid w:val="008323F2"/>
    <w:rsid w:val="00832451"/>
    <w:rsid w:val="00833254"/>
    <w:rsid w:val="00833620"/>
    <w:rsid w:val="00833F72"/>
    <w:rsid w:val="00834764"/>
    <w:rsid w:val="00834A4E"/>
    <w:rsid w:val="008358E9"/>
    <w:rsid w:val="00836347"/>
    <w:rsid w:val="00836B7A"/>
    <w:rsid w:val="008375F0"/>
    <w:rsid w:val="0084027C"/>
    <w:rsid w:val="00841591"/>
    <w:rsid w:val="008415E7"/>
    <w:rsid w:val="00841866"/>
    <w:rsid w:val="00841923"/>
    <w:rsid w:val="00841ED7"/>
    <w:rsid w:val="00841FE7"/>
    <w:rsid w:val="00842085"/>
    <w:rsid w:val="00842EEA"/>
    <w:rsid w:val="00843A3C"/>
    <w:rsid w:val="00843B35"/>
    <w:rsid w:val="00844084"/>
    <w:rsid w:val="0084498C"/>
    <w:rsid w:val="00844DF9"/>
    <w:rsid w:val="00845144"/>
    <w:rsid w:val="0084516C"/>
    <w:rsid w:val="00845BA5"/>
    <w:rsid w:val="00845C4E"/>
    <w:rsid w:val="00846054"/>
    <w:rsid w:val="00846B66"/>
    <w:rsid w:val="008472FC"/>
    <w:rsid w:val="00847CAE"/>
    <w:rsid w:val="00847EBA"/>
    <w:rsid w:val="0085038C"/>
    <w:rsid w:val="00850C32"/>
    <w:rsid w:val="008514D0"/>
    <w:rsid w:val="0085155B"/>
    <w:rsid w:val="00851565"/>
    <w:rsid w:val="00851830"/>
    <w:rsid w:val="00851AF0"/>
    <w:rsid w:val="00852D6B"/>
    <w:rsid w:val="00852F8A"/>
    <w:rsid w:val="00852F8E"/>
    <w:rsid w:val="008531C7"/>
    <w:rsid w:val="008538CC"/>
    <w:rsid w:val="00853D16"/>
    <w:rsid w:val="00854B7E"/>
    <w:rsid w:val="00855A49"/>
    <w:rsid w:val="00855B07"/>
    <w:rsid w:val="00855B90"/>
    <w:rsid w:val="00855E72"/>
    <w:rsid w:val="008560C1"/>
    <w:rsid w:val="00856990"/>
    <w:rsid w:val="00856FA3"/>
    <w:rsid w:val="00857589"/>
    <w:rsid w:val="00857784"/>
    <w:rsid w:val="0086109B"/>
    <w:rsid w:val="00862320"/>
    <w:rsid w:val="00862650"/>
    <w:rsid w:val="00862697"/>
    <w:rsid w:val="00862DA4"/>
    <w:rsid w:val="0086317B"/>
    <w:rsid w:val="00863696"/>
    <w:rsid w:val="00863B84"/>
    <w:rsid w:val="00863F4E"/>
    <w:rsid w:val="008641BE"/>
    <w:rsid w:val="00864431"/>
    <w:rsid w:val="00864874"/>
    <w:rsid w:val="008649DC"/>
    <w:rsid w:val="00864DD4"/>
    <w:rsid w:val="00865620"/>
    <w:rsid w:val="00867875"/>
    <w:rsid w:val="00867942"/>
    <w:rsid w:val="008705CE"/>
    <w:rsid w:val="0087070B"/>
    <w:rsid w:val="0087215B"/>
    <w:rsid w:val="00872A48"/>
    <w:rsid w:val="008730BC"/>
    <w:rsid w:val="0087321A"/>
    <w:rsid w:val="008741CB"/>
    <w:rsid w:val="00874D64"/>
    <w:rsid w:val="008759A2"/>
    <w:rsid w:val="0087663F"/>
    <w:rsid w:val="00876B2C"/>
    <w:rsid w:val="00877463"/>
    <w:rsid w:val="0087789B"/>
    <w:rsid w:val="008779E7"/>
    <w:rsid w:val="00880158"/>
    <w:rsid w:val="008808A5"/>
    <w:rsid w:val="0088090B"/>
    <w:rsid w:val="00880E83"/>
    <w:rsid w:val="008816C8"/>
    <w:rsid w:val="008819FB"/>
    <w:rsid w:val="00882441"/>
    <w:rsid w:val="008828AD"/>
    <w:rsid w:val="00882BD3"/>
    <w:rsid w:val="00882F69"/>
    <w:rsid w:val="00882F6A"/>
    <w:rsid w:val="00883126"/>
    <w:rsid w:val="0088379D"/>
    <w:rsid w:val="00883FE3"/>
    <w:rsid w:val="008855BA"/>
    <w:rsid w:val="00885A20"/>
    <w:rsid w:val="00886B4F"/>
    <w:rsid w:val="0088770C"/>
    <w:rsid w:val="00890334"/>
    <w:rsid w:val="0089159F"/>
    <w:rsid w:val="008915E8"/>
    <w:rsid w:val="00891B44"/>
    <w:rsid w:val="00892877"/>
    <w:rsid w:val="00892A29"/>
    <w:rsid w:val="00893EC6"/>
    <w:rsid w:val="008944A6"/>
    <w:rsid w:val="008948A6"/>
    <w:rsid w:val="00895100"/>
    <w:rsid w:val="00895F4E"/>
    <w:rsid w:val="00896064"/>
    <w:rsid w:val="00896338"/>
    <w:rsid w:val="00896463"/>
    <w:rsid w:val="008970F3"/>
    <w:rsid w:val="00897724"/>
    <w:rsid w:val="00897D53"/>
    <w:rsid w:val="008A042B"/>
    <w:rsid w:val="008A1907"/>
    <w:rsid w:val="008A2437"/>
    <w:rsid w:val="008A2B9F"/>
    <w:rsid w:val="008A2E08"/>
    <w:rsid w:val="008A41E4"/>
    <w:rsid w:val="008A47D8"/>
    <w:rsid w:val="008A49D6"/>
    <w:rsid w:val="008A5B2F"/>
    <w:rsid w:val="008A62E9"/>
    <w:rsid w:val="008A6433"/>
    <w:rsid w:val="008A773F"/>
    <w:rsid w:val="008B00A9"/>
    <w:rsid w:val="008B05E0"/>
    <w:rsid w:val="008B0D22"/>
    <w:rsid w:val="008B1EC4"/>
    <w:rsid w:val="008B1F20"/>
    <w:rsid w:val="008B24E2"/>
    <w:rsid w:val="008B33ED"/>
    <w:rsid w:val="008B3A8E"/>
    <w:rsid w:val="008B3E72"/>
    <w:rsid w:val="008B4005"/>
    <w:rsid w:val="008B42DA"/>
    <w:rsid w:val="008B4445"/>
    <w:rsid w:val="008B473C"/>
    <w:rsid w:val="008B4DF9"/>
    <w:rsid w:val="008B5237"/>
    <w:rsid w:val="008B62C0"/>
    <w:rsid w:val="008B632F"/>
    <w:rsid w:val="008B655B"/>
    <w:rsid w:val="008B6689"/>
    <w:rsid w:val="008B6B05"/>
    <w:rsid w:val="008B6BF6"/>
    <w:rsid w:val="008B6F0F"/>
    <w:rsid w:val="008B78CE"/>
    <w:rsid w:val="008B79D7"/>
    <w:rsid w:val="008B7B70"/>
    <w:rsid w:val="008B7DB2"/>
    <w:rsid w:val="008B7DE1"/>
    <w:rsid w:val="008C0559"/>
    <w:rsid w:val="008C0837"/>
    <w:rsid w:val="008C12A9"/>
    <w:rsid w:val="008C1CFF"/>
    <w:rsid w:val="008C1D57"/>
    <w:rsid w:val="008C3731"/>
    <w:rsid w:val="008C44ED"/>
    <w:rsid w:val="008C4664"/>
    <w:rsid w:val="008C46F5"/>
    <w:rsid w:val="008C485E"/>
    <w:rsid w:val="008C4C65"/>
    <w:rsid w:val="008C60F7"/>
    <w:rsid w:val="008C6378"/>
    <w:rsid w:val="008C6610"/>
    <w:rsid w:val="008C66F3"/>
    <w:rsid w:val="008C6D48"/>
    <w:rsid w:val="008C70EE"/>
    <w:rsid w:val="008C7421"/>
    <w:rsid w:val="008D1164"/>
    <w:rsid w:val="008D1318"/>
    <w:rsid w:val="008D1AEF"/>
    <w:rsid w:val="008D2103"/>
    <w:rsid w:val="008D21D6"/>
    <w:rsid w:val="008D2648"/>
    <w:rsid w:val="008D3338"/>
    <w:rsid w:val="008D3BC3"/>
    <w:rsid w:val="008D4773"/>
    <w:rsid w:val="008D4813"/>
    <w:rsid w:val="008D5E7A"/>
    <w:rsid w:val="008D5FBC"/>
    <w:rsid w:val="008D6CCE"/>
    <w:rsid w:val="008D6F4A"/>
    <w:rsid w:val="008D73AC"/>
    <w:rsid w:val="008D7AE1"/>
    <w:rsid w:val="008E0A36"/>
    <w:rsid w:val="008E0E19"/>
    <w:rsid w:val="008E1213"/>
    <w:rsid w:val="008E151E"/>
    <w:rsid w:val="008E18C5"/>
    <w:rsid w:val="008E1939"/>
    <w:rsid w:val="008E1B11"/>
    <w:rsid w:val="008E2FFB"/>
    <w:rsid w:val="008E40B7"/>
    <w:rsid w:val="008E41C4"/>
    <w:rsid w:val="008E45EB"/>
    <w:rsid w:val="008E464B"/>
    <w:rsid w:val="008E48A1"/>
    <w:rsid w:val="008E4968"/>
    <w:rsid w:val="008E4B94"/>
    <w:rsid w:val="008E5398"/>
    <w:rsid w:val="008E59C4"/>
    <w:rsid w:val="008E5E11"/>
    <w:rsid w:val="008E6413"/>
    <w:rsid w:val="008E66B5"/>
    <w:rsid w:val="008E6958"/>
    <w:rsid w:val="008E6B1B"/>
    <w:rsid w:val="008E6C13"/>
    <w:rsid w:val="008E6F00"/>
    <w:rsid w:val="008E6FF9"/>
    <w:rsid w:val="008E705D"/>
    <w:rsid w:val="008E7D4D"/>
    <w:rsid w:val="008F1764"/>
    <w:rsid w:val="008F1A82"/>
    <w:rsid w:val="008F2437"/>
    <w:rsid w:val="008F2467"/>
    <w:rsid w:val="008F272B"/>
    <w:rsid w:val="008F2731"/>
    <w:rsid w:val="008F2A8F"/>
    <w:rsid w:val="008F3F6C"/>
    <w:rsid w:val="008F4055"/>
    <w:rsid w:val="008F40F2"/>
    <w:rsid w:val="008F491F"/>
    <w:rsid w:val="008F4F95"/>
    <w:rsid w:val="008F5545"/>
    <w:rsid w:val="008F5A4A"/>
    <w:rsid w:val="008F5DC3"/>
    <w:rsid w:val="008F5F26"/>
    <w:rsid w:val="008F69E5"/>
    <w:rsid w:val="008F6D92"/>
    <w:rsid w:val="008F7307"/>
    <w:rsid w:val="008F7C8E"/>
    <w:rsid w:val="00900FA3"/>
    <w:rsid w:val="00901769"/>
    <w:rsid w:val="00902558"/>
    <w:rsid w:val="009029F9"/>
    <w:rsid w:val="00902A2A"/>
    <w:rsid w:val="00903AD1"/>
    <w:rsid w:val="00904A56"/>
    <w:rsid w:val="00904AD1"/>
    <w:rsid w:val="00904F63"/>
    <w:rsid w:val="009058A2"/>
    <w:rsid w:val="00905C56"/>
    <w:rsid w:val="00905DE5"/>
    <w:rsid w:val="00906023"/>
    <w:rsid w:val="009061EE"/>
    <w:rsid w:val="00906238"/>
    <w:rsid w:val="009066CD"/>
    <w:rsid w:val="0090693A"/>
    <w:rsid w:val="009069CB"/>
    <w:rsid w:val="00906D41"/>
    <w:rsid w:val="00906F50"/>
    <w:rsid w:val="00907D99"/>
    <w:rsid w:val="00910926"/>
    <w:rsid w:val="00911060"/>
    <w:rsid w:val="009110CE"/>
    <w:rsid w:val="00912517"/>
    <w:rsid w:val="00912595"/>
    <w:rsid w:val="00912B75"/>
    <w:rsid w:val="009135CA"/>
    <w:rsid w:val="009137FC"/>
    <w:rsid w:val="00913D69"/>
    <w:rsid w:val="00914675"/>
    <w:rsid w:val="00914F88"/>
    <w:rsid w:val="009151A0"/>
    <w:rsid w:val="0091528A"/>
    <w:rsid w:val="00915950"/>
    <w:rsid w:val="00915ED0"/>
    <w:rsid w:val="00916203"/>
    <w:rsid w:val="00916359"/>
    <w:rsid w:val="00916B4C"/>
    <w:rsid w:val="00917DDE"/>
    <w:rsid w:val="009206C1"/>
    <w:rsid w:val="00920AB7"/>
    <w:rsid w:val="00920AD8"/>
    <w:rsid w:val="00920CA9"/>
    <w:rsid w:val="0092113A"/>
    <w:rsid w:val="00921535"/>
    <w:rsid w:val="00921BE8"/>
    <w:rsid w:val="00921F44"/>
    <w:rsid w:val="0092259C"/>
    <w:rsid w:val="00922883"/>
    <w:rsid w:val="009228C4"/>
    <w:rsid w:val="00922C38"/>
    <w:rsid w:val="00923016"/>
    <w:rsid w:val="009235B4"/>
    <w:rsid w:val="009238FB"/>
    <w:rsid w:val="00923CB4"/>
    <w:rsid w:val="00923D45"/>
    <w:rsid w:val="00923E04"/>
    <w:rsid w:val="00924611"/>
    <w:rsid w:val="00924791"/>
    <w:rsid w:val="00925492"/>
    <w:rsid w:val="00925CC8"/>
    <w:rsid w:val="00926423"/>
    <w:rsid w:val="00926484"/>
    <w:rsid w:val="009264F8"/>
    <w:rsid w:val="00926C34"/>
    <w:rsid w:val="00926DDC"/>
    <w:rsid w:val="00927530"/>
    <w:rsid w:val="00930C54"/>
    <w:rsid w:val="00930CD2"/>
    <w:rsid w:val="009310CE"/>
    <w:rsid w:val="009318A3"/>
    <w:rsid w:val="0093254C"/>
    <w:rsid w:val="0093267A"/>
    <w:rsid w:val="00932E12"/>
    <w:rsid w:val="00933265"/>
    <w:rsid w:val="009344F9"/>
    <w:rsid w:val="00934E08"/>
    <w:rsid w:val="00934E19"/>
    <w:rsid w:val="00934E7F"/>
    <w:rsid w:val="009354E5"/>
    <w:rsid w:val="00935B7F"/>
    <w:rsid w:val="0093661B"/>
    <w:rsid w:val="00936C95"/>
    <w:rsid w:val="009373D6"/>
    <w:rsid w:val="00940209"/>
    <w:rsid w:val="0094045B"/>
    <w:rsid w:val="00940D40"/>
    <w:rsid w:val="00940DC2"/>
    <w:rsid w:val="00940E31"/>
    <w:rsid w:val="00942144"/>
    <w:rsid w:val="0094253E"/>
    <w:rsid w:val="009426F0"/>
    <w:rsid w:val="00943281"/>
    <w:rsid w:val="0094345F"/>
    <w:rsid w:val="00943AD5"/>
    <w:rsid w:val="00943D04"/>
    <w:rsid w:val="00945D60"/>
    <w:rsid w:val="009463C5"/>
    <w:rsid w:val="00946665"/>
    <w:rsid w:val="00946696"/>
    <w:rsid w:val="009470E2"/>
    <w:rsid w:val="0094751F"/>
    <w:rsid w:val="00947541"/>
    <w:rsid w:val="00950652"/>
    <w:rsid w:val="00951009"/>
    <w:rsid w:val="00951739"/>
    <w:rsid w:val="00951B91"/>
    <w:rsid w:val="009520A8"/>
    <w:rsid w:val="00952152"/>
    <w:rsid w:val="009527DF"/>
    <w:rsid w:val="00952E29"/>
    <w:rsid w:val="00953D78"/>
    <w:rsid w:val="00953FFF"/>
    <w:rsid w:val="0095427B"/>
    <w:rsid w:val="0095457D"/>
    <w:rsid w:val="009547B8"/>
    <w:rsid w:val="00954F3B"/>
    <w:rsid w:val="00955449"/>
    <w:rsid w:val="00955DBF"/>
    <w:rsid w:val="00955DC0"/>
    <w:rsid w:val="009561D2"/>
    <w:rsid w:val="0095698C"/>
    <w:rsid w:val="00957021"/>
    <w:rsid w:val="00957B95"/>
    <w:rsid w:val="00960613"/>
    <w:rsid w:val="0096080B"/>
    <w:rsid w:val="00960A86"/>
    <w:rsid w:val="00960F33"/>
    <w:rsid w:val="00961672"/>
    <w:rsid w:val="0096175C"/>
    <w:rsid w:val="00961FBB"/>
    <w:rsid w:val="00962855"/>
    <w:rsid w:val="00962BFE"/>
    <w:rsid w:val="00962EED"/>
    <w:rsid w:val="00963B6E"/>
    <w:rsid w:val="00963FEE"/>
    <w:rsid w:val="00964905"/>
    <w:rsid w:val="00964BB8"/>
    <w:rsid w:val="0096520F"/>
    <w:rsid w:val="00965699"/>
    <w:rsid w:val="00965CE1"/>
    <w:rsid w:val="00966161"/>
    <w:rsid w:val="009669F8"/>
    <w:rsid w:val="00966A5D"/>
    <w:rsid w:val="00966FC5"/>
    <w:rsid w:val="00967782"/>
    <w:rsid w:val="0097188F"/>
    <w:rsid w:val="00972003"/>
    <w:rsid w:val="00972F20"/>
    <w:rsid w:val="00973446"/>
    <w:rsid w:val="009737A1"/>
    <w:rsid w:val="009737B7"/>
    <w:rsid w:val="00973D04"/>
    <w:rsid w:val="00973D51"/>
    <w:rsid w:val="00974936"/>
    <w:rsid w:val="00974A1D"/>
    <w:rsid w:val="00974B23"/>
    <w:rsid w:val="009755CA"/>
    <w:rsid w:val="00975CAA"/>
    <w:rsid w:val="00975CF6"/>
    <w:rsid w:val="00976017"/>
    <w:rsid w:val="00976387"/>
    <w:rsid w:val="00976649"/>
    <w:rsid w:val="00976E6D"/>
    <w:rsid w:val="009776DE"/>
    <w:rsid w:val="00977E5F"/>
    <w:rsid w:val="009808BF"/>
    <w:rsid w:val="009808C4"/>
    <w:rsid w:val="00980D12"/>
    <w:rsid w:val="00982222"/>
    <w:rsid w:val="00983FA2"/>
    <w:rsid w:val="00984B02"/>
    <w:rsid w:val="00984E8F"/>
    <w:rsid w:val="00984E99"/>
    <w:rsid w:val="00985ABB"/>
    <w:rsid w:val="00985C9C"/>
    <w:rsid w:val="00986346"/>
    <w:rsid w:val="00987886"/>
    <w:rsid w:val="00987F66"/>
    <w:rsid w:val="00990DF3"/>
    <w:rsid w:val="00990FDD"/>
    <w:rsid w:val="00991B75"/>
    <w:rsid w:val="00991EAF"/>
    <w:rsid w:val="009924B2"/>
    <w:rsid w:val="00992A74"/>
    <w:rsid w:val="00992C8A"/>
    <w:rsid w:val="009936B5"/>
    <w:rsid w:val="009938BB"/>
    <w:rsid w:val="00993E93"/>
    <w:rsid w:val="009942D8"/>
    <w:rsid w:val="009942FA"/>
    <w:rsid w:val="00994CB5"/>
    <w:rsid w:val="009960C5"/>
    <w:rsid w:val="00996184"/>
    <w:rsid w:val="009967D8"/>
    <w:rsid w:val="00996935"/>
    <w:rsid w:val="00996B93"/>
    <w:rsid w:val="00996D72"/>
    <w:rsid w:val="00996D7C"/>
    <w:rsid w:val="00997D57"/>
    <w:rsid w:val="009A0CA8"/>
    <w:rsid w:val="009A1433"/>
    <w:rsid w:val="009A26E5"/>
    <w:rsid w:val="009A3148"/>
    <w:rsid w:val="009A35B2"/>
    <w:rsid w:val="009A377C"/>
    <w:rsid w:val="009A380B"/>
    <w:rsid w:val="009A40DF"/>
    <w:rsid w:val="009A4472"/>
    <w:rsid w:val="009A4A84"/>
    <w:rsid w:val="009A5889"/>
    <w:rsid w:val="009A591B"/>
    <w:rsid w:val="009A5FD7"/>
    <w:rsid w:val="009A6C8B"/>
    <w:rsid w:val="009A6E44"/>
    <w:rsid w:val="009A73EE"/>
    <w:rsid w:val="009A755D"/>
    <w:rsid w:val="009A7DF9"/>
    <w:rsid w:val="009A7F7A"/>
    <w:rsid w:val="009B0E6A"/>
    <w:rsid w:val="009B11BD"/>
    <w:rsid w:val="009B15AF"/>
    <w:rsid w:val="009B1867"/>
    <w:rsid w:val="009B18E9"/>
    <w:rsid w:val="009B1A86"/>
    <w:rsid w:val="009B2929"/>
    <w:rsid w:val="009B355D"/>
    <w:rsid w:val="009B3D1C"/>
    <w:rsid w:val="009B4073"/>
    <w:rsid w:val="009B414C"/>
    <w:rsid w:val="009B4DC1"/>
    <w:rsid w:val="009B4EB7"/>
    <w:rsid w:val="009B5783"/>
    <w:rsid w:val="009B61A3"/>
    <w:rsid w:val="009B66F2"/>
    <w:rsid w:val="009B682B"/>
    <w:rsid w:val="009B6D6E"/>
    <w:rsid w:val="009B76C4"/>
    <w:rsid w:val="009B7EA3"/>
    <w:rsid w:val="009C0390"/>
    <w:rsid w:val="009C0D69"/>
    <w:rsid w:val="009C155C"/>
    <w:rsid w:val="009C1936"/>
    <w:rsid w:val="009C2A20"/>
    <w:rsid w:val="009C2D5B"/>
    <w:rsid w:val="009C3346"/>
    <w:rsid w:val="009C3B37"/>
    <w:rsid w:val="009C40D8"/>
    <w:rsid w:val="009C4931"/>
    <w:rsid w:val="009C604C"/>
    <w:rsid w:val="009C6A0B"/>
    <w:rsid w:val="009C732B"/>
    <w:rsid w:val="009C74A4"/>
    <w:rsid w:val="009C76E9"/>
    <w:rsid w:val="009D06CB"/>
    <w:rsid w:val="009D0D1E"/>
    <w:rsid w:val="009D0DCC"/>
    <w:rsid w:val="009D181E"/>
    <w:rsid w:val="009D198D"/>
    <w:rsid w:val="009D202D"/>
    <w:rsid w:val="009D36D1"/>
    <w:rsid w:val="009D3DE8"/>
    <w:rsid w:val="009D41A9"/>
    <w:rsid w:val="009D4809"/>
    <w:rsid w:val="009D6F33"/>
    <w:rsid w:val="009D70AB"/>
    <w:rsid w:val="009D79B9"/>
    <w:rsid w:val="009D79BB"/>
    <w:rsid w:val="009D7A87"/>
    <w:rsid w:val="009E002E"/>
    <w:rsid w:val="009E101F"/>
    <w:rsid w:val="009E14A3"/>
    <w:rsid w:val="009E16B9"/>
    <w:rsid w:val="009E1760"/>
    <w:rsid w:val="009E20A0"/>
    <w:rsid w:val="009E24D2"/>
    <w:rsid w:val="009E27EA"/>
    <w:rsid w:val="009E2827"/>
    <w:rsid w:val="009E2ADF"/>
    <w:rsid w:val="009E2E34"/>
    <w:rsid w:val="009E30C4"/>
    <w:rsid w:val="009E389D"/>
    <w:rsid w:val="009E4580"/>
    <w:rsid w:val="009E4625"/>
    <w:rsid w:val="009E61F0"/>
    <w:rsid w:val="009E64DB"/>
    <w:rsid w:val="009E6846"/>
    <w:rsid w:val="009E6CAE"/>
    <w:rsid w:val="009E6D15"/>
    <w:rsid w:val="009E7E8B"/>
    <w:rsid w:val="009F0668"/>
    <w:rsid w:val="009F20EF"/>
    <w:rsid w:val="009F2702"/>
    <w:rsid w:val="009F2754"/>
    <w:rsid w:val="009F344D"/>
    <w:rsid w:val="009F3794"/>
    <w:rsid w:val="009F3879"/>
    <w:rsid w:val="009F3C0C"/>
    <w:rsid w:val="009F3C64"/>
    <w:rsid w:val="009F3E71"/>
    <w:rsid w:val="009F403A"/>
    <w:rsid w:val="009F4090"/>
    <w:rsid w:val="009F40BB"/>
    <w:rsid w:val="009F44AE"/>
    <w:rsid w:val="009F54F1"/>
    <w:rsid w:val="009F5BD7"/>
    <w:rsid w:val="009F5D3D"/>
    <w:rsid w:val="009F6672"/>
    <w:rsid w:val="009F6EBA"/>
    <w:rsid w:val="009F7703"/>
    <w:rsid w:val="009F7B4C"/>
    <w:rsid w:val="009F7CF2"/>
    <w:rsid w:val="009F7DBC"/>
    <w:rsid w:val="00A0042A"/>
    <w:rsid w:val="00A004A9"/>
    <w:rsid w:val="00A011B1"/>
    <w:rsid w:val="00A01581"/>
    <w:rsid w:val="00A01ACF"/>
    <w:rsid w:val="00A01B20"/>
    <w:rsid w:val="00A01BFE"/>
    <w:rsid w:val="00A030DC"/>
    <w:rsid w:val="00A03180"/>
    <w:rsid w:val="00A0439E"/>
    <w:rsid w:val="00A04ABB"/>
    <w:rsid w:val="00A05211"/>
    <w:rsid w:val="00A0546D"/>
    <w:rsid w:val="00A054F4"/>
    <w:rsid w:val="00A05700"/>
    <w:rsid w:val="00A060D2"/>
    <w:rsid w:val="00A06717"/>
    <w:rsid w:val="00A07D68"/>
    <w:rsid w:val="00A07E91"/>
    <w:rsid w:val="00A104AE"/>
    <w:rsid w:val="00A104CD"/>
    <w:rsid w:val="00A1060D"/>
    <w:rsid w:val="00A10BBE"/>
    <w:rsid w:val="00A10E16"/>
    <w:rsid w:val="00A116B2"/>
    <w:rsid w:val="00A11F6F"/>
    <w:rsid w:val="00A12459"/>
    <w:rsid w:val="00A128C7"/>
    <w:rsid w:val="00A129A5"/>
    <w:rsid w:val="00A12CAC"/>
    <w:rsid w:val="00A12E7C"/>
    <w:rsid w:val="00A133D2"/>
    <w:rsid w:val="00A13816"/>
    <w:rsid w:val="00A13CB0"/>
    <w:rsid w:val="00A15BD8"/>
    <w:rsid w:val="00A16872"/>
    <w:rsid w:val="00A16966"/>
    <w:rsid w:val="00A2109F"/>
    <w:rsid w:val="00A2153B"/>
    <w:rsid w:val="00A21E48"/>
    <w:rsid w:val="00A2234F"/>
    <w:rsid w:val="00A22408"/>
    <w:rsid w:val="00A22558"/>
    <w:rsid w:val="00A22AA6"/>
    <w:rsid w:val="00A2367C"/>
    <w:rsid w:val="00A24514"/>
    <w:rsid w:val="00A24B15"/>
    <w:rsid w:val="00A24B82"/>
    <w:rsid w:val="00A24DD4"/>
    <w:rsid w:val="00A255D1"/>
    <w:rsid w:val="00A25762"/>
    <w:rsid w:val="00A25787"/>
    <w:rsid w:val="00A2711E"/>
    <w:rsid w:val="00A277D3"/>
    <w:rsid w:val="00A27CB6"/>
    <w:rsid w:val="00A3024C"/>
    <w:rsid w:val="00A30693"/>
    <w:rsid w:val="00A30ED6"/>
    <w:rsid w:val="00A30F7D"/>
    <w:rsid w:val="00A3103F"/>
    <w:rsid w:val="00A31AD9"/>
    <w:rsid w:val="00A32325"/>
    <w:rsid w:val="00A32F67"/>
    <w:rsid w:val="00A337CF"/>
    <w:rsid w:val="00A33EE6"/>
    <w:rsid w:val="00A34EBD"/>
    <w:rsid w:val="00A35A9D"/>
    <w:rsid w:val="00A35B7A"/>
    <w:rsid w:val="00A36F76"/>
    <w:rsid w:val="00A372DC"/>
    <w:rsid w:val="00A37F38"/>
    <w:rsid w:val="00A40F68"/>
    <w:rsid w:val="00A4127E"/>
    <w:rsid w:val="00A4131D"/>
    <w:rsid w:val="00A42AAF"/>
    <w:rsid w:val="00A4303B"/>
    <w:rsid w:val="00A43230"/>
    <w:rsid w:val="00A4339B"/>
    <w:rsid w:val="00A43556"/>
    <w:rsid w:val="00A43C48"/>
    <w:rsid w:val="00A44833"/>
    <w:rsid w:val="00A4493E"/>
    <w:rsid w:val="00A4500D"/>
    <w:rsid w:val="00A452DB"/>
    <w:rsid w:val="00A45560"/>
    <w:rsid w:val="00A46020"/>
    <w:rsid w:val="00A46358"/>
    <w:rsid w:val="00A47605"/>
    <w:rsid w:val="00A477C4"/>
    <w:rsid w:val="00A47849"/>
    <w:rsid w:val="00A47C25"/>
    <w:rsid w:val="00A500C6"/>
    <w:rsid w:val="00A50E5C"/>
    <w:rsid w:val="00A50E96"/>
    <w:rsid w:val="00A526EA"/>
    <w:rsid w:val="00A52F50"/>
    <w:rsid w:val="00A53231"/>
    <w:rsid w:val="00A53BC4"/>
    <w:rsid w:val="00A546A7"/>
    <w:rsid w:val="00A54C47"/>
    <w:rsid w:val="00A55260"/>
    <w:rsid w:val="00A5670A"/>
    <w:rsid w:val="00A5792E"/>
    <w:rsid w:val="00A57C89"/>
    <w:rsid w:val="00A57E78"/>
    <w:rsid w:val="00A60086"/>
    <w:rsid w:val="00A60572"/>
    <w:rsid w:val="00A60A7E"/>
    <w:rsid w:val="00A60CC4"/>
    <w:rsid w:val="00A615D4"/>
    <w:rsid w:val="00A61F2C"/>
    <w:rsid w:val="00A634F1"/>
    <w:rsid w:val="00A63C66"/>
    <w:rsid w:val="00A63DF4"/>
    <w:rsid w:val="00A64326"/>
    <w:rsid w:val="00A648A3"/>
    <w:rsid w:val="00A64BA3"/>
    <w:rsid w:val="00A64E80"/>
    <w:rsid w:val="00A65A38"/>
    <w:rsid w:val="00A66AAC"/>
    <w:rsid w:val="00A66DE4"/>
    <w:rsid w:val="00A67A0B"/>
    <w:rsid w:val="00A67EEA"/>
    <w:rsid w:val="00A701B6"/>
    <w:rsid w:val="00A70599"/>
    <w:rsid w:val="00A7092A"/>
    <w:rsid w:val="00A7136E"/>
    <w:rsid w:val="00A716BD"/>
    <w:rsid w:val="00A71B62"/>
    <w:rsid w:val="00A723F2"/>
    <w:rsid w:val="00A730A3"/>
    <w:rsid w:val="00A734A8"/>
    <w:rsid w:val="00A739AE"/>
    <w:rsid w:val="00A74B90"/>
    <w:rsid w:val="00A74DF4"/>
    <w:rsid w:val="00A751EE"/>
    <w:rsid w:val="00A759FF"/>
    <w:rsid w:val="00A75D4C"/>
    <w:rsid w:val="00A76147"/>
    <w:rsid w:val="00A76936"/>
    <w:rsid w:val="00A76999"/>
    <w:rsid w:val="00A76C71"/>
    <w:rsid w:val="00A771F9"/>
    <w:rsid w:val="00A774B2"/>
    <w:rsid w:val="00A77B08"/>
    <w:rsid w:val="00A77BDE"/>
    <w:rsid w:val="00A802E1"/>
    <w:rsid w:val="00A805A0"/>
    <w:rsid w:val="00A808DE"/>
    <w:rsid w:val="00A80FCF"/>
    <w:rsid w:val="00A81747"/>
    <w:rsid w:val="00A81A86"/>
    <w:rsid w:val="00A8217E"/>
    <w:rsid w:val="00A823BD"/>
    <w:rsid w:val="00A828D6"/>
    <w:rsid w:val="00A82DE4"/>
    <w:rsid w:val="00A83351"/>
    <w:rsid w:val="00A8369F"/>
    <w:rsid w:val="00A83735"/>
    <w:rsid w:val="00A83FBC"/>
    <w:rsid w:val="00A84552"/>
    <w:rsid w:val="00A872D0"/>
    <w:rsid w:val="00A902F3"/>
    <w:rsid w:val="00A904D3"/>
    <w:rsid w:val="00A91551"/>
    <w:rsid w:val="00A92948"/>
    <w:rsid w:val="00A92A6C"/>
    <w:rsid w:val="00A92B68"/>
    <w:rsid w:val="00A937CC"/>
    <w:rsid w:val="00A93C71"/>
    <w:rsid w:val="00A93EE1"/>
    <w:rsid w:val="00A94720"/>
    <w:rsid w:val="00A94751"/>
    <w:rsid w:val="00A94C6C"/>
    <w:rsid w:val="00A95437"/>
    <w:rsid w:val="00A95A88"/>
    <w:rsid w:val="00A96CAE"/>
    <w:rsid w:val="00A974C2"/>
    <w:rsid w:val="00AA0329"/>
    <w:rsid w:val="00AA06FE"/>
    <w:rsid w:val="00AA0B26"/>
    <w:rsid w:val="00AA0D55"/>
    <w:rsid w:val="00AA1AB4"/>
    <w:rsid w:val="00AA23BF"/>
    <w:rsid w:val="00AA2956"/>
    <w:rsid w:val="00AA3294"/>
    <w:rsid w:val="00AA3384"/>
    <w:rsid w:val="00AA39BD"/>
    <w:rsid w:val="00AA3C8E"/>
    <w:rsid w:val="00AA3E57"/>
    <w:rsid w:val="00AA4196"/>
    <w:rsid w:val="00AA4470"/>
    <w:rsid w:val="00AA452F"/>
    <w:rsid w:val="00AA5765"/>
    <w:rsid w:val="00AA62F4"/>
    <w:rsid w:val="00AA6A87"/>
    <w:rsid w:val="00AA7229"/>
    <w:rsid w:val="00AA7F71"/>
    <w:rsid w:val="00AB00D2"/>
    <w:rsid w:val="00AB11F4"/>
    <w:rsid w:val="00AB1976"/>
    <w:rsid w:val="00AB1A24"/>
    <w:rsid w:val="00AB1BB6"/>
    <w:rsid w:val="00AB1CCD"/>
    <w:rsid w:val="00AB26E6"/>
    <w:rsid w:val="00AB2E49"/>
    <w:rsid w:val="00AB30A5"/>
    <w:rsid w:val="00AB3847"/>
    <w:rsid w:val="00AB38CF"/>
    <w:rsid w:val="00AB3F4C"/>
    <w:rsid w:val="00AB426E"/>
    <w:rsid w:val="00AB49D2"/>
    <w:rsid w:val="00AB552A"/>
    <w:rsid w:val="00AB68D9"/>
    <w:rsid w:val="00AB73CF"/>
    <w:rsid w:val="00AB7923"/>
    <w:rsid w:val="00AB794B"/>
    <w:rsid w:val="00AB79A2"/>
    <w:rsid w:val="00AB7F70"/>
    <w:rsid w:val="00AC0243"/>
    <w:rsid w:val="00AC133B"/>
    <w:rsid w:val="00AC15A5"/>
    <w:rsid w:val="00AC1741"/>
    <w:rsid w:val="00AC1A8F"/>
    <w:rsid w:val="00AC3396"/>
    <w:rsid w:val="00AC3531"/>
    <w:rsid w:val="00AC3E0F"/>
    <w:rsid w:val="00AC5205"/>
    <w:rsid w:val="00AC54AA"/>
    <w:rsid w:val="00AC5772"/>
    <w:rsid w:val="00AC68AB"/>
    <w:rsid w:val="00AC728F"/>
    <w:rsid w:val="00AC7BFC"/>
    <w:rsid w:val="00AD00EC"/>
    <w:rsid w:val="00AD063D"/>
    <w:rsid w:val="00AD06FF"/>
    <w:rsid w:val="00AD0F01"/>
    <w:rsid w:val="00AD1466"/>
    <w:rsid w:val="00AD19C2"/>
    <w:rsid w:val="00AD1AD0"/>
    <w:rsid w:val="00AD1DFA"/>
    <w:rsid w:val="00AD22BA"/>
    <w:rsid w:val="00AD3A09"/>
    <w:rsid w:val="00AD3CDB"/>
    <w:rsid w:val="00AD3E9F"/>
    <w:rsid w:val="00AD4123"/>
    <w:rsid w:val="00AD487F"/>
    <w:rsid w:val="00AD4A5F"/>
    <w:rsid w:val="00AD4D23"/>
    <w:rsid w:val="00AD5D6E"/>
    <w:rsid w:val="00AD5D91"/>
    <w:rsid w:val="00AD6451"/>
    <w:rsid w:val="00AD666D"/>
    <w:rsid w:val="00AD6A4F"/>
    <w:rsid w:val="00AD7033"/>
    <w:rsid w:val="00AD7223"/>
    <w:rsid w:val="00AD7BFD"/>
    <w:rsid w:val="00AD7EEF"/>
    <w:rsid w:val="00AE1332"/>
    <w:rsid w:val="00AE1B7F"/>
    <w:rsid w:val="00AE2573"/>
    <w:rsid w:val="00AE2AC8"/>
    <w:rsid w:val="00AE3C20"/>
    <w:rsid w:val="00AE4CE2"/>
    <w:rsid w:val="00AE54CD"/>
    <w:rsid w:val="00AE634D"/>
    <w:rsid w:val="00AE6E2C"/>
    <w:rsid w:val="00AE755F"/>
    <w:rsid w:val="00AE7730"/>
    <w:rsid w:val="00AF0201"/>
    <w:rsid w:val="00AF05E0"/>
    <w:rsid w:val="00AF0CFF"/>
    <w:rsid w:val="00AF1083"/>
    <w:rsid w:val="00AF1752"/>
    <w:rsid w:val="00AF213D"/>
    <w:rsid w:val="00AF2666"/>
    <w:rsid w:val="00AF2717"/>
    <w:rsid w:val="00AF27A4"/>
    <w:rsid w:val="00AF2A26"/>
    <w:rsid w:val="00AF47E3"/>
    <w:rsid w:val="00AF507E"/>
    <w:rsid w:val="00AF62A1"/>
    <w:rsid w:val="00AF6666"/>
    <w:rsid w:val="00AF75E4"/>
    <w:rsid w:val="00AF7DF2"/>
    <w:rsid w:val="00B0000D"/>
    <w:rsid w:val="00B00DC7"/>
    <w:rsid w:val="00B01306"/>
    <w:rsid w:val="00B01CF6"/>
    <w:rsid w:val="00B02B4F"/>
    <w:rsid w:val="00B031A7"/>
    <w:rsid w:val="00B03313"/>
    <w:rsid w:val="00B03857"/>
    <w:rsid w:val="00B03BB0"/>
    <w:rsid w:val="00B06C41"/>
    <w:rsid w:val="00B071A4"/>
    <w:rsid w:val="00B072C5"/>
    <w:rsid w:val="00B07519"/>
    <w:rsid w:val="00B07A4A"/>
    <w:rsid w:val="00B07F0C"/>
    <w:rsid w:val="00B12255"/>
    <w:rsid w:val="00B12B65"/>
    <w:rsid w:val="00B12F6B"/>
    <w:rsid w:val="00B133AF"/>
    <w:rsid w:val="00B14411"/>
    <w:rsid w:val="00B14DE5"/>
    <w:rsid w:val="00B1525C"/>
    <w:rsid w:val="00B1580C"/>
    <w:rsid w:val="00B166F3"/>
    <w:rsid w:val="00B17282"/>
    <w:rsid w:val="00B17654"/>
    <w:rsid w:val="00B17796"/>
    <w:rsid w:val="00B17A98"/>
    <w:rsid w:val="00B17DD3"/>
    <w:rsid w:val="00B210D3"/>
    <w:rsid w:val="00B213C4"/>
    <w:rsid w:val="00B21680"/>
    <w:rsid w:val="00B21B89"/>
    <w:rsid w:val="00B228CF"/>
    <w:rsid w:val="00B2314B"/>
    <w:rsid w:val="00B23DB4"/>
    <w:rsid w:val="00B24C71"/>
    <w:rsid w:val="00B25061"/>
    <w:rsid w:val="00B25852"/>
    <w:rsid w:val="00B25936"/>
    <w:rsid w:val="00B26129"/>
    <w:rsid w:val="00B26305"/>
    <w:rsid w:val="00B26329"/>
    <w:rsid w:val="00B26792"/>
    <w:rsid w:val="00B2688D"/>
    <w:rsid w:val="00B26A05"/>
    <w:rsid w:val="00B273F3"/>
    <w:rsid w:val="00B27717"/>
    <w:rsid w:val="00B27AF7"/>
    <w:rsid w:val="00B27E53"/>
    <w:rsid w:val="00B30B62"/>
    <w:rsid w:val="00B316B4"/>
    <w:rsid w:val="00B324B9"/>
    <w:rsid w:val="00B32983"/>
    <w:rsid w:val="00B32A2C"/>
    <w:rsid w:val="00B32C03"/>
    <w:rsid w:val="00B344A3"/>
    <w:rsid w:val="00B34B8E"/>
    <w:rsid w:val="00B357CE"/>
    <w:rsid w:val="00B35DF0"/>
    <w:rsid w:val="00B3643C"/>
    <w:rsid w:val="00B36605"/>
    <w:rsid w:val="00B36724"/>
    <w:rsid w:val="00B367A3"/>
    <w:rsid w:val="00B36852"/>
    <w:rsid w:val="00B36A13"/>
    <w:rsid w:val="00B36AEC"/>
    <w:rsid w:val="00B36F57"/>
    <w:rsid w:val="00B36FF4"/>
    <w:rsid w:val="00B37B93"/>
    <w:rsid w:val="00B40000"/>
    <w:rsid w:val="00B4004D"/>
    <w:rsid w:val="00B40135"/>
    <w:rsid w:val="00B41049"/>
    <w:rsid w:val="00B410D1"/>
    <w:rsid w:val="00B41587"/>
    <w:rsid w:val="00B42D7D"/>
    <w:rsid w:val="00B43956"/>
    <w:rsid w:val="00B444FA"/>
    <w:rsid w:val="00B44D1D"/>
    <w:rsid w:val="00B453FE"/>
    <w:rsid w:val="00B45E8D"/>
    <w:rsid w:val="00B4765E"/>
    <w:rsid w:val="00B47E74"/>
    <w:rsid w:val="00B47E80"/>
    <w:rsid w:val="00B47EC4"/>
    <w:rsid w:val="00B51327"/>
    <w:rsid w:val="00B5294B"/>
    <w:rsid w:val="00B52D9D"/>
    <w:rsid w:val="00B533E2"/>
    <w:rsid w:val="00B53A6E"/>
    <w:rsid w:val="00B53ADA"/>
    <w:rsid w:val="00B53BB4"/>
    <w:rsid w:val="00B543A0"/>
    <w:rsid w:val="00B56EC0"/>
    <w:rsid w:val="00B56ECA"/>
    <w:rsid w:val="00B60569"/>
    <w:rsid w:val="00B60940"/>
    <w:rsid w:val="00B60D90"/>
    <w:rsid w:val="00B62616"/>
    <w:rsid w:val="00B62971"/>
    <w:rsid w:val="00B629A1"/>
    <w:rsid w:val="00B63228"/>
    <w:rsid w:val="00B63450"/>
    <w:rsid w:val="00B636EA"/>
    <w:rsid w:val="00B63B4B"/>
    <w:rsid w:val="00B63DCF"/>
    <w:rsid w:val="00B647B9"/>
    <w:rsid w:val="00B65172"/>
    <w:rsid w:val="00B65EA7"/>
    <w:rsid w:val="00B669B7"/>
    <w:rsid w:val="00B66EBC"/>
    <w:rsid w:val="00B67040"/>
    <w:rsid w:val="00B673D6"/>
    <w:rsid w:val="00B700E6"/>
    <w:rsid w:val="00B7066C"/>
    <w:rsid w:val="00B712C4"/>
    <w:rsid w:val="00B71B3A"/>
    <w:rsid w:val="00B728D0"/>
    <w:rsid w:val="00B72982"/>
    <w:rsid w:val="00B737A8"/>
    <w:rsid w:val="00B73A53"/>
    <w:rsid w:val="00B74BC2"/>
    <w:rsid w:val="00B74ED3"/>
    <w:rsid w:val="00B74F1F"/>
    <w:rsid w:val="00B750A6"/>
    <w:rsid w:val="00B750BD"/>
    <w:rsid w:val="00B75228"/>
    <w:rsid w:val="00B7599D"/>
    <w:rsid w:val="00B75B58"/>
    <w:rsid w:val="00B7661E"/>
    <w:rsid w:val="00B77FDA"/>
    <w:rsid w:val="00B8018A"/>
    <w:rsid w:val="00B8032B"/>
    <w:rsid w:val="00B81010"/>
    <w:rsid w:val="00B8105D"/>
    <w:rsid w:val="00B81C05"/>
    <w:rsid w:val="00B828AC"/>
    <w:rsid w:val="00B82B72"/>
    <w:rsid w:val="00B82BC0"/>
    <w:rsid w:val="00B830CB"/>
    <w:rsid w:val="00B83608"/>
    <w:rsid w:val="00B838F0"/>
    <w:rsid w:val="00B8396D"/>
    <w:rsid w:val="00B83F09"/>
    <w:rsid w:val="00B846BC"/>
    <w:rsid w:val="00B8526E"/>
    <w:rsid w:val="00B85926"/>
    <w:rsid w:val="00B86479"/>
    <w:rsid w:val="00B866A4"/>
    <w:rsid w:val="00B86B35"/>
    <w:rsid w:val="00B871EC"/>
    <w:rsid w:val="00B87AB2"/>
    <w:rsid w:val="00B87F2E"/>
    <w:rsid w:val="00B906E2"/>
    <w:rsid w:val="00B907EA"/>
    <w:rsid w:val="00B90B73"/>
    <w:rsid w:val="00B91082"/>
    <w:rsid w:val="00B91163"/>
    <w:rsid w:val="00B918B4"/>
    <w:rsid w:val="00B91F93"/>
    <w:rsid w:val="00B92673"/>
    <w:rsid w:val="00B9283D"/>
    <w:rsid w:val="00B930D6"/>
    <w:rsid w:val="00B934A4"/>
    <w:rsid w:val="00B939F6"/>
    <w:rsid w:val="00B93BA9"/>
    <w:rsid w:val="00B93CEA"/>
    <w:rsid w:val="00B93FE5"/>
    <w:rsid w:val="00B9454C"/>
    <w:rsid w:val="00B956D2"/>
    <w:rsid w:val="00B95739"/>
    <w:rsid w:val="00B95C21"/>
    <w:rsid w:val="00B95D02"/>
    <w:rsid w:val="00B962CB"/>
    <w:rsid w:val="00B969AA"/>
    <w:rsid w:val="00B96F4C"/>
    <w:rsid w:val="00B96FE7"/>
    <w:rsid w:val="00B9714B"/>
    <w:rsid w:val="00B9744D"/>
    <w:rsid w:val="00B976B1"/>
    <w:rsid w:val="00B97A99"/>
    <w:rsid w:val="00B97C57"/>
    <w:rsid w:val="00B97DE5"/>
    <w:rsid w:val="00BA0326"/>
    <w:rsid w:val="00BA0E23"/>
    <w:rsid w:val="00BA159C"/>
    <w:rsid w:val="00BA2DD9"/>
    <w:rsid w:val="00BA31E0"/>
    <w:rsid w:val="00BA445A"/>
    <w:rsid w:val="00BA4AE0"/>
    <w:rsid w:val="00BA53F5"/>
    <w:rsid w:val="00BA5DB1"/>
    <w:rsid w:val="00BA68D8"/>
    <w:rsid w:val="00BA69C8"/>
    <w:rsid w:val="00BA70B3"/>
    <w:rsid w:val="00BB00B2"/>
    <w:rsid w:val="00BB0D9C"/>
    <w:rsid w:val="00BB0E91"/>
    <w:rsid w:val="00BB10DA"/>
    <w:rsid w:val="00BB1FE6"/>
    <w:rsid w:val="00BB2568"/>
    <w:rsid w:val="00BB28A9"/>
    <w:rsid w:val="00BB29C2"/>
    <w:rsid w:val="00BB494C"/>
    <w:rsid w:val="00BB5117"/>
    <w:rsid w:val="00BB5DED"/>
    <w:rsid w:val="00BB676F"/>
    <w:rsid w:val="00BB7037"/>
    <w:rsid w:val="00BB745B"/>
    <w:rsid w:val="00BB758E"/>
    <w:rsid w:val="00BB77CB"/>
    <w:rsid w:val="00BB7BCF"/>
    <w:rsid w:val="00BC0C8A"/>
    <w:rsid w:val="00BC11F6"/>
    <w:rsid w:val="00BC2066"/>
    <w:rsid w:val="00BC22A4"/>
    <w:rsid w:val="00BC2B46"/>
    <w:rsid w:val="00BC3050"/>
    <w:rsid w:val="00BC3BB1"/>
    <w:rsid w:val="00BC3BB6"/>
    <w:rsid w:val="00BC3EB1"/>
    <w:rsid w:val="00BC711E"/>
    <w:rsid w:val="00BC7ECA"/>
    <w:rsid w:val="00BD0E21"/>
    <w:rsid w:val="00BD221A"/>
    <w:rsid w:val="00BD392C"/>
    <w:rsid w:val="00BD3B0B"/>
    <w:rsid w:val="00BD45C3"/>
    <w:rsid w:val="00BD4E32"/>
    <w:rsid w:val="00BD54AF"/>
    <w:rsid w:val="00BD56BA"/>
    <w:rsid w:val="00BD59AC"/>
    <w:rsid w:val="00BD6250"/>
    <w:rsid w:val="00BD62DC"/>
    <w:rsid w:val="00BD62DE"/>
    <w:rsid w:val="00BD666E"/>
    <w:rsid w:val="00BD6A35"/>
    <w:rsid w:val="00BD6B8D"/>
    <w:rsid w:val="00BD6BCB"/>
    <w:rsid w:val="00BD6CA3"/>
    <w:rsid w:val="00BD6DC3"/>
    <w:rsid w:val="00BD75AD"/>
    <w:rsid w:val="00BD7803"/>
    <w:rsid w:val="00BD7E0A"/>
    <w:rsid w:val="00BE0CA5"/>
    <w:rsid w:val="00BE1315"/>
    <w:rsid w:val="00BE223B"/>
    <w:rsid w:val="00BE2537"/>
    <w:rsid w:val="00BE255C"/>
    <w:rsid w:val="00BE25B9"/>
    <w:rsid w:val="00BE2CE2"/>
    <w:rsid w:val="00BE2E7A"/>
    <w:rsid w:val="00BE3B35"/>
    <w:rsid w:val="00BE3CCA"/>
    <w:rsid w:val="00BE5A5D"/>
    <w:rsid w:val="00BE6928"/>
    <w:rsid w:val="00BE6A2F"/>
    <w:rsid w:val="00BE6E28"/>
    <w:rsid w:val="00BE7269"/>
    <w:rsid w:val="00BF01FF"/>
    <w:rsid w:val="00BF0B4A"/>
    <w:rsid w:val="00BF1107"/>
    <w:rsid w:val="00BF1272"/>
    <w:rsid w:val="00BF1F0C"/>
    <w:rsid w:val="00BF349F"/>
    <w:rsid w:val="00BF39A7"/>
    <w:rsid w:val="00BF3A9B"/>
    <w:rsid w:val="00BF428D"/>
    <w:rsid w:val="00BF4DEB"/>
    <w:rsid w:val="00BF64C8"/>
    <w:rsid w:val="00BF77AA"/>
    <w:rsid w:val="00BF7F5A"/>
    <w:rsid w:val="00C01F55"/>
    <w:rsid w:val="00C02EEB"/>
    <w:rsid w:val="00C02F5E"/>
    <w:rsid w:val="00C05656"/>
    <w:rsid w:val="00C05BE2"/>
    <w:rsid w:val="00C05F17"/>
    <w:rsid w:val="00C06259"/>
    <w:rsid w:val="00C0675F"/>
    <w:rsid w:val="00C06905"/>
    <w:rsid w:val="00C06BA0"/>
    <w:rsid w:val="00C06ED1"/>
    <w:rsid w:val="00C0777D"/>
    <w:rsid w:val="00C078AD"/>
    <w:rsid w:val="00C115A6"/>
    <w:rsid w:val="00C117EF"/>
    <w:rsid w:val="00C1231A"/>
    <w:rsid w:val="00C13117"/>
    <w:rsid w:val="00C1407F"/>
    <w:rsid w:val="00C14E34"/>
    <w:rsid w:val="00C14EA5"/>
    <w:rsid w:val="00C15D12"/>
    <w:rsid w:val="00C167A5"/>
    <w:rsid w:val="00C16DF4"/>
    <w:rsid w:val="00C170FF"/>
    <w:rsid w:val="00C17C24"/>
    <w:rsid w:val="00C201B6"/>
    <w:rsid w:val="00C20AE1"/>
    <w:rsid w:val="00C21647"/>
    <w:rsid w:val="00C216A1"/>
    <w:rsid w:val="00C21772"/>
    <w:rsid w:val="00C21EA2"/>
    <w:rsid w:val="00C22459"/>
    <w:rsid w:val="00C228B1"/>
    <w:rsid w:val="00C22E6F"/>
    <w:rsid w:val="00C23A61"/>
    <w:rsid w:val="00C23B1C"/>
    <w:rsid w:val="00C23BDB"/>
    <w:rsid w:val="00C2456F"/>
    <w:rsid w:val="00C24831"/>
    <w:rsid w:val="00C2503E"/>
    <w:rsid w:val="00C25504"/>
    <w:rsid w:val="00C2598D"/>
    <w:rsid w:val="00C26CE0"/>
    <w:rsid w:val="00C27660"/>
    <w:rsid w:val="00C276AF"/>
    <w:rsid w:val="00C27709"/>
    <w:rsid w:val="00C27BC5"/>
    <w:rsid w:val="00C27EFA"/>
    <w:rsid w:val="00C30609"/>
    <w:rsid w:val="00C30710"/>
    <w:rsid w:val="00C31ACB"/>
    <w:rsid w:val="00C31F26"/>
    <w:rsid w:val="00C3251B"/>
    <w:rsid w:val="00C334F7"/>
    <w:rsid w:val="00C33B65"/>
    <w:rsid w:val="00C33DFD"/>
    <w:rsid w:val="00C34AAC"/>
    <w:rsid w:val="00C34B04"/>
    <w:rsid w:val="00C34CCF"/>
    <w:rsid w:val="00C34CDB"/>
    <w:rsid w:val="00C34FEB"/>
    <w:rsid w:val="00C3546A"/>
    <w:rsid w:val="00C356ED"/>
    <w:rsid w:val="00C359EC"/>
    <w:rsid w:val="00C35A43"/>
    <w:rsid w:val="00C35C05"/>
    <w:rsid w:val="00C362B3"/>
    <w:rsid w:val="00C36636"/>
    <w:rsid w:val="00C36EA2"/>
    <w:rsid w:val="00C36EDE"/>
    <w:rsid w:val="00C37AC7"/>
    <w:rsid w:val="00C40168"/>
    <w:rsid w:val="00C40F4E"/>
    <w:rsid w:val="00C4105F"/>
    <w:rsid w:val="00C41E7A"/>
    <w:rsid w:val="00C42653"/>
    <w:rsid w:val="00C438EC"/>
    <w:rsid w:val="00C43939"/>
    <w:rsid w:val="00C452E8"/>
    <w:rsid w:val="00C45446"/>
    <w:rsid w:val="00C470D3"/>
    <w:rsid w:val="00C472F8"/>
    <w:rsid w:val="00C47D0C"/>
    <w:rsid w:val="00C50414"/>
    <w:rsid w:val="00C5055A"/>
    <w:rsid w:val="00C50DCB"/>
    <w:rsid w:val="00C515B1"/>
    <w:rsid w:val="00C52AF8"/>
    <w:rsid w:val="00C52D75"/>
    <w:rsid w:val="00C53739"/>
    <w:rsid w:val="00C53E5A"/>
    <w:rsid w:val="00C53F07"/>
    <w:rsid w:val="00C53FF9"/>
    <w:rsid w:val="00C54B06"/>
    <w:rsid w:val="00C55672"/>
    <w:rsid w:val="00C56150"/>
    <w:rsid w:val="00C5624C"/>
    <w:rsid w:val="00C56FE7"/>
    <w:rsid w:val="00C575A4"/>
    <w:rsid w:val="00C57B2D"/>
    <w:rsid w:val="00C57C42"/>
    <w:rsid w:val="00C60007"/>
    <w:rsid w:val="00C60103"/>
    <w:rsid w:val="00C6041B"/>
    <w:rsid w:val="00C6132B"/>
    <w:rsid w:val="00C61760"/>
    <w:rsid w:val="00C619C7"/>
    <w:rsid w:val="00C62D2F"/>
    <w:rsid w:val="00C62E07"/>
    <w:rsid w:val="00C62F1B"/>
    <w:rsid w:val="00C631F6"/>
    <w:rsid w:val="00C632D0"/>
    <w:rsid w:val="00C635CF"/>
    <w:rsid w:val="00C635D7"/>
    <w:rsid w:val="00C637F8"/>
    <w:rsid w:val="00C64040"/>
    <w:rsid w:val="00C64138"/>
    <w:rsid w:val="00C642A1"/>
    <w:rsid w:val="00C64E58"/>
    <w:rsid w:val="00C6594E"/>
    <w:rsid w:val="00C65BC9"/>
    <w:rsid w:val="00C66C07"/>
    <w:rsid w:val="00C6733F"/>
    <w:rsid w:val="00C6763D"/>
    <w:rsid w:val="00C70B54"/>
    <w:rsid w:val="00C7149C"/>
    <w:rsid w:val="00C72ED9"/>
    <w:rsid w:val="00C73B26"/>
    <w:rsid w:val="00C73BC1"/>
    <w:rsid w:val="00C7405E"/>
    <w:rsid w:val="00C74185"/>
    <w:rsid w:val="00C7458F"/>
    <w:rsid w:val="00C74644"/>
    <w:rsid w:val="00C748A3"/>
    <w:rsid w:val="00C7652D"/>
    <w:rsid w:val="00C765ED"/>
    <w:rsid w:val="00C768D7"/>
    <w:rsid w:val="00C76C06"/>
    <w:rsid w:val="00C76C3B"/>
    <w:rsid w:val="00C778C9"/>
    <w:rsid w:val="00C77D35"/>
    <w:rsid w:val="00C80348"/>
    <w:rsid w:val="00C8132D"/>
    <w:rsid w:val="00C81ACF"/>
    <w:rsid w:val="00C8244B"/>
    <w:rsid w:val="00C82693"/>
    <w:rsid w:val="00C84459"/>
    <w:rsid w:val="00C84D48"/>
    <w:rsid w:val="00C84DF8"/>
    <w:rsid w:val="00C8592B"/>
    <w:rsid w:val="00C869DD"/>
    <w:rsid w:val="00C871B2"/>
    <w:rsid w:val="00C90489"/>
    <w:rsid w:val="00C907F2"/>
    <w:rsid w:val="00C91AF8"/>
    <w:rsid w:val="00C91E94"/>
    <w:rsid w:val="00C92699"/>
    <w:rsid w:val="00C92BD4"/>
    <w:rsid w:val="00C93202"/>
    <w:rsid w:val="00C933C2"/>
    <w:rsid w:val="00C93A47"/>
    <w:rsid w:val="00C944B3"/>
    <w:rsid w:val="00C944B5"/>
    <w:rsid w:val="00C959C1"/>
    <w:rsid w:val="00C95E64"/>
    <w:rsid w:val="00C95EC4"/>
    <w:rsid w:val="00C97384"/>
    <w:rsid w:val="00C97612"/>
    <w:rsid w:val="00C97AF8"/>
    <w:rsid w:val="00CA054B"/>
    <w:rsid w:val="00CA0A60"/>
    <w:rsid w:val="00CA0F2A"/>
    <w:rsid w:val="00CA0FC3"/>
    <w:rsid w:val="00CA1773"/>
    <w:rsid w:val="00CA1C26"/>
    <w:rsid w:val="00CA2E9C"/>
    <w:rsid w:val="00CA388F"/>
    <w:rsid w:val="00CA38B3"/>
    <w:rsid w:val="00CA47C1"/>
    <w:rsid w:val="00CA4A64"/>
    <w:rsid w:val="00CA4BE4"/>
    <w:rsid w:val="00CA4E32"/>
    <w:rsid w:val="00CA4EAB"/>
    <w:rsid w:val="00CA52F8"/>
    <w:rsid w:val="00CA5FA4"/>
    <w:rsid w:val="00CA6024"/>
    <w:rsid w:val="00CA6595"/>
    <w:rsid w:val="00CA68A9"/>
    <w:rsid w:val="00CA6A3D"/>
    <w:rsid w:val="00CA6B71"/>
    <w:rsid w:val="00CA6D9B"/>
    <w:rsid w:val="00CA7EEC"/>
    <w:rsid w:val="00CB006C"/>
    <w:rsid w:val="00CB0878"/>
    <w:rsid w:val="00CB0995"/>
    <w:rsid w:val="00CB17DC"/>
    <w:rsid w:val="00CB25C5"/>
    <w:rsid w:val="00CB26C9"/>
    <w:rsid w:val="00CB297B"/>
    <w:rsid w:val="00CB2F93"/>
    <w:rsid w:val="00CB326E"/>
    <w:rsid w:val="00CB33FC"/>
    <w:rsid w:val="00CB47F5"/>
    <w:rsid w:val="00CB4A04"/>
    <w:rsid w:val="00CB561A"/>
    <w:rsid w:val="00CB5858"/>
    <w:rsid w:val="00CB7488"/>
    <w:rsid w:val="00CB7C78"/>
    <w:rsid w:val="00CC0942"/>
    <w:rsid w:val="00CC0A6D"/>
    <w:rsid w:val="00CC12BB"/>
    <w:rsid w:val="00CC1A77"/>
    <w:rsid w:val="00CC1AC4"/>
    <w:rsid w:val="00CC1DC5"/>
    <w:rsid w:val="00CC1DFA"/>
    <w:rsid w:val="00CC1E1E"/>
    <w:rsid w:val="00CC1E57"/>
    <w:rsid w:val="00CC30EF"/>
    <w:rsid w:val="00CC3ED2"/>
    <w:rsid w:val="00CC494B"/>
    <w:rsid w:val="00CC4C5E"/>
    <w:rsid w:val="00CC5A90"/>
    <w:rsid w:val="00CC6234"/>
    <w:rsid w:val="00CC67F8"/>
    <w:rsid w:val="00CC6D9D"/>
    <w:rsid w:val="00CC6FB0"/>
    <w:rsid w:val="00CC7E62"/>
    <w:rsid w:val="00CD03D9"/>
    <w:rsid w:val="00CD1726"/>
    <w:rsid w:val="00CD1B8F"/>
    <w:rsid w:val="00CD2333"/>
    <w:rsid w:val="00CD2655"/>
    <w:rsid w:val="00CD277D"/>
    <w:rsid w:val="00CD27C9"/>
    <w:rsid w:val="00CD2A47"/>
    <w:rsid w:val="00CD408E"/>
    <w:rsid w:val="00CD44E9"/>
    <w:rsid w:val="00CD4B24"/>
    <w:rsid w:val="00CD4CFD"/>
    <w:rsid w:val="00CD5361"/>
    <w:rsid w:val="00CD5545"/>
    <w:rsid w:val="00CD5D43"/>
    <w:rsid w:val="00CD5ED5"/>
    <w:rsid w:val="00CD5FAB"/>
    <w:rsid w:val="00CD63D9"/>
    <w:rsid w:val="00CD6BC9"/>
    <w:rsid w:val="00CD6C5B"/>
    <w:rsid w:val="00CD6FB4"/>
    <w:rsid w:val="00CD73BF"/>
    <w:rsid w:val="00CD779E"/>
    <w:rsid w:val="00CE06DC"/>
    <w:rsid w:val="00CE0BE0"/>
    <w:rsid w:val="00CE117C"/>
    <w:rsid w:val="00CE121B"/>
    <w:rsid w:val="00CE213D"/>
    <w:rsid w:val="00CE26A9"/>
    <w:rsid w:val="00CE2E7A"/>
    <w:rsid w:val="00CE2F9A"/>
    <w:rsid w:val="00CE3001"/>
    <w:rsid w:val="00CE3508"/>
    <w:rsid w:val="00CE3A02"/>
    <w:rsid w:val="00CE3A34"/>
    <w:rsid w:val="00CE3D27"/>
    <w:rsid w:val="00CE3FAC"/>
    <w:rsid w:val="00CE4A34"/>
    <w:rsid w:val="00CE4BAC"/>
    <w:rsid w:val="00CE6183"/>
    <w:rsid w:val="00CE65E8"/>
    <w:rsid w:val="00CE6AF0"/>
    <w:rsid w:val="00CE6B6D"/>
    <w:rsid w:val="00CE6FA3"/>
    <w:rsid w:val="00CE72F7"/>
    <w:rsid w:val="00CF04AD"/>
    <w:rsid w:val="00CF1129"/>
    <w:rsid w:val="00CF14DF"/>
    <w:rsid w:val="00CF1EF9"/>
    <w:rsid w:val="00CF2324"/>
    <w:rsid w:val="00CF2C9C"/>
    <w:rsid w:val="00CF3D4C"/>
    <w:rsid w:val="00CF3E7D"/>
    <w:rsid w:val="00CF40E6"/>
    <w:rsid w:val="00CF4AAC"/>
    <w:rsid w:val="00CF54E3"/>
    <w:rsid w:val="00CF61EC"/>
    <w:rsid w:val="00CF6291"/>
    <w:rsid w:val="00CF6509"/>
    <w:rsid w:val="00CF67F1"/>
    <w:rsid w:val="00CF70A9"/>
    <w:rsid w:val="00CF7159"/>
    <w:rsid w:val="00CF7209"/>
    <w:rsid w:val="00CF7561"/>
    <w:rsid w:val="00CF7F04"/>
    <w:rsid w:val="00D00C8F"/>
    <w:rsid w:val="00D00DF0"/>
    <w:rsid w:val="00D01278"/>
    <w:rsid w:val="00D0162A"/>
    <w:rsid w:val="00D01D62"/>
    <w:rsid w:val="00D020E2"/>
    <w:rsid w:val="00D02148"/>
    <w:rsid w:val="00D03155"/>
    <w:rsid w:val="00D04360"/>
    <w:rsid w:val="00D05312"/>
    <w:rsid w:val="00D05678"/>
    <w:rsid w:val="00D06432"/>
    <w:rsid w:val="00D064E5"/>
    <w:rsid w:val="00D06C24"/>
    <w:rsid w:val="00D075B3"/>
    <w:rsid w:val="00D07977"/>
    <w:rsid w:val="00D1002F"/>
    <w:rsid w:val="00D100CD"/>
    <w:rsid w:val="00D105E0"/>
    <w:rsid w:val="00D1101B"/>
    <w:rsid w:val="00D11101"/>
    <w:rsid w:val="00D117E9"/>
    <w:rsid w:val="00D11D29"/>
    <w:rsid w:val="00D12FC2"/>
    <w:rsid w:val="00D131B4"/>
    <w:rsid w:val="00D13393"/>
    <w:rsid w:val="00D13A82"/>
    <w:rsid w:val="00D13F04"/>
    <w:rsid w:val="00D1532A"/>
    <w:rsid w:val="00D15501"/>
    <w:rsid w:val="00D164A0"/>
    <w:rsid w:val="00D1653A"/>
    <w:rsid w:val="00D16A35"/>
    <w:rsid w:val="00D16BC0"/>
    <w:rsid w:val="00D17D67"/>
    <w:rsid w:val="00D17F37"/>
    <w:rsid w:val="00D17F94"/>
    <w:rsid w:val="00D2000F"/>
    <w:rsid w:val="00D20091"/>
    <w:rsid w:val="00D20681"/>
    <w:rsid w:val="00D215EF"/>
    <w:rsid w:val="00D21C16"/>
    <w:rsid w:val="00D21D22"/>
    <w:rsid w:val="00D22A9B"/>
    <w:rsid w:val="00D2319A"/>
    <w:rsid w:val="00D23599"/>
    <w:rsid w:val="00D23AD0"/>
    <w:rsid w:val="00D23B0D"/>
    <w:rsid w:val="00D23BFA"/>
    <w:rsid w:val="00D23EF5"/>
    <w:rsid w:val="00D24F2E"/>
    <w:rsid w:val="00D25426"/>
    <w:rsid w:val="00D25571"/>
    <w:rsid w:val="00D25BD7"/>
    <w:rsid w:val="00D25C1B"/>
    <w:rsid w:val="00D25E4A"/>
    <w:rsid w:val="00D26395"/>
    <w:rsid w:val="00D26431"/>
    <w:rsid w:val="00D265E3"/>
    <w:rsid w:val="00D26B3F"/>
    <w:rsid w:val="00D26EA9"/>
    <w:rsid w:val="00D303F0"/>
    <w:rsid w:val="00D30707"/>
    <w:rsid w:val="00D30E5A"/>
    <w:rsid w:val="00D32120"/>
    <w:rsid w:val="00D33959"/>
    <w:rsid w:val="00D33B98"/>
    <w:rsid w:val="00D33D62"/>
    <w:rsid w:val="00D340C5"/>
    <w:rsid w:val="00D3425B"/>
    <w:rsid w:val="00D35150"/>
    <w:rsid w:val="00D3586C"/>
    <w:rsid w:val="00D36CD8"/>
    <w:rsid w:val="00D3722D"/>
    <w:rsid w:val="00D372E2"/>
    <w:rsid w:val="00D3753A"/>
    <w:rsid w:val="00D3756B"/>
    <w:rsid w:val="00D4229D"/>
    <w:rsid w:val="00D424CF"/>
    <w:rsid w:val="00D42F15"/>
    <w:rsid w:val="00D430E8"/>
    <w:rsid w:val="00D43214"/>
    <w:rsid w:val="00D435FA"/>
    <w:rsid w:val="00D43677"/>
    <w:rsid w:val="00D43BEF"/>
    <w:rsid w:val="00D43DE4"/>
    <w:rsid w:val="00D4448D"/>
    <w:rsid w:val="00D44B90"/>
    <w:rsid w:val="00D450DE"/>
    <w:rsid w:val="00D454AE"/>
    <w:rsid w:val="00D456F3"/>
    <w:rsid w:val="00D459D7"/>
    <w:rsid w:val="00D45BF2"/>
    <w:rsid w:val="00D45C5C"/>
    <w:rsid w:val="00D45EDB"/>
    <w:rsid w:val="00D46197"/>
    <w:rsid w:val="00D462DD"/>
    <w:rsid w:val="00D46979"/>
    <w:rsid w:val="00D469D5"/>
    <w:rsid w:val="00D46AA5"/>
    <w:rsid w:val="00D46DAD"/>
    <w:rsid w:val="00D47ABC"/>
    <w:rsid w:val="00D47B26"/>
    <w:rsid w:val="00D5049C"/>
    <w:rsid w:val="00D50B9D"/>
    <w:rsid w:val="00D50D48"/>
    <w:rsid w:val="00D50E56"/>
    <w:rsid w:val="00D50F83"/>
    <w:rsid w:val="00D51CED"/>
    <w:rsid w:val="00D51FE3"/>
    <w:rsid w:val="00D52CFA"/>
    <w:rsid w:val="00D54A10"/>
    <w:rsid w:val="00D55042"/>
    <w:rsid w:val="00D5591C"/>
    <w:rsid w:val="00D56738"/>
    <w:rsid w:val="00D56B37"/>
    <w:rsid w:val="00D57449"/>
    <w:rsid w:val="00D6010A"/>
    <w:rsid w:val="00D60604"/>
    <w:rsid w:val="00D6149A"/>
    <w:rsid w:val="00D63F85"/>
    <w:rsid w:val="00D641AC"/>
    <w:rsid w:val="00D6649E"/>
    <w:rsid w:val="00D666EB"/>
    <w:rsid w:val="00D670F5"/>
    <w:rsid w:val="00D67A47"/>
    <w:rsid w:val="00D70C6F"/>
    <w:rsid w:val="00D71A99"/>
    <w:rsid w:val="00D71EF7"/>
    <w:rsid w:val="00D72AE0"/>
    <w:rsid w:val="00D736AB"/>
    <w:rsid w:val="00D73872"/>
    <w:rsid w:val="00D73B36"/>
    <w:rsid w:val="00D740F7"/>
    <w:rsid w:val="00D74311"/>
    <w:rsid w:val="00D74716"/>
    <w:rsid w:val="00D74837"/>
    <w:rsid w:val="00D748AE"/>
    <w:rsid w:val="00D74E8A"/>
    <w:rsid w:val="00D753BC"/>
    <w:rsid w:val="00D75514"/>
    <w:rsid w:val="00D7558D"/>
    <w:rsid w:val="00D7595A"/>
    <w:rsid w:val="00D76DE3"/>
    <w:rsid w:val="00D7721E"/>
    <w:rsid w:val="00D77A1F"/>
    <w:rsid w:val="00D8037C"/>
    <w:rsid w:val="00D8110A"/>
    <w:rsid w:val="00D811DD"/>
    <w:rsid w:val="00D815D0"/>
    <w:rsid w:val="00D822DC"/>
    <w:rsid w:val="00D82BFB"/>
    <w:rsid w:val="00D82CA4"/>
    <w:rsid w:val="00D8309D"/>
    <w:rsid w:val="00D8325F"/>
    <w:rsid w:val="00D83CAD"/>
    <w:rsid w:val="00D8492A"/>
    <w:rsid w:val="00D852F7"/>
    <w:rsid w:val="00D85A5E"/>
    <w:rsid w:val="00D86A27"/>
    <w:rsid w:val="00D86CC9"/>
    <w:rsid w:val="00D87981"/>
    <w:rsid w:val="00D87D8B"/>
    <w:rsid w:val="00D90579"/>
    <w:rsid w:val="00D90607"/>
    <w:rsid w:val="00D90B3D"/>
    <w:rsid w:val="00D90E08"/>
    <w:rsid w:val="00D91916"/>
    <w:rsid w:val="00D91A24"/>
    <w:rsid w:val="00D92255"/>
    <w:rsid w:val="00D92DFA"/>
    <w:rsid w:val="00D92FE2"/>
    <w:rsid w:val="00D93672"/>
    <w:rsid w:val="00D96960"/>
    <w:rsid w:val="00D9704D"/>
    <w:rsid w:val="00D97358"/>
    <w:rsid w:val="00D979C6"/>
    <w:rsid w:val="00D97D0F"/>
    <w:rsid w:val="00DA00F2"/>
    <w:rsid w:val="00DA01CD"/>
    <w:rsid w:val="00DA04F4"/>
    <w:rsid w:val="00DA0A5C"/>
    <w:rsid w:val="00DA0C3E"/>
    <w:rsid w:val="00DA0ED0"/>
    <w:rsid w:val="00DA142C"/>
    <w:rsid w:val="00DA1659"/>
    <w:rsid w:val="00DA1C4D"/>
    <w:rsid w:val="00DA1FF0"/>
    <w:rsid w:val="00DA23F9"/>
    <w:rsid w:val="00DA29B2"/>
    <w:rsid w:val="00DA3546"/>
    <w:rsid w:val="00DA3713"/>
    <w:rsid w:val="00DA3E33"/>
    <w:rsid w:val="00DA50C5"/>
    <w:rsid w:val="00DA54BB"/>
    <w:rsid w:val="00DA5712"/>
    <w:rsid w:val="00DA6468"/>
    <w:rsid w:val="00DA778B"/>
    <w:rsid w:val="00DA7A5D"/>
    <w:rsid w:val="00DB01E5"/>
    <w:rsid w:val="00DB0F3B"/>
    <w:rsid w:val="00DB122C"/>
    <w:rsid w:val="00DB1460"/>
    <w:rsid w:val="00DB15F2"/>
    <w:rsid w:val="00DB2339"/>
    <w:rsid w:val="00DB28C7"/>
    <w:rsid w:val="00DB2ECF"/>
    <w:rsid w:val="00DB40A0"/>
    <w:rsid w:val="00DB4CE1"/>
    <w:rsid w:val="00DB4FB7"/>
    <w:rsid w:val="00DB504E"/>
    <w:rsid w:val="00DB5DCE"/>
    <w:rsid w:val="00DB6493"/>
    <w:rsid w:val="00DB66EE"/>
    <w:rsid w:val="00DB689F"/>
    <w:rsid w:val="00DB6C0B"/>
    <w:rsid w:val="00DB6DFA"/>
    <w:rsid w:val="00DB7192"/>
    <w:rsid w:val="00DB78CE"/>
    <w:rsid w:val="00DB7CE6"/>
    <w:rsid w:val="00DB7DF8"/>
    <w:rsid w:val="00DB7E69"/>
    <w:rsid w:val="00DC0166"/>
    <w:rsid w:val="00DC06A9"/>
    <w:rsid w:val="00DC07D6"/>
    <w:rsid w:val="00DC116F"/>
    <w:rsid w:val="00DC1518"/>
    <w:rsid w:val="00DC1C53"/>
    <w:rsid w:val="00DC34EB"/>
    <w:rsid w:val="00DC3C8F"/>
    <w:rsid w:val="00DC4198"/>
    <w:rsid w:val="00DC5A10"/>
    <w:rsid w:val="00DC677B"/>
    <w:rsid w:val="00DC68EA"/>
    <w:rsid w:val="00DC6CBC"/>
    <w:rsid w:val="00DC73B7"/>
    <w:rsid w:val="00DD032C"/>
    <w:rsid w:val="00DD1177"/>
    <w:rsid w:val="00DD1680"/>
    <w:rsid w:val="00DD2C9D"/>
    <w:rsid w:val="00DD38EF"/>
    <w:rsid w:val="00DD407B"/>
    <w:rsid w:val="00DD45F7"/>
    <w:rsid w:val="00DD4A0B"/>
    <w:rsid w:val="00DD537E"/>
    <w:rsid w:val="00DD56E2"/>
    <w:rsid w:val="00DD578B"/>
    <w:rsid w:val="00DD5BB0"/>
    <w:rsid w:val="00DD6331"/>
    <w:rsid w:val="00DD68AA"/>
    <w:rsid w:val="00DD76E5"/>
    <w:rsid w:val="00DD7F52"/>
    <w:rsid w:val="00DE0530"/>
    <w:rsid w:val="00DE085E"/>
    <w:rsid w:val="00DE0F1B"/>
    <w:rsid w:val="00DE0F68"/>
    <w:rsid w:val="00DE1A49"/>
    <w:rsid w:val="00DE2238"/>
    <w:rsid w:val="00DE2BF5"/>
    <w:rsid w:val="00DE414E"/>
    <w:rsid w:val="00DE484C"/>
    <w:rsid w:val="00DE493A"/>
    <w:rsid w:val="00DE4C31"/>
    <w:rsid w:val="00DE4E44"/>
    <w:rsid w:val="00DE5048"/>
    <w:rsid w:val="00DE50F1"/>
    <w:rsid w:val="00DE566C"/>
    <w:rsid w:val="00DE57A7"/>
    <w:rsid w:val="00DE57B8"/>
    <w:rsid w:val="00DE57DE"/>
    <w:rsid w:val="00DE5D85"/>
    <w:rsid w:val="00DE5E39"/>
    <w:rsid w:val="00DE61ED"/>
    <w:rsid w:val="00DE7984"/>
    <w:rsid w:val="00DE7D6D"/>
    <w:rsid w:val="00DF0B6A"/>
    <w:rsid w:val="00DF0FAB"/>
    <w:rsid w:val="00DF181B"/>
    <w:rsid w:val="00DF1B1E"/>
    <w:rsid w:val="00DF22D9"/>
    <w:rsid w:val="00DF23B4"/>
    <w:rsid w:val="00DF3089"/>
    <w:rsid w:val="00DF36CB"/>
    <w:rsid w:val="00DF37C3"/>
    <w:rsid w:val="00DF3A8B"/>
    <w:rsid w:val="00DF4462"/>
    <w:rsid w:val="00DF469D"/>
    <w:rsid w:val="00DF51C7"/>
    <w:rsid w:val="00DF535E"/>
    <w:rsid w:val="00DF5F2D"/>
    <w:rsid w:val="00DF659D"/>
    <w:rsid w:val="00DF6FDA"/>
    <w:rsid w:val="00DF7519"/>
    <w:rsid w:val="00DF788D"/>
    <w:rsid w:val="00DF7CA8"/>
    <w:rsid w:val="00E004F0"/>
    <w:rsid w:val="00E007D6"/>
    <w:rsid w:val="00E00BC7"/>
    <w:rsid w:val="00E00ED7"/>
    <w:rsid w:val="00E011C4"/>
    <w:rsid w:val="00E014BA"/>
    <w:rsid w:val="00E019B9"/>
    <w:rsid w:val="00E01B34"/>
    <w:rsid w:val="00E01D42"/>
    <w:rsid w:val="00E023E6"/>
    <w:rsid w:val="00E03918"/>
    <w:rsid w:val="00E03966"/>
    <w:rsid w:val="00E03E8F"/>
    <w:rsid w:val="00E0406F"/>
    <w:rsid w:val="00E04A45"/>
    <w:rsid w:val="00E04F26"/>
    <w:rsid w:val="00E06A86"/>
    <w:rsid w:val="00E0766D"/>
    <w:rsid w:val="00E07AEE"/>
    <w:rsid w:val="00E07E56"/>
    <w:rsid w:val="00E07EC3"/>
    <w:rsid w:val="00E10642"/>
    <w:rsid w:val="00E1119E"/>
    <w:rsid w:val="00E1244B"/>
    <w:rsid w:val="00E12944"/>
    <w:rsid w:val="00E12F24"/>
    <w:rsid w:val="00E13603"/>
    <w:rsid w:val="00E13866"/>
    <w:rsid w:val="00E138C0"/>
    <w:rsid w:val="00E13C45"/>
    <w:rsid w:val="00E14E7A"/>
    <w:rsid w:val="00E15F76"/>
    <w:rsid w:val="00E15FD5"/>
    <w:rsid w:val="00E1613E"/>
    <w:rsid w:val="00E16E33"/>
    <w:rsid w:val="00E17490"/>
    <w:rsid w:val="00E179F6"/>
    <w:rsid w:val="00E21161"/>
    <w:rsid w:val="00E2117F"/>
    <w:rsid w:val="00E2231E"/>
    <w:rsid w:val="00E22585"/>
    <w:rsid w:val="00E22767"/>
    <w:rsid w:val="00E22FD1"/>
    <w:rsid w:val="00E23085"/>
    <w:rsid w:val="00E2332D"/>
    <w:rsid w:val="00E2376C"/>
    <w:rsid w:val="00E23D62"/>
    <w:rsid w:val="00E24089"/>
    <w:rsid w:val="00E247A7"/>
    <w:rsid w:val="00E24C40"/>
    <w:rsid w:val="00E24D2A"/>
    <w:rsid w:val="00E24DE2"/>
    <w:rsid w:val="00E260DE"/>
    <w:rsid w:val="00E26643"/>
    <w:rsid w:val="00E26D22"/>
    <w:rsid w:val="00E26E34"/>
    <w:rsid w:val="00E277D2"/>
    <w:rsid w:val="00E27C28"/>
    <w:rsid w:val="00E27CB9"/>
    <w:rsid w:val="00E27EF7"/>
    <w:rsid w:val="00E302B8"/>
    <w:rsid w:val="00E3076F"/>
    <w:rsid w:val="00E30845"/>
    <w:rsid w:val="00E312E7"/>
    <w:rsid w:val="00E31C6B"/>
    <w:rsid w:val="00E31DA1"/>
    <w:rsid w:val="00E3209D"/>
    <w:rsid w:val="00E3256C"/>
    <w:rsid w:val="00E33044"/>
    <w:rsid w:val="00E33059"/>
    <w:rsid w:val="00E3394F"/>
    <w:rsid w:val="00E33BB5"/>
    <w:rsid w:val="00E33CEF"/>
    <w:rsid w:val="00E33D39"/>
    <w:rsid w:val="00E34344"/>
    <w:rsid w:val="00E34432"/>
    <w:rsid w:val="00E34440"/>
    <w:rsid w:val="00E34AF4"/>
    <w:rsid w:val="00E357E2"/>
    <w:rsid w:val="00E35947"/>
    <w:rsid w:val="00E36F25"/>
    <w:rsid w:val="00E417FA"/>
    <w:rsid w:val="00E41C0F"/>
    <w:rsid w:val="00E41FF7"/>
    <w:rsid w:val="00E421BF"/>
    <w:rsid w:val="00E42CF0"/>
    <w:rsid w:val="00E433F8"/>
    <w:rsid w:val="00E436B0"/>
    <w:rsid w:val="00E43DDA"/>
    <w:rsid w:val="00E43E8D"/>
    <w:rsid w:val="00E45233"/>
    <w:rsid w:val="00E46472"/>
    <w:rsid w:val="00E4669F"/>
    <w:rsid w:val="00E4688F"/>
    <w:rsid w:val="00E46DF4"/>
    <w:rsid w:val="00E47071"/>
    <w:rsid w:val="00E472F3"/>
    <w:rsid w:val="00E47578"/>
    <w:rsid w:val="00E47605"/>
    <w:rsid w:val="00E47D6A"/>
    <w:rsid w:val="00E506BF"/>
    <w:rsid w:val="00E511E4"/>
    <w:rsid w:val="00E527EE"/>
    <w:rsid w:val="00E53215"/>
    <w:rsid w:val="00E535D6"/>
    <w:rsid w:val="00E551C3"/>
    <w:rsid w:val="00E554CA"/>
    <w:rsid w:val="00E55975"/>
    <w:rsid w:val="00E55D3A"/>
    <w:rsid w:val="00E564BA"/>
    <w:rsid w:val="00E56851"/>
    <w:rsid w:val="00E60399"/>
    <w:rsid w:val="00E60A25"/>
    <w:rsid w:val="00E6162A"/>
    <w:rsid w:val="00E61862"/>
    <w:rsid w:val="00E618B8"/>
    <w:rsid w:val="00E61965"/>
    <w:rsid w:val="00E623DB"/>
    <w:rsid w:val="00E6258C"/>
    <w:rsid w:val="00E62EDE"/>
    <w:rsid w:val="00E62F5B"/>
    <w:rsid w:val="00E63651"/>
    <w:rsid w:val="00E6377C"/>
    <w:rsid w:val="00E63866"/>
    <w:rsid w:val="00E639D2"/>
    <w:rsid w:val="00E648CD"/>
    <w:rsid w:val="00E649EE"/>
    <w:rsid w:val="00E64A1B"/>
    <w:rsid w:val="00E64DD8"/>
    <w:rsid w:val="00E65046"/>
    <w:rsid w:val="00E65075"/>
    <w:rsid w:val="00E650FA"/>
    <w:rsid w:val="00E6516E"/>
    <w:rsid w:val="00E6541C"/>
    <w:rsid w:val="00E65CF4"/>
    <w:rsid w:val="00E65D09"/>
    <w:rsid w:val="00E65FB7"/>
    <w:rsid w:val="00E65FBB"/>
    <w:rsid w:val="00E6611B"/>
    <w:rsid w:val="00E668C9"/>
    <w:rsid w:val="00E67675"/>
    <w:rsid w:val="00E704FE"/>
    <w:rsid w:val="00E71634"/>
    <w:rsid w:val="00E73AD2"/>
    <w:rsid w:val="00E73AD8"/>
    <w:rsid w:val="00E73B0B"/>
    <w:rsid w:val="00E744E0"/>
    <w:rsid w:val="00E75B88"/>
    <w:rsid w:val="00E77499"/>
    <w:rsid w:val="00E77548"/>
    <w:rsid w:val="00E77BBE"/>
    <w:rsid w:val="00E81731"/>
    <w:rsid w:val="00E831D6"/>
    <w:rsid w:val="00E831EB"/>
    <w:rsid w:val="00E83909"/>
    <w:rsid w:val="00E83987"/>
    <w:rsid w:val="00E839D1"/>
    <w:rsid w:val="00E847CC"/>
    <w:rsid w:val="00E84C8E"/>
    <w:rsid w:val="00E8561D"/>
    <w:rsid w:val="00E85B15"/>
    <w:rsid w:val="00E85CD3"/>
    <w:rsid w:val="00E86298"/>
    <w:rsid w:val="00E86402"/>
    <w:rsid w:val="00E86A0D"/>
    <w:rsid w:val="00E86F95"/>
    <w:rsid w:val="00E87244"/>
    <w:rsid w:val="00E87A88"/>
    <w:rsid w:val="00E87CFF"/>
    <w:rsid w:val="00E87ECC"/>
    <w:rsid w:val="00E90515"/>
    <w:rsid w:val="00E906FA"/>
    <w:rsid w:val="00E90B69"/>
    <w:rsid w:val="00E90D5D"/>
    <w:rsid w:val="00E912E4"/>
    <w:rsid w:val="00E91B53"/>
    <w:rsid w:val="00E92018"/>
    <w:rsid w:val="00E920A2"/>
    <w:rsid w:val="00E9250F"/>
    <w:rsid w:val="00E92DF3"/>
    <w:rsid w:val="00E92EF1"/>
    <w:rsid w:val="00E932F5"/>
    <w:rsid w:val="00E93B5D"/>
    <w:rsid w:val="00E94164"/>
    <w:rsid w:val="00E94F39"/>
    <w:rsid w:val="00E94FE5"/>
    <w:rsid w:val="00E9515E"/>
    <w:rsid w:val="00E952AB"/>
    <w:rsid w:val="00E959E5"/>
    <w:rsid w:val="00E96304"/>
    <w:rsid w:val="00E96432"/>
    <w:rsid w:val="00E979C2"/>
    <w:rsid w:val="00E97A90"/>
    <w:rsid w:val="00E97E2C"/>
    <w:rsid w:val="00E97F94"/>
    <w:rsid w:val="00EA0DFB"/>
    <w:rsid w:val="00EA1B73"/>
    <w:rsid w:val="00EA1D39"/>
    <w:rsid w:val="00EA24EC"/>
    <w:rsid w:val="00EA27E2"/>
    <w:rsid w:val="00EA2B1C"/>
    <w:rsid w:val="00EA2B97"/>
    <w:rsid w:val="00EA2CBF"/>
    <w:rsid w:val="00EA2F77"/>
    <w:rsid w:val="00EA319F"/>
    <w:rsid w:val="00EA34B3"/>
    <w:rsid w:val="00EA3886"/>
    <w:rsid w:val="00EA579C"/>
    <w:rsid w:val="00EA6130"/>
    <w:rsid w:val="00EA6753"/>
    <w:rsid w:val="00EA6F07"/>
    <w:rsid w:val="00EA74C1"/>
    <w:rsid w:val="00EA7682"/>
    <w:rsid w:val="00EA7B0D"/>
    <w:rsid w:val="00EA7EC6"/>
    <w:rsid w:val="00EB0414"/>
    <w:rsid w:val="00EB05BF"/>
    <w:rsid w:val="00EB1486"/>
    <w:rsid w:val="00EB1F28"/>
    <w:rsid w:val="00EB2253"/>
    <w:rsid w:val="00EB2481"/>
    <w:rsid w:val="00EB2842"/>
    <w:rsid w:val="00EB2858"/>
    <w:rsid w:val="00EB2CA9"/>
    <w:rsid w:val="00EB331B"/>
    <w:rsid w:val="00EB3459"/>
    <w:rsid w:val="00EB34A1"/>
    <w:rsid w:val="00EB41CD"/>
    <w:rsid w:val="00EB44AE"/>
    <w:rsid w:val="00EB4A11"/>
    <w:rsid w:val="00EB4B9B"/>
    <w:rsid w:val="00EB4F27"/>
    <w:rsid w:val="00EB5DBE"/>
    <w:rsid w:val="00EB6549"/>
    <w:rsid w:val="00EB65ED"/>
    <w:rsid w:val="00EB6BD0"/>
    <w:rsid w:val="00EB707A"/>
    <w:rsid w:val="00EB7090"/>
    <w:rsid w:val="00EB7272"/>
    <w:rsid w:val="00EC0AD8"/>
    <w:rsid w:val="00EC24A9"/>
    <w:rsid w:val="00EC3087"/>
    <w:rsid w:val="00EC3D32"/>
    <w:rsid w:val="00EC4225"/>
    <w:rsid w:val="00EC4B2C"/>
    <w:rsid w:val="00EC4BA6"/>
    <w:rsid w:val="00EC4E46"/>
    <w:rsid w:val="00EC4F8B"/>
    <w:rsid w:val="00EC604F"/>
    <w:rsid w:val="00EC63B1"/>
    <w:rsid w:val="00EC7BB1"/>
    <w:rsid w:val="00ED0B01"/>
    <w:rsid w:val="00ED1AB8"/>
    <w:rsid w:val="00ED2C64"/>
    <w:rsid w:val="00ED43C0"/>
    <w:rsid w:val="00ED501C"/>
    <w:rsid w:val="00ED50F9"/>
    <w:rsid w:val="00ED6645"/>
    <w:rsid w:val="00ED6E8A"/>
    <w:rsid w:val="00ED74F5"/>
    <w:rsid w:val="00ED76D8"/>
    <w:rsid w:val="00ED79FD"/>
    <w:rsid w:val="00EE005D"/>
    <w:rsid w:val="00EE02F0"/>
    <w:rsid w:val="00EE0546"/>
    <w:rsid w:val="00EE0B27"/>
    <w:rsid w:val="00EE1276"/>
    <w:rsid w:val="00EE2D1D"/>
    <w:rsid w:val="00EE389E"/>
    <w:rsid w:val="00EE3D62"/>
    <w:rsid w:val="00EE4907"/>
    <w:rsid w:val="00EE4C64"/>
    <w:rsid w:val="00EE4E61"/>
    <w:rsid w:val="00EE4F92"/>
    <w:rsid w:val="00EE5D8F"/>
    <w:rsid w:val="00EE6307"/>
    <w:rsid w:val="00EE6FCF"/>
    <w:rsid w:val="00EE7632"/>
    <w:rsid w:val="00EF02AB"/>
    <w:rsid w:val="00EF1DB3"/>
    <w:rsid w:val="00EF1ECF"/>
    <w:rsid w:val="00EF2571"/>
    <w:rsid w:val="00EF36CC"/>
    <w:rsid w:val="00EF37F1"/>
    <w:rsid w:val="00EF4264"/>
    <w:rsid w:val="00EF4800"/>
    <w:rsid w:val="00EF4952"/>
    <w:rsid w:val="00EF4AE6"/>
    <w:rsid w:val="00EF4CB3"/>
    <w:rsid w:val="00EF528A"/>
    <w:rsid w:val="00EF528C"/>
    <w:rsid w:val="00EF5D66"/>
    <w:rsid w:val="00EF6749"/>
    <w:rsid w:val="00EF6A81"/>
    <w:rsid w:val="00EF6CD6"/>
    <w:rsid w:val="00EF7EB6"/>
    <w:rsid w:val="00F001E8"/>
    <w:rsid w:val="00F002F7"/>
    <w:rsid w:val="00F005F5"/>
    <w:rsid w:val="00F0096D"/>
    <w:rsid w:val="00F00E23"/>
    <w:rsid w:val="00F01019"/>
    <w:rsid w:val="00F01110"/>
    <w:rsid w:val="00F027C5"/>
    <w:rsid w:val="00F03170"/>
    <w:rsid w:val="00F034A5"/>
    <w:rsid w:val="00F036DD"/>
    <w:rsid w:val="00F038F9"/>
    <w:rsid w:val="00F0429C"/>
    <w:rsid w:val="00F045A7"/>
    <w:rsid w:val="00F04612"/>
    <w:rsid w:val="00F051AA"/>
    <w:rsid w:val="00F05A51"/>
    <w:rsid w:val="00F05B27"/>
    <w:rsid w:val="00F072BE"/>
    <w:rsid w:val="00F07C88"/>
    <w:rsid w:val="00F07D43"/>
    <w:rsid w:val="00F1067D"/>
    <w:rsid w:val="00F10854"/>
    <w:rsid w:val="00F11274"/>
    <w:rsid w:val="00F11D58"/>
    <w:rsid w:val="00F122F6"/>
    <w:rsid w:val="00F123B0"/>
    <w:rsid w:val="00F13691"/>
    <w:rsid w:val="00F1382C"/>
    <w:rsid w:val="00F13B38"/>
    <w:rsid w:val="00F13BD8"/>
    <w:rsid w:val="00F14A3E"/>
    <w:rsid w:val="00F15759"/>
    <w:rsid w:val="00F16462"/>
    <w:rsid w:val="00F164F4"/>
    <w:rsid w:val="00F16D92"/>
    <w:rsid w:val="00F17FAF"/>
    <w:rsid w:val="00F22101"/>
    <w:rsid w:val="00F22D96"/>
    <w:rsid w:val="00F23190"/>
    <w:rsid w:val="00F23BE6"/>
    <w:rsid w:val="00F268FD"/>
    <w:rsid w:val="00F26BB3"/>
    <w:rsid w:val="00F27EAD"/>
    <w:rsid w:val="00F30410"/>
    <w:rsid w:val="00F306FA"/>
    <w:rsid w:val="00F3176F"/>
    <w:rsid w:val="00F31BE7"/>
    <w:rsid w:val="00F329E7"/>
    <w:rsid w:val="00F32E3B"/>
    <w:rsid w:val="00F340B5"/>
    <w:rsid w:val="00F34348"/>
    <w:rsid w:val="00F343DC"/>
    <w:rsid w:val="00F346E2"/>
    <w:rsid w:val="00F34A88"/>
    <w:rsid w:val="00F34ED2"/>
    <w:rsid w:val="00F35037"/>
    <w:rsid w:val="00F356FE"/>
    <w:rsid w:val="00F361F8"/>
    <w:rsid w:val="00F36230"/>
    <w:rsid w:val="00F36E6B"/>
    <w:rsid w:val="00F370D5"/>
    <w:rsid w:val="00F3728B"/>
    <w:rsid w:val="00F3735A"/>
    <w:rsid w:val="00F37BB9"/>
    <w:rsid w:val="00F4041D"/>
    <w:rsid w:val="00F40FAE"/>
    <w:rsid w:val="00F42BEA"/>
    <w:rsid w:val="00F4336B"/>
    <w:rsid w:val="00F43897"/>
    <w:rsid w:val="00F438B1"/>
    <w:rsid w:val="00F455F0"/>
    <w:rsid w:val="00F45A98"/>
    <w:rsid w:val="00F45B43"/>
    <w:rsid w:val="00F470DF"/>
    <w:rsid w:val="00F47743"/>
    <w:rsid w:val="00F47D2D"/>
    <w:rsid w:val="00F47DA4"/>
    <w:rsid w:val="00F50328"/>
    <w:rsid w:val="00F5084E"/>
    <w:rsid w:val="00F50B04"/>
    <w:rsid w:val="00F50F6A"/>
    <w:rsid w:val="00F513A7"/>
    <w:rsid w:val="00F52A54"/>
    <w:rsid w:val="00F52B35"/>
    <w:rsid w:val="00F53274"/>
    <w:rsid w:val="00F537DA"/>
    <w:rsid w:val="00F53FF0"/>
    <w:rsid w:val="00F54486"/>
    <w:rsid w:val="00F54F33"/>
    <w:rsid w:val="00F55452"/>
    <w:rsid w:val="00F5556E"/>
    <w:rsid w:val="00F55BF1"/>
    <w:rsid w:val="00F56164"/>
    <w:rsid w:val="00F563E3"/>
    <w:rsid w:val="00F5677D"/>
    <w:rsid w:val="00F56B0C"/>
    <w:rsid w:val="00F573BA"/>
    <w:rsid w:val="00F57D99"/>
    <w:rsid w:val="00F605DD"/>
    <w:rsid w:val="00F60B1C"/>
    <w:rsid w:val="00F60F1D"/>
    <w:rsid w:val="00F61DEC"/>
    <w:rsid w:val="00F62BDD"/>
    <w:rsid w:val="00F6425D"/>
    <w:rsid w:val="00F64EA0"/>
    <w:rsid w:val="00F66378"/>
    <w:rsid w:val="00F66524"/>
    <w:rsid w:val="00F66D04"/>
    <w:rsid w:val="00F671AE"/>
    <w:rsid w:val="00F67820"/>
    <w:rsid w:val="00F67AB5"/>
    <w:rsid w:val="00F67AEF"/>
    <w:rsid w:val="00F7083E"/>
    <w:rsid w:val="00F7100B"/>
    <w:rsid w:val="00F718A7"/>
    <w:rsid w:val="00F71AF3"/>
    <w:rsid w:val="00F7226A"/>
    <w:rsid w:val="00F723B3"/>
    <w:rsid w:val="00F72B2B"/>
    <w:rsid w:val="00F737AD"/>
    <w:rsid w:val="00F75BED"/>
    <w:rsid w:val="00F76D29"/>
    <w:rsid w:val="00F77D5F"/>
    <w:rsid w:val="00F80CC3"/>
    <w:rsid w:val="00F81DF4"/>
    <w:rsid w:val="00F81F2B"/>
    <w:rsid w:val="00F82057"/>
    <w:rsid w:val="00F82874"/>
    <w:rsid w:val="00F84598"/>
    <w:rsid w:val="00F849E5"/>
    <w:rsid w:val="00F84CD8"/>
    <w:rsid w:val="00F853CF"/>
    <w:rsid w:val="00F85CB4"/>
    <w:rsid w:val="00F86C4D"/>
    <w:rsid w:val="00F874B1"/>
    <w:rsid w:val="00F8779B"/>
    <w:rsid w:val="00F87C23"/>
    <w:rsid w:val="00F90B4F"/>
    <w:rsid w:val="00F91228"/>
    <w:rsid w:val="00F91B4A"/>
    <w:rsid w:val="00F922C2"/>
    <w:rsid w:val="00F92880"/>
    <w:rsid w:val="00F93272"/>
    <w:rsid w:val="00F939BA"/>
    <w:rsid w:val="00F93F02"/>
    <w:rsid w:val="00F942E4"/>
    <w:rsid w:val="00F94873"/>
    <w:rsid w:val="00F94A9F"/>
    <w:rsid w:val="00F95035"/>
    <w:rsid w:val="00F959A4"/>
    <w:rsid w:val="00F96206"/>
    <w:rsid w:val="00F97132"/>
    <w:rsid w:val="00F9719F"/>
    <w:rsid w:val="00F97354"/>
    <w:rsid w:val="00F97674"/>
    <w:rsid w:val="00FA0402"/>
    <w:rsid w:val="00FA047F"/>
    <w:rsid w:val="00FA0755"/>
    <w:rsid w:val="00FA2197"/>
    <w:rsid w:val="00FA22CB"/>
    <w:rsid w:val="00FA22DB"/>
    <w:rsid w:val="00FA2E24"/>
    <w:rsid w:val="00FA2F52"/>
    <w:rsid w:val="00FA3FB4"/>
    <w:rsid w:val="00FA51DC"/>
    <w:rsid w:val="00FA5443"/>
    <w:rsid w:val="00FA569B"/>
    <w:rsid w:val="00FA5DA1"/>
    <w:rsid w:val="00FA5FC9"/>
    <w:rsid w:val="00FA7286"/>
    <w:rsid w:val="00FA748A"/>
    <w:rsid w:val="00FA7F71"/>
    <w:rsid w:val="00FB0946"/>
    <w:rsid w:val="00FB0D77"/>
    <w:rsid w:val="00FB0F74"/>
    <w:rsid w:val="00FB1ADB"/>
    <w:rsid w:val="00FB1FC2"/>
    <w:rsid w:val="00FB2722"/>
    <w:rsid w:val="00FB28D6"/>
    <w:rsid w:val="00FB2D08"/>
    <w:rsid w:val="00FB2F58"/>
    <w:rsid w:val="00FB3639"/>
    <w:rsid w:val="00FB3718"/>
    <w:rsid w:val="00FB39C9"/>
    <w:rsid w:val="00FB4520"/>
    <w:rsid w:val="00FB4B69"/>
    <w:rsid w:val="00FB5EA2"/>
    <w:rsid w:val="00FB5F29"/>
    <w:rsid w:val="00FB6862"/>
    <w:rsid w:val="00FB69A4"/>
    <w:rsid w:val="00FB6D9D"/>
    <w:rsid w:val="00FB6F6B"/>
    <w:rsid w:val="00FB712D"/>
    <w:rsid w:val="00FB7948"/>
    <w:rsid w:val="00FC0097"/>
    <w:rsid w:val="00FC1410"/>
    <w:rsid w:val="00FC179E"/>
    <w:rsid w:val="00FC27E5"/>
    <w:rsid w:val="00FC3497"/>
    <w:rsid w:val="00FC3AB8"/>
    <w:rsid w:val="00FC3F93"/>
    <w:rsid w:val="00FC42C9"/>
    <w:rsid w:val="00FC48D7"/>
    <w:rsid w:val="00FC586A"/>
    <w:rsid w:val="00FC59CB"/>
    <w:rsid w:val="00FC6616"/>
    <w:rsid w:val="00FC669C"/>
    <w:rsid w:val="00FC6713"/>
    <w:rsid w:val="00FC696C"/>
    <w:rsid w:val="00FC6B82"/>
    <w:rsid w:val="00FC7294"/>
    <w:rsid w:val="00FC7709"/>
    <w:rsid w:val="00FC7710"/>
    <w:rsid w:val="00FC7F1C"/>
    <w:rsid w:val="00FD00B6"/>
    <w:rsid w:val="00FD01F7"/>
    <w:rsid w:val="00FD028B"/>
    <w:rsid w:val="00FD05C5"/>
    <w:rsid w:val="00FD1423"/>
    <w:rsid w:val="00FD18FC"/>
    <w:rsid w:val="00FD1E94"/>
    <w:rsid w:val="00FD2748"/>
    <w:rsid w:val="00FD31FB"/>
    <w:rsid w:val="00FD4202"/>
    <w:rsid w:val="00FD44E1"/>
    <w:rsid w:val="00FD4ABE"/>
    <w:rsid w:val="00FD4B3F"/>
    <w:rsid w:val="00FD50F1"/>
    <w:rsid w:val="00FD53C6"/>
    <w:rsid w:val="00FD54ED"/>
    <w:rsid w:val="00FD5620"/>
    <w:rsid w:val="00FD5BD0"/>
    <w:rsid w:val="00FD5C7B"/>
    <w:rsid w:val="00FD5E01"/>
    <w:rsid w:val="00FD64B4"/>
    <w:rsid w:val="00FD6708"/>
    <w:rsid w:val="00FD6FFA"/>
    <w:rsid w:val="00FD7626"/>
    <w:rsid w:val="00FD76AF"/>
    <w:rsid w:val="00FD7C11"/>
    <w:rsid w:val="00FE0400"/>
    <w:rsid w:val="00FE0B2C"/>
    <w:rsid w:val="00FE0B87"/>
    <w:rsid w:val="00FE151B"/>
    <w:rsid w:val="00FE18AB"/>
    <w:rsid w:val="00FE19F5"/>
    <w:rsid w:val="00FE1A70"/>
    <w:rsid w:val="00FE1CBA"/>
    <w:rsid w:val="00FE1DAD"/>
    <w:rsid w:val="00FE1F5F"/>
    <w:rsid w:val="00FE2616"/>
    <w:rsid w:val="00FE2B43"/>
    <w:rsid w:val="00FE4757"/>
    <w:rsid w:val="00FE56C5"/>
    <w:rsid w:val="00FE5A3B"/>
    <w:rsid w:val="00FE5BB6"/>
    <w:rsid w:val="00FE5EE9"/>
    <w:rsid w:val="00FE66C0"/>
    <w:rsid w:val="00FE68E4"/>
    <w:rsid w:val="00FE6CED"/>
    <w:rsid w:val="00FE701E"/>
    <w:rsid w:val="00FE753B"/>
    <w:rsid w:val="00FE79D2"/>
    <w:rsid w:val="00FE7E1A"/>
    <w:rsid w:val="00FF02EF"/>
    <w:rsid w:val="00FF0D53"/>
    <w:rsid w:val="00FF0DB3"/>
    <w:rsid w:val="00FF239C"/>
    <w:rsid w:val="00FF2AE7"/>
    <w:rsid w:val="00FF2DB9"/>
    <w:rsid w:val="00FF2DCA"/>
    <w:rsid w:val="00FF2F82"/>
    <w:rsid w:val="00FF3A05"/>
    <w:rsid w:val="00FF3FA1"/>
    <w:rsid w:val="00FF408C"/>
    <w:rsid w:val="00FF559A"/>
    <w:rsid w:val="00FF7CE3"/>
    <w:rsid w:val="01347A59"/>
    <w:rsid w:val="01545A05"/>
    <w:rsid w:val="016A347B"/>
    <w:rsid w:val="01F82835"/>
    <w:rsid w:val="022E26FA"/>
    <w:rsid w:val="02355837"/>
    <w:rsid w:val="02385327"/>
    <w:rsid w:val="02557C87"/>
    <w:rsid w:val="025A458D"/>
    <w:rsid w:val="0281282A"/>
    <w:rsid w:val="02954528"/>
    <w:rsid w:val="029562D6"/>
    <w:rsid w:val="029E162E"/>
    <w:rsid w:val="032F2269"/>
    <w:rsid w:val="037D7992"/>
    <w:rsid w:val="03920A67"/>
    <w:rsid w:val="039B791C"/>
    <w:rsid w:val="03A32C74"/>
    <w:rsid w:val="03B31109"/>
    <w:rsid w:val="03BD3D36"/>
    <w:rsid w:val="03C2134C"/>
    <w:rsid w:val="043A35D9"/>
    <w:rsid w:val="04461F7D"/>
    <w:rsid w:val="047F2D99"/>
    <w:rsid w:val="049525BD"/>
    <w:rsid w:val="04983E5B"/>
    <w:rsid w:val="04B0389B"/>
    <w:rsid w:val="04BC5D9C"/>
    <w:rsid w:val="04C9495C"/>
    <w:rsid w:val="04EE6171"/>
    <w:rsid w:val="051C683A"/>
    <w:rsid w:val="05575AC4"/>
    <w:rsid w:val="05665D07"/>
    <w:rsid w:val="05793C8D"/>
    <w:rsid w:val="058B39C0"/>
    <w:rsid w:val="05A35558"/>
    <w:rsid w:val="06007F0A"/>
    <w:rsid w:val="06135E8F"/>
    <w:rsid w:val="063B7194"/>
    <w:rsid w:val="064222D0"/>
    <w:rsid w:val="064C314F"/>
    <w:rsid w:val="0659586C"/>
    <w:rsid w:val="06D82C35"/>
    <w:rsid w:val="06F2019A"/>
    <w:rsid w:val="070D6D82"/>
    <w:rsid w:val="071D1290"/>
    <w:rsid w:val="076D5A73"/>
    <w:rsid w:val="07BE007D"/>
    <w:rsid w:val="08144141"/>
    <w:rsid w:val="081B727D"/>
    <w:rsid w:val="08646E76"/>
    <w:rsid w:val="08762705"/>
    <w:rsid w:val="08793FA4"/>
    <w:rsid w:val="08AC25CB"/>
    <w:rsid w:val="08B532D7"/>
    <w:rsid w:val="08DA2C94"/>
    <w:rsid w:val="08DB20D9"/>
    <w:rsid w:val="08E8360B"/>
    <w:rsid w:val="08F63846"/>
    <w:rsid w:val="08FF6B9F"/>
    <w:rsid w:val="090D306A"/>
    <w:rsid w:val="091A12E3"/>
    <w:rsid w:val="092E279E"/>
    <w:rsid w:val="093525C0"/>
    <w:rsid w:val="093F343F"/>
    <w:rsid w:val="09646A02"/>
    <w:rsid w:val="09652EA6"/>
    <w:rsid w:val="09C35E1E"/>
    <w:rsid w:val="09F71624"/>
    <w:rsid w:val="0A25409F"/>
    <w:rsid w:val="0A750537"/>
    <w:rsid w:val="0A8F7AAE"/>
    <w:rsid w:val="0A98761B"/>
    <w:rsid w:val="0B0C55A3"/>
    <w:rsid w:val="0B27418B"/>
    <w:rsid w:val="0B41349E"/>
    <w:rsid w:val="0B460AB5"/>
    <w:rsid w:val="0B6131F9"/>
    <w:rsid w:val="0B62221E"/>
    <w:rsid w:val="0B7D3DAB"/>
    <w:rsid w:val="0B8F1221"/>
    <w:rsid w:val="0BD936D7"/>
    <w:rsid w:val="0BDC6D23"/>
    <w:rsid w:val="0C0F534B"/>
    <w:rsid w:val="0C120997"/>
    <w:rsid w:val="0C272694"/>
    <w:rsid w:val="0C4E71A9"/>
    <w:rsid w:val="0C517711"/>
    <w:rsid w:val="0CEC0210"/>
    <w:rsid w:val="0D0227BA"/>
    <w:rsid w:val="0D0C3638"/>
    <w:rsid w:val="0D1B1ACD"/>
    <w:rsid w:val="0D470B14"/>
    <w:rsid w:val="0D574D8D"/>
    <w:rsid w:val="0D6208EB"/>
    <w:rsid w:val="0D642ADC"/>
    <w:rsid w:val="0D7A4A46"/>
    <w:rsid w:val="0D8238FA"/>
    <w:rsid w:val="0DDC300B"/>
    <w:rsid w:val="0DFC545B"/>
    <w:rsid w:val="0E3015A8"/>
    <w:rsid w:val="0E727399"/>
    <w:rsid w:val="0E833DCE"/>
    <w:rsid w:val="0E975183"/>
    <w:rsid w:val="0E9B5EA5"/>
    <w:rsid w:val="0ECF29D8"/>
    <w:rsid w:val="0F1862C4"/>
    <w:rsid w:val="0F256C33"/>
    <w:rsid w:val="0F263D0E"/>
    <w:rsid w:val="0F4F5A5E"/>
    <w:rsid w:val="0FA933C0"/>
    <w:rsid w:val="0FC14BAE"/>
    <w:rsid w:val="0FC1695C"/>
    <w:rsid w:val="0FEC3AAB"/>
    <w:rsid w:val="10093E5F"/>
    <w:rsid w:val="100F4E0C"/>
    <w:rsid w:val="103605AA"/>
    <w:rsid w:val="105300C1"/>
    <w:rsid w:val="105B0B5E"/>
    <w:rsid w:val="106612B1"/>
    <w:rsid w:val="109127D2"/>
    <w:rsid w:val="109D1177"/>
    <w:rsid w:val="10AF4A06"/>
    <w:rsid w:val="10C1473A"/>
    <w:rsid w:val="10C761F4"/>
    <w:rsid w:val="10C83D1A"/>
    <w:rsid w:val="10F16DCD"/>
    <w:rsid w:val="11427629"/>
    <w:rsid w:val="11511F61"/>
    <w:rsid w:val="117F087D"/>
    <w:rsid w:val="11C24C0D"/>
    <w:rsid w:val="12011292"/>
    <w:rsid w:val="12103BCB"/>
    <w:rsid w:val="12922832"/>
    <w:rsid w:val="1292638E"/>
    <w:rsid w:val="12C67207"/>
    <w:rsid w:val="12D06EB6"/>
    <w:rsid w:val="12D1335A"/>
    <w:rsid w:val="12D746E8"/>
    <w:rsid w:val="12DE15D3"/>
    <w:rsid w:val="12E656D5"/>
    <w:rsid w:val="12FE7EC7"/>
    <w:rsid w:val="1331204B"/>
    <w:rsid w:val="1336140F"/>
    <w:rsid w:val="13573133"/>
    <w:rsid w:val="135875D7"/>
    <w:rsid w:val="13C62793"/>
    <w:rsid w:val="13EC7D20"/>
    <w:rsid w:val="14117786"/>
    <w:rsid w:val="141B50B3"/>
    <w:rsid w:val="141C0605"/>
    <w:rsid w:val="14373691"/>
    <w:rsid w:val="14397409"/>
    <w:rsid w:val="14432035"/>
    <w:rsid w:val="14495172"/>
    <w:rsid w:val="14A01236"/>
    <w:rsid w:val="14A32AD4"/>
    <w:rsid w:val="14D507B4"/>
    <w:rsid w:val="14DA401C"/>
    <w:rsid w:val="14F0383F"/>
    <w:rsid w:val="15015A4D"/>
    <w:rsid w:val="153C0833"/>
    <w:rsid w:val="15400323"/>
    <w:rsid w:val="154F7486"/>
    <w:rsid w:val="15520056"/>
    <w:rsid w:val="15B11221"/>
    <w:rsid w:val="15B50D11"/>
    <w:rsid w:val="15BB5BFB"/>
    <w:rsid w:val="15BE749A"/>
    <w:rsid w:val="15C26F8A"/>
    <w:rsid w:val="15E2587E"/>
    <w:rsid w:val="16111CBF"/>
    <w:rsid w:val="164E754F"/>
    <w:rsid w:val="16506E8C"/>
    <w:rsid w:val="168B3820"/>
    <w:rsid w:val="16A3500D"/>
    <w:rsid w:val="16AB5C70"/>
    <w:rsid w:val="16CD208A"/>
    <w:rsid w:val="16DB2F21"/>
    <w:rsid w:val="171A5736"/>
    <w:rsid w:val="174F6BCB"/>
    <w:rsid w:val="177C13BA"/>
    <w:rsid w:val="17A0779F"/>
    <w:rsid w:val="181635BD"/>
    <w:rsid w:val="18273A1C"/>
    <w:rsid w:val="18357EE7"/>
    <w:rsid w:val="183A374F"/>
    <w:rsid w:val="18420856"/>
    <w:rsid w:val="18561C0B"/>
    <w:rsid w:val="187C3D68"/>
    <w:rsid w:val="187D363C"/>
    <w:rsid w:val="189A41EE"/>
    <w:rsid w:val="189D5A8C"/>
    <w:rsid w:val="18DA45EA"/>
    <w:rsid w:val="190D2C12"/>
    <w:rsid w:val="191C4C03"/>
    <w:rsid w:val="195645B9"/>
    <w:rsid w:val="19616ABA"/>
    <w:rsid w:val="198D3D53"/>
    <w:rsid w:val="19924EC5"/>
    <w:rsid w:val="19AE61A3"/>
    <w:rsid w:val="19B94B48"/>
    <w:rsid w:val="19BE215E"/>
    <w:rsid w:val="1A3C795A"/>
    <w:rsid w:val="1A7D3DC7"/>
    <w:rsid w:val="1AB05F4B"/>
    <w:rsid w:val="1AC75042"/>
    <w:rsid w:val="1AC77ADB"/>
    <w:rsid w:val="1ACB68E1"/>
    <w:rsid w:val="1AE87493"/>
    <w:rsid w:val="1AF916A0"/>
    <w:rsid w:val="1B041DF3"/>
    <w:rsid w:val="1B414DF5"/>
    <w:rsid w:val="1B6416BA"/>
    <w:rsid w:val="1B6C00C4"/>
    <w:rsid w:val="1B944F25"/>
    <w:rsid w:val="1BA50EE0"/>
    <w:rsid w:val="1BB05AD7"/>
    <w:rsid w:val="1BB5ACA8"/>
    <w:rsid w:val="1BBB4BA7"/>
    <w:rsid w:val="1BE20386"/>
    <w:rsid w:val="1C316C17"/>
    <w:rsid w:val="1C533032"/>
    <w:rsid w:val="1C7A236C"/>
    <w:rsid w:val="1C915908"/>
    <w:rsid w:val="1CC96E50"/>
    <w:rsid w:val="1CF85987"/>
    <w:rsid w:val="1CFC7225"/>
    <w:rsid w:val="1D2642A2"/>
    <w:rsid w:val="1D9C4087"/>
    <w:rsid w:val="1E1D56A5"/>
    <w:rsid w:val="1E28404A"/>
    <w:rsid w:val="1E29229C"/>
    <w:rsid w:val="1E537319"/>
    <w:rsid w:val="1E6257AE"/>
    <w:rsid w:val="1E7E3C6A"/>
    <w:rsid w:val="1E82375A"/>
    <w:rsid w:val="1E845724"/>
    <w:rsid w:val="1E8F5E77"/>
    <w:rsid w:val="1E95534C"/>
    <w:rsid w:val="1EA6485D"/>
    <w:rsid w:val="1EE12B77"/>
    <w:rsid w:val="1EF81C6E"/>
    <w:rsid w:val="1F022AED"/>
    <w:rsid w:val="1F066139"/>
    <w:rsid w:val="1F1C7BF6"/>
    <w:rsid w:val="1F31003B"/>
    <w:rsid w:val="1F43738D"/>
    <w:rsid w:val="1F533349"/>
    <w:rsid w:val="1F62533A"/>
    <w:rsid w:val="1F6A7927"/>
    <w:rsid w:val="1F707A57"/>
    <w:rsid w:val="1F912B7E"/>
    <w:rsid w:val="1FA0658E"/>
    <w:rsid w:val="1FAE057F"/>
    <w:rsid w:val="1FB42039"/>
    <w:rsid w:val="1FB5190D"/>
    <w:rsid w:val="1FDB64E5"/>
    <w:rsid w:val="202B536F"/>
    <w:rsid w:val="205E1FA5"/>
    <w:rsid w:val="20BB73F7"/>
    <w:rsid w:val="20D109C9"/>
    <w:rsid w:val="20DF30E6"/>
    <w:rsid w:val="20F3005F"/>
    <w:rsid w:val="210E39CB"/>
    <w:rsid w:val="211A20DA"/>
    <w:rsid w:val="212154AC"/>
    <w:rsid w:val="213276BA"/>
    <w:rsid w:val="213443B3"/>
    <w:rsid w:val="214B42D7"/>
    <w:rsid w:val="214C62A1"/>
    <w:rsid w:val="214E201A"/>
    <w:rsid w:val="21593122"/>
    <w:rsid w:val="215A6C10"/>
    <w:rsid w:val="21787096"/>
    <w:rsid w:val="2195280B"/>
    <w:rsid w:val="21B52099"/>
    <w:rsid w:val="21F04E7F"/>
    <w:rsid w:val="21F11323"/>
    <w:rsid w:val="22340287"/>
    <w:rsid w:val="22521696"/>
    <w:rsid w:val="228201CD"/>
    <w:rsid w:val="22A53EBB"/>
    <w:rsid w:val="22DE117B"/>
    <w:rsid w:val="22F4274D"/>
    <w:rsid w:val="22F97D63"/>
    <w:rsid w:val="232A2EDB"/>
    <w:rsid w:val="23327850"/>
    <w:rsid w:val="238E494F"/>
    <w:rsid w:val="23983A20"/>
    <w:rsid w:val="23B26B2F"/>
    <w:rsid w:val="23BA1BE8"/>
    <w:rsid w:val="241E5CD3"/>
    <w:rsid w:val="24213A15"/>
    <w:rsid w:val="2446522A"/>
    <w:rsid w:val="24614EB9"/>
    <w:rsid w:val="2466767A"/>
    <w:rsid w:val="247B1377"/>
    <w:rsid w:val="247E2C16"/>
    <w:rsid w:val="249146F7"/>
    <w:rsid w:val="249B7324"/>
    <w:rsid w:val="24AC1531"/>
    <w:rsid w:val="24D26ABE"/>
    <w:rsid w:val="24DA45F5"/>
    <w:rsid w:val="24E0742D"/>
    <w:rsid w:val="25034EC9"/>
    <w:rsid w:val="25090731"/>
    <w:rsid w:val="25DA0320"/>
    <w:rsid w:val="25ED0053"/>
    <w:rsid w:val="26062EC3"/>
    <w:rsid w:val="260B4226"/>
    <w:rsid w:val="262E41C8"/>
    <w:rsid w:val="26395046"/>
    <w:rsid w:val="26404627"/>
    <w:rsid w:val="265E2CFF"/>
    <w:rsid w:val="267A740D"/>
    <w:rsid w:val="268169ED"/>
    <w:rsid w:val="26A821CC"/>
    <w:rsid w:val="26AF355A"/>
    <w:rsid w:val="26D27249"/>
    <w:rsid w:val="271D6716"/>
    <w:rsid w:val="277F4CDB"/>
    <w:rsid w:val="280653FC"/>
    <w:rsid w:val="28237D5C"/>
    <w:rsid w:val="289E5466"/>
    <w:rsid w:val="290C4C94"/>
    <w:rsid w:val="290E5AE5"/>
    <w:rsid w:val="291C47AB"/>
    <w:rsid w:val="292875F4"/>
    <w:rsid w:val="29310257"/>
    <w:rsid w:val="2944442E"/>
    <w:rsid w:val="29565F0F"/>
    <w:rsid w:val="295C4868"/>
    <w:rsid w:val="296248B4"/>
    <w:rsid w:val="297B5976"/>
    <w:rsid w:val="29CE5AA6"/>
    <w:rsid w:val="29DF4157"/>
    <w:rsid w:val="29E67293"/>
    <w:rsid w:val="29EE6148"/>
    <w:rsid w:val="29F37C02"/>
    <w:rsid w:val="29FF2103"/>
    <w:rsid w:val="29FF3178"/>
    <w:rsid w:val="2A36189D"/>
    <w:rsid w:val="2A691C72"/>
    <w:rsid w:val="2A866380"/>
    <w:rsid w:val="2AD25A69"/>
    <w:rsid w:val="2AFB2375"/>
    <w:rsid w:val="2B1E480B"/>
    <w:rsid w:val="2B2426AA"/>
    <w:rsid w:val="2B2D7144"/>
    <w:rsid w:val="2B512E32"/>
    <w:rsid w:val="2B632B65"/>
    <w:rsid w:val="2B762899"/>
    <w:rsid w:val="2BC730F4"/>
    <w:rsid w:val="2BF600AB"/>
    <w:rsid w:val="2BFA0DD4"/>
    <w:rsid w:val="2C2A202E"/>
    <w:rsid w:val="2C3F712F"/>
    <w:rsid w:val="2C445E7D"/>
    <w:rsid w:val="2C8C39F6"/>
    <w:rsid w:val="2C9C632F"/>
    <w:rsid w:val="2CB2345D"/>
    <w:rsid w:val="2CD47877"/>
    <w:rsid w:val="2CF563DD"/>
    <w:rsid w:val="2D1B54A6"/>
    <w:rsid w:val="2D200D0E"/>
    <w:rsid w:val="2D4D7629"/>
    <w:rsid w:val="2D524C40"/>
    <w:rsid w:val="2D80355B"/>
    <w:rsid w:val="2DAA4A7C"/>
    <w:rsid w:val="2DB35B27"/>
    <w:rsid w:val="2E100D83"/>
    <w:rsid w:val="2E206AEC"/>
    <w:rsid w:val="2E2F6D2F"/>
    <w:rsid w:val="2E556795"/>
    <w:rsid w:val="2E5A0250"/>
    <w:rsid w:val="2E756E38"/>
    <w:rsid w:val="2EB15218"/>
    <w:rsid w:val="2EBA484A"/>
    <w:rsid w:val="2ED55B28"/>
    <w:rsid w:val="2EFE6E2D"/>
    <w:rsid w:val="2F2F348A"/>
    <w:rsid w:val="2F37233F"/>
    <w:rsid w:val="2F401A95"/>
    <w:rsid w:val="2F432A92"/>
    <w:rsid w:val="2F8530AA"/>
    <w:rsid w:val="2F994DA8"/>
    <w:rsid w:val="301461DC"/>
    <w:rsid w:val="305807BF"/>
    <w:rsid w:val="306233EC"/>
    <w:rsid w:val="30A21A3A"/>
    <w:rsid w:val="30CE6CD3"/>
    <w:rsid w:val="30D65C2C"/>
    <w:rsid w:val="30FD4EC2"/>
    <w:rsid w:val="30FF0C3A"/>
    <w:rsid w:val="317F3B29"/>
    <w:rsid w:val="31864EB8"/>
    <w:rsid w:val="318D4498"/>
    <w:rsid w:val="319708FC"/>
    <w:rsid w:val="31BE0AF5"/>
    <w:rsid w:val="31DE2F46"/>
    <w:rsid w:val="31F462C5"/>
    <w:rsid w:val="32056724"/>
    <w:rsid w:val="3216623C"/>
    <w:rsid w:val="321B12EB"/>
    <w:rsid w:val="321D4C62"/>
    <w:rsid w:val="32452FC5"/>
    <w:rsid w:val="325F4087"/>
    <w:rsid w:val="3269529F"/>
    <w:rsid w:val="328F5FEE"/>
    <w:rsid w:val="32AA07AD"/>
    <w:rsid w:val="32FF316F"/>
    <w:rsid w:val="33291F9F"/>
    <w:rsid w:val="3329295A"/>
    <w:rsid w:val="334254A8"/>
    <w:rsid w:val="33466FF4"/>
    <w:rsid w:val="337376BE"/>
    <w:rsid w:val="33947D60"/>
    <w:rsid w:val="339E0BDF"/>
    <w:rsid w:val="33C01E78"/>
    <w:rsid w:val="33C1667B"/>
    <w:rsid w:val="33CA5530"/>
    <w:rsid w:val="33E52369"/>
    <w:rsid w:val="348E2A01"/>
    <w:rsid w:val="349124F1"/>
    <w:rsid w:val="3496754B"/>
    <w:rsid w:val="34A55F9D"/>
    <w:rsid w:val="34AC2E87"/>
    <w:rsid w:val="34D50630"/>
    <w:rsid w:val="34DF3C92"/>
    <w:rsid w:val="3550415A"/>
    <w:rsid w:val="355359F9"/>
    <w:rsid w:val="3579545F"/>
    <w:rsid w:val="35977693"/>
    <w:rsid w:val="35B9585C"/>
    <w:rsid w:val="35CB1A33"/>
    <w:rsid w:val="35E825E5"/>
    <w:rsid w:val="36154A5C"/>
    <w:rsid w:val="362353CB"/>
    <w:rsid w:val="36323860"/>
    <w:rsid w:val="36435A6D"/>
    <w:rsid w:val="365D6B2F"/>
    <w:rsid w:val="36624145"/>
    <w:rsid w:val="36A93B22"/>
    <w:rsid w:val="36C91D50"/>
    <w:rsid w:val="36CE3589"/>
    <w:rsid w:val="37023232"/>
    <w:rsid w:val="37113475"/>
    <w:rsid w:val="373830F8"/>
    <w:rsid w:val="37645C9B"/>
    <w:rsid w:val="37732382"/>
    <w:rsid w:val="37735EDE"/>
    <w:rsid w:val="378E0F6A"/>
    <w:rsid w:val="37FC5ED4"/>
    <w:rsid w:val="381F1BC2"/>
    <w:rsid w:val="38325D99"/>
    <w:rsid w:val="388760E5"/>
    <w:rsid w:val="38AA1DD4"/>
    <w:rsid w:val="38C06F01"/>
    <w:rsid w:val="38D330D8"/>
    <w:rsid w:val="38F40DD3"/>
    <w:rsid w:val="390712A0"/>
    <w:rsid w:val="390908A8"/>
    <w:rsid w:val="394144E6"/>
    <w:rsid w:val="394418E0"/>
    <w:rsid w:val="397523E2"/>
    <w:rsid w:val="39BF365D"/>
    <w:rsid w:val="39E9692C"/>
    <w:rsid w:val="39EF3F42"/>
    <w:rsid w:val="3A287454"/>
    <w:rsid w:val="3A2A4F7A"/>
    <w:rsid w:val="3AD274BF"/>
    <w:rsid w:val="3AD9074E"/>
    <w:rsid w:val="3AD94C49"/>
    <w:rsid w:val="3ADE3FB6"/>
    <w:rsid w:val="3AF505AD"/>
    <w:rsid w:val="3B223EA3"/>
    <w:rsid w:val="3B245E6D"/>
    <w:rsid w:val="3B567FF1"/>
    <w:rsid w:val="3B6E70E8"/>
    <w:rsid w:val="3B7A783B"/>
    <w:rsid w:val="3B8406BA"/>
    <w:rsid w:val="3B9710BB"/>
    <w:rsid w:val="3BA945C4"/>
    <w:rsid w:val="3BAC5E63"/>
    <w:rsid w:val="3BC35686"/>
    <w:rsid w:val="3BDD426E"/>
    <w:rsid w:val="3BEE1FD7"/>
    <w:rsid w:val="3C1C4D96"/>
    <w:rsid w:val="3C4147FD"/>
    <w:rsid w:val="3C4D13F4"/>
    <w:rsid w:val="3C6504EB"/>
    <w:rsid w:val="3C6978B0"/>
    <w:rsid w:val="3C7E15AD"/>
    <w:rsid w:val="3C8A61A4"/>
    <w:rsid w:val="3CC64D02"/>
    <w:rsid w:val="3CE84C78"/>
    <w:rsid w:val="3CED228F"/>
    <w:rsid w:val="3CF2238C"/>
    <w:rsid w:val="3D193084"/>
    <w:rsid w:val="3D366FA9"/>
    <w:rsid w:val="3D6C7658"/>
    <w:rsid w:val="3D7B5AED"/>
    <w:rsid w:val="3DA0445F"/>
    <w:rsid w:val="3DA43295"/>
    <w:rsid w:val="3DBA03C3"/>
    <w:rsid w:val="3DD81385"/>
    <w:rsid w:val="3E027FBC"/>
    <w:rsid w:val="3E39655E"/>
    <w:rsid w:val="3EAE5A4E"/>
    <w:rsid w:val="3EB968CD"/>
    <w:rsid w:val="3EC7548D"/>
    <w:rsid w:val="3F724581"/>
    <w:rsid w:val="3FA0183A"/>
    <w:rsid w:val="3FB2525B"/>
    <w:rsid w:val="3FD85478"/>
    <w:rsid w:val="3FE32C0A"/>
    <w:rsid w:val="402661E4"/>
    <w:rsid w:val="40500E5D"/>
    <w:rsid w:val="40A67324"/>
    <w:rsid w:val="40ED6D01"/>
    <w:rsid w:val="40F40965"/>
    <w:rsid w:val="410D4CAE"/>
    <w:rsid w:val="41132886"/>
    <w:rsid w:val="41175B2C"/>
    <w:rsid w:val="41230975"/>
    <w:rsid w:val="4151103E"/>
    <w:rsid w:val="415D3E87"/>
    <w:rsid w:val="416541E2"/>
    <w:rsid w:val="416A0352"/>
    <w:rsid w:val="417116E0"/>
    <w:rsid w:val="41A76EB0"/>
    <w:rsid w:val="41B45A71"/>
    <w:rsid w:val="41C07824"/>
    <w:rsid w:val="41E9396D"/>
    <w:rsid w:val="422728BD"/>
    <w:rsid w:val="422E75D1"/>
    <w:rsid w:val="42310E70"/>
    <w:rsid w:val="423F533B"/>
    <w:rsid w:val="425D3A13"/>
    <w:rsid w:val="42660B19"/>
    <w:rsid w:val="42772D26"/>
    <w:rsid w:val="429A6A15"/>
    <w:rsid w:val="42A200B0"/>
    <w:rsid w:val="42D53EF1"/>
    <w:rsid w:val="42EE35DB"/>
    <w:rsid w:val="42F500EF"/>
    <w:rsid w:val="43171E14"/>
    <w:rsid w:val="432033BE"/>
    <w:rsid w:val="43421586"/>
    <w:rsid w:val="43452E25"/>
    <w:rsid w:val="43571CFA"/>
    <w:rsid w:val="43727992"/>
    <w:rsid w:val="4374370A"/>
    <w:rsid w:val="43792ACE"/>
    <w:rsid w:val="439B4C88"/>
    <w:rsid w:val="43A63197"/>
    <w:rsid w:val="43B12268"/>
    <w:rsid w:val="43DD305D"/>
    <w:rsid w:val="43E443EC"/>
    <w:rsid w:val="43FE4D82"/>
    <w:rsid w:val="440A1978"/>
    <w:rsid w:val="442671C8"/>
    <w:rsid w:val="442F13DF"/>
    <w:rsid w:val="44366C11"/>
    <w:rsid w:val="44450C02"/>
    <w:rsid w:val="44623562"/>
    <w:rsid w:val="44801C3A"/>
    <w:rsid w:val="448E2827"/>
    <w:rsid w:val="44BF2763"/>
    <w:rsid w:val="44C45FCB"/>
    <w:rsid w:val="44E06B2B"/>
    <w:rsid w:val="45050ABD"/>
    <w:rsid w:val="45101210"/>
    <w:rsid w:val="453B44DF"/>
    <w:rsid w:val="4557299B"/>
    <w:rsid w:val="45A02594"/>
    <w:rsid w:val="45AF27D7"/>
    <w:rsid w:val="45BC53D2"/>
    <w:rsid w:val="45CD3A13"/>
    <w:rsid w:val="45FE72BB"/>
    <w:rsid w:val="45FF375F"/>
    <w:rsid w:val="462C5BD6"/>
    <w:rsid w:val="465D21B9"/>
    <w:rsid w:val="466F46D9"/>
    <w:rsid w:val="46805F22"/>
    <w:rsid w:val="46A14816"/>
    <w:rsid w:val="46BD420C"/>
    <w:rsid w:val="472112F7"/>
    <w:rsid w:val="476870E2"/>
    <w:rsid w:val="479E48B1"/>
    <w:rsid w:val="47A10846"/>
    <w:rsid w:val="47A3396B"/>
    <w:rsid w:val="47C5763D"/>
    <w:rsid w:val="481903DC"/>
    <w:rsid w:val="48253225"/>
    <w:rsid w:val="4828061F"/>
    <w:rsid w:val="482C6361"/>
    <w:rsid w:val="48377F67"/>
    <w:rsid w:val="485F6737"/>
    <w:rsid w:val="48802209"/>
    <w:rsid w:val="489C6281"/>
    <w:rsid w:val="48BD345D"/>
    <w:rsid w:val="48CA7928"/>
    <w:rsid w:val="48EE3617"/>
    <w:rsid w:val="491C0184"/>
    <w:rsid w:val="49282FCC"/>
    <w:rsid w:val="492D20DD"/>
    <w:rsid w:val="49533996"/>
    <w:rsid w:val="49A07007"/>
    <w:rsid w:val="49E669E4"/>
    <w:rsid w:val="49EE6B1C"/>
    <w:rsid w:val="4A2D016F"/>
    <w:rsid w:val="4A3961AC"/>
    <w:rsid w:val="4A45195C"/>
    <w:rsid w:val="4ACA3C0F"/>
    <w:rsid w:val="4AFD3FE5"/>
    <w:rsid w:val="4B090BDC"/>
    <w:rsid w:val="4B1530DD"/>
    <w:rsid w:val="4B241572"/>
    <w:rsid w:val="4B62209A"/>
    <w:rsid w:val="4B9A1834"/>
    <w:rsid w:val="4BAF1783"/>
    <w:rsid w:val="4BD42F98"/>
    <w:rsid w:val="4BD44D46"/>
    <w:rsid w:val="4BFB49C8"/>
    <w:rsid w:val="4C0B2731"/>
    <w:rsid w:val="4C123AC0"/>
    <w:rsid w:val="4C2D3AB1"/>
    <w:rsid w:val="4C2F6420"/>
    <w:rsid w:val="4C303F46"/>
    <w:rsid w:val="4C371778"/>
    <w:rsid w:val="4C76404F"/>
    <w:rsid w:val="4C765DFD"/>
    <w:rsid w:val="4C9A4A62"/>
    <w:rsid w:val="4CBA03DF"/>
    <w:rsid w:val="4CBD7ED0"/>
    <w:rsid w:val="4CC0176E"/>
    <w:rsid w:val="4CD46FC7"/>
    <w:rsid w:val="4CD945DE"/>
    <w:rsid w:val="4CE94821"/>
    <w:rsid w:val="4CE95150"/>
    <w:rsid w:val="4CFE6D12"/>
    <w:rsid w:val="4D106251"/>
    <w:rsid w:val="4D4B54DB"/>
    <w:rsid w:val="4D6C1309"/>
    <w:rsid w:val="4D785BA5"/>
    <w:rsid w:val="4DD3727F"/>
    <w:rsid w:val="4DDC6134"/>
    <w:rsid w:val="4E2B70BB"/>
    <w:rsid w:val="4E393586"/>
    <w:rsid w:val="4E936207"/>
    <w:rsid w:val="4EB3158A"/>
    <w:rsid w:val="4EC76DE4"/>
    <w:rsid w:val="4ECD1F20"/>
    <w:rsid w:val="4ECF7A46"/>
    <w:rsid w:val="4ED01129"/>
    <w:rsid w:val="4ED80FF1"/>
    <w:rsid w:val="4F02606E"/>
    <w:rsid w:val="4F027E1C"/>
    <w:rsid w:val="4F1A33B7"/>
    <w:rsid w:val="4F1B2C8C"/>
    <w:rsid w:val="4F31425D"/>
    <w:rsid w:val="4F4B17C3"/>
    <w:rsid w:val="4F532425"/>
    <w:rsid w:val="4FFA6D45"/>
    <w:rsid w:val="50081462"/>
    <w:rsid w:val="500951DA"/>
    <w:rsid w:val="504018EA"/>
    <w:rsid w:val="50416722"/>
    <w:rsid w:val="506348EA"/>
    <w:rsid w:val="509727E6"/>
    <w:rsid w:val="50B27620"/>
    <w:rsid w:val="50C3182D"/>
    <w:rsid w:val="50C730CB"/>
    <w:rsid w:val="50D91050"/>
    <w:rsid w:val="50F96FFC"/>
    <w:rsid w:val="510A2FB8"/>
    <w:rsid w:val="51134562"/>
    <w:rsid w:val="511B51C5"/>
    <w:rsid w:val="51312C3A"/>
    <w:rsid w:val="514A5AAA"/>
    <w:rsid w:val="515C24A4"/>
    <w:rsid w:val="515D4C7A"/>
    <w:rsid w:val="5181771E"/>
    <w:rsid w:val="518965D2"/>
    <w:rsid w:val="51A72EFC"/>
    <w:rsid w:val="51E41A5B"/>
    <w:rsid w:val="51E837A5"/>
    <w:rsid w:val="520143BB"/>
    <w:rsid w:val="52151C14"/>
    <w:rsid w:val="521A36CE"/>
    <w:rsid w:val="523A5B1F"/>
    <w:rsid w:val="5245699D"/>
    <w:rsid w:val="5264494A"/>
    <w:rsid w:val="52952D55"/>
    <w:rsid w:val="52B4142D"/>
    <w:rsid w:val="52DB10B0"/>
    <w:rsid w:val="52F45CCD"/>
    <w:rsid w:val="52FB705C"/>
    <w:rsid w:val="530C3017"/>
    <w:rsid w:val="5311688B"/>
    <w:rsid w:val="5324505D"/>
    <w:rsid w:val="532C36B9"/>
    <w:rsid w:val="53364538"/>
    <w:rsid w:val="533B38FC"/>
    <w:rsid w:val="53613F23"/>
    <w:rsid w:val="536A5F90"/>
    <w:rsid w:val="536F17F8"/>
    <w:rsid w:val="53BC2C8F"/>
    <w:rsid w:val="53D33B35"/>
    <w:rsid w:val="53DD2C05"/>
    <w:rsid w:val="54085457"/>
    <w:rsid w:val="54134879"/>
    <w:rsid w:val="541F321E"/>
    <w:rsid w:val="543A3BB4"/>
    <w:rsid w:val="54414F42"/>
    <w:rsid w:val="544F3B03"/>
    <w:rsid w:val="547C5F7A"/>
    <w:rsid w:val="54A35BFD"/>
    <w:rsid w:val="54A61249"/>
    <w:rsid w:val="54A656ED"/>
    <w:rsid w:val="54A83213"/>
    <w:rsid w:val="54BC6CBF"/>
    <w:rsid w:val="54D94AE2"/>
    <w:rsid w:val="55164621"/>
    <w:rsid w:val="55A03EEB"/>
    <w:rsid w:val="55A559A5"/>
    <w:rsid w:val="55C13320"/>
    <w:rsid w:val="55C67DF5"/>
    <w:rsid w:val="55CC2F32"/>
    <w:rsid w:val="55CE2806"/>
    <w:rsid w:val="55F33347"/>
    <w:rsid w:val="55F83D27"/>
    <w:rsid w:val="55FA7A9F"/>
    <w:rsid w:val="55FD50A3"/>
    <w:rsid w:val="56080DD0"/>
    <w:rsid w:val="56551179"/>
    <w:rsid w:val="56890E23"/>
    <w:rsid w:val="56B440F1"/>
    <w:rsid w:val="56B539C6"/>
    <w:rsid w:val="56C02A96"/>
    <w:rsid w:val="56F50266"/>
    <w:rsid w:val="56FF2E93"/>
    <w:rsid w:val="57034731"/>
    <w:rsid w:val="57566BD2"/>
    <w:rsid w:val="575B201D"/>
    <w:rsid w:val="57671164"/>
    <w:rsid w:val="57831D16"/>
    <w:rsid w:val="579161E1"/>
    <w:rsid w:val="57AA2DFF"/>
    <w:rsid w:val="57C06AC6"/>
    <w:rsid w:val="57CE11E3"/>
    <w:rsid w:val="57DA7B88"/>
    <w:rsid w:val="580E15DF"/>
    <w:rsid w:val="580E7831"/>
    <w:rsid w:val="58445001"/>
    <w:rsid w:val="584D65AC"/>
    <w:rsid w:val="584E40D2"/>
    <w:rsid w:val="58647451"/>
    <w:rsid w:val="58810003"/>
    <w:rsid w:val="5889510A"/>
    <w:rsid w:val="58A12453"/>
    <w:rsid w:val="58A61818"/>
    <w:rsid w:val="58E97957"/>
    <w:rsid w:val="59411541"/>
    <w:rsid w:val="59462FFB"/>
    <w:rsid w:val="594B23BF"/>
    <w:rsid w:val="59554FEC"/>
    <w:rsid w:val="59741916"/>
    <w:rsid w:val="59AA17DC"/>
    <w:rsid w:val="59D0681C"/>
    <w:rsid w:val="59E92304"/>
    <w:rsid w:val="59F760A3"/>
    <w:rsid w:val="5A0A4028"/>
    <w:rsid w:val="5AB20948"/>
    <w:rsid w:val="5AE44879"/>
    <w:rsid w:val="5AEB5C08"/>
    <w:rsid w:val="5AFA5E4B"/>
    <w:rsid w:val="5B8A5421"/>
    <w:rsid w:val="5B920779"/>
    <w:rsid w:val="5B9B0AD5"/>
    <w:rsid w:val="5BBE50CA"/>
    <w:rsid w:val="5BE71410"/>
    <w:rsid w:val="5BEC1C38"/>
    <w:rsid w:val="5C2F421A"/>
    <w:rsid w:val="5C613A1B"/>
    <w:rsid w:val="5C6F4617"/>
    <w:rsid w:val="5C814A76"/>
    <w:rsid w:val="5C8E7193"/>
    <w:rsid w:val="5CA644DC"/>
    <w:rsid w:val="5CA6474F"/>
    <w:rsid w:val="5CBA7F88"/>
    <w:rsid w:val="5CC52489"/>
    <w:rsid w:val="5CE2128D"/>
    <w:rsid w:val="5D0C00B7"/>
    <w:rsid w:val="5D3715D8"/>
    <w:rsid w:val="5D621B2E"/>
    <w:rsid w:val="5D676E3D"/>
    <w:rsid w:val="5D7243BE"/>
    <w:rsid w:val="5DC52762"/>
    <w:rsid w:val="5DC866D4"/>
    <w:rsid w:val="5DCD3CEB"/>
    <w:rsid w:val="5E2558D5"/>
    <w:rsid w:val="5E2C04C0"/>
    <w:rsid w:val="5E59557E"/>
    <w:rsid w:val="5E9842F9"/>
    <w:rsid w:val="5EC46E9C"/>
    <w:rsid w:val="5F2D2C93"/>
    <w:rsid w:val="5F5F6BC4"/>
    <w:rsid w:val="5F974686"/>
    <w:rsid w:val="5FB54A36"/>
    <w:rsid w:val="5FC66C44"/>
    <w:rsid w:val="5FDF3861"/>
    <w:rsid w:val="60112D79"/>
    <w:rsid w:val="60234096"/>
    <w:rsid w:val="603C0CB4"/>
    <w:rsid w:val="6045400C"/>
    <w:rsid w:val="60592246"/>
    <w:rsid w:val="606B6AB1"/>
    <w:rsid w:val="608A5EC3"/>
    <w:rsid w:val="60940AF0"/>
    <w:rsid w:val="60970099"/>
    <w:rsid w:val="60A800F7"/>
    <w:rsid w:val="60A96349"/>
    <w:rsid w:val="60DF1D6B"/>
    <w:rsid w:val="60F416E4"/>
    <w:rsid w:val="61354081"/>
    <w:rsid w:val="61477910"/>
    <w:rsid w:val="6155202D"/>
    <w:rsid w:val="617E6D62"/>
    <w:rsid w:val="61897F29"/>
    <w:rsid w:val="61970898"/>
    <w:rsid w:val="61A60ADB"/>
    <w:rsid w:val="61A86601"/>
    <w:rsid w:val="61B431F8"/>
    <w:rsid w:val="61C1558F"/>
    <w:rsid w:val="61C471B3"/>
    <w:rsid w:val="622A5268"/>
    <w:rsid w:val="625315EF"/>
    <w:rsid w:val="62620EA5"/>
    <w:rsid w:val="626A5FAC"/>
    <w:rsid w:val="6280757E"/>
    <w:rsid w:val="62C751AC"/>
    <w:rsid w:val="62FB6C04"/>
    <w:rsid w:val="63133F4E"/>
    <w:rsid w:val="636D6DC8"/>
    <w:rsid w:val="63BD3EBA"/>
    <w:rsid w:val="63E1229E"/>
    <w:rsid w:val="63EB6C79"/>
    <w:rsid w:val="64124205"/>
    <w:rsid w:val="641E704E"/>
    <w:rsid w:val="64202DC6"/>
    <w:rsid w:val="64300B2F"/>
    <w:rsid w:val="64446389"/>
    <w:rsid w:val="64713622"/>
    <w:rsid w:val="64826610"/>
    <w:rsid w:val="65037FF2"/>
    <w:rsid w:val="6546685C"/>
    <w:rsid w:val="65554CF2"/>
    <w:rsid w:val="65864EAB"/>
    <w:rsid w:val="659C46CE"/>
    <w:rsid w:val="65AE62AF"/>
    <w:rsid w:val="65B80DDC"/>
    <w:rsid w:val="65D06126"/>
    <w:rsid w:val="65E41BD1"/>
    <w:rsid w:val="65E676F8"/>
    <w:rsid w:val="66081D64"/>
    <w:rsid w:val="661D49E2"/>
    <w:rsid w:val="662446C4"/>
    <w:rsid w:val="66273F91"/>
    <w:rsid w:val="66372649"/>
    <w:rsid w:val="664F1741"/>
    <w:rsid w:val="669E4476"/>
    <w:rsid w:val="66A55805"/>
    <w:rsid w:val="66A870A3"/>
    <w:rsid w:val="66CA7019"/>
    <w:rsid w:val="66CC0FE3"/>
    <w:rsid w:val="671958AB"/>
    <w:rsid w:val="67477438"/>
    <w:rsid w:val="676034DA"/>
    <w:rsid w:val="6787315C"/>
    <w:rsid w:val="67AC671F"/>
    <w:rsid w:val="67EF7020"/>
    <w:rsid w:val="68106CAE"/>
    <w:rsid w:val="681744CD"/>
    <w:rsid w:val="68190F00"/>
    <w:rsid w:val="68460921"/>
    <w:rsid w:val="684938C5"/>
    <w:rsid w:val="68664B20"/>
    <w:rsid w:val="68757459"/>
    <w:rsid w:val="68831B76"/>
    <w:rsid w:val="688D47A2"/>
    <w:rsid w:val="68B0223F"/>
    <w:rsid w:val="68B47F81"/>
    <w:rsid w:val="68C1269E"/>
    <w:rsid w:val="68CD1043"/>
    <w:rsid w:val="68E819D9"/>
    <w:rsid w:val="69224EEB"/>
    <w:rsid w:val="692F7608"/>
    <w:rsid w:val="693672BB"/>
    <w:rsid w:val="69A73642"/>
    <w:rsid w:val="69B61AD7"/>
    <w:rsid w:val="69DA57C5"/>
    <w:rsid w:val="69F56662"/>
    <w:rsid w:val="6A1011E7"/>
    <w:rsid w:val="6A933BC6"/>
    <w:rsid w:val="6AD00976"/>
    <w:rsid w:val="6AE306AA"/>
    <w:rsid w:val="6B0F149F"/>
    <w:rsid w:val="6B574BF4"/>
    <w:rsid w:val="6B5B0B88"/>
    <w:rsid w:val="6B6F1F3D"/>
    <w:rsid w:val="6B8C2AEF"/>
    <w:rsid w:val="6BC009EB"/>
    <w:rsid w:val="6C022DB1"/>
    <w:rsid w:val="6C046B2A"/>
    <w:rsid w:val="6C136D6D"/>
    <w:rsid w:val="6C1A634D"/>
    <w:rsid w:val="6C757A27"/>
    <w:rsid w:val="6C7F4402"/>
    <w:rsid w:val="6C97174C"/>
    <w:rsid w:val="6CAB3449"/>
    <w:rsid w:val="6CCB7647"/>
    <w:rsid w:val="6CFB5421"/>
    <w:rsid w:val="6D567859"/>
    <w:rsid w:val="6D5910F7"/>
    <w:rsid w:val="6D68758C"/>
    <w:rsid w:val="6D765805"/>
    <w:rsid w:val="6D793BD2"/>
    <w:rsid w:val="6D8141AA"/>
    <w:rsid w:val="6D8617C0"/>
    <w:rsid w:val="6D88339E"/>
    <w:rsid w:val="6D8F68C7"/>
    <w:rsid w:val="6DAC59E6"/>
    <w:rsid w:val="6DAD21A7"/>
    <w:rsid w:val="6DB63E53"/>
    <w:rsid w:val="6DB8406F"/>
    <w:rsid w:val="6DD15131"/>
    <w:rsid w:val="6E313E22"/>
    <w:rsid w:val="6E4E22DE"/>
    <w:rsid w:val="6E5024FA"/>
    <w:rsid w:val="6E881C94"/>
    <w:rsid w:val="6EA2262A"/>
    <w:rsid w:val="6EC86534"/>
    <w:rsid w:val="6F394D3C"/>
    <w:rsid w:val="6F416B95"/>
    <w:rsid w:val="6F467459"/>
    <w:rsid w:val="6F8561D3"/>
    <w:rsid w:val="6FAA79E8"/>
    <w:rsid w:val="6FC860C0"/>
    <w:rsid w:val="6FE27182"/>
    <w:rsid w:val="6FFD3FBC"/>
    <w:rsid w:val="6FFE54A2"/>
    <w:rsid w:val="700E441B"/>
    <w:rsid w:val="704E2A69"/>
    <w:rsid w:val="70587444"/>
    <w:rsid w:val="70665E69"/>
    <w:rsid w:val="706E23E0"/>
    <w:rsid w:val="70741B57"/>
    <w:rsid w:val="707D57FD"/>
    <w:rsid w:val="709661BE"/>
    <w:rsid w:val="70A408DB"/>
    <w:rsid w:val="70B76860"/>
    <w:rsid w:val="70CC0E40"/>
    <w:rsid w:val="70CD6084"/>
    <w:rsid w:val="70E17439"/>
    <w:rsid w:val="70E909E4"/>
    <w:rsid w:val="70EC5DDE"/>
    <w:rsid w:val="71341C5F"/>
    <w:rsid w:val="713A123F"/>
    <w:rsid w:val="714B51FB"/>
    <w:rsid w:val="715C1BF9"/>
    <w:rsid w:val="716B764B"/>
    <w:rsid w:val="716F4B59"/>
    <w:rsid w:val="71900E5F"/>
    <w:rsid w:val="71AC1D09"/>
    <w:rsid w:val="71EC253A"/>
    <w:rsid w:val="720179EF"/>
    <w:rsid w:val="72031631"/>
    <w:rsid w:val="722021E3"/>
    <w:rsid w:val="7222173B"/>
    <w:rsid w:val="724265FE"/>
    <w:rsid w:val="726F6CC7"/>
    <w:rsid w:val="728E539F"/>
    <w:rsid w:val="729F75AC"/>
    <w:rsid w:val="72BD789E"/>
    <w:rsid w:val="72CE60E3"/>
    <w:rsid w:val="72EE5E3E"/>
    <w:rsid w:val="72FF17E6"/>
    <w:rsid w:val="73012015"/>
    <w:rsid w:val="7318110C"/>
    <w:rsid w:val="73320420"/>
    <w:rsid w:val="733C304D"/>
    <w:rsid w:val="733D0B73"/>
    <w:rsid w:val="734D525A"/>
    <w:rsid w:val="734E2D80"/>
    <w:rsid w:val="735E1215"/>
    <w:rsid w:val="7375030D"/>
    <w:rsid w:val="73925D8B"/>
    <w:rsid w:val="73D94D40"/>
    <w:rsid w:val="73DA4614"/>
    <w:rsid w:val="74065409"/>
    <w:rsid w:val="74217B37"/>
    <w:rsid w:val="743D7118"/>
    <w:rsid w:val="7443040B"/>
    <w:rsid w:val="749D5D6D"/>
    <w:rsid w:val="74A0585D"/>
    <w:rsid w:val="74A94E74"/>
    <w:rsid w:val="74CC6652"/>
    <w:rsid w:val="74DD0860"/>
    <w:rsid w:val="74FA6600"/>
    <w:rsid w:val="75241FEA"/>
    <w:rsid w:val="754D1541"/>
    <w:rsid w:val="75510906"/>
    <w:rsid w:val="7585587E"/>
    <w:rsid w:val="758962F1"/>
    <w:rsid w:val="75952EE8"/>
    <w:rsid w:val="75A4312B"/>
    <w:rsid w:val="75C64C11"/>
    <w:rsid w:val="75E31EA6"/>
    <w:rsid w:val="75FF183A"/>
    <w:rsid w:val="76342701"/>
    <w:rsid w:val="763C2E92"/>
    <w:rsid w:val="763E532E"/>
    <w:rsid w:val="766C59F7"/>
    <w:rsid w:val="766D176F"/>
    <w:rsid w:val="767C54DB"/>
    <w:rsid w:val="769767EC"/>
    <w:rsid w:val="769907B6"/>
    <w:rsid w:val="76E502E1"/>
    <w:rsid w:val="77020109"/>
    <w:rsid w:val="77161E07"/>
    <w:rsid w:val="772462D2"/>
    <w:rsid w:val="77302EC9"/>
    <w:rsid w:val="77336515"/>
    <w:rsid w:val="774110CA"/>
    <w:rsid w:val="77626DFA"/>
    <w:rsid w:val="776C1A27"/>
    <w:rsid w:val="777A4144"/>
    <w:rsid w:val="777F175A"/>
    <w:rsid w:val="77846D70"/>
    <w:rsid w:val="77882D05"/>
    <w:rsid w:val="779276DF"/>
    <w:rsid w:val="779C40BA"/>
    <w:rsid w:val="779E448A"/>
    <w:rsid w:val="77D45F4A"/>
    <w:rsid w:val="77E67A2B"/>
    <w:rsid w:val="78104542"/>
    <w:rsid w:val="784604CA"/>
    <w:rsid w:val="78686692"/>
    <w:rsid w:val="786A41B8"/>
    <w:rsid w:val="78880AE2"/>
    <w:rsid w:val="78A56EE4"/>
    <w:rsid w:val="78CE1536"/>
    <w:rsid w:val="790F4D60"/>
    <w:rsid w:val="792702FB"/>
    <w:rsid w:val="794A5D98"/>
    <w:rsid w:val="794B3FEA"/>
    <w:rsid w:val="79537342"/>
    <w:rsid w:val="79907C4E"/>
    <w:rsid w:val="79A47B9E"/>
    <w:rsid w:val="79F3642F"/>
    <w:rsid w:val="7A2A00A3"/>
    <w:rsid w:val="7A2D36EF"/>
    <w:rsid w:val="7A3F3423"/>
    <w:rsid w:val="7A680BCB"/>
    <w:rsid w:val="7A951295"/>
    <w:rsid w:val="7A9E639B"/>
    <w:rsid w:val="7B166879"/>
    <w:rsid w:val="7B5B0730"/>
    <w:rsid w:val="7BB67714"/>
    <w:rsid w:val="7BBD4F47"/>
    <w:rsid w:val="7BC77B74"/>
    <w:rsid w:val="7BF70459"/>
    <w:rsid w:val="7C1F52BA"/>
    <w:rsid w:val="7C280612"/>
    <w:rsid w:val="7C4B2553"/>
    <w:rsid w:val="7C792C1C"/>
    <w:rsid w:val="7CB45893"/>
    <w:rsid w:val="7CC540B3"/>
    <w:rsid w:val="7D0746CC"/>
    <w:rsid w:val="7D1110A6"/>
    <w:rsid w:val="7D1B0177"/>
    <w:rsid w:val="7D225061"/>
    <w:rsid w:val="7D2F3C22"/>
    <w:rsid w:val="7D3C57F0"/>
    <w:rsid w:val="7D494CE4"/>
    <w:rsid w:val="7D562F5D"/>
    <w:rsid w:val="7D5B2C25"/>
    <w:rsid w:val="7DC425BD"/>
    <w:rsid w:val="7DF05160"/>
    <w:rsid w:val="7E01111B"/>
    <w:rsid w:val="7E244E09"/>
    <w:rsid w:val="7E33504C"/>
    <w:rsid w:val="7E461224"/>
    <w:rsid w:val="7E694F12"/>
    <w:rsid w:val="7E696CC0"/>
    <w:rsid w:val="7E7A2C7B"/>
    <w:rsid w:val="7EDF2C3D"/>
    <w:rsid w:val="7F2F1CB8"/>
    <w:rsid w:val="7F3C6183"/>
    <w:rsid w:val="7F45772D"/>
    <w:rsid w:val="7F480FCB"/>
    <w:rsid w:val="7F565496"/>
    <w:rsid w:val="7F5D4A77"/>
    <w:rsid w:val="7F930498"/>
    <w:rsid w:val="7F9D4E73"/>
    <w:rsid w:val="7FBD37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iPriority="0" w:semiHidden="0" w:name="List"/>
    <w:lsdException w:uiPriority="0" w:name="List Bullet"/>
    <w:lsdException w:qFormat="1" w:unhideWhenUsed="0" w:uiPriority="0" w:semiHidden="0" w:name="List Number"/>
    <w:lsdException w:uiPriority="0" w:name="List 2"/>
    <w:lsdException w:uiPriority="0" w:name="List 3"/>
    <w:lsdException w:uiPriority="0" w:name="List 4"/>
    <w:lsdException w:qFormat="1" w:unhideWhenUsed="0" w:uiPriority="0" w:semiHidden="0" w:name="List 5"/>
    <w:lsdException w:qFormat="1"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5"/>
    <w:autoRedefine/>
    <w:qFormat/>
    <w:uiPriority w:val="0"/>
    <w:pPr>
      <w:keepNext/>
      <w:keepLines/>
      <w:spacing w:before="340" w:after="330" w:line="578" w:lineRule="auto"/>
      <w:outlineLvl w:val="0"/>
    </w:pPr>
    <w:rPr>
      <w:rFonts w:eastAsia="Century Gothic"/>
      <w:b/>
      <w:bCs/>
      <w:kern w:val="44"/>
      <w:sz w:val="44"/>
      <w:szCs w:val="44"/>
    </w:rPr>
  </w:style>
  <w:style w:type="paragraph" w:styleId="3">
    <w:name w:val="heading 2"/>
    <w:basedOn w:val="1"/>
    <w:next w:val="1"/>
    <w:link w:val="76"/>
    <w:autoRedefine/>
    <w:qFormat/>
    <w:uiPriority w:val="0"/>
    <w:pPr>
      <w:keepNext/>
      <w:keepLines/>
      <w:adjustRightInd w:val="0"/>
      <w:spacing w:before="260" w:after="260" w:line="415" w:lineRule="auto"/>
      <w:jc w:val="left"/>
      <w:outlineLvl w:val="1"/>
    </w:pPr>
    <w:rPr>
      <w:rFonts w:ascii="黑体" w:hAnsi="黑体" w:eastAsia="楷体"/>
      <w:b/>
      <w:bCs/>
      <w:sz w:val="32"/>
      <w:szCs w:val="32"/>
    </w:rPr>
  </w:style>
  <w:style w:type="paragraph" w:styleId="4">
    <w:name w:val="heading 3"/>
    <w:basedOn w:val="1"/>
    <w:next w:val="5"/>
    <w:link w:val="69"/>
    <w:autoRedefine/>
    <w:qFormat/>
    <w:uiPriority w:val="99"/>
    <w:pPr>
      <w:keepNext/>
      <w:keepLines/>
      <w:spacing w:before="260" w:after="260" w:line="416" w:lineRule="auto"/>
      <w:outlineLvl w:val="2"/>
    </w:pPr>
    <w:rPr>
      <w:b/>
      <w:bCs/>
      <w:sz w:val="32"/>
      <w:szCs w:val="32"/>
    </w:rPr>
  </w:style>
  <w:style w:type="paragraph" w:styleId="6">
    <w:name w:val="heading 4"/>
    <w:basedOn w:val="1"/>
    <w:next w:val="5"/>
    <w:link w:val="79"/>
    <w:autoRedefine/>
    <w:qFormat/>
    <w:uiPriority w:val="0"/>
    <w:pPr>
      <w:keepNext/>
      <w:widowControl/>
      <w:jc w:val="center"/>
      <w:outlineLvl w:val="3"/>
    </w:pPr>
    <w:rPr>
      <w:rFonts w:ascii="MS Sans Serif" w:hAnsi="仿宋_GB2312" w:eastAsia="MS Sans Serif"/>
      <w:snapToGrid w:val="0"/>
      <w:kern w:val="0"/>
      <w:sz w:val="24"/>
      <w:szCs w:val="20"/>
    </w:rPr>
  </w:style>
  <w:style w:type="paragraph" w:styleId="7">
    <w:name w:val="heading 5"/>
    <w:basedOn w:val="1"/>
    <w:next w:val="1"/>
    <w:link w:val="102"/>
    <w:autoRedefine/>
    <w:qFormat/>
    <w:uiPriority w:val="0"/>
    <w:pPr>
      <w:widowControl/>
      <w:spacing w:before="240" w:after="60"/>
      <w:jc w:val="left"/>
      <w:outlineLvl w:val="4"/>
    </w:pPr>
    <w:rPr>
      <w:rFonts w:ascii="MS Sans Serif" w:eastAsia="MS Sans Serif"/>
      <w:kern w:val="0"/>
      <w:sz w:val="24"/>
      <w:szCs w:val="20"/>
    </w:rPr>
  </w:style>
  <w:style w:type="paragraph" w:styleId="8">
    <w:name w:val="heading 6"/>
    <w:basedOn w:val="1"/>
    <w:next w:val="5"/>
    <w:link w:val="117"/>
    <w:autoRedefine/>
    <w:qFormat/>
    <w:uiPriority w:val="0"/>
    <w:pPr>
      <w:keepNext/>
      <w:keepLines/>
      <w:spacing w:before="240" w:after="64" w:line="320" w:lineRule="auto"/>
      <w:outlineLvl w:val="5"/>
    </w:pPr>
    <w:rPr>
      <w:rFonts w:ascii="黑体" w:hAnsi="黑体" w:eastAsia="楷体"/>
      <w:b/>
      <w:sz w:val="24"/>
      <w:szCs w:val="20"/>
    </w:rPr>
  </w:style>
  <w:style w:type="paragraph" w:styleId="9">
    <w:name w:val="heading 7"/>
    <w:basedOn w:val="1"/>
    <w:next w:val="5"/>
    <w:link w:val="115"/>
    <w:autoRedefine/>
    <w:qFormat/>
    <w:uiPriority w:val="0"/>
    <w:pPr>
      <w:keepNext/>
      <w:keepLines/>
      <w:spacing w:before="240" w:after="64" w:line="320" w:lineRule="auto"/>
      <w:outlineLvl w:val="6"/>
    </w:pPr>
    <w:rPr>
      <w:b/>
      <w:sz w:val="24"/>
      <w:szCs w:val="20"/>
    </w:rPr>
  </w:style>
  <w:style w:type="paragraph" w:styleId="10">
    <w:name w:val="heading 8"/>
    <w:basedOn w:val="1"/>
    <w:next w:val="5"/>
    <w:link w:val="70"/>
    <w:autoRedefine/>
    <w:qFormat/>
    <w:uiPriority w:val="0"/>
    <w:pPr>
      <w:keepNext/>
      <w:keepLines/>
      <w:spacing w:before="240" w:after="64" w:line="320" w:lineRule="auto"/>
      <w:outlineLvl w:val="7"/>
    </w:pPr>
    <w:rPr>
      <w:rFonts w:ascii="黑体" w:hAnsi="黑体" w:eastAsia="楷体"/>
      <w:sz w:val="24"/>
      <w:szCs w:val="20"/>
    </w:rPr>
  </w:style>
  <w:style w:type="paragraph" w:styleId="11">
    <w:name w:val="heading 9"/>
    <w:basedOn w:val="1"/>
    <w:next w:val="5"/>
    <w:link w:val="120"/>
    <w:autoRedefine/>
    <w:qFormat/>
    <w:uiPriority w:val="0"/>
    <w:pPr>
      <w:keepNext/>
      <w:keepLines/>
      <w:spacing w:before="240" w:after="64" w:line="320" w:lineRule="auto"/>
      <w:outlineLvl w:val="8"/>
    </w:pPr>
    <w:rPr>
      <w:rFonts w:ascii="黑体" w:hAnsi="黑体" w:eastAsia="楷体"/>
      <w:szCs w:val="20"/>
    </w:rPr>
  </w:style>
  <w:style w:type="character" w:default="1" w:styleId="52">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04"/>
    <w:autoRedefine/>
    <w:qFormat/>
    <w:uiPriority w:val="0"/>
    <w:pPr>
      <w:widowControl/>
      <w:ind w:firstLine="420"/>
      <w:jc w:val="left"/>
    </w:pPr>
    <w:rPr>
      <w:rFonts w:ascii="Arial" w:hAnsi="Arial" w:cs="Arial"/>
      <w:kern w:val="0"/>
      <w:sz w:val="20"/>
      <w:szCs w:val="20"/>
    </w:rPr>
  </w:style>
  <w:style w:type="paragraph" w:styleId="12">
    <w:name w:val="toc 7"/>
    <w:basedOn w:val="1"/>
    <w:next w:val="1"/>
    <w:autoRedefine/>
    <w:semiHidden/>
    <w:qFormat/>
    <w:uiPriority w:val="0"/>
    <w:pPr>
      <w:ind w:left="1260"/>
      <w:jc w:val="left"/>
    </w:pPr>
    <w:rPr>
      <w:sz w:val="18"/>
      <w:szCs w:val="18"/>
    </w:rPr>
  </w:style>
  <w:style w:type="paragraph" w:styleId="13">
    <w:name w:val="List Number"/>
    <w:basedOn w:val="1"/>
    <w:autoRedefine/>
    <w:qFormat/>
    <w:uiPriority w:val="0"/>
    <w:pPr>
      <w:widowControl/>
      <w:tabs>
        <w:tab w:val="left" w:pos="420"/>
        <w:tab w:val="left" w:pos="454"/>
      </w:tabs>
      <w:spacing w:afterLines="50"/>
      <w:ind w:left="454" w:hanging="284"/>
      <w:jc w:val="left"/>
    </w:pPr>
    <w:rPr>
      <w:kern w:val="0"/>
      <w:sz w:val="24"/>
      <w:szCs w:val="20"/>
    </w:rPr>
  </w:style>
  <w:style w:type="paragraph" w:styleId="14">
    <w:name w:val="caption"/>
    <w:basedOn w:val="1"/>
    <w:next w:val="1"/>
    <w:autoRedefine/>
    <w:qFormat/>
    <w:uiPriority w:val="0"/>
    <w:rPr>
      <w:rFonts w:ascii="黑体" w:hAnsi="黑体" w:eastAsia="楷体" w:cs="黑体"/>
      <w:sz w:val="20"/>
      <w:szCs w:val="20"/>
    </w:rPr>
  </w:style>
  <w:style w:type="paragraph" w:styleId="15">
    <w:name w:val="Document Map"/>
    <w:basedOn w:val="1"/>
    <w:link w:val="98"/>
    <w:autoRedefine/>
    <w:qFormat/>
    <w:uiPriority w:val="0"/>
    <w:pPr>
      <w:shd w:val="clear" w:color="auto" w:fill="000080"/>
    </w:pPr>
  </w:style>
  <w:style w:type="paragraph" w:styleId="16">
    <w:name w:val="annotation text"/>
    <w:basedOn w:val="1"/>
    <w:autoRedefine/>
    <w:qFormat/>
    <w:uiPriority w:val="0"/>
    <w:pPr>
      <w:jc w:val="left"/>
    </w:pPr>
  </w:style>
  <w:style w:type="paragraph" w:styleId="17">
    <w:name w:val="Body Text 3"/>
    <w:basedOn w:val="1"/>
    <w:link w:val="121"/>
    <w:autoRedefine/>
    <w:unhideWhenUsed/>
    <w:qFormat/>
    <w:uiPriority w:val="0"/>
    <w:pPr>
      <w:jc w:val="center"/>
    </w:pPr>
    <w:rPr>
      <w:szCs w:val="20"/>
    </w:rPr>
  </w:style>
  <w:style w:type="paragraph" w:styleId="18">
    <w:name w:val="Body Text"/>
    <w:basedOn w:val="1"/>
    <w:link w:val="118"/>
    <w:autoRedefine/>
    <w:qFormat/>
    <w:uiPriority w:val="99"/>
    <w:pPr>
      <w:spacing w:after="120"/>
    </w:pPr>
  </w:style>
  <w:style w:type="paragraph" w:styleId="19">
    <w:name w:val="Body Text Indent"/>
    <w:basedOn w:val="1"/>
    <w:link w:val="109"/>
    <w:autoRedefine/>
    <w:qFormat/>
    <w:uiPriority w:val="0"/>
    <w:pPr>
      <w:adjustRightInd w:val="0"/>
      <w:spacing w:line="360" w:lineRule="auto"/>
      <w:ind w:firstLine="490"/>
      <w:jc w:val="left"/>
    </w:pPr>
    <w:rPr>
      <w:rFonts w:ascii="Century Gothic" w:hAnsi="Century Gothic" w:eastAsia="Century Gothic"/>
      <w:sz w:val="24"/>
      <w:szCs w:val="20"/>
    </w:rPr>
  </w:style>
  <w:style w:type="paragraph" w:styleId="20">
    <w:name w:val="List Number 3"/>
    <w:basedOn w:val="1"/>
    <w:autoRedefine/>
    <w:qFormat/>
    <w:uiPriority w:val="0"/>
    <w:pPr>
      <w:widowControl/>
      <w:tabs>
        <w:tab w:val="left" w:pos="482"/>
        <w:tab w:val="left" w:pos="1157"/>
      </w:tabs>
      <w:spacing w:afterLines="50"/>
      <w:ind w:left="482" w:hanging="340"/>
      <w:jc w:val="left"/>
    </w:pPr>
    <w:rPr>
      <w:kern w:val="0"/>
      <w:sz w:val="24"/>
      <w:szCs w:val="20"/>
    </w:rPr>
  </w:style>
  <w:style w:type="paragraph" w:styleId="21">
    <w:name w:val="Block Text"/>
    <w:basedOn w:val="1"/>
    <w:autoRedefine/>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styleId="22">
    <w:name w:val="List Bullet 2"/>
    <w:basedOn w:val="1"/>
    <w:autoRedefine/>
    <w:unhideWhenUsed/>
    <w:qFormat/>
    <w:uiPriority w:val="0"/>
    <w:pPr>
      <w:tabs>
        <w:tab w:val="left" w:pos="780"/>
        <w:tab w:val="left" w:pos="840"/>
      </w:tabs>
      <w:ind w:left="780" w:leftChars="200" w:hanging="360" w:hangingChars="200"/>
    </w:pPr>
  </w:style>
  <w:style w:type="paragraph" w:styleId="23">
    <w:name w:val="toc 5"/>
    <w:basedOn w:val="1"/>
    <w:next w:val="1"/>
    <w:autoRedefine/>
    <w:semiHidden/>
    <w:qFormat/>
    <w:uiPriority w:val="0"/>
    <w:pPr>
      <w:ind w:left="840"/>
      <w:jc w:val="left"/>
    </w:pPr>
    <w:rPr>
      <w:sz w:val="18"/>
      <w:szCs w:val="18"/>
    </w:rPr>
  </w:style>
  <w:style w:type="paragraph" w:styleId="24">
    <w:name w:val="toc 3"/>
    <w:basedOn w:val="1"/>
    <w:next w:val="1"/>
    <w:autoRedefine/>
    <w:semiHidden/>
    <w:qFormat/>
    <w:uiPriority w:val="0"/>
    <w:pPr>
      <w:ind w:left="420"/>
      <w:jc w:val="left"/>
    </w:pPr>
    <w:rPr>
      <w:i/>
      <w:iCs/>
      <w:sz w:val="20"/>
      <w:szCs w:val="20"/>
    </w:rPr>
  </w:style>
  <w:style w:type="paragraph" w:styleId="25">
    <w:name w:val="Plain Text"/>
    <w:basedOn w:val="1"/>
    <w:link w:val="67"/>
    <w:autoRedefine/>
    <w:qFormat/>
    <w:uiPriority w:val="0"/>
    <w:rPr>
      <w:rFonts w:ascii="Century Gothic" w:hAnsi="楷体_GB2312" w:eastAsia="Century Gothic" w:cs="楷体_GB2312"/>
      <w:szCs w:val="21"/>
    </w:rPr>
  </w:style>
  <w:style w:type="paragraph" w:styleId="26">
    <w:name w:val="toc 8"/>
    <w:basedOn w:val="1"/>
    <w:next w:val="1"/>
    <w:autoRedefine/>
    <w:semiHidden/>
    <w:qFormat/>
    <w:uiPriority w:val="0"/>
    <w:pPr>
      <w:ind w:left="1470"/>
      <w:jc w:val="left"/>
    </w:pPr>
    <w:rPr>
      <w:sz w:val="18"/>
      <w:szCs w:val="18"/>
    </w:rPr>
  </w:style>
  <w:style w:type="paragraph" w:styleId="27">
    <w:name w:val="Date"/>
    <w:basedOn w:val="1"/>
    <w:next w:val="1"/>
    <w:link w:val="71"/>
    <w:autoRedefine/>
    <w:qFormat/>
    <w:uiPriority w:val="0"/>
    <w:pPr>
      <w:ind w:left="100" w:leftChars="2500"/>
    </w:pPr>
  </w:style>
  <w:style w:type="paragraph" w:styleId="28">
    <w:name w:val="Body Text Indent 2"/>
    <w:basedOn w:val="1"/>
    <w:link w:val="86"/>
    <w:autoRedefine/>
    <w:qFormat/>
    <w:uiPriority w:val="0"/>
    <w:pPr>
      <w:adjustRightInd w:val="0"/>
      <w:spacing w:line="360" w:lineRule="auto"/>
      <w:ind w:firstLine="504" w:firstLineChars="210"/>
      <w:jc w:val="left"/>
    </w:pPr>
    <w:rPr>
      <w:rFonts w:ascii="Century Gothic" w:hAnsi="Century Gothic"/>
      <w:sz w:val="24"/>
      <w:szCs w:val="20"/>
    </w:rPr>
  </w:style>
  <w:style w:type="paragraph" w:styleId="29">
    <w:name w:val="Balloon Text"/>
    <w:basedOn w:val="1"/>
    <w:link w:val="116"/>
    <w:autoRedefine/>
    <w:qFormat/>
    <w:uiPriority w:val="0"/>
    <w:rPr>
      <w:sz w:val="18"/>
      <w:szCs w:val="18"/>
    </w:rPr>
  </w:style>
  <w:style w:type="paragraph" w:styleId="30">
    <w:name w:val="footer"/>
    <w:basedOn w:val="1"/>
    <w:link w:val="92"/>
    <w:autoRedefine/>
    <w:qFormat/>
    <w:uiPriority w:val="99"/>
    <w:pPr>
      <w:tabs>
        <w:tab w:val="center" w:pos="4153"/>
        <w:tab w:val="right" w:pos="8306"/>
      </w:tabs>
      <w:adjustRightInd w:val="0"/>
      <w:jc w:val="left"/>
    </w:pPr>
    <w:rPr>
      <w:rFonts w:eastAsia="Century Gothic"/>
      <w:sz w:val="18"/>
      <w:szCs w:val="20"/>
    </w:rPr>
  </w:style>
  <w:style w:type="paragraph" w:styleId="31">
    <w:name w:val="header"/>
    <w:basedOn w:val="1"/>
    <w:link w:val="72"/>
    <w:autoRedefine/>
    <w:qFormat/>
    <w:uiPriority w:val="99"/>
    <w:pPr>
      <w:pBdr>
        <w:bottom w:val="single" w:color="auto" w:sz="6" w:space="1"/>
      </w:pBdr>
      <w:tabs>
        <w:tab w:val="center" w:pos="4153"/>
        <w:tab w:val="right" w:pos="8306"/>
      </w:tabs>
      <w:adjustRightInd w:val="0"/>
      <w:jc w:val="center"/>
    </w:pPr>
    <w:rPr>
      <w:sz w:val="18"/>
      <w:szCs w:val="20"/>
    </w:rPr>
  </w:style>
  <w:style w:type="paragraph" w:styleId="32">
    <w:name w:val="toc 1"/>
    <w:basedOn w:val="1"/>
    <w:next w:val="1"/>
    <w:autoRedefine/>
    <w:qFormat/>
    <w:uiPriority w:val="39"/>
    <w:pPr>
      <w:tabs>
        <w:tab w:val="right" w:leader="dot" w:pos="8720"/>
      </w:tabs>
      <w:spacing w:before="120" w:after="120"/>
      <w:jc w:val="left"/>
    </w:pPr>
    <w:rPr>
      <w:rFonts w:ascii="Century Gothic" w:hAnsi="Century Gothic"/>
      <w:bCs/>
      <w:caps/>
      <w:sz w:val="20"/>
      <w:szCs w:val="20"/>
    </w:rPr>
  </w:style>
  <w:style w:type="paragraph" w:styleId="33">
    <w:name w:val="toc 4"/>
    <w:basedOn w:val="1"/>
    <w:next w:val="1"/>
    <w:autoRedefine/>
    <w:semiHidden/>
    <w:qFormat/>
    <w:uiPriority w:val="0"/>
    <w:pPr>
      <w:ind w:left="630"/>
      <w:jc w:val="left"/>
    </w:pPr>
    <w:rPr>
      <w:sz w:val="18"/>
      <w:szCs w:val="18"/>
    </w:rPr>
  </w:style>
  <w:style w:type="paragraph" w:styleId="34">
    <w:name w:val="Subtitle"/>
    <w:basedOn w:val="1"/>
    <w:next w:val="1"/>
    <w:autoRedefine/>
    <w:qFormat/>
    <w:uiPriority w:val="99"/>
    <w:pPr>
      <w:spacing w:before="240" w:after="60" w:line="312" w:lineRule="auto"/>
      <w:jc w:val="center"/>
      <w:outlineLvl w:val="1"/>
    </w:pPr>
    <w:rPr>
      <w:rFonts w:ascii="Cambria" w:hAnsi="Cambria"/>
      <w:b/>
      <w:kern w:val="28"/>
      <w:sz w:val="32"/>
      <w:szCs w:val="20"/>
    </w:rPr>
  </w:style>
  <w:style w:type="paragraph" w:styleId="35">
    <w:name w:val="List"/>
    <w:basedOn w:val="1"/>
    <w:autoRedefine/>
    <w:unhideWhenUsed/>
    <w:qFormat/>
    <w:uiPriority w:val="0"/>
    <w:pPr>
      <w:adjustRightInd w:val="0"/>
      <w:spacing w:line="360" w:lineRule="auto"/>
    </w:pPr>
    <w:rPr>
      <w:sz w:val="24"/>
      <w:szCs w:val="20"/>
    </w:rPr>
  </w:style>
  <w:style w:type="paragraph" w:styleId="36">
    <w:name w:val="toc 6"/>
    <w:basedOn w:val="1"/>
    <w:next w:val="1"/>
    <w:autoRedefine/>
    <w:semiHidden/>
    <w:qFormat/>
    <w:uiPriority w:val="0"/>
    <w:pPr>
      <w:ind w:left="1050"/>
      <w:jc w:val="left"/>
    </w:pPr>
    <w:rPr>
      <w:sz w:val="18"/>
      <w:szCs w:val="18"/>
    </w:rPr>
  </w:style>
  <w:style w:type="paragraph" w:styleId="37">
    <w:name w:val="List 5"/>
    <w:basedOn w:val="1"/>
    <w:autoRedefine/>
    <w:qFormat/>
    <w:uiPriority w:val="0"/>
    <w:pPr>
      <w:ind w:left="100" w:leftChars="800" w:hanging="200" w:hangingChars="200"/>
    </w:pPr>
    <w:rPr>
      <w:szCs w:val="20"/>
    </w:rPr>
  </w:style>
  <w:style w:type="paragraph" w:styleId="38">
    <w:name w:val="Body Text Indent 3"/>
    <w:basedOn w:val="1"/>
    <w:link w:val="101"/>
    <w:autoRedefine/>
    <w:qFormat/>
    <w:uiPriority w:val="0"/>
    <w:pPr>
      <w:spacing w:after="120"/>
      <w:ind w:left="420" w:leftChars="200"/>
    </w:pPr>
    <w:rPr>
      <w:sz w:val="16"/>
      <w:szCs w:val="16"/>
    </w:rPr>
  </w:style>
  <w:style w:type="paragraph" w:styleId="39">
    <w:name w:val="toc 2"/>
    <w:basedOn w:val="1"/>
    <w:next w:val="1"/>
    <w:autoRedefine/>
    <w:qFormat/>
    <w:uiPriority w:val="39"/>
    <w:pPr>
      <w:tabs>
        <w:tab w:val="right" w:leader="dot" w:pos="8720"/>
      </w:tabs>
      <w:adjustRightInd w:val="0"/>
      <w:snapToGrid w:val="0"/>
      <w:jc w:val="left"/>
    </w:pPr>
    <w:rPr>
      <w:smallCaps/>
      <w:sz w:val="20"/>
      <w:szCs w:val="20"/>
    </w:rPr>
  </w:style>
  <w:style w:type="paragraph" w:styleId="40">
    <w:name w:val="toc 9"/>
    <w:basedOn w:val="1"/>
    <w:next w:val="1"/>
    <w:autoRedefine/>
    <w:semiHidden/>
    <w:qFormat/>
    <w:uiPriority w:val="0"/>
    <w:pPr>
      <w:ind w:left="1680"/>
      <w:jc w:val="left"/>
    </w:pPr>
    <w:rPr>
      <w:sz w:val="18"/>
      <w:szCs w:val="18"/>
    </w:rPr>
  </w:style>
  <w:style w:type="paragraph" w:styleId="41">
    <w:name w:val="Body Text 2"/>
    <w:basedOn w:val="1"/>
    <w:link w:val="93"/>
    <w:autoRedefine/>
    <w:qFormat/>
    <w:uiPriority w:val="0"/>
    <w:rPr>
      <w:sz w:val="24"/>
    </w:rPr>
  </w:style>
  <w:style w:type="paragraph" w:styleId="42">
    <w:name w:val="HTML Preformatted"/>
    <w:basedOn w:val="1"/>
    <w:link w:val="8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kern w:val="0"/>
      <w:sz w:val="24"/>
    </w:rPr>
  </w:style>
  <w:style w:type="paragraph" w:styleId="43">
    <w:name w:val="Normal (Web)"/>
    <w:basedOn w:val="1"/>
    <w:autoRedefine/>
    <w:qFormat/>
    <w:uiPriority w:val="0"/>
    <w:pPr>
      <w:widowControl/>
      <w:shd w:val="clear" w:color="auto" w:fill="FFFFFF"/>
      <w:spacing w:before="100" w:beforeAutospacing="1" w:after="100" w:afterAutospacing="1"/>
      <w:jc w:val="left"/>
    </w:pPr>
    <w:rPr>
      <w:rFonts w:ascii="Century Gothic" w:hAnsi="Century Gothic"/>
      <w:kern w:val="0"/>
      <w:sz w:val="18"/>
      <w:szCs w:val="18"/>
    </w:rPr>
  </w:style>
  <w:style w:type="paragraph" w:styleId="44">
    <w:name w:val="Title"/>
    <w:basedOn w:val="1"/>
    <w:link w:val="68"/>
    <w:autoRedefine/>
    <w:qFormat/>
    <w:uiPriority w:val="0"/>
    <w:pPr>
      <w:tabs>
        <w:tab w:val="left" w:pos="1200"/>
      </w:tabs>
      <w:spacing w:afterLines="200"/>
      <w:ind w:left="1440" w:hanging="720"/>
      <w:jc w:val="center"/>
    </w:pPr>
    <w:rPr>
      <w:b/>
      <w:bCs/>
      <w:spacing w:val="60"/>
      <w:sz w:val="32"/>
    </w:rPr>
  </w:style>
  <w:style w:type="paragraph" w:styleId="45">
    <w:name w:val="annotation subject"/>
    <w:basedOn w:val="16"/>
    <w:next w:val="16"/>
    <w:autoRedefine/>
    <w:semiHidden/>
    <w:qFormat/>
    <w:uiPriority w:val="0"/>
    <w:rPr>
      <w:b/>
      <w:bCs/>
    </w:rPr>
  </w:style>
  <w:style w:type="paragraph" w:styleId="46">
    <w:name w:val="Body Text First Indent"/>
    <w:basedOn w:val="18"/>
    <w:next w:val="1"/>
    <w:link w:val="252"/>
    <w:autoRedefine/>
    <w:qFormat/>
    <w:uiPriority w:val="0"/>
    <w:pPr>
      <w:ind w:firstLine="420" w:firstLineChars="100"/>
    </w:pPr>
    <w:rPr>
      <w:rFonts w:ascii="Arial" w:hAnsi="Arial"/>
    </w:rPr>
  </w:style>
  <w:style w:type="paragraph" w:styleId="47">
    <w:name w:val="Body Text First Indent 2"/>
    <w:basedOn w:val="19"/>
    <w:autoRedefine/>
    <w:qFormat/>
    <w:uiPriority w:val="99"/>
    <w:pPr>
      <w:widowControl w:val="0"/>
      <w:ind w:firstLine="420" w:firstLineChars="200"/>
    </w:pPr>
  </w:style>
  <w:style w:type="table" w:styleId="49">
    <w:name w:val="Table Grid"/>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0">
    <w:name w:val="Table Theme"/>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Table Elegant"/>
    <w:basedOn w:val="48"/>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53">
    <w:name w:val="Strong"/>
    <w:autoRedefine/>
    <w:qFormat/>
    <w:uiPriority w:val="0"/>
    <w:rPr>
      <w:b/>
    </w:rPr>
  </w:style>
  <w:style w:type="character" w:styleId="54">
    <w:name w:val="page number"/>
    <w:basedOn w:val="52"/>
    <w:autoRedefine/>
    <w:qFormat/>
    <w:uiPriority w:val="0"/>
  </w:style>
  <w:style w:type="character" w:styleId="55">
    <w:name w:val="FollowedHyperlink"/>
    <w:autoRedefine/>
    <w:qFormat/>
    <w:uiPriority w:val="0"/>
    <w:rPr>
      <w:color w:val="800080"/>
      <w:u w:val="single"/>
    </w:rPr>
  </w:style>
  <w:style w:type="character" w:styleId="56">
    <w:name w:val="Emphasis"/>
    <w:autoRedefine/>
    <w:qFormat/>
    <w:uiPriority w:val="0"/>
  </w:style>
  <w:style w:type="character" w:styleId="57">
    <w:name w:val="Hyperlink"/>
    <w:autoRedefine/>
    <w:qFormat/>
    <w:uiPriority w:val="0"/>
    <w:rPr>
      <w:color w:val="0000FF"/>
      <w:u w:val="single"/>
    </w:rPr>
  </w:style>
  <w:style w:type="character" w:styleId="58">
    <w:name w:val="annotation reference"/>
    <w:autoRedefine/>
    <w:qFormat/>
    <w:uiPriority w:val="0"/>
    <w:rPr>
      <w:sz w:val="21"/>
      <w:szCs w:val="21"/>
    </w:rPr>
  </w:style>
  <w:style w:type="paragraph" w:customStyle="1" w:styleId="59">
    <w:name w:val="正文1"/>
    <w:basedOn w:val="24"/>
    <w:next w:val="1"/>
    <w:link w:val="82"/>
    <w:autoRedefine/>
    <w:qFormat/>
    <w:uiPriority w:val="0"/>
    <w:pPr>
      <w:widowControl/>
      <w:spacing w:line="360" w:lineRule="auto"/>
      <w:ind w:left="360" w:firstLine="420"/>
      <w:jc w:val="left"/>
    </w:pPr>
    <w:rPr>
      <w:rFonts w:ascii="宋体" w:hAnsi="宋体"/>
      <w:kern w:val="0"/>
      <w:szCs w:val="20"/>
    </w:rPr>
  </w:style>
  <w:style w:type="paragraph" w:customStyle="1" w:styleId="60">
    <w:name w:val="正文空2字"/>
    <w:basedOn w:val="6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1">
    <w:name w:val="左对齐正文"/>
    <w:autoRedefine/>
    <w:qFormat/>
    <w:uiPriority w:val="99"/>
    <w:rPr>
      <w:rFonts w:ascii="Calibri" w:hAnsi="Calibri" w:eastAsia="仿宋_GB2312" w:cs="Calibri"/>
      <w:kern w:val="2"/>
      <w:sz w:val="32"/>
      <w:szCs w:val="32"/>
      <w:lang w:val="en-US" w:eastAsia="zh-CN" w:bidi="ar-SA"/>
    </w:rPr>
  </w:style>
  <w:style w:type="paragraph" w:customStyle="1" w:styleId="62">
    <w:name w:val="Default"/>
    <w:autoRedefine/>
    <w:qFormat/>
    <w:uiPriority w:val="0"/>
    <w:pPr>
      <w:widowControl w:val="0"/>
      <w:autoSpaceDE w:val="0"/>
      <w:autoSpaceDN w:val="0"/>
      <w:adjustRightInd w:val="0"/>
    </w:pPr>
    <w:rPr>
      <w:rFonts w:ascii="楷体" w:hAnsi="Times New Roman" w:eastAsia="楷体" w:cs="Times New Roman"/>
      <w:color w:val="000000"/>
      <w:sz w:val="24"/>
      <w:szCs w:val="24"/>
      <w:lang w:val="en-US" w:eastAsia="zh-CN" w:bidi="ar-SA"/>
    </w:rPr>
  </w:style>
  <w:style w:type="character" w:customStyle="1" w:styleId="63">
    <w:name w:val="表正文 Char1"/>
    <w:autoRedefine/>
    <w:qFormat/>
    <w:uiPriority w:val="0"/>
    <w:rPr>
      <w:rFonts w:ascii="宋体" w:eastAsia="宋体"/>
      <w:snapToGrid w:val="0"/>
      <w:color w:val="000000"/>
      <w:kern w:val="28"/>
      <w:sz w:val="28"/>
      <w:lang w:val="en-US" w:eastAsia="zh-CN" w:bidi="ar-SA"/>
    </w:rPr>
  </w:style>
  <w:style w:type="character" w:customStyle="1" w:styleId="64">
    <w:name w:val="正文文本缩进 2 Char1"/>
    <w:autoRedefine/>
    <w:qFormat/>
    <w:uiPriority w:val="0"/>
    <w:rPr>
      <w:kern w:val="2"/>
      <w:sz w:val="28"/>
      <w:szCs w:val="24"/>
    </w:rPr>
  </w:style>
  <w:style w:type="character" w:customStyle="1" w:styleId="65">
    <w:name w:val="纯文本 Char"/>
    <w:autoRedefine/>
    <w:qFormat/>
    <w:uiPriority w:val="0"/>
    <w:rPr>
      <w:rFonts w:ascii="Century Gothic" w:hAnsi="楷体_GB2312" w:eastAsia="Century Gothic"/>
      <w:kern w:val="2"/>
      <w:sz w:val="21"/>
      <w:lang w:bidi="ar-SA"/>
    </w:rPr>
  </w:style>
  <w:style w:type="character" w:customStyle="1" w:styleId="66">
    <w:name w:val="Char Char12"/>
    <w:autoRedefine/>
    <w:qFormat/>
    <w:uiPriority w:val="0"/>
    <w:rPr>
      <w:rFonts w:ascii="Century Gothic" w:hAnsi="楷体_GB2312" w:eastAsia="Century Gothic" w:cs="楷体_GB2312"/>
      <w:kern w:val="2"/>
      <w:sz w:val="21"/>
      <w:szCs w:val="21"/>
      <w:lang w:val="en-US" w:eastAsia="zh-CN" w:bidi="ar-SA"/>
    </w:rPr>
  </w:style>
  <w:style w:type="character" w:customStyle="1" w:styleId="67">
    <w:name w:val="纯文本 字符"/>
    <w:link w:val="25"/>
    <w:autoRedefine/>
    <w:qFormat/>
    <w:uiPriority w:val="0"/>
    <w:rPr>
      <w:rFonts w:ascii="Century Gothic" w:hAnsi="楷体_GB2312" w:eastAsia="Century Gothic" w:cs="楷体_GB2312"/>
      <w:kern w:val="2"/>
      <w:sz w:val="21"/>
      <w:szCs w:val="21"/>
      <w:lang w:val="en-US" w:eastAsia="zh-CN" w:bidi="ar-SA"/>
    </w:rPr>
  </w:style>
  <w:style w:type="character" w:customStyle="1" w:styleId="68">
    <w:name w:val="标题 字符"/>
    <w:link w:val="44"/>
    <w:autoRedefine/>
    <w:qFormat/>
    <w:uiPriority w:val="0"/>
    <w:rPr>
      <w:b/>
      <w:bCs/>
      <w:spacing w:val="60"/>
      <w:kern w:val="2"/>
      <w:sz w:val="32"/>
      <w:szCs w:val="24"/>
    </w:rPr>
  </w:style>
  <w:style w:type="character" w:customStyle="1" w:styleId="69">
    <w:name w:val="标题 3 字符1"/>
    <w:link w:val="4"/>
    <w:autoRedefine/>
    <w:qFormat/>
    <w:uiPriority w:val="0"/>
    <w:rPr>
      <w:b/>
      <w:bCs/>
      <w:kern w:val="2"/>
      <w:sz w:val="32"/>
      <w:szCs w:val="32"/>
    </w:rPr>
  </w:style>
  <w:style w:type="character" w:customStyle="1" w:styleId="70">
    <w:name w:val="标题 8 字符"/>
    <w:link w:val="10"/>
    <w:autoRedefine/>
    <w:qFormat/>
    <w:uiPriority w:val="0"/>
    <w:rPr>
      <w:rFonts w:ascii="黑体" w:hAnsi="黑体" w:eastAsia="楷体"/>
      <w:kern w:val="2"/>
      <w:sz w:val="24"/>
    </w:rPr>
  </w:style>
  <w:style w:type="character" w:customStyle="1" w:styleId="71">
    <w:name w:val="日期 字符"/>
    <w:link w:val="27"/>
    <w:autoRedefine/>
    <w:qFormat/>
    <w:uiPriority w:val="0"/>
    <w:rPr>
      <w:kern w:val="2"/>
      <w:sz w:val="21"/>
      <w:szCs w:val="24"/>
    </w:rPr>
  </w:style>
  <w:style w:type="character" w:customStyle="1" w:styleId="72">
    <w:name w:val="页眉 字符"/>
    <w:link w:val="31"/>
    <w:autoRedefine/>
    <w:qFormat/>
    <w:uiPriority w:val="99"/>
    <w:rPr>
      <w:kern w:val="2"/>
      <w:sz w:val="18"/>
    </w:rPr>
  </w:style>
  <w:style w:type="character" w:customStyle="1" w:styleId="73">
    <w:name w:val="列出段落 Char"/>
    <w:link w:val="74"/>
    <w:autoRedefine/>
    <w:qFormat/>
    <w:uiPriority w:val="34"/>
    <w:rPr>
      <w:rFonts w:eastAsia="宋体"/>
      <w:lang w:bidi="ar-SA"/>
    </w:rPr>
  </w:style>
  <w:style w:type="paragraph" w:customStyle="1" w:styleId="74">
    <w:name w:val="列出段落1"/>
    <w:basedOn w:val="1"/>
    <w:link w:val="73"/>
    <w:autoRedefine/>
    <w:qFormat/>
    <w:uiPriority w:val="0"/>
    <w:pPr>
      <w:ind w:firstLine="420" w:firstLineChars="200"/>
    </w:pPr>
    <w:rPr>
      <w:kern w:val="0"/>
      <w:sz w:val="20"/>
      <w:szCs w:val="20"/>
    </w:rPr>
  </w:style>
  <w:style w:type="character" w:customStyle="1" w:styleId="75">
    <w:name w:val="标题 1 字符"/>
    <w:link w:val="2"/>
    <w:autoRedefine/>
    <w:qFormat/>
    <w:uiPriority w:val="0"/>
    <w:rPr>
      <w:rFonts w:eastAsia="Century Gothic"/>
      <w:b/>
      <w:bCs/>
      <w:kern w:val="44"/>
      <w:sz w:val="44"/>
      <w:szCs w:val="44"/>
      <w:lang w:val="en-US" w:eastAsia="zh-CN" w:bidi="ar-SA"/>
    </w:rPr>
  </w:style>
  <w:style w:type="character" w:customStyle="1" w:styleId="76">
    <w:name w:val="标题 2 字符"/>
    <w:link w:val="3"/>
    <w:autoRedefine/>
    <w:qFormat/>
    <w:uiPriority w:val="0"/>
    <w:rPr>
      <w:rFonts w:ascii="黑体" w:hAnsi="黑体" w:eastAsia="楷体"/>
      <w:b/>
      <w:bCs/>
      <w:kern w:val="2"/>
      <w:sz w:val="32"/>
      <w:szCs w:val="32"/>
    </w:rPr>
  </w:style>
  <w:style w:type="character" w:customStyle="1" w:styleId="77">
    <w:name w:val="标题 6 Char1"/>
    <w:autoRedefine/>
    <w:semiHidden/>
    <w:qFormat/>
    <w:uiPriority w:val="0"/>
    <w:rPr>
      <w:rFonts w:ascii="Cambria" w:hAnsi="Cambria" w:eastAsia="宋体" w:cs="Times New Roman"/>
      <w:b/>
      <w:bCs/>
      <w:kern w:val="2"/>
      <w:sz w:val="24"/>
      <w:szCs w:val="24"/>
    </w:rPr>
  </w:style>
  <w:style w:type="character" w:customStyle="1" w:styleId="78">
    <w:name w:val="md"/>
    <w:basedOn w:val="52"/>
    <w:autoRedefine/>
    <w:qFormat/>
    <w:uiPriority w:val="0"/>
  </w:style>
  <w:style w:type="character" w:customStyle="1" w:styleId="79">
    <w:name w:val="标题 4 字符"/>
    <w:link w:val="6"/>
    <w:autoRedefine/>
    <w:qFormat/>
    <w:uiPriority w:val="0"/>
    <w:rPr>
      <w:rFonts w:ascii="MS Sans Serif" w:hAnsi="仿宋_GB2312" w:eastAsia="MS Sans Serif"/>
      <w:snapToGrid w:val="0"/>
      <w:sz w:val="24"/>
    </w:rPr>
  </w:style>
  <w:style w:type="character" w:customStyle="1" w:styleId="80">
    <w:name w:val="Char Char21"/>
    <w:autoRedefine/>
    <w:qFormat/>
    <w:uiPriority w:val="0"/>
    <w:rPr>
      <w:rFonts w:eastAsia="Century Gothic"/>
      <w:b/>
      <w:bCs/>
      <w:kern w:val="44"/>
      <w:sz w:val="32"/>
      <w:szCs w:val="44"/>
      <w:lang w:val="en-US" w:eastAsia="zh-CN" w:bidi="ar-SA"/>
    </w:rPr>
  </w:style>
  <w:style w:type="character" w:customStyle="1" w:styleId="81">
    <w:name w:val="zbggmain style9"/>
    <w:autoRedefine/>
    <w:qFormat/>
    <w:uiPriority w:val="0"/>
    <w:rPr>
      <w:rFonts w:ascii="Courier New" w:eastAsia="Courier New"/>
      <w:b/>
      <w:kern w:val="2"/>
      <w:sz w:val="32"/>
      <w:szCs w:val="32"/>
      <w:lang w:val="en-US" w:eastAsia="zh-CN" w:bidi="ar-SA"/>
    </w:rPr>
  </w:style>
  <w:style w:type="character" w:customStyle="1" w:styleId="82">
    <w:name w:val="正文1 Char"/>
    <w:link w:val="59"/>
    <w:autoRedefine/>
    <w:qFormat/>
    <w:locked/>
    <w:uiPriority w:val="0"/>
    <w:rPr>
      <w:rFonts w:ascii="宋体" w:hAnsi="宋体" w:cs="宋体"/>
      <w:sz w:val="21"/>
    </w:rPr>
  </w:style>
  <w:style w:type="character" w:customStyle="1" w:styleId="83">
    <w:name w:val="HTML 预设格式 字符"/>
    <w:link w:val="42"/>
    <w:autoRedefine/>
    <w:qFormat/>
    <w:uiPriority w:val="0"/>
    <w:rPr>
      <w:sz w:val="24"/>
      <w:szCs w:val="24"/>
    </w:rPr>
  </w:style>
  <w:style w:type="character" w:customStyle="1" w:styleId="84">
    <w:name w:val="正文文本 Char1"/>
    <w:autoRedefine/>
    <w:semiHidden/>
    <w:qFormat/>
    <w:uiPriority w:val="0"/>
    <w:rPr>
      <w:kern w:val="2"/>
      <w:sz w:val="21"/>
      <w:szCs w:val="24"/>
    </w:rPr>
  </w:style>
  <w:style w:type="character" w:customStyle="1" w:styleId="85">
    <w:name w:val="普通文字 Char Char1"/>
    <w:autoRedefine/>
    <w:qFormat/>
    <w:uiPriority w:val="0"/>
    <w:rPr>
      <w:rFonts w:ascii="Century Gothic" w:hAnsi="楷体_GB2312" w:eastAsia="Century Gothic" w:cs="楷体_GB2312"/>
      <w:kern w:val="2"/>
      <w:sz w:val="21"/>
      <w:szCs w:val="21"/>
      <w:lang w:val="en-US" w:eastAsia="zh-CN" w:bidi="ar-SA"/>
    </w:rPr>
  </w:style>
  <w:style w:type="character" w:customStyle="1" w:styleId="86">
    <w:name w:val="正文文本缩进 2 字符"/>
    <w:link w:val="28"/>
    <w:autoRedefine/>
    <w:qFormat/>
    <w:locked/>
    <w:uiPriority w:val="0"/>
    <w:rPr>
      <w:rFonts w:ascii="Century Gothic" w:hAnsi="Century Gothic"/>
      <w:kern w:val="2"/>
      <w:sz w:val="24"/>
    </w:rPr>
  </w:style>
  <w:style w:type="character" w:customStyle="1" w:styleId="87">
    <w:name w:val="大汉方案正文 Char1"/>
    <w:link w:val="88"/>
    <w:autoRedefine/>
    <w:qFormat/>
    <w:uiPriority w:val="0"/>
    <w:rPr>
      <w:rFonts w:cs="Times New Roman"/>
      <w:kern w:val="2"/>
      <w:sz w:val="24"/>
      <w:szCs w:val="24"/>
    </w:rPr>
  </w:style>
  <w:style w:type="paragraph" w:customStyle="1" w:styleId="88">
    <w:name w:val="大汉方案正文"/>
    <w:basedOn w:val="1"/>
    <w:link w:val="87"/>
    <w:autoRedefine/>
    <w:qFormat/>
    <w:uiPriority w:val="0"/>
    <w:pPr>
      <w:spacing w:line="360" w:lineRule="auto"/>
      <w:ind w:firstLine="200" w:firstLineChars="200"/>
    </w:pPr>
    <w:rPr>
      <w:sz w:val="24"/>
    </w:rPr>
  </w:style>
  <w:style w:type="character" w:customStyle="1" w:styleId="89">
    <w:name w:val="bulletintext1"/>
    <w:autoRedefine/>
    <w:qFormat/>
    <w:uiPriority w:val="0"/>
    <w:rPr>
      <w:color w:val="000000"/>
      <w:sz w:val="18"/>
    </w:rPr>
  </w:style>
  <w:style w:type="character" w:customStyle="1" w:styleId="90">
    <w:name w:val="zbggtop11 style5"/>
    <w:basedOn w:val="52"/>
    <w:autoRedefine/>
    <w:qFormat/>
    <w:uiPriority w:val="0"/>
  </w:style>
  <w:style w:type="character" w:customStyle="1" w:styleId="91">
    <w:name w:val="tpc_content1"/>
    <w:autoRedefine/>
    <w:qFormat/>
    <w:uiPriority w:val="0"/>
    <w:rPr>
      <w:sz w:val="20"/>
      <w:szCs w:val="20"/>
    </w:rPr>
  </w:style>
  <w:style w:type="character" w:customStyle="1" w:styleId="92">
    <w:name w:val="页脚 字符"/>
    <w:link w:val="30"/>
    <w:autoRedefine/>
    <w:qFormat/>
    <w:uiPriority w:val="99"/>
    <w:rPr>
      <w:rFonts w:eastAsia="Century Gothic"/>
      <w:kern w:val="2"/>
      <w:sz w:val="18"/>
      <w:lang w:val="en-US" w:eastAsia="zh-CN" w:bidi="ar-SA"/>
    </w:rPr>
  </w:style>
  <w:style w:type="character" w:customStyle="1" w:styleId="93">
    <w:name w:val="正文文本 2 字符"/>
    <w:link w:val="41"/>
    <w:autoRedefine/>
    <w:qFormat/>
    <w:uiPriority w:val="0"/>
    <w:rPr>
      <w:kern w:val="2"/>
      <w:sz w:val="24"/>
      <w:szCs w:val="24"/>
    </w:rPr>
  </w:style>
  <w:style w:type="character" w:customStyle="1" w:styleId="94">
    <w:name w:val="表格 Char Char"/>
    <w:link w:val="95"/>
    <w:autoRedefine/>
    <w:qFormat/>
    <w:locked/>
    <w:uiPriority w:val="0"/>
    <w:rPr>
      <w:rFonts w:ascii="宋体" w:hAnsi="宋体"/>
    </w:rPr>
  </w:style>
  <w:style w:type="paragraph" w:customStyle="1" w:styleId="95">
    <w:name w:val="表格"/>
    <w:basedOn w:val="1"/>
    <w:link w:val="94"/>
    <w:autoRedefine/>
    <w:qFormat/>
    <w:uiPriority w:val="0"/>
    <w:pPr>
      <w:snapToGrid w:val="0"/>
      <w:ind w:firstLine="42" w:firstLineChars="21"/>
    </w:pPr>
    <w:rPr>
      <w:rFonts w:ascii="宋体" w:hAnsi="宋体"/>
      <w:kern w:val="0"/>
      <w:sz w:val="20"/>
      <w:szCs w:val="20"/>
    </w:rPr>
  </w:style>
  <w:style w:type="character" w:customStyle="1" w:styleId="96">
    <w:name w:val="批注文字 Char"/>
    <w:link w:val="97"/>
    <w:autoRedefine/>
    <w:qFormat/>
    <w:uiPriority w:val="0"/>
    <w:rPr>
      <w:kern w:val="2"/>
      <w:sz w:val="21"/>
      <w:szCs w:val="24"/>
      <w:lang w:bidi="ar-SA"/>
    </w:rPr>
  </w:style>
  <w:style w:type="paragraph" w:customStyle="1" w:styleId="97">
    <w:name w:val="批注文字1"/>
    <w:basedOn w:val="1"/>
    <w:link w:val="96"/>
    <w:autoRedefine/>
    <w:qFormat/>
    <w:uiPriority w:val="0"/>
    <w:pPr>
      <w:jc w:val="left"/>
    </w:pPr>
  </w:style>
  <w:style w:type="character" w:customStyle="1" w:styleId="98">
    <w:name w:val="文档结构图 字符"/>
    <w:link w:val="15"/>
    <w:autoRedefine/>
    <w:qFormat/>
    <w:uiPriority w:val="0"/>
    <w:rPr>
      <w:kern w:val="2"/>
      <w:sz w:val="21"/>
      <w:szCs w:val="24"/>
      <w:shd w:val="clear" w:color="auto" w:fill="000080"/>
    </w:rPr>
  </w:style>
  <w:style w:type="character" w:customStyle="1" w:styleId="99">
    <w:name w:val="正文2 Char Char"/>
    <w:autoRedefine/>
    <w:qFormat/>
    <w:uiPriority w:val="0"/>
    <w:rPr>
      <w:rFonts w:eastAsia="宋体"/>
      <w:kern w:val="2"/>
      <w:sz w:val="24"/>
      <w:lang w:val="en-US" w:eastAsia="zh-CN" w:bidi="ar-SA"/>
    </w:rPr>
  </w:style>
  <w:style w:type="character" w:customStyle="1" w:styleId="100">
    <w:name w:val="style1"/>
    <w:basedOn w:val="52"/>
    <w:autoRedefine/>
    <w:qFormat/>
    <w:uiPriority w:val="0"/>
  </w:style>
  <w:style w:type="character" w:customStyle="1" w:styleId="101">
    <w:name w:val="正文文本缩进 3 字符"/>
    <w:link w:val="38"/>
    <w:autoRedefine/>
    <w:qFormat/>
    <w:uiPriority w:val="0"/>
    <w:rPr>
      <w:kern w:val="2"/>
      <w:sz w:val="16"/>
      <w:szCs w:val="16"/>
    </w:rPr>
  </w:style>
  <w:style w:type="character" w:customStyle="1" w:styleId="102">
    <w:name w:val="标题 5 字符"/>
    <w:link w:val="7"/>
    <w:autoRedefine/>
    <w:qFormat/>
    <w:uiPriority w:val="0"/>
    <w:rPr>
      <w:rFonts w:ascii="MS Sans Serif" w:eastAsia="MS Sans Serif"/>
      <w:sz w:val="24"/>
    </w:rPr>
  </w:style>
  <w:style w:type="character" w:customStyle="1" w:styleId="103">
    <w:name w:val="Char Char2"/>
    <w:autoRedefine/>
    <w:qFormat/>
    <w:uiPriority w:val="0"/>
    <w:rPr>
      <w:rFonts w:hint="eastAsia" w:ascii="宋体" w:hAnsi="宋体" w:eastAsia="宋体"/>
      <w:snapToGrid w:val="0"/>
      <w:color w:val="000000"/>
      <w:kern w:val="28"/>
      <w:sz w:val="28"/>
      <w:lang w:val="en-US" w:eastAsia="zh-CN" w:bidi="ar-SA"/>
    </w:rPr>
  </w:style>
  <w:style w:type="character" w:customStyle="1" w:styleId="104">
    <w:name w:val="正文缩进 字符"/>
    <w:link w:val="5"/>
    <w:autoRedefine/>
    <w:qFormat/>
    <w:uiPriority w:val="0"/>
    <w:rPr>
      <w:rFonts w:ascii="Arial" w:hAnsi="Arial" w:eastAsia="宋体" w:cs="Arial"/>
      <w:lang w:val="en-US" w:eastAsia="zh-CN" w:bidi="ar-SA"/>
    </w:rPr>
  </w:style>
  <w:style w:type="character" w:customStyle="1" w:styleId="105">
    <w:name w:val="标准文本 Char"/>
    <w:link w:val="106"/>
    <w:autoRedefine/>
    <w:qFormat/>
    <w:uiPriority w:val="0"/>
    <w:rPr>
      <w:rFonts w:eastAsia="宋体" w:cs="宋体"/>
      <w:kern w:val="2"/>
      <w:sz w:val="24"/>
      <w:lang w:val="en-US" w:eastAsia="zh-CN" w:bidi="ar-SA"/>
    </w:rPr>
  </w:style>
  <w:style w:type="paragraph" w:customStyle="1" w:styleId="106">
    <w:name w:val="标准文本"/>
    <w:basedOn w:val="1"/>
    <w:link w:val="105"/>
    <w:autoRedefine/>
    <w:qFormat/>
    <w:uiPriority w:val="0"/>
    <w:pPr>
      <w:spacing w:line="360" w:lineRule="auto"/>
      <w:ind w:firstLine="480" w:firstLineChars="200"/>
    </w:pPr>
    <w:rPr>
      <w:rFonts w:cs="宋体"/>
      <w:sz w:val="24"/>
      <w:szCs w:val="20"/>
    </w:rPr>
  </w:style>
  <w:style w:type="character" w:customStyle="1" w:styleId="107">
    <w:name w:val="apple-converted-space"/>
    <w:autoRedefine/>
    <w:qFormat/>
    <w:uiPriority w:val="0"/>
  </w:style>
  <w:style w:type="character" w:customStyle="1" w:styleId="108">
    <w:name w:val="Char Char"/>
    <w:autoRedefine/>
    <w:qFormat/>
    <w:uiPriority w:val="0"/>
    <w:rPr>
      <w:rFonts w:ascii="Courier New" w:eastAsia="Courier New"/>
      <w:color w:val="FF0000"/>
      <w:kern w:val="2"/>
      <w:sz w:val="24"/>
      <w:szCs w:val="24"/>
      <w:u w:val="single"/>
      <w:lang w:val="en-US" w:eastAsia="zh-CN" w:bidi="ar-SA"/>
    </w:rPr>
  </w:style>
  <w:style w:type="character" w:customStyle="1" w:styleId="109">
    <w:name w:val="正文文本缩进 字符"/>
    <w:link w:val="19"/>
    <w:autoRedefine/>
    <w:semiHidden/>
    <w:qFormat/>
    <w:uiPriority w:val="0"/>
    <w:rPr>
      <w:rFonts w:ascii="Century Gothic" w:hAnsi="Century Gothic" w:eastAsia="Century Gothic"/>
      <w:kern w:val="2"/>
      <w:sz w:val="24"/>
      <w:lang w:val="en-US" w:eastAsia="zh-CN" w:bidi="ar-SA"/>
    </w:rPr>
  </w:style>
  <w:style w:type="character" w:customStyle="1" w:styleId="110">
    <w:name w:val="正文2 Char"/>
    <w:link w:val="111"/>
    <w:autoRedefine/>
    <w:qFormat/>
    <w:uiPriority w:val="0"/>
    <w:rPr>
      <w:rFonts w:eastAsia="宋体"/>
      <w:kern w:val="2"/>
      <w:sz w:val="24"/>
      <w:lang w:val="en-US" w:eastAsia="zh-CN" w:bidi="ar-SA"/>
    </w:rPr>
  </w:style>
  <w:style w:type="paragraph" w:customStyle="1" w:styleId="111">
    <w:name w:val="正文2"/>
    <w:basedOn w:val="1"/>
    <w:link w:val="110"/>
    <w:autoRedefine/>
    <w:qFormat/>
    <w:uiPriority w:val="0"/>
    <w:pPr>
      <w:spacing w:before="156" w:line="360" w:lineRule="auto"/>
      <w:ind w:firstLine="510" w:firstLineChars="200"/>
    </w:pPr>
    <w:rPr>
      <w:sz w:val="24"/>
      <w:szCs w:val="20"/>
    </w:rPr>
  </w:style>
  <w:style w:type="character" w:customStyle="1" w:styleId="112">
    <w:name w:val="marklong"/>
    <w:basedOn w:val="52"/>
    <w:autoRedefine/>
    <w:qFormat/>
    <w:uiPriority w:val="0"/>
  </w:style>
  <w:style w:type="character" w:customStyle="1" w:styleId="113">
    <w:name w:val="标题 8 Char1"/>
    <w:autoRedefine/>
    <w:semiHidden/>
    <w:qFormat/>
    <w:uiPriority w:val="0"/>
    <w:rPr>
      <w:rFonts w:ascii="Cambria" w:hAnsi="Cambria" w:eastAsia="宋体" w:cs="Times New Roman"/>
      <w:kern w:val="2"/>
      <w:sz w:val="24"/>
      <w:szCs w:val="24"/>
    </w:rPr>
  </w:style>
  <w:style w:type="character" w:customStyle="1" w:styleId="114">
    <w:name w:val="PI Char"/>
    <w:autoRedefine/>
    <w:qFormat/>
    <w:uiPriority w:val="0"/>
    <w:rPr>
      <w:rFonts w:ascii="宋体" w:hAnsi="宋体"/>
      <w:kern w:val="2"/>
      <w:sz w:val="24"/>
      <w:szCs w:val="24"/>
    </w:rPr>
  </w:style>
  <w:style w:type="character" w:customStyle="1" w:styleId="115">
    <w:name w:val="标题 7 字符"/>
    <w:link w:val="9"/>
    <w:autoRedefine/>
    <w:qFormat/>
    <w:uiPriority w:val="0"/>
    <w:rPr>
      <w:b/>
      <w:kern w:val="2"/>
      <w:sz w:val="24"/>
    </w:rPr>
  </w:style>
  <w:style w:type="character" w:customStyle="1" w:styleId="116">
    <w:name w:val="批注框文本 字符"/>
    <w:link w:val="29"/>
    <w:autoRedefine/>
    <w:qFormat/>
    <w:uiPriority w:val="0"/>
    <w:rPr>
      <w:kern w:val="2"/>
      <w:sz w:val="18"/>
      <w:szCs w:val="18"/>
    </w:rPr>
  </w:style>
  <w:style w:type="character" w:customStyle="1" w:styleId="117">
    <w:name w:val="标题 6 字符"/>
    <w:link w:val="8"/>
    <w:autoRedefine/>
    <w:qFormat/>
    <w:uiPriority w:val="0"/>
    <w:rPr>
      <w:rFonts w:ascii="黑体" w:hAnsi="黑体" w:eastAsia="楷体"/>
      <w:b/>
      <w:kern w:val="2"/>
      <w:sz w:val="24"/>
    </w:rPr>
  </w:style>
  <w:style w:type="character" w:customStyle="1" w:styleId="118">
    <w:name w:val="正文文本 字符"/>
    <w:link w:val="18"/>
    <w:autoRedefine/>
    <w:qFormat/>
    <w:uiPriority w:val="99"/>
    <w:rPr>
      <w:kern w:val="2"/>
      <w:sz w:val="21"/>
      <w:szCs w:val="24"/>
    </w:rPr>
  </w:style>
  <w:style w:type="character" w:customStyle="1" w:styleId="119">
    <w:name w:val="标题 1 Char1"/>
    <w:autoRedefine/>
    <w:qFormat/>
    <w:uiPriority w:val="0"/>
    <w:rPr>
      <w:b/>
      <w:bCs/>
      <w:kern w:val="44"/>
      <w:sz w:val="44"/>
      <w:szCs w:val="44"/>
    </w:rPr>
  </w:style>
  <w:style w:type="character" w:customStyle="1" w:styleId="120">
    <w:name w:val="标题 9 字符"/>
    <w:link w:val="11"/>
    <w:autoRedefine/>
    <w:qFormat/>
    <w:uiPriority w:val="0"/>
    <w:rPr>
      <w:rFonts w:ascii="黑体" w:hAnsi="黑体" w:eastAsia="楷体"/>
      <w:kern w:val="2"/>
      <w:sz w:val="21"/>
    </w:rPr>
  </w:style>
  <w:style w:type="character" w:customStyle="1" w:styleId="121">
    <w:name w:val="正文文本 3 字符"/>
    <w:link w:val="17"/>
    <w:autoRedefine/>
    <w:qFormat/>
    <w:uiPriority w:val="0"/>
    <w:rPr>
      <w:rFonts w:ascii="Times New Roman" w:hAnsi="Times New Roman" w:cs="Times New Roman"/>
      <w:kern w:val="2"/>
      <w:sz w:val="21"/>
    </w:rPr>
  </w:style>
  <w:style w:type="paragraph" w:customStyle="1" w:styleId="122">
    <w:name w:val="_Style 10"/>
    <w:basedOn w:val="1"/>
    <w:next w:val="1"/>
    <w:autoRedefine/>
    <w:qFormat/>
    <w:uiPriority w:val="0"/>
  </w:style>
  <w:style w:type="paragraph" w:customStyle="1" w:styleId="123">
    <w:name w:val="Char Char8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4">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黑体" w:hAnsi="黑体" w:eastAsia="黑体" w:cs="宋体"/>
      <w:kern w:val="0"/>
      <w:sz w:val="18"/>
      <w:szCs w:val="18"/>
    </w:rPr>
  </w:style>
  <w:style w:type="paragraph" w:customStyle="1" w:styleId="125">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26">
    <w:name w:val="title1"/>
    <w:basedOn w:val="1"/>
    <w:autoRedefine/>
    <w:qFormat/>
    <w:uiPriority w:val="0"/>
    <w:pPr>
      <w:widowControl/>
      <w:spacing w:before="150" w:line="480" w:lineRule="atLeast"/>
      <w:jc w:val="left"/>
    </w:pPr>
    <w:rPr>
      <w:rFonts w:ascii="宋体" w:hAnsi="宋体" w:cs="宋体"/>
      <w:b/>
      <w:bCs/>
      <w:kern w:val="0"/>
      <w:sz w:val="24"/>
    </w:rPr>
  </w:style>
  <w:style w:type="paragraph" w:customStyle="1" w:styleId="127">
    <w:name w:val="样式 表格正文 + 两端对齐"/>
    <w:basedOn w:val="1"/>
    <w:autoRedefine/>
    <w:qFormat/>
    <w:uiPriority w:val="0"/>
    <w:pPr>
      <w:spacing w:line="300" w:lineRule="auto"/>
    </w:pPr>
    <w:rPr>
      <w:sz w:val="24"/>
      <w:szCs w:val="20"/>
    </w:rPr>
  </w:style>
  <w:style w:type="paragraph" w:customStyle="1" w:styleId="12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29">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黑体" w:hAnsi="黑体" w:eastAsia="黑体" w:cs="宋体"/>
      <w:kern w:val="0"/>
      <w:sz w:val="18"/>
      <w:szCs w:val="18"/>
    </w:rPr>
  </w:style>
  <w:style w:type="paragraph" w:customStyle="1" w:styleId="130">
    <w:name w:val="xl38"/>
    <w:basedOn w:val="1"/>
    <w:autoRedefine/>
    <w:qFormat/>
    <w:uiPriority w:val="0"/>
    <w:pPr>
      <w:widowControl/>
      <w:spacing w:before="100" w:beforeAutospacing="1" w:after="100" w:afterAutospacing="1"/>
      <w:jc w:val="left"/>
    </w:pPr>
    <w:rPr>
      <w:rFonts w:ascii="Century Gothic" w:hAnsi="Century Gothic" w:cs="Century Gothic"/>
      <w:kern w:val="0"/>
      <w:sz w:val="18"/>
      <w:szCs w:val="18"/>
    </w:rPr>
  </w:style>
  <w:style w:type="paragraph" w:customStyle="1" w:styleId="131">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kern w:val="0"/>
      <w:sz w:val="20"/>
      <w:szCs w:val="20"/>
    </w:rPr>
  </w:style>
  <w:style w:type="paragraph" w:customStyle="1" w:styleId="132">
    <w:name w:val="xl1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黑体" w:hAnsi="黑体" w:eastAsia="黑体" w:cs="宋体"/>
      <w:kern w:val="0"/>
      <w:sz w:val="20"/>
      <w:szCs w:val="20"/>
    </w:rPr>
  </w:style>
  <w:style w:type="paragraph" w:customStyle="1" w:styleId="133">
    <w:name w:val="Char2"/>
    <w:basedOn w:val="1"/>
    <w:autoRedefine/>
    <w:qFormat/>
    <w:uiPriority w:val="0"/>
    <w:rPr>
      <w:rFonts w:ascii="仿宋_GB2312" w:eastAsia="仿宋_GB2312"/>
      <w:b/>
      <w:sz w:val="32"/>
      <w:szCs w:val="32"/>
    </w:rPr>
  </w:style>
  <w:style w:type="paragraph" w:customStyle="1" w:styleId="134">
    <w:name w:val="正文缩进1"/>
    <w:basedOn w:val="1"/>
    <w:autoRedefine/>
    <w:qFormat/>
    <w:uiPriority w:val="0"/>
    <w:pPr>
      <w:adjustRightInd w:val="0"/>
      <w:spacing w:line="360" w:lineRule="auto"/>
      <w:ind w:firstLine="540" w:firstLineChars="225"/>
      <w:textAlignment w:val="baseline"/>
    </w:pPr>
    <w:rPr>
      <w:sz w:val="24"/>
      <w:szCs w:val="20"/>
    </w:rPr>
  </w:style>
  <w:style w:type="paragraph" w:customStyle="1" w:styleId="135">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0"/>
      <w:szCs w:val="20"/>
    </w:rPr>
  </w:style>
  <w:style w:type="paragraph" w:customStyle="1" w:styleId="136">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37">
    <w:name w:val="标书标题4"/>
    <w:basedOn w:val="6"/>
    <w:autoRedefine/>
    <w:qFormat/>
    <w:uiPriority w:val="0"/>
    <w:pPr>
      <w:widowControl w:val="0"/>
      <w:adjustRightInd w:val="0"/>
      <w:snapToGrid w:val="0"/>
      <w:spacing w:line="300" w:lineRule="auto"/>
      <w:jc w:val="both"/>
    </w:pPr>
    <w:rPr>
      <w:rFonts w:eastAsia="Courier New"/>
      <w:b/>
      <w:snapToGrid/>
      <w:color w:val="000000"/>
      <w:sz w:val="28"/>
      <w:szCs w:val="32"/>
    </w:rPr>
  </w:style>
  <w:style w:type="paragraph" w:customStyle="1" w:styleId="138">
    <w:name w:val="xl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139">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40">
    <w:name w:val="xl3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141">
    <w:name w:val="缺省文本"/>
    <w:basedOn w:val="1"/>
    <w:autoRedefine/>
    <w:qFormat/>
    <w:uiPriority w:val="0"/>
    <w:pPr>
      <w:autoSpaceDE w:val="0"/>
      <w:autoSpaceDN w:val="0"/>
      <w:adjustRightInd w:val="0"/>
      <w:jc w:val="left"/>
    </w:pPr>
    <w:rPr>
      <w:kern w:val="0"/>
      <w:sz w:val="24"/>
    </w:rPr>
  </w:style>
  <w:style w:type="paragraph" w:customStyle="1" w:styleId="142">
    <w:name w:val="p0"/>
    <w:basedOn w:val="1"/>
    <w:autoRedefine/>
    <w:qFormat/>
    <w:uiPriority w:val="0"/>
    <w:pPr>
      <w:widowControl/>
    </w:pPr>
    <w:rPr>
      <w:kern w:val="0"/>
      <w:szCs w:val="21"/>
    </w:rPr>
  </w:style>
  <w:style w:type="paragraph" w:customStyle="1" w:styleId="143">
    <w:name w:val="Char1 Char Char Char"/>
    <w:basedOn w:val="1"/>
    <w:autoRedefine/>
    <w:qFormat/>
    <w:uiPriority w:val="0"/>
    <w:rPr>
      <w:rFonts w:ascii="Tahoma" w:hAnsi="Tahoma"/>
      <w:sz w:val="24"/>
      <w:szCs w:val="20"/>
    </w:rPr>
  </w:style>
  <w:style w:type="paragraph" w:customStyle="1" w:styleId="144">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黑体" w:hAnsi="黑体" w:eastAsia="黑体" w:cs="宋体"/>
      <w:kern w:val="0"/>
      <w:sz w:val="20"/>
      <w:szCs w:val="20"/>
    </w:rPr>
  </w:style>
  <w:style w:type="paragraph" w:customStyle="1" w:styleId="145">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146">
    <w:name w:val="xl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147">
    <w:name w:val="xl3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148">
    <w:name w:val="Char Char1 Char"/>
    <w:basedOn w:val="1"/>
    <w:autoRedefine/>
    <w:qFormat/>
    <w:uiPriority w:val="0"/>
    <w:pPr>
      <w:widowControl/>
      <w:snapToGrid w:val="0"/>
      <w:spacing w:before="120" w:after="160" w:line="360" w:lineRule="auto"/>
      <w:ind w:right="-360"/>
      <w:jc w:val="left"/>
    </w:pPr>
    <w:rPr>
      <w:kern w:val="0"/>
      <w:sz w:val="24"/>
      <w:lang w:eastAsia="en-US"/>
    </w:rPr>
  </w:style>
  <w:style w:type="paragraph" w:customStyle="1" w:styleId="149">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50">
    <w:name w:val="xl3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151">
    <w:name w:val="Char Char Char Char Char Char Char Char"/>
    <w:basedOn w:val="1"/>
    <w:autoRedefine/>
    <w:qFormat/>
    <w:uiPriority w:val="0"/>
    <w:pPr>
      <w:tabs>
        <w:tab w:val="left" w:pos="360"/>
      </w:tabs>
    </w:pPr>
    <w:rPr>
      <w:rFonts w:ascii="Calibri" w:hAnsi="Calibri"/>
      <w:szCs w:val="20"/>
    </w:rPr>
  </w:style>
  <w:style w:type="paragraph" w:customStyle="1" w:styleId="152">
    <w:name w:val="此正文"/>
    <w:basedOn w:val="1"/>
    <w:autoRedefine/>
    <w:qFormat/>
    <w:uiPriority w:val="0"/>
    <w:pPr>
      <w:spacing w:line="360" w:lineRule="auto"/>
      <w:ind w:firstLine="200" w:firstLineChars="200"/>
    </w:pPr>
    <w:rPr>
      <w:sz w:val="24"/>
    </w:rPr>
  </w:style>
  <w:style w:type="paragraph" w:customStyle="1" w:styleId="153">
    <w:name w:val="节"/>
    <w:basedOn w:val="3"/>
    <w:autoRedefine/>
    <w:qFormat/>
    <w:uiPriority w:val="0"/>
    <w:pPr>
      <w:adjustRightInd/>
      <w:spacing w:before="160" w:after="160" w:line="720" w:lineRule="exact"/>
      <w:jc w:val="center"/>
    </w:pPr>
    <w:rPr>
      <w:rFonts w:ascii="Arial" w:hAnsi="Arial"/>
      <w:b w:val="0"/>
      <w:color w:val="000000"/>
      <w:spacing w:val="14"/>
      <w:kern w:val="24"/>
      <w:sz w:val="28"/>
      <w:szCs w:val="20"/>
    </w:rPr>
  </w:style>
  <w:style w:type="paragraph" w:customStyle="1" w:styleId="154">
    <w:name w:val="CM11"/>
    <w:basedOn w:val="1"/>
    <w:next w:val="1"/>
    <w:autoRedefine/>
    <w:qFormat/>
    <w:uiPriority w:val="0"/>
    <w:pPr>
      <w:autoSpaceDE w:val="0"/>
      <w:autoSpaceDN w:val="0"/>
      <w:adjustRightInd w:val="0"/>
      <w:spacing w:line="400" w:lineRule="atLeast"/>
      <w:jc w:val="left"/>
    </w:pPr>
    <w:rPr>
      <w:rFonts w:ascii="仿宋_GB2312" w:eastAsia="仿宋_GB2312"/>
      <w:kern w:val="0"/>
      <w:sz w:val="24"/>
    </w:rPr>
  </w:style>
  <w:style w:type="paragraph" w:customStyle="1" w:styleId="155">
    <w:name w:val="彩色列表 - 强调文字颜色 12"/>
    <w:basedOn w:val="1"/>
    <w:autoRedefine/>
    <w:qFormat/>
    <w:uiPriority w:val="34"/>
    <w:pPr>
      <w:ind w:firstLine="420" w:firstLineChars="200"/>
    </w:pPr>
  </w:style>
  <w:style w:type="paragraph" w:customStyle="1" w:styleId="156">
    <w:name w:val="xl3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15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kern w:val="0"/>
      <w:sz w:val="18"/>
      <w:szCs w:val="18"/>
    </w:rPr>
  </w:style>
  <w:style w:type="paragraph" w:customStyle="1" w:styleId="158">
    <w:name w:val="xl9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59">
    <w:name w:val="Char1"/>
    <w:basedOn w:val="1"/>
    <w:autoRedefine/>
    <w:qFormat/>
    <w:uiPriority w:val="0"/>
    <w:pPr>
      <w:widowControl/>
      <w:spacing w:after="160" w:line="240" w:lineRule="exact"/>
      <w:jc w:val="left"/>
    </w:pPr>
    <w:rPr>
      <w:szCs w:val="20"/>
    </w:rPr>
  </w:style>
  <w:style w:type="paragraph" w:customStyle="1" w:styleId="160">
    <w:name w:val="xl27"/>
    <w:basedOn w:val="1"/>
    <w:autoRedefine/>
    <w:qFormat/>
    <w:uiPriority w:val="0"/>
    <w:pPr>
      <w:widowControl/>
      <w:pBdr>
        <w:bottom w:val="single" w:color="auto" w:sz="4" w:space="0"/>
      </w:pBdr>
      <w:spacing w:before="100" w:beforeAutospacing="1" w:after="100" w:afterAutospacing="1"/>
      <w:jc w:val="center"/>
      <w:textAlignment w:val="center"/>
    </w:pPr>
    <w:rPr>
      <w:rFonts w:ascii="Arial Narrow" w:hAnsi="Century Gothic" w:eastAsia="Arial Narrow" w:cs="Century Gothic"/>
      <w:kern w:val="0"/>
      <w:sz w:val="36"/>
      <w:szCs w:val="36"/>
    </w:rPr>
  </w:style>
  <w:style w:type="paragraph" w:customStyle="1" w:styleId="161">
    <w:name w:val="正文文字格式"/>
    <w:basedOn w:val="1"/>
    <w:autoRedefine/>
    <w:qFormat/>
    <w:uiPriority w:val="0"/>
    <w:pPr>
      <w:spacing w:line="460" w:lineRule="exact"/>
      <w:ind w:firstLine="505"/>
      <w:jc w:val="left"/>
    </w:pPr>
    <w:rPr>
      <w:rFonts w:ascii="Century Gothic"/>
      <w:kern w:val="24"/>
      <w:sz w:val="24"/>
      <w:szCs w:val="20"/>
    </w:rPr>
  </w:style>
  <w:style w:type="paragraph" w:customStyle="1" w:styleId="162">
    <w:name w:val="Char11"/>
    <w:basedOn w:val="1"/>
    <w:autoRedefine/>
    <w:qFormat/>
    <w:uiPriority w:val="0"/>
    <w:rPr>
      <w:rFonts w:ascii="仿宋_GB2312" w:eastAsia="仿宋_GB2312"/>
      <w:b/>
      <w:kern w:val="32"/>
      <w:sz w:val="24"/>
    </w:rPr>
  </w:style>
  <w:style w:type="paragraph" w:customStyle="1" w:styleId="16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64">
    <w:name w:val="font1"/>
    <w:basedOn w:val="1"/>
    <w:autoRedefine/>
    <w:qFormat/>
    <w:uiPriority w:val="0"/>
    <w:pPr>
      <w:widowControl/>
      <w:spacing w:before="100" w:beforeAutospacing="1" w:after="100" w:afterAutospacing="1"/>
      <w:jc w:val="left"/>
    </w:pPr>
    <w:rPr>
      <w:rFonts w:ascii="Century Gothic" w:hAnsi="Century Gothic"/>
      <w:kern w:val="0"/>
      <w:sz w:val="24"/>
      <w:szCs w:val="20"/>
    </w:rPr>
  </w:style>
  <w:style w:type="paragraph" w:customStyle="1" w:styleId="165">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66">
    <w:name w:val="xl3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167">
    <w:name w:val="Char3 Char Char Char"/>
    <w:basedOn w:val="1"/>
    <w:autoRedefine/>
    <w:qFormat/>
    <w:uiPriority w:val="0"/>
    <w:pPr>
      <w:widowControl/>
      <w:spacing w:after="160" w:line="240" w:lineRule="exact"/>
      <w:jc w:val="left"/>
    </w:pPr>
    <w:rPr>
      <w:szCs w:val="20"/>
    </w:rPr>
  </w:style>
  <w:style w:type="paragraph" w:customStyle="1" w:styleId="168">
    <w:name w:val="Char Char8 Char Char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9">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7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7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72">
    <w:name w:val="xl9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73">
    <w:name w:val="xl5512344"/>
    <w:basedOn w:val="1"/>
    <w:autoRedefine/>
    <w:qFormat/>
    <w:uiPriority w:val="0"/>
    <w:pPr>
      <w:widowControl/>
      <w:spacing w:before="100" w:beforeAutospacing="1" w:after="100" w:afterAutospacing="1"/>
      <w:jc w:val="center"/>
      <w:textAlignment w:val="bottom"/>
    </w:pPr>
    <w:rPr>
      <w:rFonts w:hint="eastAsia" w:ascii="宋体" w:hAnsi="宋体"/>
      <w:kern w:val="0"/>
      <w:szCs w:val="21"/>
    </w:rPr>
  </w:style>
  <w:style w:type="paragraph" w:customStyle="1" w:styleId="17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0"/>
      <w:szCs w:val="20"/>
    </w:rPr>
  </w:style>
  <w:style w:type="paragraph" w:customStyle="1" w:styleId="175">
    <w:name w:val="样式 宋体 小四 行距: 1.5 倍行距 首行缩进:  2 字符"/>
    <w:basedOn w:val="1"/>
    <w:autoRedefine/>
    <w:qFormat/>
    <w:uiPriority w:val="0"/>
    <w:pPr>
      <w:spacing w:line="360" w:lineRule="auto"/>
      <w:ind w:firstLine="200" w:firstLineChars="200"/>
    </w:pPr>
    <w:rPr>
      <w:rFonts w:ascii="宋体" w:hAnsi="宋体" w:cs="宋体"/>
      <w:sz w:val="24"/>
      <w:szCs w:val="20"/>
    </w:rPr>
  </w:style>
  <w:style w:type="paragraph" w:customStyle="1" w:styleId="176">
    <w:name w:val="xl1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0"/>
      <w:szCs w:val="20"/>
    </w:rPr>
  </w:style>
  <w:style w:type="paragraph" w:customStyle="1" w:styleId="177">
    <w:name w:val="xl3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178">
    <w:name w:val="彩色列表 - 强调文字颜色 11"/>
    <w:basedOn w:val="1"/>
    <w:autoRedefine/>
    <w:qFormat/>
    <w:uiPriority w:val="0"/>
    <w:pPr>
      <w:widowControl/>
      <w:ind w:firstLine="420" w:firstLineChars="200"/>
      <w:jc w:val="left"/>
    </w:pPr>
    <w:rPr>
      <w:rFonts w:ascii="宋体" w:hAnsi="宋体" w:cs="宋体"/>
      <w:kern w:val="0"/>
      <w:sz w:val="24"/>
    </w:rPr>
  </w:style>
  <w:style w:type="paragraph" w:customStyle="1" w:styleId="179">
    <w:name w:val="font5"/>
    <w:basedOn w:val="1"/>
    <w:autoRedefine/>
    <w:qFormat/>
    <w:uiPriority w:val="0"/>
    <w:pPr>
      <w:widowControl/>
      <w:spacing w:before="100" w:beforeAutospacing="1" w:after="100" w:afterAutospacing="1"/>
      <w:jc w:val="left"/>
    </w:pPr>
    <w:rPr>
      <w:rFonts w:ascii="Century Gothic" w:hAnsi="Century Gothic" w:cs="Century Gothic"/>
      <w:kern w:val="0"/>
      <w:sz w:val="18"/>
      <w:szCs w:val="18"/>
    </w:rPr>
  </w:style>
  <w:style w:type="paragraph" w:customStyle="1" w:styleId="180">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181">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黑体" w:hAnsi="黑体" w:eastAsia="黑体" w:cs="宋体"/>
      <w:kern w:val="0"/>
      <w:sz w:val="18"/>
      <w:szCs w:val="18"/>
    </w:rPr>
  </w:style>
  <w:style w:type="paragraph" w:customStyle="1" w:styleId="182">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18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18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黑体" w:hAnsi="黑体" w:eastAsia="黑体" w:cs="宋体"/>
      <w:kern w:val="0"/>
      <w:sz w:val="20"/>
      <w:szCs w:val="20"/>
    </w:rPr>
  </w:style>
  <w:style w:type="paragraph" w:customStyle="1" w:styleId="185">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黑体" w:hAnsi="黑体" w:eastAsia="黑体" w:cs="宋体"/>
      <w:kern w:val="0"/>
      <w:sz w:val="20"/>
      <w:szCs w:val="20"/>
    </w:rPr>
  </w:style>
  <w:style w:type="paragraph" w:customStyle="1" w:styleId="186">
    <w:name w:val="正文文本 21"/>
    <w:basedOn w:val="1"/>
    <w:autoRedefine/>
    <w:qFormat/>
    <w:uiPriority w:val="0"/>
    <w:pPr>
      <w:adjustRightInd w:val="0"/>
      <w:spacing w:line="300" w:lineRule="auto"/>
      <w:jc w:val="center"/>
    </w:pPr>
    <w:rPr>
      <w:rFonts w:hint="eastAsia" w:ascii="Century Gothic" w:hAnsi="Century Gothic"/>
      <w:sz w:val="24"/>
      <w:szCs w:val="20"/>
    </w:rPr>
  </w:style>
  <w:style w:type="paragraph" w:customStyle="1" w:styleId="187">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黑体" w:hAnsi="黑体" w:eastAsia="黑体" w:cs="宋体"/>
      <w:kern w:val="0"/>
      <w:sz w:val="18"/>
      <w:szCs w:val="18"/>
    </w:rPr>
  </w:style>
  <w:style w:type="paragraph" w:customStyle="1" w:styleId="188">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黑体" w:hAnsi="黑体" w:eastAsia="黑体" w:cs="宋体"/>
      <w:kern w:val="0"/>
      <w:sz w:val="20"/>
      <w:szCs w:val="20"/>
    </w:rPr>
  </w:style>
  <w:style w:type="paragraph" w:customStyle="1" w:styleId="189">
    <w:name w:val="表"/>
    <w:autoRedefine/>
    <w:qFormat/>
    <w:uiPriority w:val="0"/>
    <w:pPr>
      <w:jc w:val="center"/>
    </w:pPr>
    <w:rPr>
      <w:rFonts w:ascii="Times New Roman" w:hAnsi="Times New Roman" w:eastAsia="微软雅黑" w:cs="Times New Roman"/>
      <w:sz w:val="16"/>
      <w:szCs w:val="21"/>
      <w:lang w:val="en-US" w:eastAsia="zh-CN" w:bidi="ar-SA"/>
    </w:rPr>
  </w:style>
  <w:style w:type="paragraph" w:customStyle="1" w:styleId="190">
    <w:name w:val="正文文字表格居中"/>
    <w:basedOn w:val="1"/>
    <w:next w:val="41"/>
    <w:autoRedefine/>
    <w:qFormat/>
    <w:uiPriority w:val="0"/>
    <w:pPr>
      <w:snapToGrid w:val="0"/>
      <w:spacing w:line="360" w:lineRule="auto"/>
    </w:pPr>
    <w:rPr>
      <w:rFonts w:ascii="宋体"/>
      <w:b/>
      <w:sz w:val="24"/>
      <w:szCs w:val="20"/>
    </w:rPr>
  </w:style>
  <w:style w:type="paragraph" w:customStyle="1" w:styleId="191">
    <w:name w:val="正文段"/>
    <w:basedOn w:val="1"/>
    <w:autoRedefine/>
    <w:qFormat/>
    <w:uiPriority w:val="0"/>
    <w:pPr>
      <w:widowControl/>
      <w:snapToGrid w:val="0"/>
      <w:spacing w:afterLines="50"/>
      <w:ind w:firstLine="200" w:firstLineChars="200"/>
    </w:pPr>
    <w:rPr>
      <w:kern w:val="0"/>
      <w:sz w:val="24"/>
      <w:szCs w:val="20"/>
    </w:rPr>
  </w:style>
  <w:style w:type="paragraph" w:customStyle="1" w:styleId="192">
    <w:name w:val="Char Char Char Char2"/>
    <w:basedOn w:val="1"/>
    <w:autoRedefine/>
    <w:qFormat/>
    <w:uiPriority w:val="0"/>
    <w:rPr>
      <w:szCs w:val="20"/>
    </w:rPr>
  </w:style>
  <w:style w:type="paragraph" w:customStyle="1" w:styleId="193">
    <w:name w:val="CM7"/>
    <w:basedOn w:val="1"/>
    <w:next w:val="1"/>
    <w:autoRedefine/>
    <w:qFormat/>
    <w:uiPriority w:val="0"/>
    <w:pPr>
      <w:autoSpaceDE w:val="0"/>
      <w:autoSpaceDN w:val="0"/>
      <w:adjustRightInd w:val="0"/>
      <w:spacing w:line="400" w:lineRule="atLeast"/>
      <w:jc w:val="left"/>
    </w:pPr>
    <w:rPr>
      <w:rFonts w:ascii="仿宋_GB2312" w:eastAsia="仿宋_GB2312"/>
      <w:kern w:val="0"/>
      <w:sz w:val="24"/>
    </w:rPr>
  </w:style>
  <w:style w:type="paragraph" w:customStyle="1" w:styleId="194">
    <w:name w:val="font7"/>
    <w:basedOn w:val="1"/>
    <w:autoRedefine/>
    <w:qFormat/>
    <w:uiPriority w:val="0"/>
    <w:pPr>
      <w:widowControl/>
      <w:spacing w:before="100" w:beforeAutospacing="1" w:after="100" w:afterAutospacing="1"/>
      <w:jc w:val="left"/>
    </w:pPr>
    <w:rPr>
      <w:rFonts w:ascii="黑体" w:hAnsi="黑体" w:eastAsia="黑体" w:cs="宋体"/>
      <w:kern w:val="0"/>
      <w:sz w:val="18"/>
      <w:szCs w:val="18"/>
    </w:rPr>
  </w:style>
  <w:style w:type="paragraph" w:customStyle="1" w:styleId="195">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96">
    <w:name w:val="正文文本 22"/>
    <w:basedOn w:val="1"/>
    <w:autoRedefine/>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197">
    <w:name w:val="Char Char1 Char Char Char"/>
    <w:basedOn w:val="1"/>
    <w:autoRedefine/>
    <w:qFormat/>
    <w:uiPriority w:val="0"/>
    <w:rPr>
      <w:rFonts w:ascii="仿宋_GB2312" w:eastAsia="仿宋_GB2312"/>
      <w:b/>
      <w:sz w:val="32"/>
      <w:szCs w:val="32"/>
    </w:rPr>
  </w:style>
  <w:style w:type="paragraph" w:customStyle="1" w:styleId="198">
    <w:name w:val="Char12"/>
    <w:basedOn w:val="1"/>
    <w:autoRedefine/>
    <w:qFormat/>
    <w:uiPriority w:val="0"/>
    <w:rPr>
      <w:rFonts w:ascii="仿宋_GB2312" w:eastAsia="仿宋_GB2312"/>
      <w:b/>
      <w:kern w:val="32"/>
      <w:sz w:val="24"/>
    </w:rPr>
  </w:style>
  <w:style w:type="paragraph" w:customStyle="1" w:styleId="199">
    <w:name w:val="正文文本 211"/>
    <w:basedOn w:val="1"/>
    <w:autoRedefine/>
    <w:qFormat/>
    <w:uiPriority w:val="0"/>
    <w:pPr>
      <w:widowControl/>
      <w:overflowPunct w:val="0"/>
      <w:autoSpaceDE w:val="0"/>
      <w:autoSpaceDN w:val="0"/>
      <w:adjustRightInd w:val="0"/>
      <w:ind w:left="720" w:hanging="720"/>
    </w:pPr>
    <w:rPr>
      <w:kern w:val="0"/>
      <w:sz w:val="24"/>
      <w:szCs w:val="20"/>
      <w:lang w:val="en-GB"/>
    </w:rPr>
  </w:style>
  <w:style w:type="paragraph" w:customStyle="1" w:styleId="20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szCs w:val="20"/>
    </w:rPr>
  </w:style>
  <w:style w:type="paragraph" w:customStyle="1" w:styleId="201">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202">
    <w:name w:val="Char Char3"/>
    <w:basedOn w:val="1"/>
    <w:autoRedefine/>
    <w:qFormat/>
    <w:uiPriority w:val="0"/>
    <w:pPr>
      <w:spacing w:line="360" w:lineRule="auto"/>
    </w:pPr>
    <w:rPr>
      <w:rFonts w:ascii="Tahoma" w:hAnsi="Tahoma"/>
      <w:sz w:val="24"/>
      <w:szCs w:val="20"/>
    </w:rPr>
  </w:style>
  <w:style w:type="paragraph" w:customStyle="1" w:styleId="203">
    <w:name w:val="Char3 Char Char Char Char Char Char"/>
    <w:basedOn w:val="1"/>
    <w:autoRedefine/>
    <w:qFormat/>
    <w:uiPriority w:val="0"/>
    <w:pPr>
      <w:spacing w:line="360" w:lineRule="auto"/>
    </w:pPr>
    <w:rPr>
      <w:rFonts w:eastAsia="黑体"/>
      <w:snapToGrid w:val="0"/>
      <w:kern w:val="0"/>
      <w:szCs w:val="21"/>
    </w:rPr>
  </w:style>
  <w:style w:type="paragraph" w:customStyle="1" w:styleId="20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05">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黑体" w:hAnsi="黑体" w:eastAsia="黑体" w:cs="宋体"/>
      <w:kern w:val="0"/>
      <w:sz w:val="18"/>
      <w:szCs w:val="18"/>
    </w:rPr>
  </w:style>
  <w:style w:type="paragraph" w:customStyle="1" w:styleId="20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07">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08">
    <w:name w:val="Char Char Char Char Char Char Char Char1"/>
    <w:basedOn w:val="1"/>
    <w:autoRedefine/>
    <w:qFormat/>
    <w:uiPriority w:val="0"/>
    <w:pPr>
      <w:tabs>
        <w:tab w:val="left" w:pos="360"/>
      </w:tabs>
    </w:pPr>
    <w:rPr>
      <w:sz w:val="24"/>
    </w:rPr>
  </w:style>
  <w:style w:type="paragraph" w:customStyle="1" w:styleId="209">
    <w:name w:val="CM19"/>
    <w:basedOn w:val="62"/>
    <w:next w:val="62"/>
    <w:autoRedefine/>
    <w:qFormat/>
    <w:uiPriority w:val="0"/>
    <w:pPr>
      <w:spacing w:line="400" w:lineRule="atLeast"/>
    </w:pPr>
    <w:rPr>
      <w:rFonts w:ascii="仿宋_GB2312" w:eastAsia="仿宋_GB2312"/>
      <w:color w:val="auto"/>
    </w:rPr>
  </w:style>
  <w:style w:type="paragraph" w:customStyle="1" w:styleId="210">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kern w:val="0"/>
      <w:sz w:val="20"/>
      <w:szCs w:val="20"/>
    </w:rPr>
  </w:style>
  <w:style w:type="paragraph" w:customStyle="1" w:styleId="211">
    <w:name w:val="IBM 正文"/>
    <w:basedOn w:val="1"/>
    <w:autoRedefine/>
    <w:qFormat/>
    <w:uiPriority w:val="0"/>
    <w:pPr>
      <w:spacing w:line="400" w:lineRule="exact"/>
    </w:pPr>
    <w:rPr>
      <w:spacing w:val="20"/>
      <w:sz w:val="24"/>
      <w:szCs w:val="20"/>
    </w:rPr>
  </w:style>
  <w:style w:type="paragraph" w:customStyle="1" w:styleId="212">
    <w:name w:val="Char Char Char Char1"/>
    <w:basedOn w:val="1"/>
    <w:autoRedefine/>
    <w:qFormat/>
    <w:uiPriority w:val="0"/>
    <w:rPr>
      <w:rFonts w:ascii="Tahoma" w:hAnsi="Tahoma"/>
      <w:sz w:val="24"/>
      <w:szCs w:val="20"/>
    </w:rPr>
  </w:style>
  <w:style w:type="paragraph" w:customStyle="1" w:styleId="213">
    <w:name w:val="样式5"/>
    <w:basedOn w:val="6"/>
    <w:autoRedefine/>
    <w:qFormat/>
    <w:uiPriority w:val="0"/>
    <w:pPr>
      <w:keepLines/>
      <w:widowControl w:val="0"/>
      <w:spacing w:before="280" w:after="290" w:line="376" w:lineRule="auto"/>
    </w:pPr>
    <w:rPr>
      <w:rFonts w:ascii="Century Gothic" w:hAnsi="Century Gothic" w:eastAsia="Century Gothic"/>
      <w:b/>
      <w:bCs/>
      <w:snapToGrid/>
      <w:kern w:val="2"/>
      <w:sz w:val="32"/>
      <w:szCs w:val="32"/>
    </w:rPr>
  </w:style>
  <w:style w:type="paragraph" w:customStyle="1" w:styleId="214">
    <w:name w:val="样式 标题 2 + 四号"/>
    <w:basedOn w:val="3"/>
    <w:autoRedefine/>
    <w:qFormat/>
    <w:uiPriority w:val="0"/>
    <w:pPr>
      <w:adjustRightInd/>
      <w:spacing w:before="0" w:after="0" w:line="360" w:lineRule="auto"/>
      <w:ind w:hanging="311" w:hangingChars="311"/>
      <w:jc w:val="both"/>
    </w:pPr>
    <w:rPr>
      <w:rFonts w:ascii="宋体" w:hAnsi="Arial" w:eastAsia="宋体"/>
      <w:sz w:val="28"/>
      <w:szCs w:val="24"/>
    </w:rPr>
  </w:style>
  <w:style w:type="paragraph" w:customStyle="1" w:styleId="215">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216">
    <w:name w:val="Char2 Char Char Char"/>
    <w:basedOn w:val="1"/>
    <w:autoRedefine/>
    <w:qFormat/>
    <w:uiPriority w:val="0"/>
    <w:rPr>
      <w:rFonts w:ascii="仿宋_GB2312" w:eastAsia="仿宋_GB2312"/>
      <w:b/>
      <w:sz w:val="32"/>
      <w:szCs w:val="32"/>
    </w:rPr>
  </w:style>
  <w:style w:type="paragraph" w:customStyle="1" w:styleId="217">
    <w:name w:val="xl30"/>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styleId="218">
    <w:name w:val="List Paragraph"/>
    <w:basedOn w:val="1"/>
    <w:autoRedefine/>
    <w:qFormat/>
    <w:uiPriority w:val="34"/>
    <w:pPr>
      <w:spacing w:line="360" w:lineRule="auto"/>
      <w:ind w:firstLine="420" w:firstLineChars="200"/>
    </w:pPr>
    <w:rPr>
      <w:rFonts w:ascii="Calibri" w:hAnsi="Calibri"/>
      <w:szCs w:val="22"/>
    </w:rPr>
  </w:style>
  <w:style w:type="paragraph" w:customStyle="1" w:styleId="219">
    <w:name w:val="xl93"/>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22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221">
    <w:name w:val="标书标题2"/>
    <w:basedOn w:val="3"/>
    <w:autoRedefine/>
    <w:qFormat/>
    <w:uiPriority w:val="0"/>
    <w:pPr>
      <w:keepLines w:val="0"/>
      <w:widowControl/>
      <w:tabs>
        <w:tab w:val="left" w:pos="1320"/>
      </w:tabs>
      <w:snapToGrid w:val="0"/>
      <w:spacing w:beforeLines="50" w:after="60" w:line="300" w:lineRule="auto"/>
      <w:ind w:left="1320" w:hanging="420"/>
      <w:jc w:val="both"/>
    </w:pPr>
    <w:rPr>
      <w:rFonts w:eastAsia="Courier New"/>
      <w:color w:val="000000"/>
      <w:kern w:val="0"/>
      <w:sz w:val="28"/>
      <w:szCs w:val="20"/>
    </w:rPr>
  </w:style>
  <w:style w:type="paragraph" w:customStyle="1" w:styleId="222">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0"/>
      <w:szCs w:val="20"/>
    </w:rPr>
  </w:style>
  <w:style w:type="paragraph" w:customStyle="1" w:styleId="223">
    <w:name w:val="Char"/>
    <w:basedOn w:val="1"/>
    <w:autoRedefine/>
    <w:qFormat/>
    <w:uiPriority w:val="0"/>
  </w:style>
  <w:style w:type="paragraph" w:customStyle="1" w:styleId="224">
    <w:name w:val="Char Char1"/>
    <w:basedOn w:val="1"/>
    <w:autoRedefine/>
    <w:qFormat/>
    <w:uiPriority w:val="0"/>
    <w:pPr>
      <w:widowControl/>
      <w:spacing w:after="160" w:line="240" w:lineRule="exact"/>
      <w:jc w:val="left"/>
    </w:pPr>
    <w:rPr>
      <w:rFonts w:eastAsia="仿宋_GB2312"/>
      <w:sz w:val="28"/>
    </w:rPr>
  </w:style>
  <w:style w:type="paragraph" w:customStyle="1" w:styleId="225">
    <w:name w:val="表格左对齐"/>
    <w:basedOn w:val="1"/>
    <w:autoRedefine/>
    <w:qFormat/>
    <w:uiPriority w:val="0"/>
    <w:rPr>
      <w:rFonts w:ascii="仿宋_GB2312" w:eastAsia="仿宋_GB2312"/>
      <w:bCs/>
      <w:szCs w:val="21"/>
    </w:rPr>
  </w:style>
  <w:style w:type="paragraph" w:customStyle="1" w:styleId="226">
    <w:name w:val="Test2"/>
    <w:basedOn w:val="3"/>
    <w:autoRedefine/>
    <w:qFormat/>
    <w:uiPriority w:val="0"/>
    <w:pPr>
      <w:keepNext w:val="0"/>
      <w:widowControl/>
      <w:tabs>
        <w:tab w:val="left" w:pos="576"/>
      </w:tabs>
      <w:snapToGrid w:val="0"/>
      <w:spacing w:beforeLines="50" w:afterLines="50" w:line="240" w:lineRule="atLeast"/>
      <w:ind w:left="749" w:hanging="749" w:hangingChars="311"/>
    </w:pPr>
    <w:rPr>
      <w:rFonts w:ascii="宋体" w:hAnsi="Arial" w:eastAsia="宋体"/>
      <w:kern w:val="0"/>
      <w:sz w:val="28"/>
      <w:szCs w:val="24"/>
    </w:rPr>
  </w:style>
  <w:style w:type="paragraph" w:customStyle="1" w:styleId="227">
    <w:name w:val="Char3"/>
    <w:basedOn w:val="1"/>
    <w:autoRedefine/>
    <w:qFormat/>
    <w:uiPriority w:val="0"/>
    <w:rPr>
      <w:rFonts w:ascii="Courier New" w:eastAsia="Courier New"/>
      <w:b/>
      <w:sz w:val="32"/>
      <w:szCs w:val="32"/>
    </w:rPr>
  </w:style>
  <w:style w:type="paragraph" w:customStyle="1" w:styleId="228">
    <w:name w:val="列出段落11"/>
    <w:basedOn w:val="1"/>
    <w:autoRedefine/>
    <w:qFormat/>
    <w:uiPriority w:val="34"/>
    <w:pPr>
      <w:ind w:firstLine="420" w:firstLineChars="200"/>
    </w:pPr>
  </w:style>
  <w:style w:type="paragraph" w:customStyle="1" w:styleId="229">
    <w:name w:val="xl92"/>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23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1">
    <w:name w:val="table_lines"/>
    <w:basedOn w:val="1"/>
    <w:autoRedefine/>
    <w:qFormat/>
    <w:uiPriority w:val="0"/>
    <w:pPr>
      <w:widowControl/>
      <w:jc w:val="left"/>
    </w:pPr>
    <w:rPr>
      <w:kern w:val="0"/>
      <w:sz w:val="20"/>
      <w:szCs w:val="20"/>
      <w:lang w:val="de-DE" w:eastAsia="de-DE"/>
    </w:rPr>
  </w:style>
  <w:style w:type="paragraph" w:customStyle="1" w:styleId="2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kern w:val="0"/>
      <w:sz w:val="18"/>
      <w:szCs w:val="18"/>
    </w:rPr>
  </w:style>
  <w:style w:type="paragraph" w:customStyle="1" w:styleId="233">
    <w:name w:val="font8"/>
    <w:basedOn w:val="1"/>
    <w:autoRedefine/>
    <w:qFormat/>
    <w:uiPriority w:val="0"/>
    <w:pPr>
      <w:widowControl/>
      <w:spacing w:before="100" w:beforeAutospacing="1" w:after="100" w:afterAutospacing="1"/>
      <w:jc w:val="left"/>
    </w:pPr>
    <w:rPr>
      <w:rFonts w:ascii="黑体" w:hAnsi="黑体" w:eastAsia="黑体" w:cs="宋体"/>
      <w:b/>
      <w:bCs/>
      <w:kern w:val="0"/>
      <w:sz w:val="18"/>
      <w:szCs w:val="18"/>
    </w:rPr>
  </w:style>
  <w:style w:type="paragraph" w:customStyle="1" w:styleId="234">
    <w:name w:val="xl1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kern w:val="0"/>
      <w:sz w:val="18"/>
      <w:szCs w:val="18"/>
    </w:rPr>
  </w:style>
  <w:style w:type="paragraph" w:customStyle="1" w:styleId="235">
    <w:name w:val="font6"/>
    <w:basedOn w:val="1"/>
    <w:autoRedefine/>
    <w:qFormat/>
    <w:uiPriority w:val="0"/>
    <w:pPr>
      <w:widowControl/>
      <w:spacing w:before="100" w:beforeAutospacing="1" w:after="100" w:afterAutospacing="1"/>
      <w:jc w:val="left"/>
    </w:pPr>
    <w:rPr>
      <w:kern w:val="0"/>
      <w:sz w:val="18"/>
      <w:szCs w:val="18"/>
    </w:rPr>
  </w:style>
  <w:style w:type="paragraph" w:customStyle="1" w:styleId="236">
    <w:name w:val="xl120"/>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37">
    <w:name w:val="小节"/>
    <w:basedOn w:val="4"/>
    <w:autoRedefine/>
    <w:qFormat/>
    <w:uiPriority w:val="0"/>
    <w:pPr>
      <w:spacing w:before="200" w:after="200" w:line="560" w:lineRule="exact"/>
      <w:jc w:val="left"/>
    </w:pPr>
    <w:rPr>
      <w:rFonts w:ascii="Century Gothic" w:hAnsi="Century Gothic"/>
      <w:bCs w:val="0"/>
      <w:color w:val="000000"/>
      <w:spacing w:val="10"/>
      <w:kern w:val="24"/>
      <w:sz w:val="28"/>
    </w:rPr>
  </w:style>
  <w:style w:type="paragraph" w:customStyle="1" w:styleId="238">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239">
    <w:name w:val="表3"/>
    <w:basedOn w:val="1"/>
    <w:autoRedefine/>
    <w:qFormat/>
    <w:uiPriority w:val="0"/>
    <w:pPr>
      <w:jc w:val="center"/>
    </w:pPr>
    <w:rPr>
      <w:rFonts w:ascii="宋体" w:hAnsi="宋体"/>
      <w:b/>
      <w:bCs/>
      <w:sz w:val="28"/>
      <w:szCs w:val="20"/>
    </w:rPr>
  </w:style>
  <w:style w:type="paragraph" w:customStyle="1" w:styleId="240">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0"/>
      <w:szCs w:val="20"/>
    </w:rPr>
  </w:style>
  <w:style w:type="paragraph" w:customStyle="1" w:styleId="241">
    <w:name w:val="Char2 Char Char"/>
    <w:basedOn w:val="1"/>
    <w:autoRedefine/>
    <w:qFormat/>
    <w:uiPriority w:val="0"/>
    <w:rPr>
      <w:rFonts w:ascii="Tahoma" w:hAnsi="Tahoma"/>
      <w:sz w:val="24"/>
      <w:szCs w:val="20"/>
    </w:rPr>
  </w:style>
  <w:style w:type="paragraph" w:customStyle="1" w:styleId="242">
    <w:name w:val="xl95"/>
    <w:basedOn w:val="1"/>
    <w:autoRedefine/>
    <w:qFormat/>
    <w:uiPriority w:val="0"/>
    <w:pPr>
      <w:widowControl/>
      <w:shd w:val="clear" w:color="000000" w:fill="CCFFFF"/>
      <w:spacing w:before="100" w:beforeAutospacing="1" w:after="100" w:afterAutospacing="1"/>
      <w:jc w:val="left"/>
    </w:pPr>
    <w:rPr>
      <w:rFonts w:ascii="宋体" w:hAnsi="宋体" w:cs="宋体"/>
      <w:kern w:val="0"/>
      <w:sz w:val="24"/>
    </w:rPr>
  </w:style>
  <w:style w:type="paragraph" w:customStyle="1" w:styleId="243">
    <w:name w:val="列表内容"/>
    <w:basedOn w:val="1"/>
    <w:next w:val="1"/>
    <w:autoRedefine/>
    <w:qFormat/>
    <w:uiPriority w:val="0"/>
    <w:pPr>
      <w:widowControl/>
      <w:tabs>
        <w:tab w:val="left" w:pos="840"/>
      </w:tabs>
      <w:ind w:firstLine="200"/>
      <w:jc w:val="left"/>
    </w:pPr>
    <w:rPr>
      <w:kern w:val="0"/>
      <w:sz w:val="18"/>
    </w:rPr>
  </w:style>
  <w:style w:type="paragraph" w:customStyle="1" w:styleId="244">
    <w:name w:val="文档正文"/>
    <w:basedOn w:val="1"/>
    <w:autoRedefine/>
    <w:qFormat/>
    <w:uiPriority w:val="0"/>
    <w:pPr>
      <w:adjustRightInd w:val="0"/>
      <w:spacing w:line="480" w:lineRule="atLeast"/>
      <w:ind w:firstLine="567"/>
    </w:pPr>
    <w:rPr>
      <w:kern w:val="0"/>
      <w:sz w:val="24"/>
      <w:szCs w:val="20"/>
    </w:rPr>
  </w:style>
  <w:style w:type="paragraph" w:customStyle="1" w:styleId="245">
    <w:name w:val="标书标题3"/>
    <w:basedOn w:val="4"/>
    <w:autoRedefine/>
    <w:qFormat/>
    <w:uiPriority w:val="0"/>
    <w:pPr>
      <w:keepLines w:val="0"/>
      <w:widowControl/>
      <w:adjustRightInd w:val="0"/>
      <w:snapToGrid w:val="0"/>
      <w:spacing w:before="120" w:after="60" w:line="300" w:lineRule="auto"/>
      <w:jc w:val="left"/>
    </w:pPr>
    <w:rPr>
      <w:rFonts w:eastAsia="Courier New"/>
      <w:b w:val="0"/>
      <w:bCs w:val="0"/>
      <w:color w:val="000000"/>
      <w:kern w:val="0"/>
      <w:sz w:val="28"/>
    </w:rPr>
  </w:style>
  <w:style w:type="paragraph" w:customStyle="1" w:styleId="246">
    <w:name w:val="Char Char1 Char1"/>
    <w:basedOn w:val="1"/>
    <w:autoRedefine/>
    <w:qFormat/>
    <w:uiPriority w:val="0"/>
    <w:pPr>
      <w:widowControl/>
      <w:snapToGrid w:val="0"/>
      <w:spacing w:before="120" w:after="160" w:line="360" w:lineRule="auto"/>
      <w:ind w:right="-360"/>
      <w:jc w:val="left"/>
    </w:pPr>
    <w:rPr>
      <w:kern w:val="0"/>
      <w:sz w:val="24"/>
      <w:lang w:eastAsia="en-US"/>
    </w:rPr>
  </w:style>
  <w:style w:type="paragraph" w:customStyle="1" w:styleId="247">
    <w:name w:val="style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48">
    <w:name w:val="默认段落字体 Para Char Char Char Char Char Char Char"/>
    <w:basedOn w:val="1"/>
    <w:autoRedefine/>
    <w:qFormat/>
    <w:uiPriority w:val="0"/>
    <w:rPr>
      <w:rFonts w:eastAsia="仿宋_GB2312"/>
      <w:sz w:val="28"/>
    </w:rPr>
  </w:style>
  <w:style w:type="paragraph" w:customStyle="1" w:styleId="249">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50">
    <w:name w:val="jd-正文1"/>
    <w:basedOn w:val="1"/>
    <w:autoRedefine/>
    <w:qFormat/>
    <w:uiPriority w:val="0"/>
    <w:pPr>
      <w:widowControl/>
      <w:spacing w:line="360" w:lineRule="auto"/>
      <w:ind w:firstLine="482" w:firstLineChars="200"/>
    </w:pPr>
    <w:rPr>
      <w:rFonts w:ascii="宋体" w:hAnsi="宋体" w:cs="宋体"/>
      <w:sz w:val="24"/>
      <w:szCs w:val="20"/>
    </w:rPr>
  </w:style>
  <w:style w:type="paragraph" w:customStyle="1" w:styleId="251">
    <w:name w:val="无间隔1"/>
    <w:autoRedefine/>
    <w:qFormat/>
    <w:uiPriority w:val="0"/>
    <w:rPr>
      <w:rFonts w:ascii="Times New Roman" w:hAnsi="Times New Roman" w:eastAsia="宋体" w:cs="Times New Roman"/>
      <w:sz w:val="22"/>
      <w:szCs w:val="22"/>
      <w:lang w:val="en-US" w:eastAsia="en-US" w:bidi="ar-SA"/>
    </w:rPr>
  </w:style>
  <w:style w:type="character" w:customStyle="1" w:styleId="252">
    <w:name w:val="正文首行缩进 字符"/>
    <w:link w:val="46"/>
    <w:autoRedefine/>
    <w:qFormat/>
    <w:uiPriority w:val="0"/>
    <w:rPr>
      <w:rFonts w:ascii="Arial" w:hAnsi="Arial" w:cs="Arial"/>
      <w:kern w:val="2"/>
      <w:sz w:val="21"/>
      <w:szCs w:val="24"/>
    </w:rPr>
  </w:style>
  <w:style w:type="character" w:customStyle="1" w:styleId="253">
    <w:name w:val="样式4 Char"/>
    <w:link w:val="254"/>
    <w:autoRedefine/>
    <w:qFormat/>
    <w:uiPriority w:val="0"/>
    <w:rPr>
      <w:rFonts w:ascii="Calibri" w:hAnsi="Calibri"/>
      <w:sz w:val="24"/>
    </w:rPr>
  </w:style>
  <w:style w:type="paragraph" w:customStyle="1" w:styleId="254">
    <w:name w:val="样式4"/>
    <w:basedOn w:val="1"/>
    <w:link w:val="253"/>
    <w:autoRedefine/>
    <w:qFormat/>
    <w:uiPriority w:val="0"/>
    <w:pPr>
      <w:spacing w:line="360" w:lineRule="auto"/>
    </w:pPr>
    <w:rPr>
      <w:rFonts w:ascii="Calibri" w:hAnsi="Calibri"/>
      <w:kern w:val="0"/>
      <w:sz w:val="24"/>
      <w:szCs w:val="20"/>
    </w:rPr>
  </w:style>
  <w:style w:type="paragraph" w:customStyle="1" w:styleId="255">
    <w:name w:val="金三"/>
    <w:basedOn w:val="1"/>
    <w:link w:val="256"/>
    <w:autoRedefine/>
    <w:qFormat/>
    <w:uiPriority w:val="0"/>
    <w:pPr>
      <w:adjustRightInd w:val="0"/>
      <w:spacing w:line="360" w:lineRule="auto"/>
      <w:ind w:firstLine="200" w:firstLineChars="200"/>
      <w:textAlignment w:val="baseline"/>
    </w:pPr>
    <w:rPr>
      <w:rFonts w:ascii="宋体" w:hAnsi="宋体"/>
      <w:kern w:val="0"/>
      <w:sz w:val="24"/>
      <w:szCs w:val="21"/>
    </w:rPr>
  </w:style>
  <w:style w:type="character" w:customStyle="1" w:styleId="256">
    <w:name w:val="金三 Char"/>
    <w:link w:val="255"/>
    <w:autoRedefine/>
    <w:qFormat/>
    <w:uiPriority w:val="0"/>
    <w:rPr>
      <w:rFonts w:ascii="宋体" w:hAnsi="宋体"/>
      <w:sz w:val="24"/>
      <w:szCs w:val="21"/>
    </w:rPr>
  </w:style>
  <w:style w:type="paragraph" w:customStyle="1" w:styleId="257">
    <w:name w:val="HIK图文"/>
    <w:autoRedefine/>
    <w:qFormat/>
    <w:uiPriority w:val="0"/>
    <w:pPr>
      <w:spacing w:line="360" w:lineRule="auto"/>
      <w:jc w:val="center"/>
    </w:pPr>
    <w:rPr>
      <w:rFonts w:ascii="宋体" w:eastAsia="宋体" w:hAnsiTheme="minorHAnsi" w:cstheme="minorBidi"/>
      <w:kern w:val="2"/>
      <w:sz w:val="24"/>
      <w:szCs w:val="22"/>
      <w:lang w:val="en-US" w:eastAsia="zh-CN" w:bidi="ar-SA"/>
    </w:rPr>
  </w:style>
  <w:style w:type="paragraph" w:customStyle="1" w:styleId="258">
    <w:name w:val="KS表格"/>
    <w:basedOn w:val="1"/>
    <w:autoRedefine/>
    <w:qFormat/>
    <w:uiPriority w:val="0"/>
    <w:pPr>
      <w:spacing w:line="300" w:lineRule="auto"/>
    </w:pPr>
    <w:rPr>
      <w:rFonts w:asciiTheme="minorHAnsi" w:hAnsiTheme="minorHAnsi" w:eastAsiaTheme="minorEastAsia" w:cstheme="minorBidi"/>
      <w:kern w:val="0"/>
      <w:sz w:val="20"/>
    </w:rPr>
  </w:style>
  <w:style w:type="character" w:customStyle="1" w:styleId="259">
    <w:name w:val="font21"/>
    <w:basedOn w:val="52"/>
    <w:autoRedefine/>
    <w:qFormat/>
    <w:uiPriority w:val="0"/>
    <w:rPr>
      <w:rFonts w:hint="eastAsia" w:ascii="微软雅黑" w:hAnsi="微软雅黑" w:eastAsia="微软雅黑" w:cs="微软雅黑"/>
      <w:b/>
      <w:color w:val="000000"/>
      <w:sz w:val="28"/>
      <w:szCs w:val="28"/>
      <w:u w:val="none"/>
    </w:rPr>
  </w:style>
  <w:style w:type="character" w:customStyle="1" w:styleId="260">
    <w:name w:val="font31"/>
    <w:basedOn w:val="52"/>
    <w:autoRedefine/>
    <w:qFormat/>
    <w:uiPriority w:val="0"/>
    <w:rPr>
      <w:rFonts w:hint="eastAsia" w:ascii="微软雅黑" w:hAnsi="微软雅黑" w:eastAsia="微软雅黑" w:cs="微软雅黑"/>
      <w:color w:val="000000"/>
      <w:sz w:val="24"/>
      <w:szCs w:val="24"/>
      <w:u w:val="none"/>
    </w:rPr>
  </w:style>
  <w:style w:type="character" w:customStyle="1" w:styleId="261">
    <w:name w:val="font11"/>
    <w:basedOn w:val="52"/>
    <w:autoRedefine/>
    <w:qFormat/>
    <w:uiPriority w:val="0"/>
    <w:rPr>
      <w:rFonts w:hint="eastAsia" w:ascii="微软雅黑" w:hAnsi="微软雅黑" w:eastAsia="微软雅黑" w:cs="微软雅黑"/>
      <w:color w:val="000000"/>
      <w:sz w:val="40"/>
      <w:szCs w:val="40"/>
      <w:u w:val="none"/>
    </w:rPr>
  </w:style>
  <w:style w:type="character" w:customStyle="1" w:styleId="262">
    <w:name w:val="标题 3 字符"/>
    <w:autoRedefine/>
    <w:qFormat/>
    <w:uiPriority w:val="9"/>
    <w:rPr>
      <w:b/>
      <w:bCs/>
      <w:kern w:val="2"/>
      <w:sz w:val="32"/>
      <w:szCs w:val="32"/>
    </w:rPr>
  </w:style>
  <w:style w:type="character" w:customStyle="1" w:styleId="263">
    <w:name w:val="正文缩进 Char2"/>
    <w:autoRedefine/>
    <w:qFormat/>
    <w:uiPriority w:val="0"/>
    <w:rPr>
      <w:rFonts w:ascii="宋体" w:eastAsia="宋体"/>
      <w:snapToGrid w:val="0"/>
      <w:color w:val="000000"/>
      <w:kern w:val="28"/>
      <w:sz w:val="28"/>
      <w:lang w:val="en-US" w:eastAsia="zh-CN" w:bidi="ar-SA"/>
    </w:rPr>
  </w:style>
  <w:style w:type="character" w:customStyle="1" w:styleId="264">
    <w:name w:val="h3 Char1"/>
    <w:autoRedefine/>
    <w:qFormat/>
    <w:uiPriority w:val="0"/>
    <w:rPr>
      <w:rFonts w:eastAsia="宋体"/>
      <w:b/>
      <w:bCs/>
      <w:kern w:val="2"/>
      <w:sz w:val="32"/>
      <w:szCs w:val="32"/>
      <w:lang w:bidi="ar-SA"/>
    </w:rPr>
  </w:style>
  <w:style w:type="paragraph" w:customStyle="1" w:styleId="265">
    <w:name w:val="表内文字"/>
    <w:basedOn w:val="1"/>
    <w:autoRedefine/>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266">
    <w:name w:val="默认段落字体 Para Char Char Char Char Char Char Char Char Char1 Char Char Char Char"/>
    <w:basedOn w:val="1"/>
    <w:autoRedefine/>
    <w:qFormat/>
    <w:uiPriority w:val="0"/>
    <w:rPr>
      <w:rFonts w:ascii="Tahoma" w:hAnsi="Tahoma"/>
      <w:sz w:val="24"/>
      <w:szCs w:val="20"/>
    </w:rPr>
  </w:style>
  <w:style w:type="character" w:customStyle="1" w:styleId="267">
    <w:name w:val="font51"/>
    <w:basedOn w:val="52"/>
    <w:autoRedefine/>
    <w:qFormat/>
    <w:uiPriority w:val="0"/>
    <w:rPr>
      <w:rFonts w:hint="eastAsia" w:ascii="宋体" w:hAnsi="宋体" w:eastAsia="宋体" w:cs="宋体"/>
      <w:color w:val="000000"/>
      <w:sz w:val="20"/>
      <w:szCs w:val="20"/>
      <w:u w:val="none"/>
    </w:rPr>
  </w:style>
  <w:style w:type="character" w:customStyle="1" w:styleId="268">
    <w:name w:val="font101"/>
    <w:basedOn w:val="52"/>
    <w:autoRedefine/>
    <w:qFormat/>
    <w:uiPriority w:val="0"/>
    <w:rPr>
      <w:rFonts w:hint="eastAsia" w:ascii="宋体" w:hAnsi="宋体" w:eastAsia="宋体" w:cs="宋体"/>
      <w:color w:val="000000"/>
      <w:sz w:val="20"/>
      <w:szCs w:val="20"/>
      <w:u w:val="none"/>
      <w:vertAlign w:val="superscript"/>
    </w:rPr>
  </w:style>
  <w:style w:type="paragraph" w:customStyle="1" w:styleId="269">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270">
    <w:name w:val="font112"/>
    <w:basedOn w:val="52"/>
    <w:autoRedefine/>
    <w:qFormat/>
    <w:uiPriority w:val="0"/>
    <w:rPr>
      <w:rFonts w:hint="eastAsia" w:ascii="宋体" w:hAnsi="宋体" w:eastAsia="宋体" w:cs="宋体"/>
      <w:color w:val="FF0000"/>
      <w:sz w:val="20"/>
      <w:szCs w:val="20"/>
      <w:u w:val="none"/>
    </w:rPr>
  </w:style>
  <w:style w:type="character" w:customStyle="1" w:styleId="271">
    <w:name w:val="font61"/>
    <w:basedOn w:val="52"/>
    <w:autoRedefine/>
    <w:qFormat/>
    <w:uiPriority w:val="0"/>
    <w:rPr>
      <w:rFonts w:hint="eastAsia" w:ascii="宋体" w:hAnsi="宋体" w:eastAsia="宋体" w:cs="宋体"/>
      <w:color w:val="000000"/>
      <w:sz w:val="20"/>
      <w:szCs w:val="20"/>
      <w:u w:val="none"/>
    </w:rPr>
  </w:style>
  <w:style w:type="character" w:customStyle="1" w:styleId="272">
    <w:name w:val="font121"/>
    <w:basedOn w:val="52"/>
    <w:autoRedefine/>
    <w:qFormat/>
    <w:uiPriority w:val="0"/>
    <w:rPr>
      <w:rFonts w:hint="eastAsia" w:ascii="宋体" w:hAnsi="宋体" w:eastAsia="宋体" w:cs="宋体"/>
      <w:color w:val="000000"/>
      <w:sz w:val="20"/>
      <w:szCs w:val="20"/>
      <w:u w:val="none"/>
      <w:vertAlign w:val="superscript"/>
    </w:rPr>
  </w:style>
  <w:style w:type="paragraph" w:customStyle="1" w:styleId="273">
    <w:name w:val="Proposals body"/>
    <w:basedOn w:val="1"/>
    <w:next w:val="1"/>
    <w:autoRedefine/>
    <w:qFormat/>
    <w:uiPriority w:val="0"/>
    <w:pPr>
      <w:widowControl/>
      <w:spacing w:line="360" w:lineRule="auto"/>
      <w:jc w:val="left"/>
    </w:pPr>
    <w:rPr>
      <w:rFonts w:ascii="宋体" w:hAnsi="Times New Roman"/>
      <w:snapToGrid w:val="0"/>
      <w:color w:val="000000"/>
      <w:kern w:val="0"/>
      <w:sz w:val="24"/>
      <w:szCs w:val="20"/>
    </w:rPr>
  </w:style>
  <w:style w:type="paragraph" w:customStyle="1" w:styleId="274">
    <w:name w:val="样式 样式 左侧:  2 字符 + 左侧:  0.85 厘米 首行缩进:  2 字符1"/>
    <w:basedOn w:val="1"/>
    <w:autoRedefine/>
    <w:qFormat/>
    <w:uiPriority w:val="0"/>
    <w:pPr>
      <w:ind w:left="482" w:firstLine="200"/>
    </w:pPr>
  </w:style>
  <w:style w:type="paragraph" w:customStyle="1" w:styleId="275">
    <w:name w:val="Table Paragraph"/>
    <w:basedOn w:val="1"/>
    <w:autoRedefine/>
    <w:qFormat/>
    <w:uiPriority w:val="1"/>
    <w:pPr>
      <w:jc w:val="center"/>
    </w:pPr>
    <w:rPr>
      <w:rFonts w:ascii="Times New Roman" w:hAnsi="Times New Roman" w:eastAsia="Times New Roman" w:cs="Times New Roman"/>
    </w:rPr>
  </w:style>
  <w:style w:type="paragraph" w:customStyle="1" w:styleId="276">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277">
    <w:name w:val="Char Char Char Char Char Char Char Char Char2 Char Char Char Char"/>
    <w:basedOn w:val="1"/>
    <w:autoRedefine/>
    <w:qFormat/>
    <w:uiPriority w:val="99"/>
    <w:rPr>
      <w:b/>
      <w:szCs w:val="20"/>
    </w:rPr>
  </w:style>
  <w:style w:type="character" w:customStyle="1" w:styleId="278">
    <w:name w:val="font81"/>
    <w:basedOn w:val="52"/>
    <w:autoRedefine/>
    <w:qFormat/>
    <w:uiPriority w:val="0"/>
    <w:rPr>
      <w:rFonts w:hint="eastAsia" w:ascii="宋体" w:hAnsi="宋体" w:eastAsia="宋体" w:cs="宋体"/>
      <w:color w:val="000000"/>
      <w:sz w:val="20"/>
      <w:szCs w:val="20"/>
      <w:u w:val="none"/>
    </w:rPr>
  </w:style>
  <w:style w:type="character" w:customStyle="1" w:styleId="279">
    <w:name w:val="font41"/>
    <w:basedOn w:val="52"/>
    <w:autoRedefine/>
    <w:qFormat/>
    <w:uiPriority w:val="0"/>
    <w:rPr>
      <w:rFonts w:hint="eastAsia" w:ascii="宋体" w:hAnsi="宋体" w:eastAsia="宋体" w:cs="宋体"/>
      <w:color w:val="000000"/>
      <w:sz w:val="24"/>
      <w:szCs w:val="24"/>
      <w:u w:val="none"/>
    </w:rPr>
  </w:style>
  <w:style w:type="table" w:customStyle="1" w:styleId="280">
    <w:name w:val="Table Normal"/>
    <w:autoRedefine/>
    <w:unhideWhenUsed/>
    <w:qFormat/>
    <w:uiPriority w:val="0"/>
    <w:tblPr>
      <w:tblCellMar>
        <w:top w:w="0" w:type="dxa"/>
        <w:left w:w="0" w:type="dxa"/>
        <w:bottom w:w="0" w:type="dxa"/>
        <w:right w:w="0" w:type="dxa"/>
      </w:tblCellMar>
    </w:tblPr>
  </w:style>
  <w:style w:type="paragraph" w:customStyle="1" w:styleId="281">
    <w:name w:val="_Style 280"/>
    <w:basedOn w:val="1"/>
    <w:next w:val="1"/>
    <w:autoRedefine/>
    <w:qFormat/>
    <w:uiPriority w:val="0"/>
    <w:pPr>
      <w:pBdr>
        <w:bottom w:val="single" w:color="auto" w:sz="6" w:space="1"/>
      </w:pBdr>
      <w:jc w:val="center"/>
    </w:pPr>
    <w:rPr>
      <w:rFonts w:ascii="Arial" w:eastAsia="宋体"/>
      <w:vanish/>
      <w:sz w:val="16"/>
    </w:rPr>
  </w:style>
  <w:style w:type="paragraph" w:customStyle="1" w:styleId="282">
    <w:name w:val="_Style 281"/>
    <w:basedOn w:val="1"/>
    <w:next w:val="1"/>
    <w:autoRedefine/>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89</Pages>
  <Words>40096</Words>
  <Characters>41856</Characters>
  <Lines>42</Lines>
  <Paragraphs>61</Paragraphs>
  <TotalTime>11</TotalTime>
  <ScaleCrop>false</ScaleCrop>
  <LinksUpToDate>false</LinksUpToDate>
  <CharactersWithSpaces>43103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2021-10-12T05:00:00Z</dcterms:created>
  <dc:creator>微软用户</dc:creator>
  <cp:lastModifiedBy>王剑强</cp:lastModifiedBy>
  <cp:lastPrinted>2018-11-23T14:34:00Z</cp:lastPrinted>
  <dcterms:modified xsi:type="dcterms:W3CDTF">2024-08-12T06:40:36Z</dcterms:modified>
  <dc:title>ZL</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1FEDBCED75EF4A2FBEDE4ADB2BC852EC_13</vt:lpwstr>
  </property>
</Properties>
</file>