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B6E33F">
      <w:pPr>
        <w:adjustRightInd/>
        <w:spacing w:line="360" w:lineRule="auto"/>
        <w:jc w:val="center"/>
        <w:rPr>
          <w:rStyle w:val="72"/>
          <w:rFonts w:hint="eastAsia"/>
          <w:color w:val="auto"/>
          <w:highlight w:val="none"/>
          <w:woUserID w:val="0"/>
        </w:rPr>
      </w:pPr>
      <w:bookmarkStart w:id="0" w:name="_Hlt74729822"/>
      <w:bookmarkEnd w:id="0"/>
      <w:bookmarkStart w:id="1" w:name="_Hlt74728647"/>
      <w:bookmarkEnd w:id="1"/>
      <w:bookmarkStart w:id="2" w:name="_Hlt74707423"/>
      <w:bookmarkEnd w:id="2"/>
      <w:bookmarkStart w:id="3" w:name="_Hlt74649545"/>
      <w:bookmarkEnd w:id="3"/>
      <w:bookmarkStart w:id="4" w:name="第二部分"/>
      <w:bookmarkStart w:id="5" w:name="_Toc91899870"/>
      <w:bookmarkStart w:id="6" w:name="_Toc91899871"/>
    </w:p>
    <w:p w14:paraId="502E325F">
      <w:pPr>
        <w:adjustRightInd/>
        <w:spacing w:line="360" w:lineRule="auto"/>
        <w:jc w:val="center"/>
        <w:rPr>
          <w:rFonts w:hint="eastAsia" w:ascii="仿宋" w:hAnsi="仿宋" w:eastAsia="仿宋" w:cs="仿宋"/>
          <w:b/>
          <w:bCs/>
          <w:color w:val="auto"/>
          <w:sz w:val="48"/>
          <w:szCs w:val="48"/>
          <w:highlight w:val="none"/>
        </w:rPr>
      </w:pPr>
    </w:p>
    <w:p w14:paraId="06EA9390">
      <w:pPr>
        <w:adjustRightInd/>
        <w:spacing w:line="360" w:lineRule="auto"/>
        <w:jc w:val="center"/>
        <w:rPr>
          <w:rFonts w:hint="eastAsia" w:ascii="仿宋" w:hAnsi="仿宋" w:eastAsia="仿宋" w:cs="仿宋"/>
          <w:b/>
          <w:bCs/>
          <w:color w:val="auto"/>
          <w:sz w:val="48"/>
          <w:szCs w:val="48"/>
          <w:highlight w:val="none"/>
          <w:lang w:eastAsia="zh-CN"/>
        </w:rPr>
      </w:pPr>
      <w:r>
        <w:rPr>
          <w:rFonts w:hint="eastAsia" w:ascii="仿宋" w:hAnsi="仿宋" w:eastAsia="仿宋" w:cs="仿宋"/>
          <w:b/>
          <w:bCs/>
          <w:color w:val="auto"/>
          <w:sz w:val="48"/>
          <w:szCs w:val="48"/>
          <w:highlight w:val="none"/>
          <w:lang w:eastAsia="zh-CN"/>
        </w:rPr>
        <w:t>2025年度垃圾分类第三方服务招标项目</w:t>
      </w:r>
    </w:p>
    <w:p w14:paraId="549F1E67">
      <w:pPr>
        <w:adjustRightInd/>
        <w:spacing w:line="360" w:lineRule="auto"/>
        <w:jc w:val="center"/>
        <w:rPr>
          <w:rFonts w:hint="eastAsia" w:ascii="仿宋" w:hAnsi="仿宋" w:eastAsia="仿宋" w:cs="仿宋"/>
          <w:color w:val="auto"/>
          <w:sz w:val="48"/>
          <w:szCs w:val="48"/>
          <w:highlight w:val="none"/>
        </w:rPr>
      </w:pPr>
    </w:p>
    <w:p w14:paraId="54C291AC">
      <w:pPr>
        <w:adjustRightInd/>
        <w:spacing w:line="360" w:lineRule="auto"/>
        <w:jc w:val="center"/>
        <w:rPr>
          <w:rFonts w:hint="eastAsia" w:ascii="仿宋" w:hAnsi="仿宋" w:eastAsia="仿宋" w:cs="仿宋"/>
          <w:color w:val="auto"/>
          <w:sz w:val="48"/>
          <w:szCs w:val="48"/>
          <w:highlight w:val="none"/>
        </w:rPr>
      </w:pPr>
    </w:p>
    <w:p w14:paraId="13996EED">
      <w:pPr>
        <w:adjustRightInd/>
        <w:spacing w:line="360" w:lineRule="auto"/>
        <w:jc w:val="center"/>
        <w:rPr>
          <w:rFonts w:hint="default" w:ascii="仿宋" w:hAnsi="仿宋" w:eastAsia="仿宋" w:cs="仿宋"/>
          <w:b/>
          <w:bCs/>
          <w:color w:val="auto"/>
          <w:sz w:val="72"/>
          <w:szCs w:val="72"/>
          <w:highlight w:val="none"/>
          <w:lang w:val="en-US" w:eastAsia="zh-CN"/>
        </w:rPr>
      </w:pPr>
      <w:r>
        <w:rPr>
          <w:rFonts w:hint="eastAsia" w:ascii="仿宋" w:hAnsi="仿宋" w:eastAsia="仿宋" w:cs="仿宋"/>
          <w:b/>
          <w:bCs/>
          <w:color w:val="auto"/>
          <w:sz w:val="72"/>
          <w:szCs w:val="72"/>
          <w:highlight w:val="none"/>
        </w:rPr>
        <w:t>招标文件</w:t>
      </w:r>
    </w:p>
    <w:p w14:paraId="47F36C07">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61E46418">
      <w:pPr>
        <w:snapToGrid w:val="0"/>
        <w:spacing w:line="360" w:lineRule="auto"/>
        <w:jc w:val="center"/>
        <w:rPr>
          <w:rFonts w:hint="eastAsia" w:ascii="仿宋" w:hAnsi="仿宋" w:eastAsia="仿宋" w:cs="仿宋"/>
          <w:b/>
          <w:bCs/>
          <w:color w:val="auto"/>
          <w:sz w:val="30"/>
          <w:szCs w:val="30"/>
          <w:highlight w:val="none"/>
          <w:lang w:val="en-US" w:eastAsia="zh-CN"/>
        </w:rPr>
      </w:pPr>
      <w:r>
        <w:rPr>
          <w:rFonts w:hint="eastAsia" w:ascii="仿宋" w:hAnsi="仿宋" w:eastAsia="仿宋" w:cs="仿宋"/>
          <w:b/>
          <w:bCs/>
          <w:color w:val="auto"/>
          <w:sz w:val="32"/>
          <w:szCs w:val="32"/>
          <w:highlight w:val="none"/>
        </w:rPr>
        <w:t>项目</w:t>
      </w:r>
      <w:r>
        <w:rPr>
          <w:rFonts w:hint="eastAsia" w:ascii="仿宋" w:hAnsi="仿宋" w:eastAsia="仿宋" w:cs="仿宋"/>
          <w:b/>
          <w:bCs/>
          <w:color w:val="auto"/>
          <w:sz w:val="30"/>
          <w:szCs w:val="30"/>
          <w:highlight w:val="none"/>
        </w:rPr>
        <w:t>编号:</w:t>
      </w:r>
      <w:r>
        <w:rPr>
          <w:rFonts w:hint="eastAsia" w:ascii="仿宋" w:hAnsi="仿宋" w:eastAsia="仿宋" w:cs="仿宋"/>
          <w:b/>
          <w:bCs/>
          <w:color w:val="auto"/>
          <w:sz w:val="30"/>
          <w:szCs w:val="30"/>
          <w:highlight w:val="none"/>
          <w:lang w:eastAsia="zh-CN"/>
        </w:rPr>
        <w:t>BGZFCG2025-03</w:t>
      </w:r>
    </w:p>
    <w:p w14:paraId="426DDADB">
      <w:pPr>
        <w:adjustRightInd/>
        <w:spacing w:line="360" w:lineRule="auto"/>
        <w:rPr>
          <w:rFonts w:hint="eastAsia" w:ascii="仿宋" w:hAnsi="仿宋" w:eastAsia="仿宋" w:cs="仿宋"/>
          <w:color w:val="auto"/>
          <w:sz w:val="28"/>
          <w:szCs w:val="20"/>
          <w:highlight w:val="none"/>
        </w:rPr>
      </w:pPr>
    </w:p>
    <w:p w14:paraId="7E339ACC">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6A027A7D">
      <w:pPr>
        <w:spacing w:line="360" w:lineRule="auto"/>
        <w:rPr>
          <w:rFonts w:hint="eastAsia" w:ascii="仿宋" w:hAnsi="仿宋" w:eastAsia="仿宋" w:cs="仿宋"/>
          <w:color w:val="auto"/>
          <w:sz w:val="32"/>
          <w:szCs w:val="32"/>
          <w:highlight w:val="none"/>
        </w:rPr>
      </w:pPr>
    </w:p>
    <w:p w14:paraId="5DB178B0">
      <w:pPr>
        <w:pStyle w:val="79"/>
        <w:rPr>
          <w:rFonts w:hint="eastAsia"/>
          <w:color w:val="auto"/>
          <w:highlight w:val="none"/>
        </w:rPr>
      </w:pPr>
    </w:p>
    <w:p w14:paraId="1C66A720">
      <w:pPr>
        <w:pStyle w:val="80"/>
        <w:rPr>
          <w:rFonts w:hint="eastAsia"/>
          <w:color w:val="auto"/>
          <w:highlight w:val="none"/>
        </w:rPr>
      </w:pPr>
    </w:p>
    <w:p w14:paraId="29A8009D">
      <w:pPr>
        <w:rPr>
          <w:rFonts w:hint="eastAsia"/>
          <w:color w:val="auto"/>
          <w:highlight w:val="none"/>
        </w:rPr>
      </w:pPr>
    </w:p>
    <w:p w14:paraId="325717A3">
      <w:pPr>
        <w:snapToGrid w:val="0"/>
        <w:spacing w:line="360" w:lineRule="auto"/>
        <w:jc w:val="center"/>
        <w:rPr>
          <w:rFonts w:hint="eastAsia" w:ascii="仿宋" w:hAnsi="仿宋" w:eastAsia="仿宋" w:cs="仿宋"/>
          <w:color w:val="auto"/>
          <w:sz w:val="32"/>
          <w:szCs w:val="32"/>
          <w:highlight w:val="none"/>
        </w:rPr>
      </w:pPr>
    </w:p>
    <w:p w14:paraId="5BF654D8">
      <w:pPr>
        <w:snapToGrid w:val="0"/>
        <w:spacing w:line="360" w:lineRule="auto"/>
        <w:jc w:val="center"/>
        <w:rPr>
          <w:rFonts w:hint="eastAsia" w:ascii="仿宋" w:hAnsi="仿宋" w:eastAsia="仿宋" w:cs="仿宋"/>
          <w:color w:val="auto"/>
          <w:sz w:val="32"/>
          <w:szCs w:val="32"/>
          <w:highlight w:val="none"/>
        </w:rPr>
      </w:pPr>
    </w:p>
    <w:p w14:paraId="549AFE1E">
      <w:pPr>
        <w:spacing w:line="360"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杭州市萧山区人民政府北干街道办事处</w:t>
      </w:r>
    </w:p>
    <w:p w14:paraId="05EFE683">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杭州博望建设工程招标投标代理有限公司</w:t>
      </w:r>
    </w:p>
    <w:p w14:paraId="60E0A99B">
      <w:pPr>
        <w:snapToGrid w:val="0"/>
        <w:spacing w:line="360" w:lineRule="auto"/>
        <w:jc w:val="center"/>
        <w:rPr>
          <w:rFonts w:hint="eastAsia" w:ascii="仿宋" w:hAnsi="仿宋" w:eastAsia="仿宋" w:cs="仿宋"/>
          <w:b/>
          <w:bCs/>
          <w:color w:val="auto"/>
          <w:sz w:val="32"/>
          <w:szCs w:val="32"/>
          <w:highlight w:val="yellow"/>
        </w:rPr>
      </w:pPr>
      <w:r>
        <w:rPr>
          <w:rFonts w:hint="eastAsia" w:ascii="仿宋" w:hAnsi="仿宋" w:eastAsia="仿宋" w:cs="仿宋"/>
          <w:b/>
          <w:bCs/>
          <w:color w:val="auto"/>
          <w:sz w:val="32"/>
          <w:szCs w:val="32"/>
          <w:highlight w:val="yellow"/>
        </w:rPr>
        <w:t>202</w:t>
      </w:r>
      <w:r>
        <w:rPr>
          <w:rFonts w:hint="eastAsia" w:ascii="仿宋" w:hAnsi="仿宋" w:eastAsia="仿宋" w:cs="仿宋"/>
          <w:b/>
          <w:bCs/>
          <w:color w:val="auto"/>
          <w:sz w:val="32"/>
          <w:szCs w:val="32"/>
          <w:highlight w:val="yellow"/>
          <w:lang w:val="en-US" w:eastAsia="zh-CN"/>
        </w:rPr>
        <w:t>5</w:t>
      </w:r>
      <w:r>
        <w:rPr>
          <w:rFonts w:hint="eastAsia" w:ascii="仿宋" w:hAnsi="仿宋" w:eastAsia="仿宋" w:cs="仿宋"/>
          <w:b/>
          <w:bCs/>
          <w:color w:val="auto"/>
          <w:sz w:val="32"/>
          <w:szCs w:val="32"/>
          <w:highlight w:val="yellow"/>
        </w:rPr>
        <w:t>年</w:t>
      </w:r>
      <w:r>
        <w:rPr>
          <w:rFonts w:hint="eastAsia" w:ascii="仿宋" w:hAnsi="仿宋" w:eastAsia="仿宋" w:cs="仿宋"/>
          <w:b/>
          <w:bCs/>
          <w:color w:val="auto"/>
          <w:sz w:val="32"/>
          <w:szCs w:val="32"/>
          <w:highlight w:val="yellow"/>
          <w:lang w:val="en-US" w:eastAsia="zh-CN"/>
        </w:rPr>
        <w:t>04</w:t>
      </w:r>
      <w:r>
        <w:rPr>
          <w:rFonts w:hint="eastAsia" w:ascii="仿宋" w:hAnsi="仿宋" w:eastAsia="仿宋" w:cs="仿宋"/>
          <w:b/>
          <w:bCs/>
          <w:color w:val="auto"/>
          <w:sz w:val="32"/>
          <w:szCs w:val="32"/>
          <w:highlight w:val="yellow"/>
        </w:rPr>
        <w:t>月</w:t>
      </w:r>
      <w:r>
        <w:rPr>
          <w:rFonts w:hint="eastAsia" w:ascii="仿宋" w:hAnsi="仿宋" w:eastAsia="仿宋" w:cs="仿宋"/>
          <w:b/>
          <w:bCs/>
          <w:color w:val="auto"/>
          <w:sz w:val="32"/>
          <w:szCs w:val="32"/>
          <w:highlight w:val="yellow"/>
          <w:lang w:val="en-US" w:eastAsia="zh-CN"/>
        </w:rPr>
        <w:t>01</w:t>
      </w:r>
      <w:bookmarkStart w:id="415" w:name="_GoBack"/>
      <w:bookmarkEnd w:id="415"/>
      <w:r>
        <w:rPr>
          <w:rFonts w:hint="eastAsia" w:ascii="仿宋" w:hAnsi="仿宋" w:eastAsia="仿宋" w:cs="仿宋"/>
          <w:b/>
          <w:bCs/>
          <w:color w:val="auto"/>
          <w:sz w:val="32"/>
          <w:szCs w:val="32"/>
          <w:highlight w:val="yellow"/>
        </w:rPr>
        <w:t>日</w:t>
      </w:r>
    </w:p>
    <w:p w14:paraId="316547C8">
      <w:pP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br w:type="page"/>
      </w:r>
    </w:p>
    <w:p w14:paraId="474507FA">
      <w:pPr>
        <w:spacing w:line="360" w:lineRule="auto"/>
        <w:jc w:val="center"/>
        <w:rPr>
          <w:rFonts w:hint="eastAsia" w:ascii="仿宋" w:hAnsi="仿宋" w:eastAsia="仿宋" w:cs="仿宋"/>
          <w:b/>
          <w:color w:val="auto"/>
          <w:sz w:val="48"/>
          <w:szCs w:val="48"/>
          <w:highlight w:val="none"/>
        </w:rPr>
      </w:pPr>
    </w:p>
    <w:p w14:paraId="0A6777E2">
      <w:pPr>
        <w:spacing w:line="360" w:lineRule="auto"/>
        <w:jc w:val="center"/>
        <w:rPr>
          <w:rFonts w:hint="eastAsia" w:ascii="仿宋" w:hAnsi="仿宋" w:eastAsia="仿宋" w:cs="仿宋"/>
          <w:b/>
          <w:color w:val="auto"/>
          <w:sz w:val="48"/>
          <w:szCs w:val="48"/>
          <w:highlight w:val="none"/>
        </w:rPr>
      </w:pPr>
    </w:p>
    <w:p w14:paraId="1B6F29CF">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F021014">
      <w:pPr>
        <w:spacing w:line="360" w:lineRule="auto"/>
        <w:rPr>
          <w:rFonts w:hint="eastAsia" w:ascii="仿宋" w:hAnsi="仿宋" w:eastAsia="仿宋" w:cs="仿宋"/>
          <w:color w:val="auto"/>
          <w:sz w:val="32"/>
          <w:szCs w:val="32"/>
          <w:highlight w:val="none"/>
        </w:rPr>
      </w:pPr>
    </w:p>
    <w:p w14:paraId="44A592F3">
      <w:pPr>
        <w:spacing w:line="360" w:lineRule="auto"/>
        <w:rPr>
          <w:rFonts w:hint="eastAsia" w:ascii="仿宋" w:hAnsi="仿宋" w:eastAsia="仿宋" w:cs="仿宋"/>
          <w:color w:val="auto"/>
          <w:sz w:val="32"/>
          <w:szCs w:val="32"/>
          <w:highlight w:val="none"/>
        </w:rPr>
      </w:pPr>
    </w:p>
    <w:p w14:paraId="25F05C5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4FF9434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139A545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30F2CCC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6836122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97CBB9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61BEEC16">
      <w:pP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br w:type="page"/>
      </w:r>
    </w:p>
    <w:p w14:paraId="1682CAAE">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63483FD9">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6FC54186">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2025年度垃圾分类第三方服务招标项目</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yellow"/>
          <w:lang w:val="en-US" w:eastAsia="zh-CN"/>
        </w:rPr>
        <w:t>04</w:t>
      </w:r>
      <w:r>
        <w:rPr>
          <w:rStyle w:val="76"/>
          <w:rFonts w:hint="eastAsia" w:ascii="仿宋" w:hAnsi="仿宋" w:eastAsia="仿宋" w:cs="仿宋"/>
          <w:snapToGrid/>
          <w:color w:val="auto"/>
          <w:kern w:val="2"/>
          <w:sz w:val="24"/>
          <w:szCs w:val="24"/>
          <w:highlight w:val="yellow"/>
        </w:rPr>
        <w:t>月</w:t>
      </w:r>
      <w:r>
        <w:rPr>
          <w:rStyle w:val="76"/>
          <w:rFonts w:hint="eastAsia" w:ascii="仿宋" w:hAnsi="仿宋" w:eastAsia="仿宋" w:cs="仿宋"/>
          <w:snapToGrid/>
          <w:color w:val="auto"/>
          <w:kern w:val="2"/>
          <w:sz w:val="24"/>
          <w:szCs w:val="24"/>
          <w:highlight w:val="yellow"/>
          <w:lang w:val="en-US" w:eastAsia="zh-CN"/>
        </w:rPr>
        <w:t>18</w:t>
      </w:r>
      <w:r>
        <w:rPr>
          <w:rStyle w:val="76"/>
          <w:rFonts w:hint="eastAsia" w:ascii="仿宋" w:hAnsi="仿宋" w:eastAsia="仿宋" w:cs="仿宋"/>
          <w:snapToGrid/>
          <w:color w:val="auto"/>
          <w:kern w:val="2"/>
          <w:sz w:val="24"/>
          <w:szCs w:val="24"/>
          <w:highlight w:val="yellow"/>
        </w:rPr>
        <w:t>日</w:t>
      </w:r>
      <w:r>
        <w:rPr>
          <w:rStyle w:val="76"/>
          <w:rFonts w:hint="eastAsia" w:ascii="仿宋" w:hAnsi="仿宋" w:eastAsia="仿宋" w:cs="仿宋"/>
          <w:snapToGrid/>
          <w:color w:val="auto"/>
          <w:kern w:val="2"/>
          <w:sz w:val="24"/>
          <w:szCs w:val="24"/>
          <w:highlight w:val="yellow"/>
          <w:lang w:val="en-US" w:eastAsia="zh-CN"/>
        </w:rPr>
        <w:t>09</w:t>
      </w:r>
      <w:r>
        <w:rPr>
          <w:rStyle w:val="76"/>
          <w:rFonts w:hint="eastAsia" w:ascii="仿宋" w:hAnsi="仿宋" w:eastAsia="仿宋" w:cs="仿宋"/>
          <w:snapToGrid/>
          <w:color w:val="auto"/>
          <w:kern w:val="2"/>
          <w:sz w:val="24"/>
          <w:szCs w:val="24"/>
          <w:highlight w:val="yellow"/>
        </w:rPr>
        <w:t>点</w:t>
      </w:r>
      <w:r>
        <w:rPr>
          <w:rStyle w:val="76"/>
          <w:rFonts w:hint="eastAsia" w:ascii="仿宋" w:hAnsi="仿宋" w:eastAsia="仿宋" w:cs="仿宋"/>
          <w:snapToGrid/>
          <w:color w:val="auto"/>
          <w:kern w:val="2"/>
          <w:sz w:val="24"/>
          <w:szCs w:val="24"/>
          <w:highlight w:val="yellow"/>
          <w:lang w:val="en-US" w:eastAsia="zh-CN"/>
        </w:rPr>
        <w:t>30</w:t>
      </w:r>
      <w:r>
        <w:rPr>
          <w:rStyle w:val="76"/>
          <w:rFonts w:hint="eastAsia" w:ascii="仿宋" w:hAnsi="仿宋" w:eastAsia="仿宋" w:cs="仿宋"/>
          <w:snapToGrid/>
          <w:color w:val="auto"/>
          <w:kern w:val="2"/>
          <w:sz w:val="24"/>
          <w:szCs w:val="24"/>
          <w:highlight w:val="yellow"/>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1831FFD8">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一、项目基本情况</w:t>
      </w:r>
    </w:p>
    <w:p w14:paraId="2A43C542">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b w:val="0"/>
          <w:bCs/>
          <w:color w:val="auto"/>
          <w:sz w:val="24"/>
          <w:highlight w:val="none"/>
          <w:lang w:eastAsia="zh-CN"/>
        </w:rPr>
        <w:t>BGZFCG2025-03</w:t>
      </w:r>
    </w:p>
    <w:p w14:paraId="40F08F27">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b w:val="0"/>
          <w:bCs/>
          <w:color w:val="auto"/>
          <w:sz w:val="24"/>
          <w:highlight w:val="none"/>
          <w:lang w:eastAsia="zh-CN"/>
        </w:rPr>
        <w:t>2025年度垃圾分类第三方服务招标项目</w:t>
      </w:r>
    </w:p>
    <w:p w14:paraId="08FB22D3">
      <w:pPr>
        <w:keepNext w:val="0"/>
        <w:keepLines w:val="0"/>
        <w:pageBreakBefore w:val="0"/>
        <w:kinsoku/>
        <w:wordWrap/>
        <w:overflowPunct/>
        <w:topLinePunct w:val="0"/>
        <w:autoSpaceDE/>
        <w:autoSpaceDN/>
        <w:bidi w:val="0"/>
        <w:adjustRightInd w:val="0"/>
        <w:spacing w:line="440" w:lineRule="exact"/>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snapToGrid/>
          <w:color w:val="auto"/>
          <w:kern w:val="2"/>
          <w:sz w:val="24"/>
          <w:szCs w:val="24"/>
          <w:highlight w:val="none"/>
          <w:lang w:val="en-US" w:eastAsia="zh-CN" w:bidi="ar-SA"/>
        </w:rPr>
        <w:t>标项1：9013990.00、标项2：8677452.00、标项3：8408550.00</w:t>
      </w:r>
    </w:p>
    <w:p w14:paraId="17624AF6">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snapToGrid/>
          <w:color w:val="auto"/>
          <w:kern w:val="2"/>
          <w:sz w:val="24"/>
          <w:szCs w:val="24"/>
          <w:highlight w:val="yellow"/>
          <w:lang w:val="en-US" w:eastAsia="zh-CN" w:bidi="ar-SA"/>
        </w:rPr>
        <w:t>标项1：8551165.00、标项2：8254392.00、标项3：7993425.00</w:t>
      </w:r>
    </w:p>
    <w:p w14:paraId="2B9D3F7F">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b/>
          <w:bCs/>
          <w:snapToGrid w:val="0"/>
          <w:color w:val="auto"/>
          <w:kern w:val="28"/>
          <w:sz w:val="24"/>
          <w:szCs w:val="20"/>
          <w:highlight w:val="none"/>
        </w:rPr>
        <w:t>采购需求：</w:t>
      </w:r>
      <w:r>
        <w:rPr>
          <w:rFonts w:hint="eastAsia" w:ascii="仿宋" w:hAnsi="仿宋" w:eastAsia="仿宋" w:cs="仿宋"/>
          <w:snapToGrid w:val="0"/>
          <w:color w:val="auto"/>
          <w:kern w:val="28"/>
          <w:sz w:val="24"/>
          <w:szCs w:val="20"/>
          <w:highlight w:val="none"/>
        </w:rPr>
        <w:t>（</w:t>
      </w:r>
      <w:r>
        <w:rPr>
          <w:rFonts w:hint="eastAsia" w:ascii="仿宋" w:hAnsi="仿宋" w:eastAsia="仿宋" w:cs="仿宋"/>
          <w:snapToGrid w:val="0"/>
          <w:color w:val="auto"/>
          <w:kern w:val="28"/>
          <w:sz w:val="24"/>
          <w:szCs w:val="20"/>
          <w:highlight w:val="none"/>
          <w:lang w:eastAsia="zh-CN"/>
        </w:rPr>
        <w:t>2025年度垃圾分类第三方服务招标项目</w:t>
      </w:r>
      <w:r>
        <w:rPr>
          <w:rFonts w:hint="eastAsia" w:ascii="仿宋" w:hAnsi="仿宋" w:eastAsia="仿宋" w:cs="仿宋"/>
          <w:snapToGrid w:val="0"/>
          <w:color w:val="auto"/>
          <w:kern w:val="28"/>
          <w:sz w:val="24"/>
          <w:szCs w:val="20"/>
          <w:highlight w:val="none"/>
        </w:rPr>
        <w:t>）主要内容：</w:t>
      </w:r>
      <w:r>
        <w:rPr>
          <w:rFonts w:hint="eastAsia" w:ascii="仿宋" w:hAnsi="仿宋" w:eastAsia="仿宋" w:cs="仿宋"/>
          <w:snapToGrid w:val="0"/>
          <w:color w:val="auto"/>
          <w:kern w:val="28"/>
          <w:sz w:val="24"/>
          <w:szCs w:val="20"/>
          <w:highlight w:val="none"/>
          <w:lang w:eastAsia="zh-CN"/>
        </w:rPr>
        <w:t>2025年度垃圾分类第三方服务</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服务期1年</w:t>
      </w:r>
      <w:r>
        <w:rPr>
          <w:rFonts w:hint="eastAsia" w:ascii="仿宋" w:hAnsi="仿宋" w:eastAsia="仿宋" w:cs="仿宋"/>
          <w:snapToGrid w:val="0"/>
          <w:color w:val="auto"/>
          <w:kern w:val="28"/>
          <w:sz w:val="24"/>
          <w:szCs w:val="20"/>
          <w:highlight w:val="none"/>
        </w:rPr>
        <w:t>。具体以招标文件第三部分采购需求为准，供应商可点击本公告下方“浏览采购文件”查看采购需求。</w:t>
      </w:r>
    </w:p>
    <w:p w14:paraId="482B0F93">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b/>
          <w:bCs/>
          <w:snapToGrid w:val="0"/>
          <w:color w:val="auto"/>
          <w:kern w:val="28"/>
          <w:sz w:val="24"/>
          <w:szCs w:val="20"/>
          <w:highlight w:val="none"/>
        </w:rPr>
        <w:t>合同履约期限：</w:t>
      </w:r>
      <w:r>
        <w:rPr>
          <w:rFonts w:hint="eastAsia" w:ascii="仿宋" w:hAnsi="仿宋" w:eastAsia="仿宋" w:cs="仿宋"/>
          <w:snapToGrid w:val="0"/>
          <w:color w:val="auto"/>
          <w:kern w:val="28"/>
          <w:sz w:val="24"/>
          <w:szCs w:val="20"/>
          <w:highlight w:val="none"/>
        </w:rPr>
        <w:t>详见招标文件</w:t>
      </w:r>
    </w:p>
    <w:p w14:paraId="17AADA17">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color w:val="auto"/>
          <w:kern w:val="0"/>
          <w:sz w:val="24"/>
          <w:highlight w:val="none"/>
        </w:rPr>
      </w:pPr>
      <w:r>
        <w:rPr>
          <w:rFonts w:hint="eastAsia" w:ascii="仿宋" w:hAnsi="仿宋" w:eastAsia="仿宋" w:cs="仿宋"/>
          <w:b/>
          <w:bCs/>
          <w:snapToGrid w:val="0"/>
          <w:color w:val="auto"/>
          <w:kern w:val="28"/>
          <w:sz w:val="24"/>
          <w:szCs w:val="20"/>
          <w:highlight w:val="none"/>
        </w:rPr>
        <w:t>本项目接受联合体投标</w:t>
      </w:r>
      <w:r>
        <w:rPr>
          <w:rFonts w:hint="eastAsia" w:ascii="仿宋" w:hAnsi="仿宋" w:eastAsia="仿宋" w:cs="仿宋"/>
          <w:b/>
          <w:color w:val="auto"/>
          <w:sz w:val="24"/>
          <w:highlight w:val="none"/>
        </w:rPr>
        <w:t>：</w:t>
      </w:r>
      <w:sdt>
        <w:sdtPr>
          <w:rPr>
            <w:rFonts w:hint="eastAsia" w:ascii="仿宋" w:hAnsi="仿宋" w:eastAsia="仿宋" w:cs="仿宋"/>
            <w:color w:val="auto"/>
            <w:kern w:val="0"/>
            <w:sz w:val="24"/>
            <w:highlight w:val="none"/>
          </w:rPr>
          <w:id w:val="4648"/>
          <w14:checkbox>
            <w14:checked w14:val="1"/>
            <w14:checkedState w14:val="00FE" w14:font="Wingdings"/>
            <w14:uncheckedState w14:val="2610" w14:font="MS Gothic"/>
          </w14:checkbox>
        </w:sdtPr>
        <w:sdtEndPr>
          <w:rPr>
            <w:rFonts w:hint="eastAsia" w:ascii="仿宋" w:hAnsi="仿宋" w:eastAsia="仿宋" w:cs="仿宋"/>
            <w:snapToGrid/>
            <w:color w:val="auto"/>
            <w:kern w:val="2"/>
            <w:sz w:val="24"/>
            <w:szCs w:val="24"/>
            <w:highlight w:val="none"/>
          </w:rPr>
        </w:sdtEndPr>
        <w:sdtContent>
          <w:r>
            <w:rPr>
              <w:rFonts w:hint="eastAsia" w:ascii="Wingdings" w:hAnsi="Wingdings" w:eastAsia="仿宋" w:cs="仿宋"/>
              <w:snapToGrid/>
              <w:color w:val="auto"/>
              <w:kern w:val="2"/>
              <w:sz w:val="24"/>
              <w:szCs w:val="24"/>
              <w:highlight w:val="none"/>
              <w:lang w:val="en-US" w:eastAsia="zh-CN" w:bidi="ar-SA"/>
            </w:rPr>
            <w:t>þ</w:t>
          </w:r>
        </w:sdtContent>
      </w:sdt>
      <w:r>
        <w:rPr>
          <w:rFonts w:hint="eastAsia" w:ascii="仿宋" w:hAnsi="仿宋" w:eastAsia="仿宋" w:cs="仿宋"/>
          <w:snapToGrid/>
          <w:color w:val="auto"/>
          <w:kern w:val="2"/>
          <w:sz w:val="24"/>
          <w:szCs w:val="24"/>
          <w:highlight w:val="none"/>
        </w:rPr>
        <w:t xml:space="preserve"> 是；</w:t>
      </w:r>
      <w:sdt>
        <w:sdtPr>
          <w:rPr>
            <w:rFonts w:hint="eastAsia" w:ascii="仿宋" w:hAnsi="仿宋" w:eastAsia="仿宋" w:cs="仿宋"/>
            <w:snapToGrid/>
            <w:color w:val="auto"/>
            <w:kern w:val="2"/>
            <w:sz w:val="24"/>
            <w:szCs w:val="24"/>
            <w:highlight w:val="none"/>
          </w:rPr>
          <w:id w:val="4649"/>
          <w14:checkbox>
            <w14:checked w14:val="0"/>
            <w14:checkedState w14:val="00FE" w14:font="Wingdings"/>
            <w14:uncheckedState w14:val="2610" w14:font="MS Gothic"/>
          </w14:checkbox>
        </w:sdtPr>
        <w:sdtEndPr>
          <w:rPr>
            <w:rFonts w:hint="eastAsia" w:ascii="仿宋" w:hAnsi="仿宋" w:eastAsia="仿宋" w:cs="仿宋"/>
            <w:snapToGrid/>
            <w:color w:val="auto"/>
            <w:kern w:val="2"/>
            <w:sz w:val="24"/>
            <w:szCs w:val="24"/>
            <w:highlight w:val="none"/>
          </w:rPr>
        </w:sdtEndPr>
        <w:sdtContent>
          <w:r>
            <w:rPr>
              <w:rFonts w:hint="eastAsia" w:ascii="仿宋" w:hAnsi="仿宋" w:eastAsia="仿宋" w:cs="仿宋"/>
              <w:snapToGrid/>
              <w:color w:val="auto"/>
              <w:kern w:val="2"/>
              <w:sz w:val="24"/>
              <w:szCs w:val="24"/>
              <w:highlight w:val="none"/>
            </w:rPr>
            <w:t>☐</w:t>
          </w:r>
        </w:sdtContent>
      </w:sdt>
      <w:r>
        <w:rPr>
          <w:rFonts w:hint="eastAsia" w:ascii="仿宋" w:hAnsi="仿宋" w:eastAsia="仿宋" w:cs="仿宋"/>
          <w:snapToGrid/>
          <w:color w:val="auto"/>
          <w:kern w:val="2"/>
          <w:sz w:val="24"/>
          <w:szCs w:val="24"/>
          <w:highlight w:val="none"/>
        </w:rPr>
        <w:t xml:space="preserve"> 否</w:t>
      </w:r>
    </w:p>
    <w:p w14:paraId="05994AEC">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65AD4AA8">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1504643">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2.以联合体形式投标的，提供联合协议(本项目不接受联合体投标或者投标人不以联合体形式投标的，则不需要提供) ；</w:t>
      </w:r>
    </w:p>
    <w:p w14:paraId="77D903B4">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2FFA34F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59577E31">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3DEFE2A5">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服务全部由符合政策要求的中小企业承接，提供中小企业声明函；</w:t>
      </w:r>
    </w:p>
    <w:p w14:paraId="5349FDFF">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服务全部由符合政策要求的小微企业承接，提供中小企业声明函；</w:t>
      </w:r>
    </w:p>
    <w:p w14:paraId="237DE706">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7F7D26F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783C5C54">
      <w:pPr>
        <w:keepNext w:val="0"/>
        <w:keepLines w:val="0"/>
        <w:pageBreakBefore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kern w:val="0"/>
          <w:sz w:val="24"/>
          <w:highlight w:val="none"/>
        </w:rPr>
        <w:t>无</w:t>
      </w:r>
    </w:p>
    <w:p w14:paraId="7A014B59">
      <w:pPr>
        <w:keepNext w:val="0"/>
        <w:keepLines w:val="0"/>
        <w:pageBreakBefore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F3B0560">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三、获取招标文件</w:t>
      </w:r>
    </w:p>
    <w:p w14:paraId="39197055">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yellow"/>
          <w:lang w:val="en-US" w:eastAsia="zh-CN"/>
        </w:rPr>
        <w:t>04</w:t>
      </w:r>
      <w:r>
        <w:rPr>
          <w:rFonts w:hint="eastAsia" w:ascii="仿宋" w:hAnsi="仿宋" w:eastAsia="仿宋" w:cs="仿宋"/>
          <w:color w:val="auto"/>
          <w:sz w:val="24"/>
          <w:highlight w:val="yellow"/>
        </w:rPr>
        <w:t>月</w:t>
      </w:r>
      <w:r>
        <w:rPr>
          <w:rFonts w:hint="eastAsia" w:ascii="仿宋" w:hAnsi="仿宋" w:eastAsia="仿宋" w:cs="仿宋"/>
          <w:color w:val="auto"/>
          <w:sz w:val="24"/>
          <w:highlight w:val="yellow"/>
          <w:lang w:val="en-US" w:eastAsia="zh-CN"/>
        </w:rPr>
        <w:t>18</w:t>
      </w:r>
      <w:r>
        <w:rPr>
          <w:rFonts w:hint="eastAsia" w:ascii="仿宋" w:hAnsi="仿宋" w:eastAsia="仿宋" w:cs="仿宋"/>
          <w:color w:val="auto"/>
          <w:sz w:val="24"/>
          <w:highlight w:val="yellow"/>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535F7FC5">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4E270796">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4F1269E8">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0</w:t>
      </w:r>
    </w:p>
    <w:p w14:paraId="0729616D">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665530BE">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yellow"/>
          <w:u w:val="single"/>
          <w:lang w:val="en-US" w:eastAsia="zh-CN"/>
        </w:rPr>
        <w:t>04</w:t>
      </w:r>
      <w:r>
        <w:rPr>
          <w:rFonts w:hint="eastAsia" w:ascii="仿宋" w:hAnsi="仿宋" w:eastAsia="仿宋" w:cs="仿宋"/>
          <w:color w:val="auto"/>
          <w:sz w:val="24"/>
          <w:highlight w:val="yellow"/>
          <w:u w:val="single"/>
        </w:rPr>
        <w:t>月</w:t>
      </w:r>
      <w:r>
        <w:rPr>
          <w:rFonts w:hint="eastAsia" w:ascii="仿宋" w:hAnsi="仿宋" w:eastAsia="仿宋" w:cs="仿宋"/>
          <w:color w:val="auto"/>
          <w:sz w:val="24"/>
          <w:highlight w:val="yellow"/>
          <w:u w:val="single"/>
          <w:lang w:val="en-US" w:eastAsia="zh-CN"/>
        </w:rPr>
        <w:t>18</w:t>
      </w:r>
      <w:r>
        <w:rPr>
          <w:rFonts w:hint="eastAsia" w:ascii="仿宋" w:hAnsi="仿宋" w:eastAsia="仿宋" w:cs="仿宋"/>
          <w:color w:val="auto"/>
          <w:sz w:val="24"/>
          <w:highlight w:val="yellow"/>
          <w:u w:val="single"/>
        </w:rPr>
        <w:t>日</w:t>
      </w:r>
      <w:r>
        <w:rPr>
          <w:rFonts w:hint="eastAsia" w:ascii="仿宋" w:hAnsi="仿宋" w:eastAsia="仿宋" w:cs="仿宋"/>
          <w:color w:val="auto"/>
          <w:sz w:val="24"/>
          <w:highlight w:val="yellow"/>
          <w:u w:val="single"/>
          <w:lang w:val="en-US" w:eastAsia="zh-CN"/>
        </w:rPr>
        <w:t>09</w:t>
      </w:r>
      <w:r>
        <w:rPr>
          <w:rFonts w:hint="eastAsia" w:ascii="仿宋" w:hAnsi="仿宋" w:eastAsia="仿宋" w:cs="仿宋"/>
          <w:color w:val="auto"/>
          <w:sz w:val="24"/>
          <w:highlight w:val="yellow"/>
          <w:u w:val="single"/>
        </w:rPr>
        <w:t>点</w:t>
      </w:r>
      <w:r>
        <w:rPr>
          <w:rFonts w:hint="eastAsia" w:ascii="仿宋" w:hAnsi="仿宋" w:eastAsia="仿宋" w:cs="仿宋"/>
          <w:color w:val="auto"/>
          <w:sz w:val="24"/>
          <w:highlight w:val="yellow"/>
          <w:u w:val="single"/>
          <w:lang w:val="en-US" w:eastAsia="zh-CN"/>
        </w:rPr>
        <w:t>30</w:t>
      </w:r>
      <w:r>
        <w:rPr>
          <w:rFonts w:hint="eastAsia" w:ascii="仿宋" w:hAnsi="仿宋" w:eastAsia="仿宋" w:cs="仿宋"/>
          <w:color w:val="auto"/>
          <w:sz w:val="24"/>
          <w:highlight w:val="yellow"/>
          <w:u w:val="single"/>
        </w:rPr>
        <w:t>分00秒</w:t>
      </w:r>
      <w:r>
        <w:rPr>
          <w:rFonts w:hint="eastAsia" w:ascii="仿宋" w:hAnsi="仿宋" w:eastAsia="仿宋" w:cs="仿宋"/>
          <w:color w:val="auto"/>
          <w:sz w:val="24"/>
          <w:highlight w:val="none"/>
        </w:rPr>
        <w:t>（北京时间）</w:t>
      </w:r>
    </w:p>
    <w:p w14:paraId="3F6FCD79">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3129E2ED">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yellow"/>
          <w:u w:val="single"/>
          <w:lang w:val="en-US" w:eastAsia="zh-CN"/>
        </w:rPr>
        <w:t>04</w:t>
      </w:r>
      <w:r>
        <w:rPr>
          <w:rFonts w:hint="eastAsia" w:ascii="仿宋" w:hAnsi="仿宋" w:eastAsia="仿宋" w:cs="仿宋"/>
          <w:color w:val="auto"/>
          <w:sz w:val="24"/>
          <w:highlight w:val="yellow"/>
          <w:u w:val="single"/>
        </w:rPr>
        <w:t>月</w:t>
      </w:r>
      <w:r>
        <w:rPr>
          <w:rFonts w:hint="eastAsia" w:ascii="仿宋" w:hAnsi="仿宋" w:eastAsia="仿宋" w:cs="仿宋"/>
          <w:color w:val="auto"/>
          <w:sz w:val="24"/>
          <w:highlight w:val="yellow"/>
          <w:u w:val="single"/>
          <w:lang w:val="en-US" w:eastAsia="zh-CN"/>
        </w:rPr>
        <w:t>18</w:t>
      </w:r>
      <w:r>
        <w:rPr>
          <w:rFonts w:hint="eastAsia" w:ascii="仿宋" w:hAnsi="仿宋" w:eastAsia="仿宋" w:cs="仿宋"/>
          <w:color w:val="auto"/>
          <w:sz w:val="24"/>
          <w:highlight w:val="yellow"/>
          <w:u w:val="single"/>
        </w:rPr>
        <w:t>日</w:t>
      </w:r>
      <w:r>
        <w:rPr>
          <w:rFonts w:hint="eastAsia" w:ascii="仿宋" w:hAnsi="仿宋" w:eastAsia="仿宋" w:cs="仿宋"/>
          <w:color w:val="auto"/>
          <w:sz w:val="24"/>
          <w:highlight w:val="yellow"/>
          <w:u w:val="single"/>
          <w:lang w:val="en-US" w:eastAsia="zh-CN"/>
        </w:rPr>
        <w:t>09</w:t>
      </w:r>
      <w:r>
        <w:rPr>
          <w:rFonts w:hint="eastAsia" w:ascii="仿宋" w:hAnsi="仿宋" w:eastAsia="仿宋" w:cs="仿宋"/>
          <w:color w:val="auto"/>
          <w:sz w:val="24"/>
          <w:highlight w:val="yellow"/>
          <w:u w:val="single"/>
        </w:rPr>
        <w:t>点</w:t>
      </w:r>
      <w:r>
        <w:rPr>
          <w:rFonts w:hint="eastAsia" w:ascii="仿宋" w:hAnsi="仿宋" w:eastAsia="仿宋" w:cs="仿宋"/>
          <w:color w:val="auto"/>
          <w:sz w:val="24"/>
          <w:highlight w:val="yellow"/>
          <w:u w:val="single"/>
          <w:lang w:val="en-US" w:eastAsia="zh-CN"/>
        </w:rPr>
        <w:t>30</w:t>
      </w:r>
      <w:r>
        <w:rPr>
          <w:rFonts w:hint="eastAsia" w:ascii="仿宋" w:hAnsi="仿宋" w:eastAsia="仿宋" w:cs="仿宋"/>
          <w:color w:val="auto"/>
          <w:sz w:val="24"/>
          <w:highlight w:val="yellow"/>
          <w:u w:val="single"/>
        </w:rPr>
        <w:t>分00秒</w:t>
      </w:r>
      <w:r>
        <w:rPr>
          <w:rFonts w:hint="eastAsia" w:ascii="仿宋" w:hAnsi="仿宋" w:eastAsia="仿宋" w:cs="仿宋"/>
          <w:color w:val="auto"/>
          <w:sz w:val="24"/>
          <w:highlight w:val="none"/>
        </w:rPr>
        <w:t>（北京时间）</w:t>
      </w:r>
    </w:p>
    <w:p w14:paraId="30146C5C">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0E0BAB75">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1B886700">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173E5662">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3CC61545">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A016405">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FEC952D">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4CD904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1D0A758">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4A8C00E1">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1.采购人信息</w:t>
      </w:r>
    </w:p>
    <w:p w14:paraId="3582DDF9">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lang w:eastAsia="zh-CN"/>
        </w:rPr>
      </w:pPr>
      <w:bookmarkStart w:id="7" w:name="_Hlk136593563"/>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杭州市萧山区人民政府北干街道办事处</w:t>
      </w:r>
    </w:p>
    <w:p w14:paraId="6AC2A4DF">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地址：杭州市萧山区金城路1269号</w:t>
      </w:r>
    </w:p>
    <w:p w14:paraId="6D303CB3">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陈宇佳</w:t>
      </w:r>
    </w:p>
    <w:p w14:paraId="1B2C2B9E">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项目联系方式（询问）：0571-</w:t>
      </w:r>
      <w:r>
        <w:rPr>
          <w:rFonts w:hint="eastAsia" w:ascii="仿宋" w:hAnsi="仿宋" w:eastAsia="仿宋" w:cs="仿宋"/>
          <w:color w:val="auto"/>
          <w:sz w:val="24"/>
          <w:highlight w:val="none"/>
          <w:lang w:val="en-US" w:eastAsia="zh-CN"/>
        </w:rPr>
        <w:t>82817519</w:t>
      </w:r>
    </w:p>
    <w:p w14:paraId="5EDBF6CF">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赵丹</w:t>
      </w:r>
    </w:p>
    <w:p w14:paraId="010620C1">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zh-TW" w:eastAsia="zh-TW"/>
        </w:rPr>
        <w:t>0571-82817</w:t>
      </w:r>
      <w:r>
        <w:rPr>
          <w:rFonts w:hint="eastAsia" w:ascii="仿宋" w:hAnsi="仿宋" w:eastAsia="仿宋" w:cs="仿宋"/>
          <w:color w:val="auto"/>
          <w:sz w:val="24"/>
          <w:highlight w:val="none"/>
          <w:lang w:val="en-US" w:eastAsia="zh-CN"/>
        </w:rPr>
        <w:t>533</w:t>
      </w:r>
    </w:p>
    <w:bookmarkEnd w:id="7"/>
    <w:p w14:paraId="2D29BC67">
      <w:pPr>
        <w:keepNext w:val="0"/>
        <w:keepLines w:val="0"/>
        <w:pageBreakBefore w:val="0"/>
        <w:kinsoku/>
        <w:wordWrap/>
        <w:overflowPunct/>
        <w:topLinePunct w:val="0"/>
        <w:autoSpaceDE/>
        <w:autoSpaceDN/>
        <w:bidi w:val="0"/>
        <w:adjustRightInd w:val="0"/>
        <w:spacing w:line="440" w:lineRule="exac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w:t>
      </w:r>
    </w:p>
    <w:p w14:paraId="558A9886">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名称：杭州博望建设工程招标投标代理有限公司</w:t>
      </w:r>
    </w:p>
    <w:p w14:paraId="3D54C642">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地址：杭州市萧山区金城路433号天汇园一幢A座5楼</w:t>
      </w:r>
    </w:p>
    <w:p w14:paraId="280EAD0A">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项目联系人（询问）：范梦迪</w:t>
      </w:r>
    </w:p>
    <w:p w14:paraId="6C2AA8DC">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项目联系方式（询问）：0571-83881208</w:t>
      </w:r>
    </w:p>
    <w:p w14:paraId="421B3352">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质疑联系人：高华萍</w:t>
      </w:r>
    </w:p>
    <w:p w14:paraId="29D0B353">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质疑联系方式：0571-83881218</w:t>
      </w:r>
    </w:p>
    <w:p w14:paraId="0F4C849D">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w:t>
      </w:r>
    </w:p>
    <w:p w14:paraId="799670A3">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名称：萧山区财政局、浙江省政府采购行政裁决服务中心（杭州）</w:t>
      </w:r>
    </w:p>
    <w:p w14:paraId="7E4AF8D5">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eastAsia="zh-CN"/>
        </w:rPr>
        <w:t>杭州市上城区清泰街549号城建综合大楼11楼</w:t>
      </w:r>
      <w:r>
        <w:rPr>
          <w:rFonts w:hint="eastAsia" w:ascii="仿宋" w:hAnsi="仿宋" w:eastAsia="仿宋" w:cs="仿宋"/>
          <w:color w:val="auto"/>
          <w:sz w:val="24"/>
          <w:highlight w:val="none"/>
        </w:rPr>
        <w:t>（快递仅限ems或顺丰）</w:t>
      </w:r>
    </w:p>
    <w:p w14:paraId="0E41833D">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传真：/</w:t>
      </w:r>
    </w:p>
    <w:p w14:paraId="252D3579">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联系人：朱女士/王女士</w:t>
      </w:r>
    </w:p>
    <w:p w14:paraId="639C0488">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监督投诉电话：0571-8</w:t>
      </w:r>
      <w:r>
        <w:rPr>
          <w:rFonts w:hint="eastAsia" w:ascii="仿宋" w:hAnsi="仿宋" w:eastAsia="仿宋" w:cs="仿宋"/>
          <w:color w:val="auto"/>
          <w:sz w:val="24"/>
          <w:highlight w:val="none"/>
          <w:lang w:val="en-US" w:eastAsia="zh-CN"/>
        </w:rPr>
        <w:t>7227671,0571-87800218</w:t>
      </w:r>
    </w:p>
    <w:p w14:paraId="07B153AC">
      <w:pPr>
        <w:keepNext w:val="0"/>
        <w:keepLines w:val="0"/>
        <w:pageBreakBefore w:val="0"/>
        <w:kinsoku/>
        <w:wordWrap/>
        <w:overflowPunct/>
        <w:topLinePunct w:val="0"/>
        <w:autoSpaceDE/>
        <w:autoSpaceDN/>
        <w:bidi w:val="0"/>
        <w:adjustRightInd w:val="0"/>
        <w:spacing w:line="440" w:lineRule="exact"/>
        <w:ind w:firstLine="42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政策咨询电话：0571-82756122（汤先生）</w:t>
      </w:r>
    </w:p>
    <w:p w14:paraId="58E2D4CC">
      <w:pPr>
        <w:keepNext w:val="0"/>
        <w:keepLines w:val="0"/>
        <w:pageBreakBefore w:val="0"/>
        <w:kinsoku/>
        <w:wordWrap/>
        <w:overflowPunct/>
        <w:topLinePunct w:val="0"/>
        <w:autoSpaceDE/>
        <w:autoSpaceDN/>
        <w:bidi w:val="0"/>
        <w:adjustRightInd w:val="0"/>
        <w:spacing w:line="440" w:lineRule="exact"/>
        <w:ind w:firstLine="480" w:firstLineChars="200"/>
        <w:jc w:val="left"/>
        <w:textAlignment w:val="auto"/>
        <w:rPr>
          <w:rFonts w:hint="eastAsia" w:ascii="仿宋" w:hAnsi="仿宋" w:eastAsia="仿宋" w:cs="仿宋"/>
          <w:color w:val="auto"/>
          <w:sz w:val="24"/>
          <w:highlight w:val="none"/>
        </w:rPr>
      </w:pPr>
    </w:p>
    <w:p w14:paraId="0F66A497">
      <w:pPr>
        <w:keepNext w:val="0"/>
        <w:keepLines w:val="0"/>
        <w:pageBreakBefore w:val="0"/>
        <w:kinsoku/>
        <w:wordWrap/>
        <w:overflowPunct/>
        <w:topLinePunct w:val="0"/>
        <w:autoSpaceDE/>
        <w:autoSpaceDN/>
        <w:bidi w:val="0"/>
        <w:adjustRightIn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7333323">
      <w:pPr>
        <w:keepNext w:val="0"/>
        <w:keepLines w:val="0"/>
        <w:pageBreakBefore w:val="0"/>
        <w:kinsoku/>
        <w:wordWrap/>
        <w:overflowPunct/>
        <w:topLinePunct w:val="0"/>
        <w:autoSpaceDE/>
        <w:autoSpaceDN/>
        <w:bidi w:val="0"/>
        <w:adjustRightIn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6DA28365">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76ED1B1C">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4"/>
      <w:r>
        <w:rPr>
          <w:rFonts w:hint="eastAsia" w:ascii="仿宋" w:hAnsi="仿宋" w:eastAsia="仿宋" w:cs="仿宋"/>
          <w:b/>
          <w:color w:val="auto"/>
          <w:sz w:val="36"/>
          <w:szCs w:val="20"/>
          <w:highlight w:val="none"/>
        </w:rPr>
        <w:t xml:space="preserve"> 投标人须知</w:t>
      </w:r>
      <w:bookmarkEnd w:id="5"/>
    </w:p>
    <w:p w14:paraId="0764A65D">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879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322"/>
      </w:tblGrid>
      <w:tr w14:paraId="7262C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14:paraId="31002A73">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E65951A">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322" w:type="dxa"/>
            <w:tcBorders>
              <w:top w:val="single" w:color="000000" w:sz="8" w:space="0"/>
              <w:left w:val="single" w:color="000000" w:sz="2" w:space="0"/>
              <w:bottom w:val="single" w:color="000000" w:sz="8" w:space="0"/>
              <w:right w:val="single" w:color="000000" w:sz="8" w:space="0"/>
            </w:tcBorders>
            <w:vAlign w:val="center"/>
          </w:tcPr>
          <w:p w14:paraId="44B8E01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36085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3" w:hRule="atLeast"/>
        </w:trPr>
        <w:tc>
          <w:tcPr>
            <w:tcW w:w="629" w:type="dxa"/>
            <w:tcBorders>
              <w:top w:val="single" w:color="auto" w:sz="4" w:space="0"/>
              <w:left w:val="single" w:color="auto" w:sz="4" w:space="0"/>
              <w:bottom w:val="single" w:color="auto" w:sz="4" w:space="0"/>
              <w:right w:val="single" w:color="auto" w:sz="4" w:space="0"/>
            </w:tcBorders>
            <w:vAlign w:val="center"/>
          </w:tcPr>
          <w:p w14:paraId="2A0FF110">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85596B2">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322" w:type="dxa"/>
            <w:tcBorders>
              <w:top w:val="single" w:color="000000" w:sz="8" w:space="0"/>
              <w:left w:val="single" w:color="000000" w:sz="2" w:space="0"/>
              <w:bottom w:val="single" w:color="000000" w:sz="8" w:space="0"/>
              <w:right w:val="single" w:color="000000" w:sz="8" w:space="0"/>
            </w:tcBorders>
            <w:vAlign w:val="center"/>
          </w:tcPr>
          <w:p w14:paraId="26F4F849">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14:paraId="3C7145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5" w:hRule="atLeast"/>
        </w:trPr>
        <w:tc>
          <w:tcPr>
            <w:tcW w:w="629" w:type="dxa"/>
            <w:tcBorders>
              <w:top w:val="single" w:color="auto" w:sz="4" w:space="0"/>
              <w:left w:val="single" w:color="auto" w:sz="4" w:space="0"/>
              <w:bottom w:val="single" w:color="auto" w:sz="4" w:space="0"/>
              <w:right w:val="single" w:color="auto" w:sz="4" w:space="0"/>
            </w:tcBorders>
            <w:vAlign w:val="center"/>
          </w:tcPr>
          <w:p w14:paraId="5A4EF5A0">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1D1F6A3">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322" w:type="dxa"/>
            <w:tcBorders>
              <w:top w:val="single" w:color="000000" w:sz="8" w:space="0"/>
              <w:left w:val="single" w:color="000000" w:sz="2" w:space="0"/>
              <w:bottom w:val="single" w:color="000000" w:sz="8" w:space="0"/>
              <w:right w:val="single" w:color="000000" w:sz="8" w:space="0"/>
            </w:tcBorders>
            <w:vAlign w:val="center"/>
          </w:tcPr>
          <w:p w14:paraId="006BE991">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（1）标的：</w:t>
            </w:r>
            <w:r>
              <w:rPr>
                <w:rFonts w:hint="eastAsia" w:ascii="仿宋" w:hAnsi="仿宋" w:eastAsia="仿宋" w:cs="仿宋"/>
                <w:color w:val="auto"/>
                <w:sz w:val="24"/>
                <w:szCs w:val="24"/>
                <w:highlight w:val="none"/>
                <w:u w:val="single"/>
                <w:lang w:eastAsia="zh-CN"/>
              </w:rPr>
              <w:t>2025年度垃圾分类第三方服务</w:t>
            </w:r>
            <w:r>
              <w:rPr>
                <w:rFonts w:hint="eastAsia" w:ascii="仿宋" w:hAnsi="仿宋" w:eastAsia="仿宋" w:cs="仿宋"/>
                <w:color w:val="auto"/>
                <w:sz w:val="24"/>
                <w:szCs w:val="24"/>
                <w:highlight w:val="none"/>
                <w:u w:val="single"/>
                <w:lang w:val="en-US" w:eastAsia="zh-CN"/>
              </w:rPr>
              <w:t>-标项1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其他未列明行业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其他服务业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rPr>
              <w:t>行业；</w:t>
            </w:r>
          </w:p>
          <w:p w14:paraId="70DAF6F9">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）标的：</w:t>
            </w:r>
            <w:r>
              <w:rPr>
                <w:rFonts w:hint="eastAsia" w:ascii="仿宋" w:hAnsi="仿宋" w:eastAsia="仿宋" w:cs="仿宋"/>
                <w:color w:val="auto"/>
                <w:sz w:val="24"/>
                <w:szCs w:val="24"/>
                <w:highlight w:val="none"/>
                <w:u w:val="single"/>
                <w:lang w:val="en-US" w:eastAsia="zh-CN"/>
              </w:rPr>
              <w:t>2025年度垃圾分类第三方服务-标项2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其他未列明行业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其他服务业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rPr>
              <w:t>行业；</w:t>
            </w:r>
          </w:p>
          <w:p w14:paraId="2274EE87">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）标的：</w:t>
            </w:r>
            <w:r>
              <w:rPr>
                <w:rFonts w:hint="eastAsia" w:ascii="仿宋" w:hAnsi="仿宋" w:eastAsia="仿宋" w:cs="仿宋"/>
                <w:color w:val="auto"/>
                <w:sz w:val="24"/>
                <w:szCs w:val="24"/>
                <w:highlight w:val="none"/>
                <w:u w:val="single"/>
                <w:lang w:val="en-US" w:eastAsia="zh-CN"/>
              </w:rPr>
              <w:t>2025年度垃圾分类第三方服务-标项3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其他未列明行业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其他服务业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rPr>
              <w:t>行业；</w:t>
            </w:r>
          </w:p>
          <w:p w14:paraId="7D5B24E2">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《关于印发中小企业划型标准规定的通知》工信部联企业〔2011〕300号</w:t>
            </w:r>
          </w:p>
        </w:tc>
      </w:tr>
      <w:tr w14:paraId="68B476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55" w:hRule="atLeast"/>
        </w:trPr>
        <w:tc>
          <w:tcPr>
            <w:tcW w:w="629" w:type="dxa"/>
            <w:tcBorders>
              <w:top w:val="single" w:color="auto" w:sz="4" w:space="0"/>
              <w:left w:val="single" w:color="auto" w:sz="4" w:space="0"/>
              <w:bottom w:val="single" w:color="auto" w:sz="4" w:space="0"/>
              <w:right w:val="single" w:color="auto" w:sz="4" w:space="0"/>
            </w:tcBorders>
            <w:vAlign w:val="center"/>
          </w:tcPr>
          <w:p w14:paraId="26F9119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06E68B9">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322" w:type="dxa"/>
            <w:tcBorders>
              <w:top w:val="single" w:color="000000" w:sz="8" w:space="0"/>
              <w:left w:val="single" w:color="000000" w:sz="2" w:space="0"/>
              <w:bottom w:val="single" w:color="000000" w:sz="8" w:space="0"/>
              <w:right w:val="single" w:color="000000" w:sz="8" w:space="0"/>
            </w:tcBorders>
            <w:vAlign w:val="center"/>
          </w:tcPr>
          <w:p w14:paraId="2595BF7A">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sz w:val="24"/>
                  <w:highlight w:val="none"/>
                </w:rPr>
                <w:id w:val="4658"/>
                <w14:checkbox>
                  <w14:checked w14:val="1"/>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sym w:font="Wingdings" w:char="F0FE"/>
                </w:r>
              </w:sdtContent>
            </w:sdt>
            <w:r>
              <w:rPr>
                <w:rFonts w:hint="eastAsia" w:ascii="仿宋" w:hAnsi="仿宋" w:eastAsia="仿宋" w:cs="仿宋"/>
                <w:color w:val="auto"/>
                <w:sz w:val="24"/>
                <w:highlight w:val="none"/>
              </w:rPr>
              <w:t>本项目不允许采购进口产品。</w:t>
            </w:r>
          </w:p>
          <w:p w14:paraId="02838C38">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sdt>
              <w:sdtPr>
                <w:rPr>
                  <w:rFonts w:hint="eastAsia" w:ascii="仿宋" w:hAnsi="仿宋" w:eastAsia="仿宋" w:cs="仿宋"/>
                  <w:color w:val="auto"/>
                  <w:sz w:val="24"/>
                  <w:highlight w:val="none"/>
                </w:rPr>
                <w:id w:val="4659"/>
                <w14:checkbox>
                  <w14:checked w14:val="0"/>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t>☐</w:t>
                </w:r>
              </w:sdtContent>
            </w:sdt>
            <w:r>
              <w:rPr>
                <w:rFonts w:hint="eastAsia" w:ascii="仿宋" w:hAnsi="仿宋" w:eastAsia="仿宋" w:cs="仿宋"/>
                <w:color w:val="auto"/>
                <w:sz w:val="24"/>
                <w:highlight w:val="none"/>
              </w:rPr>
              <w:t>可以就    采购进口产品。</w:t>
            </w:r>
            <w:r>
              <w:rPr>
                <w:rFonts w:hint="eastAsia" w:ascii="仿宋" w:hAnsi="仿宋" w:eastAsia="仿宋" w:cs="仿宋"/>
                <w:color w:val="auto"/>
                <w:kern w:val="0"/>
                <w:sz w:val="24"/>
                <w:highlight w:val="none"/>
              </w:rPr>
              <w:t>优先采购向我国企业转让技术、与我国企业签订消化吸收再创新方案的供应商的进口产品，详见</w:t>
            </w:r>
            <w:r>
              <w:rPr>
                <w:rFonts w:hint="eastAsia" w:ascii="仿宋" w:hAnsi="仿宋" w:eastAsia="仿宋" w:cs="仿宋"/>
                <w:color w:val="auto"/>
                <w:kern w:val="0"/>
                <w:sz w:val="24"/>
                <w:highlight w:val="none"/>
                <w:u w:val="single"/>
              </w:rPr>
              <w:t>评分标准</w:t>
            </w:r>
            <w:r>
              <w:rPr>
                <w:rFonts w:hint="eastAsia" w:ascii="仿宋" w:hAnsi="仿宋" w:eastAsia="仿宋" w:cs="仿宋"/>
                <w:color w:val="auto"/>
                <w:kern w:val="0"/>
                <w:sz w:val="24"/>
                <w:highlight w:val="none"/>
              </w:rPr>
              <w:t>。</w:t>
            </w:r>
          </w:p>
        </w:tc>
      </w:tr>
      <w:tr w14:paraId="45E5A2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0" w:hRule="atLeast"/>
        </w:trPr>
        <w:tc>
          <w:tcPr>
            <w:tcW w:w="629" w:type="dxa"/>
            <w:tcBorders>
              <w:top w:val="single" w:color="auto" w:sz="4" w:space="0"/>
              <w:left w:val="single" w:color="auto" w:sz="4" w:space="0"/>
              <w:bottom w:val="single" w:color="auto" w:sz="4" w:space="0"/>
              <w:right w:val="single" w:color="auto" w:sz="4" w:space="0"/>
            </w:tcBorders>
            <w:vAlign w:val="center"/>
          </w:tcPr>
          <w:p w14:paraId="4AC15AB6">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8FBD8C9">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322" w:type="dxa"/>
            <w:tcBorders>
              <w:top w:val="single" w:color="000000" w:sz="8" w:space="0"/>
              <w:left w:val="single" w:color="000000" w:sz="2" w:space="0"/>
              <w:bottom w:val="single" w:color="000000" w:sz="8" w:space="0"/>
              <w:right w:val="single" w:color="000000" w:sz="8" w:space="0"/>
            </w:tcBorders>
            <w:vAlign w:val="center"/>
          </w:tcPr>
          <w:p w14:paraId="67D8822B">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660"/>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Wingdings" w:hAnsi="Wingdings" w:eastAsiaTheme="minorEastAsia" w:cstheme="minorEastAsia"/>
                    <w:color w:val="auto"/>
                    <w:kern w:val="0"/>
                    <w:sz w:val="24"/>
                    <w:szCs w:val="24"/>
                    <w:highlight w:val="none"/>
                    <w:lang w:val="en-US" w:eastAsia="zh-CN" w:bidi="ar-SA"/>
                  </w:rPr>
                  <w:t>þ</w:t>
                </w:r>
              </w:sdtContent>
            </w:sdt>
            <w:r>
              <w:rPr>
                <w:rFonts w:hint="eastAsia" w:asciiTheme="minorEastAsia" w:hAnsiTheme="minorEastAsia" w:eastAsiaTheme="minorEastAsia" w:cstheme="minorEastAsia"/>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4"/>
                <w:highlight w:val="none"/>
                <w:u w:val="single"/>
                <w:lang w:val="en-US" w:eastAsia="zh-CN"/>
              </w:rPr>
              <w:t>物资购买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70C5DD40">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661"/>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 xml:space="preserve"> </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p w14:paraId="3F1AD1D1">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681D34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6" w:hRule="atLeast"/>
        </w:trPr>
        <w:tc>
          <w:tcPr>
            <w:tcW w:w="629" w:type="dxa"/>
            <w:tcBorders>
              <w:top w:val="single" w:color="auto" w:sz="4" w:space="0"/>
              <w:left w:val="single" w:color="auto" w:sz="4" w:space="0"/>
              <w:bottom w:val="single" w:color="auto" w:sz="4" w:space="0"/>
              <w:right w:val="single" w:color="auto" w:sz="4" w:space="0"/>
            </w:tcBorders>
            <w:vAlign w:val="center"/>
          </w:tcPr>
          <w:p w14:paraId="48BD568E">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EF2CF11">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322" w:type="dxa"/>
            <w:tcBorders>
              <w:top w:val="single" w:color="000000" w:sz="8" w:space="0"/>
              <w:left w:val="single" w:color="000000" w:sz="2" w:space="0"/>
              <w:bottom w:val="single" w:color="000000" w:sz="8" w:space="0"/>
              <w:right w:val="single" w:color="000000" w:sz="8" w:space="0"/>
            </w:tcBorders>
            <w:vAlign w:val="center"/>
          </w:tcPr>
          <w:p w14:paraId="7C9C3F64">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0"/>
                <w:highlight w:val="none"/>
              </w:rPr>
            </w:pPr>
            <w:sdt>
              <w:sdtPr>
                <w:rPr>
                  <w:rFonts w:hint="eastAsia" w:asciiTheme="minorEastAsia" w:hAnsiTheme="minorEastAsia" w:eastAsiaTheme="minorEastAsia" w:cstheme="minorEastAsia"/>
                  <w:color w:val="auto"/>
                  <w:kern w:val="0"/>
                  <w:sz w:val="24"/>
                  <w:highlight w:val="none"/>
                </w:rPr>
                <w:id w:val="4662"/>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Wingdings" w:hAnsi="Wingdings" w:eastAsiaTheme="minorEastAsia" w:cstheme="minorEastAsia"/>
                    <w:color w:val="auto"/>
                    <w:kern w:val="0"/>
                    <w:sz w:val="24"/>
                    <w:szCs w:val="24"/>
                    <w:highlight w:val="none"/>
                    <w:lang w:val="en-US" w:eastAsia="zh-CN" w:bidi="ar-SA"/>
                  </w:rPr>
                  <w:t>þ</w:t>
                </w:r>
              </w:sdtContent>
            </w:sdt>
            <w:r>
              <w:rPr>
                <w:rFonts w:hint="eastAsia" w:asciiTheme="minorEastAsia" w:hAnsiTheme="minorEastAsia" w:eastAsiaTheme="minorEastAsia" w:cstheme="minorEastAsia"/>
                <w:color w:val="auto"/>
                <w:kern w:val="0"/>
                <w:sz w:val="24"/>
                <w:highlight w:val="none"/>
              </w:rPr>
              <w:t>A</w:t>
            </w:r>
            <w:r>
              <w:rPr>
                <w:rFonts w:hint="eastAsia" w:ascii="仿宋" w:hAnsi="仿宋" w:eastAsia="仿宋" w:cs="仿宋"/>
                <w:color w:val="auto"/>
                <w:sz w:val="24"/>
                <w:highlight w:val="none"/>
              </w:rPr>
              <w:t>不组织。</w:t>
            </w:r>
          </w:p>
        </w:tc>
      </w:tr>
      <w:tr w14:paraId="64601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6" w:hRule="atLeast"/>
        </w:trPr>
        <w:tc>
          <w:tcPr>
            <w:tcW w:w="629" w:type="dxa"/>
            <w:tcBorders>
              <w:top w:val="single" w:color="auto" w:sz="4" w:space="0"/>
              <w:left w:val="single" w:color="auto" w:sz="4" w:space="0"/>
              <w:bottom w:val="single" w:color="auto" w:sz="4" w:space="0"/>
              <w:right w:val="single" w:color="auto" w:sz="4" w:space="0"/>
            </w:tcBorders>
            <w:vAlign w:val="center"/>
          </w:tcPr>
          <w:p w14:paraId="6014DAED">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C066233">
            <w:pPr>
              <w:pStyle w:val="3"/>
              <w:bidi w:val="0"/>
              <w:rPr>
                <w:rFonts w:hint="default"/>
                <w:color w:val="auto"/>
                <w:highlight w:val="none"/>
                <w:lang w:val="en-US" w:eastAsia="zh-CN"/>
              </w:rPr>
            </w:pPr>
            <w:r>
              <w:rPr>
                <w:rFonts w:hint="eastAsia" w:ascii="仿宋" w:hAnsi="仿宋" w:eastAsia="仿宋" w:cs="仿宋"/>
                <w:b/>
                <w:bCs w:val="0"/>
                <w:color w:val="auto"/>
                <w:kern w:val="2"/>
                <w:sz w:val="24"/>
                <w:szCs w:val="24"/>
                <w:highlight w:val="none"/>
                <w:lang w:val="en-US" w:eastAsia="zh-CN" w:bidi="ar-SA"/>
              </w:rPr>
              <w:t>样品提供、演示</w:t>
            </w:r>
          </w:p>
        </w:tc>
        <w:tc>
          <w:tcPr>
            <w:tcW w:w="6322" w:type="dxa"/>
            <w:tcBorders>
              <w:top w:val="single" w:color="000000" w:sz="8" w:space="0"/>
              <w:left w:val="single" w:color="000000" w:sz="2" w:space="0"/>
              <w:bottom w:val="single" w:color="000000" w:sz="8" w:space="0"/>
              <w:right w:val="single" w:color="000000" w:sz="8" w:space="0"/>
            </w:tcBorders>
            <w:vAlign w:val="center"/>
          </w:tcPr>
          <w:p w14:paraId="008B7CC8">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封装电子秤样品提供、演示和入户垃圾桶样品提供：</w:t>
            </w:r>
          </w:p>
          <w:p w14:paraId="0529F868">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sym w:font="Wingdings" w:char="00A8"/>
            </w:r>
            <w:r>
              <w:rPr>
                <w:rFonts w:hint="eastAsia" w:ascii="仿宋" w:hAnsi="仿宋" w:eastAsia="仿宋" w:cs="仿宋"/>
                <w:bCs/>
                <w:color w:val="auto"/>
                <w:sz w:val="24"/>
                <w:szCs w:val="24"/>
                <w:highlight w:val="none"/>
              </w:rPr>
              <w:t>A不要求。</w:t>
            </w:r>
          </w:p>
          <w:p w14:paraId="3C91904F">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bCs/>
                <w:color w:val="auto"/>
                <w:sz w:val="24"/>
                <w:szCs w:val="24"/>
                <w:highlight w:val="none"/>
              </w:rPr>
              <w:t>B要求</w:t>
            </w:r>
            <w:r>
              <w:rPr>
                <w:rFonts w:hint="eastAsia" w:ascii="仿宋" w:hAnsi="仿宋" w:eastAsia="仿宋" w:cs="仿宋"/>
                <w:bCs/>
                <w:color w:val="auto"/>
                <w:sz w:val="24"/>
                <w:szCs w:val="24"/>
                <w:highlight w:val="none"/>
                <w:lang w:eastAsia="zh-CN"/>
              </w:rPr>
              <w:t>：</w:t>
            </w:r>
          </w:p>
          <w:p w14:paraId="599662BD">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1、样品提供（标项1、标项2、标项3）：封装电子秤1个、入户垃圾桶1个；(注:投标人若投多个标项的，样品只需提供一套)</w:t>
            </w:r>
            <w:r>
              <w:rPr>
                <w:rFonts w:hint="eastAsia" w:ascii="仿宋" w:hAnsi="仿宋" w:eastAsia="仿宋" w:cs="仿宋"/>
                <w:color w:val="auto"/>
                <w:sz w:val="24"/>
                <w:szCs w:val="24"/>
                <w:highlight w:val="none"/>
                <w:lang w:val="en-US" w:eastAsia="zh-CN"/>
              </w:rPr>
              <w:t>。</w:t>
            </w:r>
          </w:p>
          <w:p w14:paraId="561523B5">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样品演示：在评标时安排投标人人员对封装电子秤演示，演示时间不超过10分钟。</w:t>
            </w:r>
          </w:p>
          <w:p w14:paraId="567705D3">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样品提供、演示</w:t>
            </w:r>
            <w:r>
              <w:rPr>
                <w:rFonts w:hint="eastAsia" w:ascii="仿宋" w:hAnsi="仿宋" w:eastAsia="仿宋" w:cs="仿宋"/>
                <w:color w:val="auto"/>
                <w:sz w:val="24"/>
                <w:szCs w:val="24"/>
                <w:highlight w:val="none"/>
              </w:rPr>
              <w:t>人员不超过2人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人员</w:t>
            </w:r>
            <w:r>
              <w:rPr>
                <w:rFonts w:hint="eastAsia" w:ascii="仿宋" w:hAnsi="仿宋" w:eastAsia="仿宋" w:cs="仿宋"/>
                <w:color w:val="auto"/>
                <w:sz w:val="24"/>
                <w:szCs w:val="24"/>
                <w:highlight w:val="none"/>
                <w:lang w:val="en-US" w:eastAsia="zh-CN"/>
              </w:rPr>
              <w:t>如为</w:t>
            </w: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w:t>
            </w:r>
            <w:r>
              <w:rPr>
                <w:rFonts w:hint="eastAsia" w:ascii="仿宋" w:hAnsi="仿宋" w:eastAsia="仿宋" w:cs="仿宋"/>
                <w:color w:val="auto"/>
                <w:sz w:val="24"/>
                <w:szCs w:val="24"/>
                <w:highlight w:val="none"/>
                <w:lang w:val="en-US" w:eastAsia="zh-CN"/>
              </w:rPr>
              <w:t>须提供身份证原件、营业执照复印件；人员如为授权代表签到</w:t>
            </w:r>
            <w:r>
              <w:rPr>
                <w:rFonts w:hint="eastAsia" w:ascii="仿宋" w:hAnsi="仿宋" w:eastAsia="仿宋" w:cs="仿宋"/>
                <w:color w:val="auto"/>
                <w:sz w:val="24"/>
                <w:szCs w:val="24"/>
                <w:highlight w:val="none"/>
              </w:rPr>
              <w:t>时</w:t>
            </w:r>
            <w:r>
              <w:rPr>
                <w:rFonts w:hint="eastAsia" w:ascii="仿宋" w:hAnsi="仿宋" w:eastAsia="仿宋" w:cs="仿宋"/>
                <w:color w:val="auto"/>
                <w:sz w:val="24"/>
                <w:szCs w:val="24"/>
                <w:highlight w:val="none"/>
                <w:lang w:val="en-US" w:eastAsia="zh-CN"/>
              </w:rPr>
              <w:t>须提供</w:t>
            </w:r>
            <w:r>
              <w:rPr>
                <w:rFonts w:hint="eastAsia" w:ascii="仿宋" w:hAnsi="仿宋" w:eastAsia="仿宋" w:cs="仿宋"/>
                <w:color w:val="auto"/>
                <w:sz w:val="24"/>
                <w:szCs w:val="24"/>
                <w:highlight w:val="none"/>
              </w:rPr>
              <w:t>身份证</w:t>
            </w:r>
            <w:r>
              <w:rPr>
                <w:rFonts w:hint="eastAsia" w:ascii="仿宋" w:hAnsi="仿宋" w:eastAsia="仿宋" w:cs="仿宋"/>
                <w:color w:val="auto"/>
                <w:sz w:val="24"/>
                <w:szCs w:val="24"/>
                <w:highlight w:val="none"/>
                <w:lang w:val="en-US" w:eastAsia="zh-CN"/>
              </w:rPr>
              <w:t>原件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样品提供、演示</w:t>
            </w:r>
            <w:r>
              <w:rPr>
                <w:rFonts w:hint="eastAsia" w:ascii="仿宋" w:hAnsi="仿宋" w:eastAsia="仿宋" w:cs="仿宋"/>
                <w:color w:val="auto"/>
                <w:sz w:val="24"/>
                <w:szCs w:val="24"/>
                <w:highlight w:val="none"/>
              </w:rPr>
              <w:t>授权委托书</w:t>
            </w:r>
            <w:r>
              <w:rPr>
                <w:rFonts w:hint="eastAsia" w:ascii="仿宋" w:hAnsi="仿宋" w:eastAsia="仿宋" w:cs="仿宋"/>
                <w:color w:val="auto"/>
                <w:sz w:val="24"/>
                <w:szCs w:val="24"/>
                <w:highlight w:val="none"/>
                <w:lang w:val="en-US" w:eastAsia="zh-CN"/>
              </w:rPr>
              <w:t>原件</w:t>
            </w:r>
            <w:r>
              <w:rPr>
                <w:rFonts w:hint="eastAsia" w:ascii="仿宋" w:hAnsi="仿宋" w:eastAsia="仿宋" w:cs="仿宋"/>
                <w:color w:val="auto"/>
                <w:sz w:val="24"/>
                <w:szCs w:val="24"/>
                <w:highlight w:val="none"/>
              </w:rPr>
              <w:t>（详见招标文件格式范例附件</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），否则</w:t>
            </w:r>
            <w:r>
              <w:rPr>
                <w:rFonts w:hint="eastAsia" w:ascii="仿宋" w:hAnsi="仿宋" w:eastAsia="仿宋" w:cs="仿宋"/>
                <w:color w:val="auto"/>
                <w:sz w:val="24"/>
                <w:szCs w:val="24"/>
                <w:highlight w:val="none"/>
                <w:lang w:val="en-US" w:eastAsia="zh-CN"/>
              </w:rPr>
              <w:t>不予签到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视为放弃样品提供、演示</w:t>
            </w:r>
            <w:r>
              <w:rPr>
                <w:rFonts w:hint="eastAsia" w:ascii="仿宋" w:hAnsi="仿宋" w:eastAsia="仿宋" w:cs="仿宋"/>
                <w:color w:val="auto"/>
                <w:sz w:val="24"/>
                <w:szCs w:val="24"/>
                <w:highlight w:val="none"/>
              </w:rPr>
              <w:t>。演示</w:t>
            </w:r>
            <w:r>
              <w:rPr>
                <w:rFonts w:hint="eastAsia" w:ascii="仿宋" w:hAnsi="仿宋" w:eastAsia="仿宋" w:cs="仿宋"/>
                <w:color w:val="auto"/>
                <w:sz w:val="24"/>
                <w:szCs w:val="24"/>
                <w:highlight w:val="none"/>
                <w:lang w:val="en-US" w:eastAsia="zh-CN"/>
              </w:rPr>
              <w:t>结束</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评标委员会</w:t>
            </w:r>
            <w:r>
              <w:rPr>
                <w:rFonts w:hint="eastAsia" w:ascii="仿宋" w:hAnsi="仿宋" w:eastAsia="仿宋" w:cs="仿宋"/>
                <w:color w:val="auto"/>
                <w:sz w:val="24"/>
                <w:szCs w:val="24"/>
                <w:highlight w:val="none"/>
                <w:lang w:val="en-US" w:eastAsia="zh-CN"/>
              </w:rPr>
              <w:t>若有</w:t>
            </w:r>
            <w:r>
              <w:rPr>
                <w:rFonts w:hint="eastAsia" w:ascii="仿宋" w:hAnsi="仿宋" w:eastAsia="仿宋" w:cs="仿宋"/>
                <w:color w:val="auto"/>
                <w:sz w:val="24"/>
                <w:szCs w:val="24"/>
                <w:highlight w:val="none"/>
              </w:rPr>
              <w:t>提问</w:t>
            </w:r>
            <w:r>
              <w:rPr>
                <w:rFonts w:hint="eastAsia" w:ascii="仿宋" w:hAnsi="仿宋" w:eastAsia="仿宋" w:cs="仿宋"/>
                <w:color w:val="auto"/>
                <w:sz w:val="24"/>
                <w:szCs w:val="24"/>
                <w:highlight w:val="none"/>
                <w:lang w:val="en-US" w:eastAsia="zh-CN"/>
              </w:rPr>
              <w:t>的需做</w:t>
            </w:r>
            <w:r>
              <w:rPr>
                <w:rFonts w:hint="eastAsia" w:ascii="仿宋" w:hAnsi="仿宋" w:eastAsia="仿宋" w:cs="仿宋"/>
                <w:color w:val="auto"/>
                <w:sz w:val="24"/>
                <w:szCs w:val="24"/>
                <w:highlight w:val="none"/>
              </w:rPr>
              <w:t>解答。</w:t>
            </w:r>
          </w:p>
          <w:p w14:paraId="1F2A06B9">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时间：开标当天</w:t>
            </w:r>
            <w:r>
              <w:rPr>
                <w:rFonts w:hint="eastAsia" w:ascii="仿宋" w:hAnsi="仿宋" w:eastAsia="仿宋" w:cs="仿宋"/>
                <w:color w:val="auto"/>
                <w:sz w:val="24"/>
                <w:szCs w:val="24"/>
                <w:highlight w:val="none"/>
                <w:lang w:val="en-US" w:eastAsia="zh-CN"/>
              </w:rPr>
              <w:t>08:00</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lang w:val="en-US" w:eastAsia="zh-CN"/>
              </w:rPr>
              <w:t>09:30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样品在签到前递交，</w:t>
            </w:r>
            <w:r>
              <w:rPr>
                <w:rFonts w:hint="eastAsia" w:ascii="仿宋" w:hAnsi="仿宋" w:eastAsia="仿宋" w:cs="仿宋"/>
                <w:color w:val="auto"/>
                <w:sz w:val="24"/>
                <w:szCs w:val="24"/>
                <w:highlight w:val="none"/>
              </w:rPr>
              <w:t>否则</w:t>
            </w:r>
            <w:r>
              <w:rPr>
                <w:rFonts w:hint="eastAsia" w:ascii="仿宋" w:hAnsi="仿宋" w:eastAsia="仿宋" w:cs="仿宋"/>
                <w:color w:val="auto"/>
                <w:sz w:val="24"/>
                <w:szCs w:val="24"/>
                <w:highlight w:val="none"/>
                <w:lang w:val="en-US" w:eastAsia="zh-CN"/>
              </w:rPr>
              <w:t>不予签到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签到截止时间同提交投标文件截止时间（开标时间），逾期签到视为放弃样品提供、演示。</w:t>
            </w:r>
          </w:p>
          <w:p w14:paraId="1AE3881D">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3、签到地点：</w:t>
            </w:r>
            <w:r>
              <w:rPr>
                <w:rFonts w:hint="eastAsia" w:ascii="仿宋" w:hAnsi="仿宋" w:eastAsia="仿宋"/>
                <w:b w:val="0"/>
                <w:bCs/>
                <w:color w:val="auto"/>
                <w:sz w:val="24"/>
                <w:szCs w:val="24"/>
                <w:highlight w:val="none"/>
                <w:lang w:val="en-US" w:eastAsia="zh-CN"/>
              </w:rPr>
              <w:t>开标当天08:00至09:30分前从行政服务中心地下负二层3号电梯厅进入到4楼，由工作人员引导安放至样品间并签到，后至杭州市公共资源交易中心萧山分中心演示等待室等候[杭州市萧山区博学路618号科创中心B幢行政服务中心4楼]。递交样品人员需在演示等候室等待至开标结束，演示样品要求当天</w:t>
            </w:r>
            <w:r>
              <w:rPr>
                <w:rFonts w:hint="eastAsia" w:ascii="仿宋" w:hAnsi="仿宋" w:eastAsia="仿宋" w:cs="仿宋"/>
                <w:color w:val="auto"/>
                <w:sz w:val="24"/>
                <w:szCs w:val="24"/>
                <w:highlight w:val="none"/>
                <w:lang w:val="en-US" w:eastAsia="zh-CN"/>
              </w:rPr>
              <w:t>取回。</w:t>
            </w:r>
          </w:p>
          <w:p w14:paraId="73DE3544">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4、次序：演示次序</w:t>
            </w:r>
            <w:r>
              <w:rPr>
                <w:rFonts w:hint="eastAsia" w:ascii="仿宋" w:hAnsi="仿宋" w:eastAsia="仿宋" w:cs="仿宋"/>
                <w:color w:val="auto"/>
                <w:sz w:val="24"/>
                <w:szCs w:val="24"/>
                <w:highlight w:val="none"/>
              </w:rPr>
              <w:t>以投标文件解密时间先后次序为准，</w:t>
            </w:r>
            <w:r>
              <w:rPr>
                <w:rFonts w:hint="eastAsia" w:ascii="仿宋" w:hAnsi="仿宋" w:eastAsia="仿宋" w:cs="仿宋"/>
                <w:color w:val="auto"/>
                <w:sz w:val="24"/>
                <w:szCs w:val="24"/>
                <w:highlight w:val="none"/>
                <w:lang w:val="en-US" w:eastAsia="zh-CN"/>
              </w:rPr>
              <w:t>采购代理机构工作人员在</w:t>
            </w:r>
            <w:r>
              <w:rPr>
                <w:rFonts w:hint="eastAsia" w:ascii="仿宋" w:hAnsi="仿宋" w:eastAsia="仿宋"/>
                <w:b w:val="0"/>
                <w:bCs/>
                <w:color w:val="auto"/>
                <w:sz w:val="24"/>
                <w:szCs w:val="24"/>
                <w:highlight w:val="none"/>
                <w:lang w:val="en-US" w:eastAsia="zh-CN"/>
              </w:rPr>
              <w:t>演示等待室</w:t>
            </w:r>
            <w:r>
              <w:rPr>
                <w:rFonts w:hint="eastAsia" w:ascii="仿宋" w:hAnsi="仿宋" w:eastAsia="仿宋" w:cs="仿宋"/>
                <w:color w:val="auto"/>
                <w:sz w:val="24"/>
                <w:szCs w:val="24"/>
                <w:highlight w:val="none"/>
                <w:lang w:val="en-US" w:eastAsia="zh-CN"/>
              </w:rPr>
              <w:t>现场通知投标人人员，并在工作人员的带领下进入指定地点。若通知后5分钟内未到达</w:t>
            </w:r>
            <w:r>
              <w:rPr>
                <w:rFonts w:hint="eastAsia" w:ascii="仿宋" w:hAnsi="仿宋" w:eastAsia="仿宋"/>
                <w:b w:val="0"/>
                <w:bCs/>
                <w:color w:val="auto"/>
                <w:sz w:val="24"/>
                <w:szCs w:val="24"/>
                <w:highlight w:val="none"/>
                <w:lang w:val="en-US" w:eastAsia="zh-CN"/>
              </w:rPr>
              <w:t>演示等待室</w:t>
            </w:r>
            <w:r>
              <w:rPr>
                <w:rFonts w:hint="eastAsia" w:ascii="仿宋" w:hAnsi="仿宋" w:eastAsia="仿宋" w:cs="仿宋"/>
                <w:color w:val="auto"/>
                <w:sz w:val="24"/>
                <w:szCs w:val="24"/>
                <w:highlight w:val="none"/>
                <w:lang w:val="en-US" w:eastAsia="zh-CN"/>
              </w:rPr>
              <w:t>的，视为放弃样品提供、演示</w:t>
            </w:r>
            <w:r>
              <w:rPr>
                <w:rFonts w:hint="eastAsia" w:ascii="仿宋" w:hAnsi="仿宋" w:eastAsia="仿宋" w:cs="仿宋"/>
                <w:color w:val="auto"/>
                <w:sz w:val="24"/>
                <w:szCs w:val="24"/>
                <w:highlight w:val="none"/>
              </w:rPr>
              <w:t>。</w:t>
            </w:r>
          </w:p>
          <w:p w14:paraId="5BD2BCA0">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5、演示所需其它设备等由投标人自备。</w:t>
            </w:r>
          </w:p>
          <w:p w14:paraId="1E44EABD">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采购活动结束后，对于未中标人提供的样品，采购代理机构将通知未中标人在规定的时间内取回，逾期未取回的，采购人、采购代理机构不负保管义务；对于中标人提供的样品，采购人将进行保管、封存，并作为履约验收的参考。</w:t>
            </w:r>
          </w:p>
          <w:p w14:paraId="40B63625">
            <w:pPr>
              <w:pageBreakBefore w:val="0"/>
              <w:widowControl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kern w:val="0"/>
                <w:sz w:val="24"/>
                <w:highlight w:val="none"/>
              </w:rPr>
            </w:pPr>
            <w:r>
              <w:rPr>
                <w:rFonts w:hint="eastAsia" w:ascii="仿宋" w:hAnsi="仿宋" w:eastAsia="仿宋"/>
                <w:b/>
                <w:bCs w:val="0"/>
                <w:color w:val="auto"/>
                <w:sz w:val="24"/>
                <w:szCs w:val="24"/>
                <w:highlight w:val="none"/>
                <w:lang w:val="en-US" w:eastAsia="zh-CN"/>
              </w:rPr>
              <w:t>注：本项目分三个标项，投标人若投多个标项，只需提供一套样品，故样品演示环节统一安排在标项1评审阶段。</w:t>
            </w:r>
          </w:p>
        </w:tc>
      </w:tr>
      <w:tr w14:paraId="694CAE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6" w:hRule="atLeast"/>
        </w:trPr>
        <w:tc>
          <w:tcPr>
            <w:tcW w:w="629" w:type="dxa"/>
            <w:tcBorders>
              <w:top w:val="single" w:color="auto" w:sz="4" w:space="0"/>
              <w:left w:val="single" w:color="auto" w:sz="4" w:space="0"/>
              <w:bottom w:val="single" w:color="auto" w:sz="4" w:space="0"/>
              <w:right w:val="single" w:color="auto" w:sz="4" w:space="0"/>
            </w:tcBorders>
            <w:vAlign w:val="center"/>
          </w:tcPr>
          <w:p w14:paraId="6C1C691D">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741DA1D">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软件演示</w:t>
            </w:r>
          </w:p>
        </w:tc>
        <w:tc>
          <w:tcPr>
            <w:tcW w:w="6322" w:type="dxa"/>
            <w:tcBorders>
              <w:top w:val="single" w:color="000000" w:sz="8" w:space="0"/>
              <w:left w:val="single" w:color="000000" w:sz="2" w:space="0"/>
              <w:bottom w:val="single" w:color="000000" w:sz="8" w:space="0"/>
              <w:right w:val="single" w:color="000000" w:sz="8" w:space="0"/>
            </w:tcBorders>
            <w:vAlign w:val="center"/>
          </w:tcPr>
          <w:p w14:paraId="04FB154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软件演示：</w:t>
            </w:r>
          </w:p>
          <w:p w14:paraId="1FE54524">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sym w:font="Wingdings" w:char="00A8"/>
            </w:r>
            <w:r>
              <w:rPr>
                <w:rFonts w:hint="eastAsia" w:ascii="仿宋" w:hAnsi="仿宋" w:eastAsia="仿宋" w:cs="仿宋"/>
                <w:bCs/>
                <w:color w:val="auto"/>
                <w:sz w:val="24"/>
                <w:szCs w:val="24"/>
                <w:highlight w:val="none"/>
              </w:rPr>
              <w:t>A不要求。</w:t>
            </w:r>
          </w:p>
          <w:p w14:paraId="402AB1BE">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bCs/>
                <w:color w:val="auto"/>
                <w:sz w:val="24"/>
                <w:szCs w:val="24"/>
                <w:highlight w:val="none"/>
              </w:rPr>
              <w:t>B要求</w:t>
            </w:r>
            <w:r>
              <w:rPr>
                <w:rFonts w:hint="eastAsia" w:ascii="仿宋" w:hAnsi="仿宋" w:eastAsia="仿宋" w:cs="仿宋"/>
                <w:bCs/>
                <w:color w:val="auto"/>
                <w:sz w:val="24"/>
                <w:szCs w:val="24"/>
                <w:highlight w:val="none"/>
                <w:lang w:eastAsia="zh-CN"/>
              </w:rPr>
              <w:t>：</w:t>
            </w:r>
          </w:p>
          <w:p w14:paraId="66F9ACDD">
            <w:pPr>
              <w:pageBreakBefore w:val="0"/>
              <w:widowControl w:val="0"/>
              <w:numPr>
                <w:ilvl w:val="0"/>
                <w:numId w:val="0"/>
              </w:numPr>
              <w:kinsoku/>
              <w:wordWrap/>
              <w:overflowPunct/>
              <w:topLinePunct w:val="0"/>
              <w:autoSpaceDE/>
              <w:autoSpaceDN/>
              <w:bidi w:val="0"/>
              <w:spacing w:after="0" w:line="4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w:t>
            </w:r>
            <w:r>
              <w:rPr>
                <w:rFonts w:hint="eastAsia" w:ascii="仿宋" w:hAnsi="仿宋" w:eastAsia="仿宋" w:cs="仿宋"/>
                <w:b/>
                <w:bCs/>
                <w:color w:val="auto"/>
                <w:sz w:val="24"/>
                <w:szCs w:val="24"/>
                <w:highlight w:val="none"/>
                <w:lang w:val="en-US" w:eastAsia="zh-CN"/>
              </w:rPr>
              <w:t>演示要求</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投标人提供</w:t>
            </w:r>
            <w:r>
              <w:rPr>
                <w:rFonts w:hint="eastAsia" w:ascii="仿宋" w:hAnsi="仿宋" w:eastAsia="仿宋" w:cs="仿宋"/>
                <w:b/>
                <w:bCs/>
                <w:color w:val="auto"/>
                <w:sz w:val="24"/>
                <w:szCs w:val="24"/>
                <w:highlight w:val="none"/>
              </w:rPr>
              <w:t>垃圾分类服务工作实时在线记录系统</w:t>
            </w:r>
            <w:r>
              <w:rPr>
                <w:rFonts w:hint="eastAsia" w:ascii="仿宋" w:hAnsi="仿宋" w:eastAsia="仿宋" w:cs="仿宋"/>
                <w:b/>
                <w:bCs/>
                <w:color w:val="auto"/>
                <w:sz w:val="24"/>
                <w:szCs w:val="24"/>
                <w:highlight w:val="none"/>
                <w:lang w:val="en-US" w:eastAsia="zh-CN"/>
              </w:rPr>
              <w:t>软件演示，具体演示要求详见评分标准。</w:t>
            </w:r>
          </w:p>
          <w:p w14:paraId="013D3FE3">
            <w:pPr>
              <w:pageBreakBefore w:val="0"/>
              <w:widowControl w:val="0"/>
              <w:kinsoku/>
              <w:wordWrap/>
              <w:overflowPunct/>
              <w:topLinePunct w:val="0"/>
              <w:autoSpaceDE/>
              <w:autoSpaceDN/>
              <w:bidi w:val="0"/>
              <w:spacing w:after="0" w:line="400" w:lineRule="exact"/>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2</w:t>
            </w:r>
            <w:r>
              <w:rPr>
                <w:rFonts w:hint="default" w:ascii="仿宋" w:hAnsi="仿宋" w:eastAsia="仿宋" w:cs="仿宋"/>
                <w:b/>
                <w:bCs/>
                <w:color w:val="auto"/>
                <w:kern w:val="2"/>
                <w:sz w:val="24"/>
                <w:szCs w:val="24"/>
                <w:highlight w:val="none"/>
                <w:lang w:val="en-US" w:eastAsia="zh-CN" w:bidi="ar-SA"/>
              </w:rPr>
              <w:t>、</w:t>
            </w:r>
            <w:r>
              <w:rPr>
                <w:rFonts w:hint="eastAsia" w:ascii="仿宋" w:hAnsi="仿宋" w:eastAsia="仿宋" w:cs="仿宋"/>
                <w:b/>
                <w:bCs/>
                <w:color w:val="auto"/>
                <w:sz w:val="24"/>
                <w:szCs w:val="24"/>
                <w:highlight w:val="none"/>
                <w:lang w:val="en-US" w:eastAsia="zh-CN"/>
              </w:rPr>
              <w:t>演示方式：投标人采用视屏录制方式，以U盘形式递交，软件演示U盘需单独密封，外包装注明投标人名称、所投标项并加盖投标人公章；(注:投标人若投多个标项的，软件演示U盘只需提供一份)。</w:t>
            </w:r>
          </w:p>
          <w:p w14:paraId="2FFB8A19">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时间：开标当天</w:t>
            </w:r>
            <w:r>
              <w:rPr>
                <w:rFonts w:hint="eastAsia" w:ascii="仿宋" w:hAnsi="仿宋" w:eastAsia="仿宋" w:cs="仿宋"/>
                <w:color w:val="auto"/>
                <w:sz w:val="24"/>
                <w:szCs w:val="24"/>
                <w:highlight w:val="none"/>
                <w:lang w:val="en-US" w:eastAsia="zh-CN"/>
              </w:rPr>
              <w:t>08:00</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lang w:val="en-US" w:eastAsia="zh-CN"/>
              </w:rPr>
              <w:t>09:30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签到截止时间同提交投标文件截止时间（开标时间），逾期签到视为放弃演示。</w:t>
            </w:r>
          </w:p>
          <w:p w14:paraId="420B0010">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4、签到地点：杭州市公共资源交易中心萧山分中心4楼样品间[杭州市萧山区博学路618号科创中心B幢行政服务中心4楼]。签到人员携带软件演示授权委托书，格式详见附件8。</w:t>
            </w:r>
          </w:p>
          <w:p w14:paraId="093DE81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5、演示次序：各标项</w:t>
            </w:r>
            <w:r>
              <w:rPr>
                <w:rFonts w:hint="eastAsia" w:ascii="仿宋" w:hAnsi="仿宋" w:eastAsia="仿宋" w:cs="仿宋"/>
                <w:color w:val="auto"/>
                <w:sz w:val="24"/>
                <w:szCs w:val="24"/>
                <w:highlight w:val="none"/>
              </w:rPr>
              <w:t>次序以投标文件解密时间先后次序为准</w:t>
            </w:r>
            <w:r>
              <w:rPr>
                <w:rFonts w:hint="eastAsia" w:ascii="仿宋" w:hAnsi="仿宋" w:eastAsia="仿宋" w:cs="仿宋"/>
                <w:color w:val="auto"/>
                <w:sz w:val="24"/>
                <w:szCs w:val="24"/>
                <w:highlight w:val="none"/>
                <w:lang w:eastAsia="zh-CN"/>
              </w:rPr>
              <w:t>。</w:t>
            </w:r>
            <w:r>
              <w:rPr>
                <w:rFonts w:hint="eastAsia" w:ascii="仿宋" w:hAnsi="仿宋" w:eastAsia="仿宋"/>
                <w:b/>
                <w:bCs w:val="0"/>
                <w:color w:val="auto"/>
                <w:sz w:val="24"/>
                <w:szCs w:val="24"/>
                <w:highlight w:val="none"/>
                <w:lang w:val="en-US" w:eastAsia="zh-CN"/>
              </w:rPr>
              <w:t>注：本项目分三个标项，投标人若投多个标项，</w:t>
            </w:r>
            <w:r>
              <w:rPr>
                <w:rFonts w:hint="eastAsia" w:ascii="仿宋" w:hAnsi="仿宋" w:eastAsia="仿宋" w:cs="仿宋"/>
                <w:b/>
                <w:bCs/>
                <w:color w:val="auto"/>
                <w:sz w:val="24"/>
                <w:szCs w:val="24"/>
                <w:highlight w:val="none"/>
                <w:lang w:val="en-US" w:eastAsia="zh-CN"/>
              </w:rPr>
              <w:t>只需提供一份软件演示U盘</w:t>
            </w:r>
            <w:r>
              <w:rPr>
                <w:rFonts w:hint="eastAsia" w:ascii="仿宋" w:hAnsi="仿宋" w:eastAsia="仿宋"/>
                <w:b/>
                <w:bCs w:val="0"/>
                <w:color w:val="auto"/>
                <w:sz w:val="24"/>
                <w:szCs w:val="24"/>
                <w:highlight w:val="none"/>
                <w:lang w:val="en-US" w:eastAsia="zh-CN"/>
              </w:rPr>
              <w:t>，故</w:t>
            </w:r>
            <w:r>
              <w:rPr>
                <w:rFonts w:hint="eastAsia" w:ascii="仿宋" w:hAnsi="仿宋" w:eastAsia="仿宋" w:cs="仿宋"/>
                <w:b/>
                <w:bCs/>
                <w:color w:val="auto"/>
                <w:sz w:val="24"/>
                <w:szCs w:val="24"/>
                <w:highlight w:val="none"/>
                <w:lang w:val="en-US" w:eastAsia="zh-CN"/>
              </w:rPr>
              <w:t>软件演示</w:t>
            </w:r>
            <w:r>
              <w:rPr>
                <w:rFonts w:hint="eastAsia" w:ascii="仿宋" w:hAnsi="仿宋" w:eastAsia="仿宋"/>
                <w:b/>
                <w:bCs w:val="0"/>
                <w:color w:val="auto"/>
                <w:sz w:val="24"/>
                <w:szCs w:val="24"/>
                <w:highlight w:val="none"/>
                <w:lang w:val="en-US" w:eastAsia="zh-CN"/>
              </w:rPr>
              <w:t>环节统一安排在标项1评审阶段。</w:t>
            </w:r>
          </w:p>
        </w:tc>
      </w:tr>
      <w:tr w14:paraId="7369EB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1" w:hRule="atLeast"/>
        </w:trPr>
        <w:tc>
          <w:tcPr>
            <w:tcW w:w="629" w:type="dxa"/>
            <w:tcBorders>
              <w:top w:val="single" w:color="auto" w:sz="4" w:space="0"/>
              <w:left w:val="single" w:color="auto" w:sz="4" w:space="0"/>
              <w:bottom w:val="single" w:color="auto" w:sz="4" w:space="0"/>
              <w:right w:val="single" w:color="auto" w:sz="4" w:space="0"/>
            </w:tcBorders>
            <w:vAlign w:val="center"/>
          </w:tcPr>
          <w:p w14:paraId="56A2C52F">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1843" w:type="dxa"/>
            <w:tcBorders>
              <w:top w:val="single" w:color="000000" w:sz="8" w:space="0"/>
              <w:left w:val="single" w:color="auto" w:sz="4" w:space="0"/>
              <w:bottom w:val="single" w:color="000000" w:sz="8" w:space="0"/>
              <w:right w:val="single" w:color="000000" w:sz="8" w:space="0"/>
            </w:tcBorders>
            <w:vAlign w:val="center"/>
          </w:tcPr>
          <w:p w14:paraId="35ECD5AB">
            <w:pPr>
              <w:pageBreakBefore w:val="0"/>
              <w:widowControl w:val="0"/>
              <w:kinsoku/>
              <w:wordWrap/>
              <w:overflowPunct/>
              <w:topLinePunct w:val="0"/>
              <w:autoSpaceDE/>
              <w:autoSpaceDN/>
              <w:bidi w:val="0"/>
              <w:spacing w:after="0" w:line="400" w:lineRule="exact"/>
              <w:jc w:val="center"/>
              <w:textAlignment w:val="auto"/>
              <w:rPr>
                <w:rFonts w:hint="eastAsia" w:ascii="仿宋" w:hAnsi="仿宋" w:eastAsia="仿宋" w:cs="仿宋"/>
                <w:bCs/>
                <w:color w:val="auto"/>
                <w:sz w:val="24"/>
                <w:highlight w:val="none"/>
              </w:rPr>
            </w:pPr>
            <w:r>
              <w:rPr>
                <w:rFonts w:hint="eastAsia" w:ascii="仿宋" w:hAnsi="仿宋" w:eastAsia="仿宋" w:cs="仿宋"/>
                <w:b/>
                <w:color w:val="auto"/>
                <w:sz w:val="24"/>
                <w:szCs w:val="24"/>
                <w:highlight w:val="none"/>
                <w:lang w:val="en-US" w:eastAsia="zh-CN"/>
              </w:rPr>
              <w:t>项目经理服务方案讲解</w:t>
            </w:r>
          </w:p>
        </w:tc>
        <w:tc>
          <w:tcPr>
            <w:tcW w:w="6322" w:type="dxa"/>
            <w:tcBorders>
              <w:top w:val="single" w:color="000000" w:sz="8" w:space="0"/>
              <w:left w:val="single" w:color="000000" w:sz="2" w:space="0"/>
              <w:bottom w:val="single" w:color="000000" w:sz="8" w:space="0"/>
              <w:right w:val="single" w:color="000000" w:sz="8" w:space="0"/>
            </w:tcBorders>
            <w:vAlign w:val="center"/>
          </w:tcPr>
          <w:p w14:paraId="624AE0B6">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项目经理服务方案讲解：</w:t>
            </w:r>
          </w:p>
          <w:p w14:paraId="2D0F842F">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sym w:font="Wingdings" w:char="00A8"/>
            </w:r>
            <w:r>
              <w:rPr>
                <w:rFonts w:hint="eastAsia" w:ascii="仿宋" w:hAnsi="仿宋" w:eastAsia="仿宋" w:cs="仿宋"/>
                <w:bCs/>
                <w:color w:val="auto"/>
                <w:sz w:val="24"/>
                <w:szCs w:val="24"/>
                <w:highlight w:val="none"/>
              </w:rPr>
              <w:t>A不要求。</w:t>
            </w:r>
          </w:p>
          <w:p w14:paraId="13534AC0">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bCs/>
                <w:color w:val="auto"/>
                <w:sz w:val="24"/>
                <w:szCs w:val="24"/>
                <w:highlight w:val="none"/>
              </w:rPr>
              <w:t>B要求</w:t>
            </w:r>
            <w:r>
              <w:rPr>
                <w:rFonts w:hint="eastAsia" w:ascii="仿宋" w:hAnsi="仿宋" w:eastAsia="仿宋" w:cs="仿宋"/>
                <w:bCs/>
                <w:color w:val="auto"/>
                <w:sz w:val="24"/>
                <w:szCs w:val="24"/>
                <w:highlight w:val="none"/>
                <w:lang w:eastAsia="zh-CN"/>
              </w:rPr>
              <w:t>：</w:t>
            </w:r>
          </w:p>
          <w:p w14:paraId="38CF2215">
            <w:pPr>
              <w:pageBreakBefore w:val="0"/>
              <w:widowControl w:val="0"/>
              <w:numPr>
                <w:ilvl w:val="0"/>
                <w:numId w:val="0"/>
              </w:numPr>
              <w:kinsoku/>
              <w:wordWrap/>
              <w:overflowPunct/>
              <w:topLinePunct w:val="0"/>
              <w:autoSpaceDE/>
              <w:autoSpaceDN/>
              <w:bidi w:val="0"/>
              <w:spacing w:after="0" w:line="400" w:lineRule="exac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讲解要求</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投标人提供项目经理服务方案讲解，具体方案讲解要求详见评分标准。</w:t>
            </w:r>
          </w:p>
          <w:p w14:paraId="27DFFADA">
            <w:pPr>
              <w:pageBreakBefore w:val="0"/>
              <w:widowControl w:val="0"/>
              <w:kinsoku/>
              <w:wordWrap/>
              <w:overflowPunct/>
              <w:topLinePunct w:val="0"/>
              <w:autoSpaceDE/>
              <w:autoSpaceDN/>
              <w:bidi w:val="0"/>
              <w:spacing w:after="0" w:line="400" w:lineRule="exact"/>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2</w:t>
            </w:r>
            <w:r>
              <w:rPr>
                <w:rFonts w:hint="default" w:ascii="仿宋" w:hAnsi="仿宋" w:eastAsia="仿宋" w:cs="仿宋"/>
                <w:b/>
                <w:bCs/>
                <w:color w:val="auto"/>
                <w:kern w:val="2"/>
                <w:sz w:val="24"/>
                <w:szCs w:val="24"/>
                <w:highlight w:val="none"/>
                <w:lang w:val="en-US" w:eastAsia="zh-CN" w:bidi="ar-SA"/>
              </w:rPr>
              <w:t>、</w:t>
            </w:r>
            <w:r>
              <w:rPr>
                <w:rFonts w:hint="eastAsia" w:ascii="仿宋" w:hAnsi="仿宋" w:eastAsia="仿宋" w:cs="仿宋"/>
                <w:b/>
                <w:bCs/>
                <w:color w:val="auto"/>
                <w:sz w:val="24"/>
                <w:szCs w:val="24"/>
                <w:highlight w:val="none"/>
                <w:lang w:val="en-US" w:eastAsia="zh-CN"/>
              </w:rPr>
              <w:t>演示方式：投标人采用视屏录制方式，以U盘形式递交，每个标项的项目经理服务方案讲解U盘单独密封，外包装注明投标人名称、所投标项并加盖投标人公章。</w:t>
            </w:r>
          </w:p>
          <w:p w14:paraId="072278F4">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时间：开标当天</w:t>
            </w:r>
            <w:r>
              <w:rPr>
                <w:rFonts w:hint="eastAsia" w:ascii="仿宋" w:hAnsi="仿宋" w:eastAsia="仿宋" w:cs="仿宋"/>
                <w:color w:val="auto"/>
                <w:sz w:val="24"/>
                <w:szCs w:val="24"/>
                <w:highlight w:val="none"/>
                <w:lang w:val="en-US" w:eastAsia="zh-CN"/>
              </w:rPr>
              <w:t>08:00</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lang w:val="en-US" w:eastAsia="zh-CN"/>
              </w:rPr>
              <w:t>09:30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签到截止时间同提交投标文件截止时间（开标时间），逾期签到视为放弃讲解。</w:t>
            </w:r>
          </w:p>
          <w:p w14:paraId="55E6368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4、签到地点：杭州市公共资源交易中心萧山分中心4楼样品间[杭州市萧山区博学路618号科创中心B幢行政服务中心4楼]。签到人员携带项目经理服务方案讲解授权委托书，格式详见附件10。</w:t>
            </w:r>
          </w:p>
          <w:p w14:paraId="68B4832C">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sz w:val="24"/>
                <w:szCs w:val="24"/>
                <w:highlight w:val="none"/>
                <w:lang w:val="en-US" w:eastAsia="zh-CN"/>
              </w:rPr>
              <w:t>5、讲解次序：本项目按标项1、标项2、标项3的顺序进行评审，各标项</w:t>
            </w:r>
            <w:r>
              <w:rPr>
                <w:rFonts w:hint="eastAsia" w:ascii="仿宋" w:hAnsi="仿宋" w:eastAsia="仿宋" w:cs="仿宋"/>
                <w:color w:val="auto"/>
                <w:sz w:val="24"/>
                <w:szCs w:val="24"/>
                <w:highlight w:val="none"/>
              </w:rPr>
              <w:t>次序以投标文件解密时间先后次序为准</w:t>
            </w:r>
            <w:r>
              <w:rPr>
                <w:rFonts w:hint="eastAsia" w:ascii="仿宋" w:hAnsi="仿宋" w:eastAsia="仿宋" w:cs="仿宋"/>
                <w:color w:val="auto"/>
                <w:sz w:val="24"/>
                <w:szCs w:val="24"/>
                <w:highlight w:val="none"/>
                <w:lang w:eastAsia="zh-CN"/>
              </w:rPr>
              <w:t>。</w:t>
            </w:r>
          </w:p>
        </w:tc>
      </w:tr>
      <w:tr w14:paraId="117150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629" w:type="dxa"/>
            <w:vMerge w:val="restart"/>
            <w:tcBorders>
              <w:top w:val="single" w:color="auto" w:sz="4" w:space="0"/>
              <w:left w:val="single" w:color="auto" w:sz="4" w:space="0"/>
              <w:right w:val="single" w:color="auto" w:sz="4" w:space="0"/>
            </w:tcBorders>
            <w:vAlign w:val="center"/>
          </w:tcPr>
          <w:p w14:paraId="614DE353">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p>
        </w:tc>
        <w:tc>
          <w:tcPr>
            <w:tcW w:w="1843" w:type="dxa"/>
            <w:vMerge w:val="restart"/>
            <w:tcBorders>
              <w:top w:val="single" w:color="000000" w:sz="8" w:space="0"/>
              <w:left w:val="single" w:color="auto" w:sz="4" w:space="0"/>
              <w:right w:val="single" w:color="000000" w:sz="8" w:space="0"/>
            </w:tcBorders>
            <w:vAlign w:val="center"/>
          </w:tcPr>
          <w:p w14:paraId="6AA4477D">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322" w:type="dxa"/>
            <w:tcBorders>
              <w:top w:val="single" w:color="000000" w:sz="8" w:space="0"/>
              <w:left w:val="single" w:color="000000" w:sz="2" w:space="0"/>
              <w:bottom w:val="single" w:color="auto" w:sz="4" w:space="0"/>
              <w:right w:val="single" w:color="000000" w:sz="8" w:space="0"/>
            </w:tcBorders>
            <w:vAlign w:val="center"/>
          </w:tcPr>
          <w:p w14:paraId="71CC9CBC">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32B971BB">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4E2647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0" w:hRule="atLeast"/>
        </w:trPr>
        <w:tc>
          <w:tcPr>
            <w:tcW w:w="629" w:type="dxa"/>
            <w:vMerge w:val="continue"/>
            <w:tcBorders>
              <w:left w:val="single" w:color="auto" w:sz="4" w:space="0"/>
              <w:bottom w:val="single" w:color="auto" w:sz="4" w:space="0"/>
              <w:right w:val="single" w:color="auto" w:sz="4" w:space="0"/>
            </w:tcBorders>
            <w:vAlign w:val="center"/>
          </w:tcPr>
          <w:p w14:paraId="77F6F3D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A036F7D">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auto" w:sz="4" w:space="0"/>
              <w:left w:val="single" w:color="000000" w:sz="2" w:space="0"/>
              <w:bottom w:val="single" w:color="000000" w:sz="8" w:space="0"/>
              <w:right w:val="single" w:color="000000" w:sz="8" w:space="0"/>
            </w:tcBorders>
            <w:vAlign w:val="center"/>
          </w:tcPr>
          <w:p w14:paraId="41EBAA05">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7BA215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F295447">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9195092">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322" w:type="dxa"/>
            <w:tcBorders>
              <w:top w:val="single" w:color="000000" w:sz="8" w:space="0"/>
              <w:left w:val="single" w:color="000000" w:sz="2" w:space="0"/>
              <w:bottom w:val="single" w:color="000000" w:sz="8" w:space="0"/>
              <w:right w:val="single" w:color="000000" w:sz="8" w:space="0"/>
            </w:tcBorders>
            <w:vAlign w:val="center"/>
          </w:tcPr>
          <w:p w14:paraId="43F045F8">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0695F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1695C89B">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59B545D4">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322" w:type="dxa"/>
            <w:tcBorders>
              <w:top w:val="single" w:color="000000" w:sz="8" w:space="0"/>
              <w:left w:val="single" w:color="000000" w:sz="2" w:space="0"/>
              <w:bottom w:val="single" w:color="000000" w:sz="8" w:space="0"/>
              <w:right w:val="single" w:color="000000" w:sz="8" w:space="0"/>
            </w:tcBorders>
            <w:vAlign w:val="center"/>
          </w:tcPr>
          <w:p w14:paraId="4C1C525A">
            <w:pPr>
              <w:pageBreakBefore w:val="0"/>
              <w:widowControl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6119D4DD">
            <w:pPr>
              <w:pageBreakBefore w:val="0"/>
              <w:widowControl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6F4D5C44">
            <w:pPr>
              <w:pageBreakBefore w:val="0"/>
              <w:widowControl w:val="0"/>
              <w:kinsoku/>
              <w:wordWrap/>
              <w:overflowPunct/>
              <w:topLinePunct w:val="0"/>
              <w:autoSpaceDE/>
              <w:autoSpaceDN/>
              <w:bidi w:val="0"/>
              <w:snapToGrid w:val="0"/>
              <w:spacing w:line="400" w:lineRule="exact"/>
              <w:ind w:firstLine="241" w:firstLineChars="1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5B841757">
            <w:pPr>
              <w:pageBreakBefore w:val="0"/>
              <w:widowControl w:val="0"/>
              <w:kinsoku/>
              <w:wordWrap/>
              <w:overflowPunct/>
              <w:topLinePunct w:val="0"/>
              <w:autoSpaceDE/>
              <w:autoSpaceDN/>
              <w:bidi w:val="0"/>
              <w:snapToGrid w:val="0"/>
              <w:spacing w:line="400" w:lineRule="exact"/>
              <w:ind w:firstLine="241" w:firstLineChars="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687221E9">
            <w:pPr>
              <w:pageBreakBefore w:val="0"/>
              <w:widowControl w:val="0"/>
              <w:kinsoku/>
              <w:wordWrap/>
              <w:overflowPunct/>
              <w:topLinePunct w:val="0"/>
              <w:autoSpaceDE/>
              <w:autoSpaceDN/>
              <w:bidi w:val="0"/>
              <w:spacing w:line="400" w:lineRule="exact"/>
              <w:ind w:firstLine="241" w:firstLineChars="100"/>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highlight w:val="none"/>
              </w:rPr>
              <w:t>;</w:t>
            </w:r>
          </w:p>
          <w:p w14:paraId="0DEA4216">
            <w:pPr>
              <w:pageBreakBefore w:val="0"/>
              <w:widowControl w:val="0"/>
              <w:kinsoku/>
              <w:wordWrap/>
              <w:overflowPunct/>
              <w:topLinePunct w:val="0"/>
              <w:autoSpaceDE/>
              <w:autoSpaceDN/>
              <w:bidi w:val="0"/>
              <w:spacing w:line="400" w:lineRule="exact"/>
              <w:ind w:firstLine="241" w:firstLineChars="100"/>
              <w:textAlignment w:val="auto"/>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0750E8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rPr>
        <w:tc>
          <w:tcPr>
            <w:tcW w:w="629" w:type="dxa"/>
            <w:tcBorders>
              <w:top w:val="single" w:color="auto" w:sz="4" w:space="0"/>
              <w:left w:val="single" w:color="000000" w:sz="8" w:space="0"/>
              <w:right w:val="single" w:color="000000" w:sz="2" w:space="0"/>
            </w:tcBorders>
            <w:vAlign w:val="center"/>
          </w:tcPr>
          <w:p w14:paraId="04791948">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1843" w:type="dxa"/>
            <w:tcBorders>
              <w:top w:val="single" w:color="000000" w:sz="8" w:space="0"/>
              <w:left w:val="single" w:color="000000" w:sz="2" w:space="0"/>
              <w:right w:val="single" w:color="000000" w:sz="8" w:space="0"/>
            </w:tcBorders>
            <w:vAlign w:val="center"/>
          </w:tcPr>
          <w:p w14:paraId="6A5B6F97">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w:t>
            </w:r>
          </w:p>
          <w:p w14:paraId="17D298F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信用融资</w:t>
            </w:r>
          </w:p>
        </w:tc>
        <w:tc>
          <w:tcPr>
            <w:tcW w:w="6322" w:type="dxa"/>
            <w:tcBorders>
              <w:top w:val="single" w:color="000000" w:sz="8" w:space="0"/>
              <w:left w:val="single" w:color="000000" w:sz="2" w:space="0"/>
              <w:right w:val="single" w:color="000000" w:sz="8" w:space="0"/>
            </w:tcBorders>
            <w:vAlign w:val="center"/>
          </w:tcPr>
          <w:p w14:paraId="14135B13">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65BB0FAC">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本项目支持《杭州市萧山区政府采购支持中小企业信用融资暂行办法》。</w:t>
            </w:r>
          </w:p>
          <w:p w14:paraId="2640FAAA">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有融资需求的中标供应商可参照相关规定及银行方案凭政府采购合同向相关合作银行提出信用融资（贷款）申请。详见</w:t>
            </w:r>
          </w:p>
          <w:p w14:paraId="3E3BA032">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"http://www.xiaoshan.gov.cn/art/2018/12/20/art_1229293109_1559514.html"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sz w:val="24"/>
                <w:szCs w:val="24"/>
                <w:highlight w:val="none"/>
              </w:rPr>
              <w:t>http://www.xiaoshan.gov.cn/art/2018/12/20/art_1229293109_1559514.html</w:t>
            </w:r>
            <w:r>
              <w:rPr>
                <w:rStyle w:val="76"/>
                <w:rFonts w:hint="eastAsia" w:ascii="仿宋" w:hAnsi="仿宋" w:eastAsia="仿宋" w:cs="仿宋"/>
                <w:snapToGrid/>
                <w:color w:val="auto"/>
                <w:sz w:val="24"/>
                <w:szCs w:val="24"/>
                <w:highlight w:val="none"/>
              </w:rPr>
              <w:fldChar w:fldCharType="end"/>
            </w:r>
          </w:p>
        </w:tc>
      </w:tr>
      <w:tr w14:paraId="0E4516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5"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B5E4C6F">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p>
        </w:tc>
        <w:tc>
          <w:tcPr>
            <w:tcW w:w="1843" w:type="dxa"/>
            <w:tcBorders>
              <w:top w:val="single" w:color="000000" w:sz="8" w:space="0"/>
              <w:left w:val="single" w:color="000000" w:sz="2" w:space="0"/>
              <w:bottom w:val="single" w:color="000000" w:sz="8" w:space="0"/>
              <w:right w:val="single" w:color="000000" w:sz="8" w:space="0"/>
            </w:tcBorders>
            <w:vAlign w:val="center"/>
          </w:tcPr>
          <w:p w14:paraId="7444D051">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备份投标文件送达地点和签收人员</w:t>
            </w:r>
          </w:p>
        </w:tc>
        <w:tc>
          <w:tcPr>
            <w:tcW w:w="6322" w:type="dxa"/>
            <w:tcBorders>
              <w:top w:val="single" w:color="000000" w:sz="8" w:space="0"/>
              <w:left w:val="single" w:color="000000" w:sz="2" w:space="0"/>
              <w:bottom w:val="single" w:color="000000" w:sz="8" w:space="0"/>
              <w:right w:val="single" w:color="000000" w:sz="8" w:space="0"/>
            </w:tcBorders>
            <w:vAlign w:val="center"/>
          </w:tcPr>
          <w:p w14:paraId="0FDD0850">
            <w:pPr>
              <w:pStyle w:val="32"/>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本项目备份文件是否收取：不收取</w:t>
            </w:r>
          </w:p>
        </w:tc>
      </w:tr>
      <w:tr w14:paraId="0E7991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9F6CDAF">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14:paraId="6D75920C">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采购机构代理费用</w:t>
            </w:r>
          </w:p>
        </w:tc>
        <w:tc>
          <w:tcPr>
            <w:tcW w:w="6322" w:type="dxa"/>
            <w:tcBorders>
              <w:top w:val="single" w:color="000000" w:sz="8" w:space="0"/>
              <w:left w:val="single" w:color="000000" w:sz="2" w:space="0"/>
              <w:bottom w:val="single" w:color="000000" w:sz="8" w:space="0"/>
              <w:right w:val="single" w:color="000000" w:sz="8" w:space="0"/>
            </w:tcBorders>
            <w:vAlign w:val="center"/>
          </w:tcPr>
          <w:p w14:paraId="21DA94BF">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r>
              <w:rPr>
                <w:rFonts w:hint="eastAsia" w:ascii="仿宋" w:hAnsi="仿宋" w:eastAsia="仿宋"/>
                <w:color w:val="auto"/>
                <w:sz w:val="24"/>
                <w:highlight w:val="none"/>
                <w:lang w:val="zh-CN"/>
              </w:rPr>
              <w:t>本项目采购代理费由</w:t>
            </w:r>
            <w:r>
              <w:rPr>
                <w:rFonts w:hint="eastAsia" w:ascii="仿宋" w:hAnsi="仿宋" w:eastAsia="仿宋"/>
                <w:color w:val="auto"/>
                <w:sz w:val="24"/>
                <w:highlight w:val="none"/>
                <w:lang w:val="en-US" w:eastAsia="zh-CN"/>
              </w:rPr>
              <w:t>采购</w:t>
            </w:r>
            <w:r>
              <w:rPr>
                <w:rFonts w:hint="eastAsia" w:ascii="仿宋" w:hAnsi="仿宋" w:eastAsia="仿宋"/>
                <w:color w:val="auto"/>
                <w:sz w:val="24"/>
                <w:highlight w:val="none"/>
                <w:lang w:val="zh-CN"/>
              </w:rPr>
              <w:t>人支付。</w:t>
            </w:r>
          </w:p>
        </w:tc>
      </w:tr>
      <w:tr w14:paraId="1FE802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CCB646C">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576D492B">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资格审查和信用信息审查</w:t>
            </w:r>
          </w:p>
        </w:tc>
        <w:tc>
          <w:tcPr>
            <w:tcW w:w="6322" w:type="dxa"/>
            <w:tcBorders>
              <w:top w:val="single" w:color="000000" w:sz="8" w:space="0"/>
              <w:left w:val="single" w:color="000000" w:sz="2" w:space="0"/>
              <w:bottom w:val="single" w:color="000000" w:sz="8" w:space="0"/>
              <w:right w:val="single" w:color="000000" w:sz="8" w:space="0"/>
            </w:tcBorders>
            <w:vAlign w:val="center"/>
          </w:tcPr>
          <w:p w14:paraId="291BD9A7">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本项目由采购人进行资格文件及信用信息查询。</w:t>
            </w:r>
          </w:p>
        </w:tc>
      </w:tr>
      <w:tr w14:paraId="272068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677A6CE2">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2A33E205">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color w:val="auto"/>
                <w:sz w:val="22"/>
                <w:highlight w:val="none"/>
              </w:rPr>
            </w:pPr>
            <w:r>
              <w:rPr>
                <w:rFonts w:hint="eastAsia" w:ascii="仿宋" w:hAnsi="仿宋" w:eastAsia="仿宋" w:cs="仿宋"/>
                <w:b/>
                <w:color w:val="auto"/>
                <w:sz w:val="24"/>
                <w:highlight w:val="none"/>
              </w:rPr>
              <w:t>质疑接收人及答复</w:t>
            </w:r>
          </w:p>
        </w:tc>
        <w:tc>
          <w:tcPr>
            <w:tcW w:w="6322" w:type="dxa"/>
            <w:tcBorders>
              <w:top w:val="single" w:color="000000" w:sz="8" w:space="0"/>
              <w:left w:val="single" w:color="000000" w:sz="2" w:space="0"/>
              <w:bottom w:val="single" w:color="000000" w:sz="8" w:space="0"/>
              <w:right w:val="single" w:color="000000" w:sz="8" w:space="0"/>
            </w:tcBorders>
            <w:vAlign w:val="center"/>
          </w:tcPr>
          <w:p w14:paraId="7E052851">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采购人、采购机构质疑接收人、联系方式：详见公告</w:t>
            </w:r>
          </w:p>
          <w:p w14:paraId="104B5191">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线上提交质疑方式：政采云线上质疑路径：项目采购-询问质疑投诉-质疑列表。请使用ca签章在每一页质疑文件中加盖电子公章，上传完整附件。</w:t>
            </w:r>
          </w:p>
          <w:p w14:paraId="4380EF62">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本项目涉及资格条件、采购需求、评分办法及采购过程中有关现场考察或开标前答疑会等事项由</w:t>
            </w:r>
            <w:r>
              <w:rPr>
                <w:rFonts w:hint="eastAsia" w:ascii="仿宋" w:hAnsi="仿宋" w:eastAsia="仿宋" w:cs="仿宋"/>
                <w:b/>
                <w:bCs/>
                <w:color w:val="auto"/>
                <w:sz w:val="24"/>
                <w:highlight w:val="none"/>
              </w:rPr>
              <w:t>采购人</w:t>
            </w:r>
            <w:r>
              <w:rPr>
                <w:rFonts w:hint="eastAsia" w:ascii="仿宋" w:hAnsi="仿宋" w:eastAsia="仿宋" w:cs="仿宋"/>
                <w:color w:val="auto"/>
                <w:sz w:val="24"/>
                <w:highlight w:val="none"/>
              </w:rPr>
              <w:t>进行答复。</w:t>
            </w:r>
          </w:p>
          <w:p w14:paraId="62F24B07">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2"/>
                <w:highlight w:val="none"/>
              </w:rPr>
            </w:pPr>
            <w:r>
              <w:rPr>
                <w:rFonts w:hint="eastAsia" w:ascii="仿宋" w:hAnsi="仿宋" w:eastAsia="仿宋" w:cs="仿宋"/>
                <w:color w:val="auto"/>
                <w:sz w:val="24"/>
                <w:highlight w:val="none"/>
              </w:rPr>
              <w:t>涉及流程规范性、组织程序等相关事项，由</w:t>
            </w:r>
            <w:r>
              <w:rPr>
                <w:rFonts w:hint="eastAsia" w:ascii="仿宋" w:hAnsi="仿宋" w:eastAsia="仿宋" w:cs="仿宋"/>
                <w:b/>
                <w:bCs/>
                <w:color w:val="auto"/>
                <w:sz w:val="24"/>
                <w:highlight w:val="none"/>
              </w:rPr>
              <w:t>采购代理机构</w:t>
            </w:r>
            <w:r>
              <w:rPr>
                <w:rFonts w:hint="eastAsia" w:ascii="仿宋" w:hAnsi="仿宋" w:eastAsia="仿宋" w:cs="仿宋"/>
                <w:color w:val="auto"/>
                <w:sz w:val="24"/>
                <w:highlight w:val="none"/>
              </w:rPr>
              <w:t>进行答复。</w:t>
            </w:r>
          </w:p>
        </w:tc>
      </w:tr>
      <w:tr w14:paraId="163AFF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D2E1335">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00BF743D">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color w:val="auto"/>
                <w:sz w:val="22"/>
                <w:highlight w:val="none"/>
              </w:rPr>
            </w:pPr>
            <w:r>
              <w:rPr>
                <w:rFonts w:hint="eastAsia" w:ascii="仿宋" w:hAnsi="仿宋" w:eastAsia="仿宋" w:cs="仿宋"/>
                <w:b/>
                <w:color w:val="auto"/>
                <w:sz w:val="24"/>
                <w:highlight w:val="none"/>
              </w:rPr>
              <w:t>履约验收</w:t>
            </w:r>
          </w:p>
        </w:tc>
        <w:tc>
          <w:tcPr>
            <w:tcW w:w="6322" w:type="dxa"/>
            <w:tcBorders>
              <w:top w:val="single" w:color="000000" w:sz="8" w:space="0"/>
              <w:left w:val="single" w:color="000000" w:sz="2" w:space="0"/>
              <w:bottom w:val="single" w:color="000000" w:sz="8" w:space="0"/>
              <w:right w:val="single" w:color="000000" w:sz="8" w:space="0"/>
            </w:tcBorders>
            <w:vAlign w:val="center"/>
          </w:tcPr>
          <w:p w14:paraId="6E463F53">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2"/>
                <w:highlight w:val="none"/>
              </w:rPr>
            </w:pPr>
            <w:r>
              <w:rPr>
                <w:rFonts w:hint="eastAsia" w:ascii="仿宋" w:hAnsi="仿宋" w:eastAsia="仿宋" w:cs="仿宋"/>
                <w:color w:val="auto"/>
                <w:sz w:val="24"/>
                <w:highlight w:val="none"/>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联系电话: 0571-83587785/0571-82816012 联系地址: 萧山区通惠北路2-1号304室</w:t>
            </w:r>
          </w:p>
        </w:tc>
      </w:tr>
      <w:tr w14:paraId="4A79A7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9" w:hRule="atLeast"/>
        </w:trPr>
        <w:tc>
          <w:tcPr>
            <w:tcW w:w="629" w:type="dxa"/>
            <w:vMerge w:val="restart"/>
            <w:tcBorders>
              <w:top w:val="single" w:color="auto" w:sz="4" w:space="0"/>
              <w:left w:val="single" w:color="000000" w:sz="8" w:space="0"/>
              <w:right w:val="single" w:color="000000" w:sz="2" w:space="0"/>
            </w:tcBorders>
            <w:vAlign w:val="center"/>
          </w:tcPr>
          <w:p w14:paraId="602C7154">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8</w:t>
            </w:r>
          </w:p>
        </w:tc>
        <w:tc>
          <w:tcPr>
            <w:tcW w:w="1843" w:type="dxa"/>
            <w:vMerge w:val="restart"/>
            <w:tcBorders>
              <w:top w:val="single" w:color="000000" w:sz="8" w:space="0"/>
              <w:left w:val="single" w:color="000000" w:sz="2" w:space="0"/>
              <w:right w:val="single" w:color="000000" w:sz="8" w:space="0"/>
            </w:tcBorders>
            <w:vAlign w:val="center"/>
          </w:tcPr>
          <w:p w14:paraId="617BDC58">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322" w:type="dxa"/>
            <w:tcBorders>
              <w:top w:val="single" w:color="000000" w:sz="8" w:space="0"/>
              <w:left w:val="single" w:color="000000" w:sz="2" w:space="0"/>
              <w:bottom w:val="single" w:color="auto" w:sz="4" w:space="0"/>
              <w:right w:val="single" w:color="000000" w:sz="8" w:space="0"/>
            </w:tcBorders>
            <w:vAlign w:val="center"/>
          </w:tcPr>
          <w:p w14:paraId="5F58F3D1">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0CE5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11" w:hRule="atLeast"/>
        </w:trPr>
        <w:tc>
          <w:tcPr>
            <w:tcW w:w="629" w:type="dxa"/>
            <w:vMerge w:val="continue"/>
            <w:tcBorders>
              <w:left w:val="single" w:color="000000" w:sz="8" w:space="0"/>
              <w:right w:val="single" w:color="000000" w:sz="2" w:space="0"/>
            </w:tcBorders>
            <w:vAlign w:val="center"/>
          </w:tcPr>
          <w:p w14:paraId="2DC706C7">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p>
        </w:tc>
        <w:tc>
          <w:tcPr>
            <w:tcW w:w="1843" w:type="dxa"/>
            <w:vMerge w:val="continue"/>
            <w:tcBorders>
              <w:left w:val="single" w:color="000000" w:sz="2" w:space="0"/>
              <w:right w:val="single" w:color="000000" w:sz="8" w:space="0"/>
            </w:tcBorders>
            <w:vAlign w:val="center"/>
          </w:tcPr>
          <w:p w14:paraId="25740491">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auto" w:sz="4" w:space="0"/>
              <w:left w:val="single" w:color="000000" w:sz="2" w:space="0"/>
              <w:bottom w:val="single" w:color="000000" w:sz="8" w:space="0"/>
              <w:right w:val="single" w:color="000000" w:sz="8" w:space="0"/>
            </w:tcBorders>
            <w:vAlign w:val="center"/>
          </w:tcPr>
          <w:p w14:paraId="17B098B3">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sz w:val="24"/>
                  <w:highlight w:val="none"/>
                </w:rPr>
                <w:id w:val="147468389"/>
                <w14:checkbox>
                  <w14:checked w14:val="0"/>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t>☐</w:t>
                </w:r>
              </w:sdtContent>
            </w:sdt>
            <w:r>
              <w:rPr>
                <w:rFonts w:hint="eastAsia" w:ascii="仿宋" w:hAnsi="仿宋" w:eastAsia="仿宋" w:cs="仿宋"/>
                <w:color w:val="auto"/>
                <w:sz w:val="24"/>
                <w:highlight w:val="none"/>
              </w:rPr>
              <w:t>联合体投标的，联合体各方均需按招标文件第四部分评标标准要求提供资信证明文件，否则视为不符合相关要求。</w:t>
            </w:r>
          </w:p>
          <w:p w14:paraId="08C69E1C">
            <w:pPr>
              <w:pStyle w:val="3"/>
              <w:pageBreakBefore w:val="0"/>
              <w:widowControl w:val="0"/>
              <w:kinsoku/>
              <w:wordWrap/>
              <w:overflowPunct/>
              <w:topLinePunct w:val="0"/>
              <w:autoSpaceDE/>
              <w:autoSpaceDN/>
              <w:bidi w:val="0"/>
              <w:spacing w:line="400" w:lineRule="exact"/>
              <w:ind w:left="0" w:firstLine="0"/>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sz w:val="24"/>
                  <w:szCs w:val="24"/>
                  <w:highlight w:val="none"/>
                </w:rPr>
                <w:id w:val="147476713"/>
                <w14:checkbox>
                  <w14:checked w14:val="1"/>
                  <w14:checkedState w14:val="00FE" w14:font="Wingdings"/>
                  <w14:uncheckedState w14:val="2610" w14:font="MS Gothic"/>
                </w14:checkbox>
              </w:sdtPr>
              <w:sdtEndPr>
                <w:rPr>
                  <w:rFonts w:hint="eastAsia" w:ascii="仿宋" w:hAnsi="仿宋" w:eastAsia="仿宋" w:cs="仿宋"/>
                  <w:b w:val="0"/>
                  <w:bCs w:val="0"/>
                  <w:snapToGrid w:val="0"/>
                  <w:color w:val="auto"/>
                  <w:kern w:val="28"/>
                  <w:sz w:val="24"/>
                  <w:szCs w:val="24"/>
                  <w:highlight w:val="none"/>
                  <w:lang w:val="en-US"/>
                </w:rPr>
              </w:sdtEndPr>
              <w:sdtContent>
                <w:r>
                  <w:rPr>
                    <w:rFonts w:hint="eastAsia" w:ascii="仿宋" w:hAnsi="仿宋" w:eastAsia="仿宋" w:cs="仿宋"/>
                    <w:color w:val="auto"/>
                    <w:sz w:val="24"/>
                    <w:szCs w:val="24"/>
                    <w:highlight w:val="none"/>
                  </w:rPr>
                  <w:sym w:font="Wingdings" w:char="F0FE"/>
                </w:r>
              </w:sdtContent>
            </w:sdt>
            <w:r>
              <w:rPr>
                <w:rFonts w:hint="eastAsia" w:ascii="仿宋" w:hAnsi="仿宋" w:eastAsia="仿宋" w:cs="仿宋"/>
                <w:b w:val="0"/>
                <w:bCs w:val="0"/>
                <w:snapToGrid w:val="0"/>
                <w:color w:val="auto"/>
                <w:kern w:val="28"/>
                <w:sz w:val="24"/>
                <w:szCs w:val="24"/>
                <w:highlight w:val="none"/>
                <w:lang w:val="en-US"/>
              </w:rPr>
              <w:t>联合体投标的，联合体中有一方或者联合体成员根据分工按招标文件第四部分评标标准要求提供资信证明文件的，视为符合了相关要求。</w:t>
            </w:r>
          </w:p>
        </w:tc>
      </w:tr>
      <w:tr w14:paraId="1767C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continue"/>
            <w:tcBorders>
              <w:left w:val="single" w:color="000000" w:sz="8" w:space="0"/>
              <w:right w:val="single" w:color="000000" w:sz="2" w:space="0"/>
            </w:tcBorders>
          </w:tcPr>
          <w:p w14:paraId="0749F455">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highlight w:val="none"/>
              </w:rPr>
            </w:pPr>
          </w:p>
        </w:tc>
        <w:tc>
          <w:tcPr>
            <w:tcW w:w="1843" w:type="dxa"/>
            <w:vMerge w:val="continue"/>
            <w:tcBorders>
              <w:left w:val="single" w:color="000000" w:sz="2" w:space="0"/>
              <w:right w:val="single" w:color="000000" w:sz="8" w:space="0"/>
            </w:tcBorders>
            <w:vAlign w:val="center"/>
          </w:tcPr>
          <w:p w14:paraId="76D371DC">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000000" w:sz="8" w:space="0"/>
              <w:left w:val="single" w:color="000000" w:sz="2" w:space="0"/>
              <w:bottom w:val="single" w:color="000000" w:sz="8" w:space="0"/>
              <w:right w:val="single" w:color="000000" w:sz="8" w:space="0"/>
            </w:tcBorders>
            <w:vAlign w:val="center"/>
          </w:tcPr>
          <w:p w14:paraId="44F4C8C9">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评审因素对应的要求视为采购需求的一部分。</w:t>
            </w:r>
          </w:p>
          <w:p w14:paraId="0C7894D5">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本项目通用总则条款与前附表等专用特别规定有冲突之处，以专用条款（特别规定）为准</w:t>
            </w:r>
          </w:p>
        </w:tc>
      </w:tr>
      <w:tr w14:paraId="1738EB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vMerge w:val="continue"/>
            <w:tcBorders>
              <w:left w:val="single" w:color="000000" w:sz="8" w:space="0"/>
              <w:bottom w:val="single" w:color="auto" w:sz="4" w:space="0"/>
              <w:right w:val="single" w:color="000000" w:sz="2" w:space="0"/>
            </w:tcBorders>
          </w:tcPr>
          <w:p w14:paraId="00D7B344">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405DF9EC">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000000" w:sz="8" w:space="0"/>
              <w:left w:val="single" w:color="000000" w:sz="2" w:space="0"/>
              <w:bottom w:val="single" w:color="auto" w:sz="4" w:space="0"/>
              <w:right w:val="single" w:color="000000" w:sz="8" w:space="0"/>
            </w:tcBorders>
            <w:vAlign w:val="center"/>
          </w:tcPr>
          <w:p w14:paraId="3FCA7E8D">
            <w:pPr>
              <w:pageBreakBefore w:val="0"/>
              <w:widowControl w:val="0"/>
              <w:kinsoku/>
              <w:wordWrap/>
              <w:overflowPunct/>
              <w:topLinePunct w:val="0"/>
              <w:autoSpaceDE/>
              <w:autoSpaceDN/>
              <w:bidi w:val="0"/>
              <w:spacing w:line="400" w:lineRule="exact"/>
              <w:textAlignment w:val="auto"/>
              <w:rPr>
                <w:rFonts w:hint="eastAsia" w:ascii="仿宋" w:hAnsi="仿宋" w:eastAsia="仿宋" w:cs="仿宋"/>
                <w:b/>
                <w:bCs/>
                <w:color w:val="auto"/>
                <w:highlight w:val="none"/>
              </w:rPr>
            </w:pPr>
            <w:r>
              <w:rPr>
                <w:rFonts w:hint="eastAsia" w:ascii="仿宋" w:hAnsi="仿宋" w:eastAsia="仿宋" w:cs="仿宋"/>
                <w:color w:val="auto"/>
                <w:sz w:val="24"/>
                <w:highlight w:val="none"/>
              </w:rPr>
              <w:t>本项目每个标项推荐中标候选人数量：1</w:t>
            </w:r>
          </w:p>
        </w:tc>
      </w:tr>
      <w:tr w14:paraId="266DF1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6F99C8C9">
            <w:pPr>
              <w:pageBreakBefore w:val="0"/>
              <w:widowControl w:val="0"/>
              <w:kinsoku/>
              <w:wordWrap/>
              <w:overflowPunct/>
              <w:topLinePunct w:val="0"/>
              <w:autoSpaceDE/>
              <w:autoSpaceDN/>
              <w:bidi w:val="0"/>
              <w:spacing w:after="0" w:line="400" w:lineRule="exact"/>
              <w:jc w:val="center"/>
              <w:textAlignment w:val="auto"/>
              <w:rPr>
                <w:rFonts w:hint="eastAsia" w:ascii="仿宋" w:hAnsi="仿宋" w:eastAsia="仿宋" w:cs="仿宋"/>
                <w:color w:val="auto"/>
                <w:sz w:val="24"/>
                <w:highlight w:val="none"/>
                <w:lang w:eastAsia="zh-CN"/>
              </w:rPr>
            </w:pPr>
            <w:bookmarkStart w:id="8" w:name="_Toc164416483"/>
            <w:bookmarkStart w:id="9" w:name="第三部分"/>
            <w:r>
              <w:rPr>
                <w:rFonts w:hint="eastAsia" w:ascii="仿宋" w:hAnsi="仿宋" w:eastAsia="仿宋" w:cs="仿宋"/>
                <w:b w:val="0"/>
                <w:bCs w:val="0"/>
                <w:color w:val="auto"/>
                <w:sz w:val="24"/>
                <w:szCs w:val="24"/>
                <w:highlight w:val="none"/>
              </w:rPr>
              <w:t>1</w:t>
            </w:r>
            <w:r>
              <w:rPr>
                <w:rFonts w:hint="eastAsia" w:ascii="仿宋" w:hAnsi="仿宋" w:eastAsia="仿宋" w:cs="仿宋"/>
                <w:b w:val="0"/>
                <w:bCs w:val="0"/>
                <w:color w:val="auto"/>
                <w:sz w:val="24"/>
                <w:szCs w:val="24"/>
                <w:highlight w:val="none"/>
                <w:lang w:val="en-US" w:eastAsia="zh-CN"/>
              </w:rPr>
              <w:t>9</w:t>
            </w:r>
          </w:p>
        </w:tc>
        <w:tc>
          <w:tcPr>
            <w:tcW w:w="1843" w:type="dxa"/>
            <w:tcBorders>
              <w:top w:val="single" w:color="auto" w:sz="4" w:space="0"/>
              <w:left w:val="single" w:color="auto" w:sz="4" w:space="0"/>
              <w:bottom w:val="single" w:color="auto" w:sz="4" w:space="0"/>
              <w:right w:val="single" w:color="auto" w:sz="4" w:space="0"/>
            </w:tcBorders>
            <w:vAlign w:val="center"/>
          </w:tcPr>
          <w:p w14:paraId="3A0F4D3B">
            <w:pPr>
              <w:pageBreakBefore w:val="0"/>
              <w:widowControl w:val="0"/>
              <w:kinsoku/>
              <w:wordWrap/>
              <w:overflowPunct/>
              <w:topLinePunct w:val="0"/>
              <w:autoSpaceDE/>
              <w:autoSpaceDN/>
              <w:bidi w:val="0"/>
              <w:spacing w:after="0"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szCs w:val="24"/>
                <w:highlight w:val="none"/>
                <w:lang w:val="en-US" w:eastAsia="zh-CN"/>
              </w:rPr>
              <w:t>其他</w:t>
            </w:r>
          </w:p>
        </w:tc>
        <w:tc>
          <w:tcPr>
            <w:tcW w:w="6322" w:type="dxa"/>
            <w:tcBorders>
              <w:top w:val="single" w:color="auto" w:sz="4" w:space="0"/>
              <w:left w:val="single" w:color="auto" w:sz="4" w:space="0"/>
              <w:bottom w:val="single" w:color="auto" w:sz="4" w:space="0"/>
              <w:right w:val="single" w:color="auto" w:sz="4" w:space="0"/>
            </w:tcBorders>
            <w:vAlign w:val="center"/>
          </w:tcPr>
          <w:p w14:paraId="32DD39A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中标人应在中标后向采购代理机构提供纸质投标文件一正</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副（加盖公章）。</w:t>
            </w:r>
          </w:p>
        </w:tc>
      </w:tr>
      <w:bookmarkEnd w:id="6"/>
    </w:tbl>
    <w:p w14:paraId="0A8D99DA">
      <w:pP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636A43B0">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4CF8B28E">
      <w:pPr>
        <w:snapToGrid w:val="0"/>
        <w:spacing w:line="360" w:lineRule="auto"/>
        <w:jc w:val="left"/>
        <w:outlineLvl w:val="1"/>
        <w:rPr>
          <w:rFonts w:hint="eastAsia" w:ascii="仿宋" w:hAnsi="仿宋" w:eastAsia="仿宋" w:cs="仿宋"/>
          <w:b/>
          <w:color w:val="auto"/>
          <w:sz w:val="24"/>
          <w:highlight w:val="none"/>
        </w:rPr>
      </w:pPr>
      <w:bookmarkStart w:id="10" w:name="_Toc91899903"/>
      <w:r>
        <w:rPr>
          <w:rFonts w:hint="eastAsia" w:ascii="仿宋" w:hAnsi="仿宋" w:eastAsia="仿宋" w:cs="仿宋"/>
          <w:b/>
          <w:color w:val="auto"/>
          <w:sz w:val="24"/>
          <w:highlight w:val="none"/>
        </w:rPr>
        <w:t>1. 适用范围</w:t>
      </w:r>
    </w:p>
    <w:p w14:paraId="26C7F87A">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26CEF4D9">
      <w:pPr>
        <w:numPr>
          <w:ilvl w:val="0"/>
          <w:numId w:val="1"/>
        </w:num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定义</w:t>
      </w:r>
    </w:p>
    <w:p w14:paraId="60B765D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20D2A13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14:paraId="356F6C5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069405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23A383D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8BC67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2.6“电子交易平台”系指本项目政府采购活动所依托的政府采购云平台（https://www.zcygov.cn/）。</w:t>
      </w:r>
    </w:p>
    <w:p w14:paraId="635489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72282D4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3569B37B">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23512C69">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3FC25701">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0689234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73EAA66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61C9C43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1"/>
    </w:p>
    <w:p w14:paraId="467E0441">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支持中小企业发展</w:t>
      </w:r>
    </w:p>
    <w:p w14:paraId="536A193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A50A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78746BE7">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6769AA3D">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294263F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3.3.3对于未预留份额专门面向中小企业的政府采购货物项目，以及预留份额政府采购货物项目中的非预留部分标项，对小型和微型企业的投标报价给予10%-20%的扣除（</w:t>
      </w:r>
      <w:r>
        <w:rPr>
          <w:rFonts w:hint="eastAsia" w:ascii="仿宋" w:hAnsi="仿宋" w:eastAsia="仿宋" w:cs="仿宋"/>
          <w:snapToGrid w:val="0"/>
          <w:color w:val="auto"/>
          <w:kern w:val="28"/>
          <w:sz w:val="24"/>
          <w:highlight w:val="none"/>
        </w:rPr>
        <w:t>招标文件第四部分</w:t>
      </w:r>
      <w:r>
        <w:rPr>
          <w:rFonts w:hint="eastAsia" w:ascii="仿宋" w:hAnsi="仿宋" w:eastAsia="仿宋" w:cs="仿宋"/>
          <w:color w:val="auto"/>
          <w:sz w:val="24"/>
          <w:highlight w:val="none"/>
          <w:u w:val="single"/>
        </w:rPr>
        <w:t>评标办分法明确具体的扣除比例，未明确的，</w:t>
      </w:r>
      <w:r>
        <w:rPr>
          <w:rFonts w:hint="eastAsia" w:ascii="仿宋" w:hAnsi="仿宋" w:eastAsia="仿宋" w:cs="仿宋"/>
          <w:color w:val="auto"/>
          <w:sz w:val="24"/>
          <w:highlight w:val="none"/>
        </w:rPr>
        <w:t>给予20%的扣除），用扣除后的价格参与评审。接受大中型企业与小微企业组成联合体或者允许大中型企业向一家或者多家小微企业分包的政府采购货物项目，对于</w:t>
      </w:r>
      <w:bookmarkStart w:id="12" w:name="_Hlk101132181"/>
      <w:r>
        <w:rPr>
          <w:rFonts w:hint="eastAsia" w:ascii="仿宋" w:hAnsi="仿宋" w:eastAsia="仿宋" w:cs="仿宋"/>
          <w:color w:val="auto"/>
          <w:sz w:val="24"/>
          <w:highlight w:val="none"/>
        </w:rPr>
        <w:t>联合协议或者分包意向协议约定小微企业的合同份额占到合同总金额30%以上的</w:t>
      </w:r>
      <w:bookmarkEnd w:id="12"/>
      <w:r>
        <w:rPr>
          <w:rFonts w:hint="eastAsia" w:ascii="仿宋" w:hAnsi="仿宋" w:eastAsia="仿宋" w:cs="仿宋"/>
          <w:color w:val="auto"/>
          <w:sz w:val="24"/>
          <w:highlight w:val="none"/>
        </w:rPr>
        <w:t>，对联合体或者大中型企业的报价给予4%-6%（</w:t>
      </w:r>
      <w:r>
        <w:rPr>
          <w:rFonts w:hint="eastAsia" w:ascii="仿宋" w:hAnsi="仿宋" w:eastAsia="仿宋" w:cs="仿宋"/>
          <w:snapToGrid w:val="0"/>
          <w:color w:val="auto"/>
          <w:kern w:val="28"/>
          <w:sz w:val="24"/>
          <w:highlight w:val="none"/>
        </w:rPr>
        <w:t>招标文件第四部分</w:t>
      </w:r>
      <w:r>
        <w:rPr>
          <w:rFonts w:hint="eastAsia" w:ascii="仿宋" w:hAnsi="仿宋" w:eastAsia="仿宋" w:cs="仿宋"/>
          <w:color w:val="auto"/>
          <w:sz w:val="24"/>
          <w:highlight w:val="none"/>
          <w:u w:val="single"/>
        </w:rPr>
        <w:t>评标办分法明确具体的扣除比例，未明确的，</w:t>
      </w:r>
      <w:r>
        <w:rPr>
          <w:rFonts w:hint="eastAsia" w:ascii="仿宋" w:hAnsi="仿宋" w:eastAsia="仿宋" w:cs="仿宋"/>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32B12CB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7C090C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44D1A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DE4F99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6C3AB884">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 </w:t>
      </w:r>
      <w:r>
        <w:rPr>
          <w:rFonts w:hint="eastAsia" w:ascii="仿宋" w:hAnsi="仿宋" w:eastAsia="仿宋" w:cs="仿宋"/>
          <w:bCs/>
          <w:color w:val="auto"/>
          <w:sz w:val="24"/>
          <w:highlight w:val="none"/>
        </w:rPr>
        <w:t>支持创新发展</w:t>
      </w:r>
    </w:p>
    <w:p w14:paraId="5D2AFCB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39B647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1DD15AED">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3.5</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平等对待内外资企业和符合条件的破产重整企业</w:t>
      </w:r>
    </w:p>
    <w:p w14:paraId="1B6BF7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001DA5B7">
      <w:pPr>
        <w:spacing w:line="360" w:lineRule="auto"/>
        <w:rPr>
          <w:rFonts w:hint="eastAsia" w:ascii="仿宋" w:hAnsi="仿宋" w:eastAsia="仿宋" w:cs="仿宋"/>
          <w:b/>
          <w:color w:val="auto"/>
          <w:highlight w:val="none"/>
        </w:rPr>
      </w:pPr>
      <w:r>
        <w:rPr>
          <w:rFonts w:hint="eastAsia" w:ascii="仿宋" w:hAnsi="仿宋" w:eastAsia="仿宋" w:cs="仿宋"/>
          <w:b/>
          <w:color w:val="auto"/>
          <w:sz w:val="24"/>
          <w:highlight w:val="none"/>
        </w:rPr>
        <w:t>4. 询问、质疑、投诉</w:t>
      </w:r>
    </w:p>
    <w:p w14:paraId="441DA96C">
      <w:pPr>
        <w:spacing w:line="360" w:lineRule="auto"/>
        <w:ind w:firstLine="240" w:firstLineChars="1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4.1</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在线询问、质疑、投诉</w:t>
      </w:r>
    </w:p>
    <w:p w14:paraId="2E425AA9">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82A0027">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供应商询问</w:t>
      </w:r>
    </w:p>
    <w:p w14:paraId="6F0DFAA2">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D6BDBE0">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供应商质疑</w:t>
      </w:r>
    </w:p>
    <w:p w14:paraId="4BD8F10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5958504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EB9B0F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4.3.2.1对招标文件提出质疑的，质疑期限为供应商获得招标文件之日或者招标文件公告期限届满之日起计算。</w:t>
      </w:r>
    </w:p>
    <w:p w14:paraId="3FF6A008">
      <w:pPr>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50D06F66">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04C8095D">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4.3.3.1供应商的姓名或者名称、地址、邮编、联系人及联系电话；</w:t>
      </w:r>
    </w:p>
    <w:p w14:paraId="0890E1D5">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4.3.3.2质疑项目的名称、编号；</w:t>
      </w:r>
    </w:p>
    <w:p w14:paraId="00077E68">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4.3.3.3具体、明确的质疑事项和与质疑事项相关的请求；</w:t>
      </w:r>
    </w:p>
    <w:p w14:paraId="2FB58195">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4.3.3.4事实依据；</w:t>
      </w:r>
    </w:p>
    <w:p w14:paraId="76E5E066">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4.3.3.5必要的法律依据；</w:t>
      </w:r>
    </w:p>
    <w:p w14:paraId="673842AA">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4.3.3.6提出质疑的日期。</w:t>
      </w:r>
    </w:p>
    <w:p w14:paraId="7B89D020">
      <w:pPr>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szCs w:val="32"/>
          <w:highlight w:val="none"/>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5B2FFA2D">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4.3.4对同一采购程序环节的质疑，供应商须在法定质疑期内一次性提出。</w:t>
      </w:r>
    </w:p>
    <w:p w14:paraId="5E151290">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2B84EA40">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4.3.6询问或者质疑事项可能影响采购结果的，采购人应当暂停签订合同，已经签订合同的，应当中止履行合同。</w:t>
      </w:r>
    </w:p>
    <w:p w14:paraId="0A3F3138">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4.4</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供应商投诉</w:t>
      </w:r>
    </w:p>
    <w:p w14:paraId="57E8A9EB">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4.4.1质疑供应商对采购人、采购代理机构的答复不满意或者采购人、采购代理机构未在规定的时间内作出答复的，可以在答复期满后十五个工作日内向同级政府采购监督管理部门提出投诉。</w:t>
      </w:r>
    </w:p>
    <w:p w14:paraId="64DBF93F">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4.4.2供应商投诉的事项不得超出已质疑事项的范围，基于质疑答复内容提出的投诉事项除外。</w:t>
      </w:r>
    </w:p>
    <w:p w14:paraId="34FAB98D">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4.4.3供应商投诉应当有明确的请求和必要的证明材料。</w:t>
      </w:r>
    </w:p>
    <w:p w14:paraId="3E497CF8">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4.4.4 以联合体形式参加政府采购活动的，其投诉应当由组成联合体的所有供应商共同提出。</w:t>
      </w:r>
    </w:p>
    <w:p w14:paraId="482B5A4B">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投诉书范本及制作说明详见附件3。</w:t>
      </w:r>
    </w:p>
    <w:p w14:paraId="6D150EBA">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14:paraId="00632DE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招标文件的构成</w:t>
      </w:r>
    </w:p>
    <w:p w14:paraId="364E3DCA">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5.1 招标文件包括下列文件及附件：</w:t>
      </w:r>
    </w:p>
    <w:p w14:paraId="7CF6204C">
      <w:pPr>
        <w:pStyle w:val="32"/>
        <w:tabs>
          <w:tab w:val="left" w:pos="840"/>
        </w:tabs>
        <w:spacing w:line="360" w:lineRule="auto"/>
        <w:ind w:firstLine="960" w:firstLineChars="4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5.1.1招标公告；</w:t>
      </w:r>
    </w:p>
    <w:p w14:paraId="4E343723">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snapToGrid/>
          <w:color w:val="auto"/>
          <w:sz w:val="24"/>
          <w:szCs w:val="24"/>
          <w:highlight w:val="none"/>
          <w:lang w:val="zh-CN"/>
        </w:rPr>
        <w:t>.1.2投标人须知</w:t>
      </w:r>
      <w:r>
        <w:rPr>
          <w:rFonts w:hint="eastAsia" w:ascii="仿宋" w:hAnsi="仿宋" w:eastAsia="仿宋" w:cs="仿宋"/>
          <w:color w:val="auto"/>
          <w:sz w:val="24"/>
          <w:szCs w:val="24"/>
          <w:highlight w:val="none"/>
        </w:rPr>
        <w:t>；</w:t>
      </w:r>
    </w:p>
    <w:p w14:paraId="06AA6115">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6621991C">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50BDF693">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1687C8D3">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292B939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641ED21C">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47B0E165">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6.1已获取招标文件的潜在投标人，若有问题需要澄清，应于投标截止时间前，以书面形式向采购代理机构提出。</w:t>
      </w:r>
    </w:p>
    <w:p w14:paraId="533B9F62">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3262DF0">
      <w:pPr>
        <w:adjustRightInd/>
        <w:spacing w:line="360" w:lineRule="auto"/>
        <w:jc w:val="center"/>
        <w:outlineLvl w:val="0"/>
        <w:rPr>
          <w:rFonts w:hint="eastAsia" w:ascii="仿宋" w:hAnsi="仿宋" w:eastAsia="仿宋" w:cs="仿宋"/>
          <w:b/>
          <w:color w:val="auto"/>
          <w:sz w:val="32"/>
          <w:szCs w:val="21"/>
          <w:highlight w:val="none"/>
        </w:rPr>
      </w:pPr>
      <w:r>
        <w:rPr>
          <w:rFonts w:hint="eastAsia" w:ascii="仿宋" w:hAnsi="仿宋" w:eastAsia="仿宋" w:cs="仿宋"/>
          <w:b/>
          <w:color w:val="auto"/>
          <w:sz w:val="32"/>
          <w:szCs w:val="21"/>
          <w:highlight w:val="none"/>
        </w:rPr>
        <w:t>三、投标</w:t>
      </w:r>
    </w:p>
    <w:p w14:paraId="0387D62E">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B78691F">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4A830E0C">
      <w:pPr>
        <w:pStyle w:val="32"/>
        <w:numPr>
          <w:ilvl w:val="0"/>
          <w:numId w:val="2"/>
        </w:num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p w14:paraId="39E4ABB5">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580FC610">
      <w:pPr>
        <w:pStyle w:val="32"/>
        <w:numPr>
          <w:ilvl w:val="0"/>
          <w:numId w:val="2"/>
        </w:numPr>
        <w:spacing w:line="360" w:lineRule="auto"/>
        <w:ind w:left="0" w:leftChars="0"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投标保证金</w:t>
      </w:r>
    </w:p>
    <w:p w14:paraId="0932D53F">
      <w:pPr>
        <w:pStyle w:val="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056D3339">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1F627E28">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66188C22">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0DC18F2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0A65D31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5C6ABE9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bookmarkStart w:id="13" w:name="_Hlk101259339"/>
      <w:r>
        <w:rPr>
          <w:rFonts w:hint="eastAsia" w:ascii="仿宋" w:hAnsi="仿宋" w:eastAsia="仿宋" w:cs="仿宋"/>
          <w:snapToGrid w:val="0"/>
          <w:color w:val="auto"/>
          <w:kern w:val="28"/>
          <w:sz w:val="24"/>
          <w:szCs w:val="20"/>
          <w:highlight w:val="none"/>
        </w:rPr>
        <w:t>联合协议</w:t>
      </w:r>
      <w:bookmarkEnd w:id="13"/>
      <w:r>
        <w:rPr>
          <w:rFonts w:hint="eastAsia" w:ascii="仿宋" w:hAnsi="仿宋" w:eastAsia="仿宋" w:cs="仿宋"/>
          <w:snapToGrid w:val="0"/>
          <w:color w:val="auto"/>
          <w:kern w:val="28"/>
          <w:sz w:val="24"/>
          <w:szCs w:val="20"/>
          <w:highlight w:val="none"/>
        </w:rPr>
        <w:t>（如果有)；</w:t>
      </w:r>
    </w:p>
    <w:p w14:paraId="561C59B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D6C38E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AA2D990">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36CCA85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4814C4F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29D6ABB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C00A98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360103A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150C9D5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31B365B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00E1DC39">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2706680E">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03787A7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54D4B6C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14:paraId="3388A9B0">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54EBA54F">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7EC48C8A">
      <w:pPr>
        <w:pStyle w:val="130"/>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058C0706">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0D52235">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98CAE61">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3A7BA3AF">
      <w:pPr>
        <w:numPr>
          <w:ilvl w:val="0"/>
          <w:numId w:val="3"/>
        </w:num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投标文件的签署、盖章</w:t>
      </w:r>
    </w:p>
    <w:p w14:paraId="011FF8A6">
      <w:pPr>
        <w:pStyle w:val="130"/>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441694E1">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2AD1B5">
      <w:pPr>
        <w:pStyle w:val="130"/>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2E12EE6B">
      <w:pPr>
        <w:pStyle w:val="13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121A1351">
      <w:pPr>
        <w:pStyle w:val="13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555742BA">
      <w:pPr>
        <w:pStyle w:val="13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9DEAC8B">
      <w:pPr>
        <w:pStyle w:val="13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606F71A0">
      <w:pPr>
        <w:pStyle w:val="32"/>
        <w:numPr>
          <w:ilvl w:val="0"/>
          <w:numId w:val="4"/>
        </w:num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备份投标文件</w:t>
      </w:r>
    </w:p>
    <w:p w14:paraId="269C5C55">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但采购人、采购代理机构不强制或变相强制投标人提交备份投标文件。</w:t>
      </w:r>
    </w:p>
    <w:p w14:paraId="309DBADA">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27F80A6D">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6645BF6A">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4DBDD862">
      <w:pPr>
        <w:pStyle w:val="32"/>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1068C99D">
      <w:pPr>
        <w:pStyle w:val="130"/>
        <w:numPr>
          <w:ilvl w:val="0"/>
          <w:numId w:val="5"/>
        </w:numP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投标文件的无效处理</w:t>
      </w:r>
    </w:p>
    <w:p w14:paraId="74095D60">
      <w:pPr>
        <w:pStyle w:val="24"/>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4.2规定</w:t>
      </w:r>
      <w:r>
        <w:rPr>
          <w:rFonts w:hint="eastAsia" w:ascii="仿宋" w:hAnsi="仿宋" w:eastAsia="仿宋" w:cs="仿宋"/>
          <w:color w:val="auto"/>
          <w:szCs w:val="21"/>
          <w:highlight w:val="none"/>
        </w:rPr>
        <w:t>的情形之一的，投标无效：</w:t>
      </w:r>
    </w:p>
    <w:p w14:paraId="19AF64F8">
      <w:pPr>
        <w:pStyle w:val="130"/>
        <w:numPr>
          <w:ilvl w:val="0"/>
          <w:numId w:val="5"/>
        </w:numP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投标有效期</w:t>
      </w:r>
    </w:p>
    <w:p w14:paraId="6F7D7739">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2DB08525">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29290DBE">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3575CCA9">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17.4在投标截止时间起至投标有效期届满，供应商投标文件不可撤销。</w:t>
      </w:r>
    </w:p>
    <w:p w14:paraId="5DD5C676">
      <w:pPr>
        <w:pStyle w:val="130"/>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04F12C48">
      <w:pPr>
        <w:pStyle w:val="555"/>
        <w:spacing w:before="0" w:line="360" w:lineRule="auto"/>
        <w:ind w:left="0" w:firstLine="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 开标</w:t>
      </w:r>
      <w:r>
        <w:rPr>
          <w:rFonts w:hint="eastAsia" w:ascii="仿宋" w:hAnsi="仿宋" w:eastAsia="仿宋" w:cs="仿宋"/>
          <w:color w:val="auto"/>
          <w:sz w:val="24"/>
          <w:highlight w:val="none"/>
        </w:rPr>
        <w:t xml:space="preserve"> </w:t>
      </w:r>
    </w:p>
    <w:p w14:paraId="322BB141">
      <w:pPr>
        <w:pStyle w:val="555"/>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18.1采购代理机构按照招标文件规定的时间通过电子交易平台组织开标，所有投标人均应当准时在线参加。投标人不足3家的，不得开标。</w:t>
      </w:r>
    </w:p>
    <w:p w14:paraId="498DF645">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18.2开标时，电子交易平台按开标时间自动提取所有投标文件。采购代理机构依托电子交易平台发起开始解密指令，投标人按照平台提示和招标文件的规定在半小时内完成在线解密。</w:t>
      </w:r>
    </w:p>
    <w:p w14:paraId="2E419C1C">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18.3投标文件未按时解密，投标人提供了备份投标文件的，以备份投标文件作为依据，否则视为投标文件撤回。投标文件已按时解密的，备份投标文件自动失效。</w:t>
      </w:r>
    </w:p>
    <w:p w14:paraId="0B0BE111">
      <w:pPr>
        <w:pStyle w:val="130"/>
        <w:spacing w:before="0"/>
        <w:ind w:left="0" w:leftChars="0" w:firstLine="0" w:firstLineChars="0"/>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lang w:val="en-US" w:eastAsia="zh-CN"/>
        </w:rPr>
        <w:t>19.</w:t>
      </w:r>
      <w:r>
        <w:rPr>
          <w:rFonts w:hint="eastAsia" w:ascii="仿宋" w:hAnsi="仿宋" w:eastAsia="仿宋" w:cs="仿宋"/>
          <w:b/>
          <w:bCs/>
          <w:color w:val="auto"/>
          <w:kern w:val="0"/>
          <w:szCs w:val="24"/>
          <w:highlight w:val="none"/>
        </w:rPr>
        <w:t>资格审查</w:t>
      </w:r>
    </w:p>
    <w:p w14:paraId="0B2741A9">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19.1采购人或采购代理机构依据法律法规和招标文件的规定，对投标人的资格进行审查。</w:t>
      </w:r>
    </w:p>
    <w:p w14:paraId="05A3522D">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19.2投标人未按照招标文件要求提供与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7D803E6D">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3对未通过资格审查的投标人，采购人或采购代理机构告知其未通过的原因。</w:t>
      </w:r>
    </w:p>
    <w:p w14:paraId="143D17A6">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4合格投标人不足3家的，不再评标。</w:t>
      </w:r>
    </w:p>
    <w:p w14:paraId="58AB3AAE">
      <w:pPr>
        <w:pStyle w:val="130"/>
        <w:numPr>
          <w:ilvl w:val="0"/>
          <w:numId w:val="0"/>
        </w:numP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kern w:val="2"/>
          <w:sz w:val="24"/>
          <w:szCs w:val="24"/>
          <w:highlight w:val="none"/>
          <w:lang w:val="en-US" w:eastAsia="zh-CN" w:bidi="ar-SA"/>
        </w:rPr>
        <w:t>20.</w:t>
      </w:r>
      <w:r>
        <w:rPr>
          <w:rFonts w:hint="eastAsia" w:ascii="仿宋" w:hAnsi="仿宋" w:eastAsia="仿宋" w:cs="仿宋"/>
          <w:b/>
          <w:color w:val="auto"/>
          <w:szCs w:val="24"/>
          <w:highlight w:val="none"/>
        </w:rPr>
        <w:t>信用信息查询</w:t>
      </w:r>
    </w:p>
    <w:p w14:paraId="6B3819C7">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20.1信用信息查询渠道及截止时间：采购人或采购代理机构将在资格审查时通过“信用中国”网站(www.creditchina.gov.cn)、中国政府采购网(www.ccgp.gov.cn)渠道查询投标人接受资格审查时的信用记录。</w:t>
      </w:r>
    </w:p>
    <w:p w14:paraId="3B052530">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7AC682EE">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C4357AA">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0F44E488">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五、评标</w:t>
      </w:r>
    </w:p>
    <w:p w14:paraId="2B2216D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028F0A98">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六、定标</w:t>
      </w:r>
    </w:p>
    <w:p w14:paraId="03784D37">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56FA58BA">
      <w:pPr>
        <w:pStyle w:val="130"/>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47671D3">
      <w:pPr>
        <w:pStyle w:val="130"/>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0DAB5440">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753D0D69">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0E41559">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1E3847AE">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767F1955">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6D76861E">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5D42A997">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9690E85">
      <w:pPr>
        <w:pStyle w:val="130"/>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C0C4C5E">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37CC1349">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374536FC">
      <w:pPr>
        <w:pStyle w:val="130"/>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4E58B365">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457D2C67">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CECC9A4">
      <w:pPr>
        <w:tabs>
          <w:tab w:val="left" w:pos="0"/>
        </w:tabs>
        <w:spacing w:line="360" w:lineRule="auto"/>
        <w:ind w:firstLine="482"/>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供应商可登录政采云平台-【金融服务】—【我的项目】—【已备案合同】以保函形式提供：</w:t>
      </w:r>
    </w:p>
    <w:p w14:paraId="48A142F8">
      <w:pPr>
        <w:numPr>
          <w:ilvl w:val="0"/>
          <w:numId w:val="6"/>
        </w:numPr>
        <w:tabs>
          <w:tab w:val="left" w:pos="0"/>
        </w:tabs>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供应商在合同列表选择需要投保的合同，点击[保函推荐]。</w:t>
      </w:r>
    </w:p>
    <w:p w14:paraId="6AD04863">
      <w:pPr>
        <w:numPr>
          <w:ilvl w:val="0"/>
          <w:numId w:val="6"/>
        </w:numPr>
        <w:tabs>
          <w:tab w:val="left" w:pos="0"/>
        </w:tabs>
        <w:spacing w:line="360" w:lineRule="auto"/>
        <w:ind w:left="0" w:leftChars="0" w:firstLine="0" w:firstLine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在弹框里查看推荐的保函产品，供应商自行选择保函产品，点击[立即申请]</w:t>
      </w:r>
      <w:r>
        <w:rPr>
          <w:rFonts w:hint="eastAsia" w:ascii="仿宋" w:hAnsi="仿宋" w:eastAsia="仿宋" w:cs="仿宋"/>
          <w:snapToGrid w:val="0"/>
          <w:color w:val="auto"/>
          <w:kern w:val="28"/>
          <w:sz w:val="24"/>
          <w:highlight w:val="none"/>
          <w:lang w:eastAsia="zh-CN"/>
        </w:rPr>
        <w:t>。</w:t>
      </w:r>
    </w:p>
    <w:p w14:paraId="5CB4620B">
      <w:pPr>
        <w:numPr>
          <w:ilvl w:val="0"/>
          <w:numId w:val="0"/>
        </w:numPr>
        <w:tabs>
          <w:tab w:val="left" w:pos="0"/>
        </w:tabs>
        <w:spacing w:line="360" w:lineRule="auto"/>
        <w:ind w:lef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3、在弹框里填写保函申请信息。具体步骤：选择产品—填写供应商信息—选择中标项目—确认信息—等待保险/保函受理—确认保单—支付保费—成功出单。政采云金融专线400-903-9583。</w:t>
      </w:r>
    </w:p>
    <w:p w14:paraId="1C2540D0">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 xml:space="preserve">27. </w:t>
      </w:r>
      <w:r>
        <w:rPr>
          <w:rFonts w:hint="eastAsia" w:ascii="仿宋" w:hAnsi="仿宋" w:eastAsia="仿宋" w:cs="仿宋"/>
          <w:b/>
          <w:color w:val="auto"/>
          <w:highlight w:val="none"/>
          <w:lang w:val="en-US"/>
        </w:rPr>
        <w:t>预付款</w:t>
      </w:r>
    </w:p>
    <w:p w14:paraId="157F29CD">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3D247089">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59288E46">
      <w:pPr>
        <w:pStyle w:val="130"/>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2</w:t>
      </w:r>
      <w:r>
        <w:rPr>
          <w:rFonts w:hint="eastAsia" w:ascii="仿宋" w:hAnsi="仿宋" w:eastAsia="仿宋" w:cs="仿宋"/>
          <w:b/>
          <w:bCs/>
          <w:color w:val="auto"/>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14:paraId="78D51259">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4EBC87A7">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03DA4857">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38961387">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59C6C9A3">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13BFB794">
      <w:pPr>
        <w:pStyle w:val="130"/>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29.出现以上情形，不影响采购公平、公正性的，采购组织机构可以待上述情形消除后继续组织电子交易活动，也可以决定某些环节以纸质形式进行；影响或可能影响采购公平、公正性的，应当重新采购。</w:t>
      </w:r>
    </w:p>
    <w:p w14:paraId="0A67B1CD">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001C5099">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 验收</w:t>
      </w:r>
    </w:p>
    <w:p w14:paraId="3907F8D4">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4048EF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089E416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0D89BEE">
      <w:pPr>
        <w:tabs>
          <w:tab w:val="left" w:pos="0"/>
        </w:tabs>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8"/>
    <w:bookmarkEnd w:id="9"/>
    <w:bookmarkEnd w:id="10"/>
    <w:p w14:paraId="5371BEA1">
      <w:pPr>
        <w:widowControl/>
        <w:adjustRightInd/>
        <w:jc w:val="left"/>
        <w:rPr>
          <w:rFonts w:hint="eastAsia" w:ascii="仿宋" w:hAnsi="仿宋" w:eastAsia="仿宋" w:cs="仿宋"/>
          <w:color w:val="auto"/>
          <w:kern w:val="0"/>
          <w:sz w:val="24"/>
          <w:highlight w:val="none"/>
        </w:rPr>
      </w:pPr>
      <w:bookmarkStart w:id="14" w:name="_Hlt75236101"/>
      <w:bookmarkEnd w:id="14"/>
      <w:bookmarkStart w:id="15" w:name="_Hlt75236011"/>
      <w:bookmarkEnd w:id="15"/>
      <w:bookmarkStart w:id="16" w:name="_Hlt68072990"/>
      <w:bookmarkEnd w:id="16"/>
      <w:bookmarkStart w:id="17" w:name="_Hlt74707468"/>
      <w:bookmarkEnd w:id="17"/>
      <w:bookmarkStart w:id="18" w:name="_Hlt75236290"/>
      <w:bookmarkEnd w:id="18"/>
      <w:bookmarkStart w:id="19" w:name="_Hlt74730295"/>
      <w:bookmarkEnd w:id="19"/>
      <w:bookmarkStart w:id="20" w:name="_Hlt68072998"/>
      <w:bookmarkEnd w:id="20"/>
      <w:bookmarkStart w:id="21" w:name="_Hlt68057669"/>
      <w:bookmarkEnd w:id="21"/>
      <w:bookmarkStart w:id="22" w:name="_Hlt68403820"/>
      <w:bookmarkEnd w:id="22"/>
      <w:bookmarkStart w:id="23" w:name="_Hlt74729768"/>
      <w:bookmarkEnd w:id="23"/>
      <w:bookmarkStart w:id="24" w:name="_Hlt74714665"/>
      <w:bookmarkEnd w:id="24"/>
      <w:bookmarkStart w:id="25" w:name="_Hlt68073093"/>
      <w:bookmarkEnd w:id="25"/>
      <w:bookmarkStart w:id="26" w:name="第四部分"/>
      <w:r>
        <w:rPr>
          <w:rFonts w:hint="eastAsia" w:ascii="仿宋" w:hAnsi="仿宋" w:eastAsia="仿宋" w:cs="仿宋"/>
          <w:color w:val="auto"/>
          <w:kern w:val="0"/>
          <w:sz w:val="24"/>
          <w:highlight w:val="none"/>
        </w:rPr>
        <w:br w:type="page"/>
      </w:r>
    </w:p>
    <w:p w14:paraId="79E30660">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采购需求</w:t>
      </w:r>
    </w:p>
    <w:p w14:paraId="7642A04A">
      <w:pPr>
        <w:snapToGrid w:val="0"/>
        <w:ind w:firstLine="420" w:firstLineChars="200"/>
        <w:rPr>
          <w:rStyle w:val="963"/>
          <w:rFonts w:hint="eastAsia" w:ascii="仿宋" w:hAnsi="仿宋" w:eastAsia="仿宋" w:cs="仿宋"/>
          <w:i w:val="0"/>
          <w:iCs w:val="0"/>
          <w:color w:val="auto"/>
          <w:highlight w:val="none"/>
        </w:rPr>
      </w:pPr>
      <w:r>
        <w:rPr>
          <w:rStyle w:val="963"/>
          <w:rFonts w:hint="eastAsia" w:ascii="仿宋" w:hAnsi="仿宋" w:eastAsia="仿宋" w:cs="仿宋"/>
          <w:i w:val="0"/>
          <w:iCs w:val="0"/>
          <w:color w:val="auto"/>
          <w:highlight w:val="none"/>
        </w:rPr>
        <w:t>属于实质性要求条款的，请用符号“▲”标明，否则属于非实质性要求。“★”系产品采购项目中单一产品或核心产品。</w:t>
      </w:r>
    </w:p>
    <w:p w14:paraId="4FBFBF52">
      <w:pPr>
        <w:pStyle w:val="3"/>
        <w:numPr>
          <w:ilvl w:val="0"/>
          <w:numId w:val="0"/>
        </w:numPr>
        <w:ind w:left="630" w:leftChars="0" w:hanging="630" w:firstLineChars="0"/>
        <w:jc w:val="center"/>
        <w:rPr>
          <w:rFonts w:hint="eastAsia" w:ascii="仿宋" w:hAnsi="仿宋" w:eastAsia="仿宋" w:cs="仿宋"/>
          <w:color w:val="auto"/>
          <w:highlight w:val="none"/>
        </w:rPr>
      </w:pPr>
      <w:r>
        <w:rPr>
          <w:rFonts w:hint="default" w:ascii="仿宋" w:hAnsi="仿宋" w:eastAsia="仿宋" w:cs="仿宋"/>
          <w:b/>
          <w:bCs/>
          <w:color w:val="auto"/>
          <w:kern w:val="2"/>
          <w:sz w:val="32"/>
          <w:szCs w:val="32"/>
          <w:highlight w:val="none"/>
          <w:lang w:val="zh-CN" w:eastAsia="zh-CN" w:bidi="ar-SA"/>
        </w:rPr>
        <w:t>一、</w:t>
      </w:r>
      <w:r>
        <w:rPr>
          <w:rFonts w:hint="eastAsia" w:ascii="仿宋" w:hAnsi="仿宋" w:eastAsia="仿宋" w:cs="仿宋"/>
          <w:color w:val="auto"/>
          <w:highlight w:val="none"/>
        </w:rPr>
        <w:t>招标一览表</w:t>
      </w:r>
    </w:p>
    <w:p w14:paraId="33BA99FB">
      <w:pPr>
        <w:bidi w:val="0"/>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项目名称</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eastAsia="zh-CN"/>
        </w:rPr>
        <w:t>2025年度垃圾分类第三方服务招标项目</w:t>
      </w:r>
    </w:p>
    <w:tbl>
      <w:tblPr>
        <w:tblStyle w:val="62"/>
        <w:tblW w:w="91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8"/>
        <w:gridCol w:w="2448"/>
        <w:gridCol w:w="571"/>
        <w:gridCol w:w="635"/>
        <w:gridCol w:w="1460"/>
        <w:gridCol w:w="1772"/>
        <w:gridCol w:w="1707"/>
      </w:tblGrid>
      <w:tr w14:paraId="751BF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9" w:hRule="atLeast"/>
        </w:trPr>
        <w:tc>
          <w:tcPr>
            <w:tcW w:w="588" w:type="dxa"/>
            <w:tcMar>
              <w:top w:w="15" w:type="dxa"/>
              <w:left w:w="15" w:type="dxa"/>
              <w:bottom w:w="0" w:type="dxa"/>
              <w:right w:w="15" w:type="dxa"/>
            </w:tcMar>
            <w:vAlign w:val="center"/>
          </w:tcPr>
          <w:p w14:paraId="7F71AE77">
            <w:pPr>
              <w:tabs>
                <w:tab w:val="left" w:pos="0"/>
              </w:tabs>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标项</w:t>
            </w:r>
          </w:p>
        </w:tc>
        <w:tc>
          <w:tcPr>
            <w:tcW w:w="2448" w:type="dxa"/>
            <w:tcMar>
              <w:top w:w="15" w:type="dxa"/>
              <w:left w:w="15" w:type="dxa"/>
              <w:bottom w:w="0" w:type="dxa"/>
              <w:right w:w="15" w:type="dxa"/>
            </w:tcMar>
            <w:vAlign w:val="center"/>
          </w:tcPr>
          <w:p w14:paraId="55656D24">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571" w:type="dxa"/>
            <w:tcMar>
              <w:top w:w="15" w:type="dxa"/>
              <w:left w:w="15" w:type="dxa"/>
              <w:bottom w:w="0" w:type="dxa"/>
              <w:right w:w="15" w:type="dxa"/>
            </w:tcMar>
            <w:vAlign w:val="center"/>
          </w:tcPr>
          <w:p w14:paraId="230AD0F2">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635" w:type="dxa"/>
            <w:tcMar>
              <w:top w:w="15" w:type="dxa"/>
              <w:left w:w="15" w:type="dxa"/>
              <w:bottom w:w="0" w:type="dxa"/>
              <w:right w:w="15" w:type="dxa"/>
            </w:tcMar>
            <w:vAlign w:val="center"/>
          </w:tcPr>
          <w:p w14:paraId="037CEE01">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460" w:type="dxa"/>
            <w:vAlign w:val="center"/>
          </w:tcPr>
          <w:p w14:paraId="388C5EFE">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预算（元）</w:t>
            </w:r>
          </w:p>
        </w:tc>
        <w:tc>
          <w:tcPr>
            <w:tcW w:w="1772" w:type="dxa"/>
            <w:vAlign w:val="center"/>
          </w:tcPr>
          <w:p w14:paraId="0DADA8B8">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简要规格描述或基本情况介绍</w:t>
            </w:r>
          </w:p>
        </w:tc>
        <w:tc>
          <w:tcPr>
            <w:tcW w:w="1707" w:type="dxa"/>
            <w:vAlign w:val="center"/>
          </w:tcPr>
          <w:p w14:paraId="41DD8FB2">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最高限价（元）</w:t>
            </w:r>
          </w:p>
        </w:tc>
      </w:tr>
      <w:tr w14:paraId="7A4B9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588" w:type="dxa"/>
            <w:tcMar>
              <w:top w:w="15" w:type="dxa"/>
              <w:left w:w="15" w:type="dxa"/>
              <w:bottom w:w="0" w:type="dxa"/>
              <w:right w:w="15" w:type="dxa"/>
            </w:tcMar>
            <w:vAlign w:val="center"/>
          </w:tcPr>
          <w:p w14:paraId="3A552E35">
            <w:pPr>
              <w:tabs>
                <w:tab w:val="left" w:pos="0"/>
              </w:tabs>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448" w:type="dxa"/>
            <w:tcMar>
              <w:top w:w="15" w:type="dxa"/>
              <w:left w:w="15" w:type="dxa"/>
              <w:bottom w:w="0" w:type="dxa"/>
              <w:right w:w="15" w:type="dxa"/>
            </w:tcMar>
            <w:vAlign w:val="center"/>
          </w:tcPr>
          <w:p w14:paraId="34E5721C">
            <w:pPr>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2025年度垃圾分类第三方服务</w:t>
            </w:r>
            <w:r>
              <w:rPr>
                <w:rFonts w:hint="eastAsia" w:ascii="仿宋" w:hAnsi="仿宋" w:eastAsia="仿宋" w:cs="仿宋"/>
                <w:color w:val="auto"/>
                <w:sz w:val="24"/>
                <w:szCs w:val="24"/>
                <w:highlight w:val="none"/>
                <w:lang w:val="en-US" w:eastAsia="zh-CN"/>
              </w:rPr>
              <w:t>-标项1</w:t>
            </w:r>
          </w:p>
        </w:tc>
        <w:tc>
          <w:tcPr>
            <w:tcW w:w="571" w:type="dxa"/>
            <w:tcMar>
              <w:top w:w="15" w:type="dxa"/>
              <w:left w:w="15" w:type="dxa"/>
              <w:bottom w:w="0" w:type="dxa"/>
              <w:right w:w="15" w:type="dxa"/>
            </w:tcMar>
            <w:vAlign w:val="center"/>
          </w:tcPr>
          <w:p w14:paraId="2A689351">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5" w:type="dxa"/>
            <w:tcMar>
              <w:top w:w="15" w:type="dxa"/>
              <w:left w:w="15" w:type="dxa"/>
              <w:bottom w:w="0" w:type="dxa"/>
              <w:right w:w="15" w:type="dxa"/>
            </w:tcMar>
            <w:vAlign w:val="center"/>
          </w:tcPr>
          <w:p w14:paraId="1EDE96B2">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年</w:t>
            </w:r>
          </w:p>
        </w:tc>
        <w:tc>
          <w:tcPr>
            <w:tcW w:w="1460" w:type="dxa"/>
            <w:vAlign w:val="center"/>
          </w:tcPr>
          <w:p w14:paraId="7C99EC61">
            <w:pPr>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9013990.00</w:t>
            </w:r>
          </w:p>
        </w:tc>
        <w:tc>
          <w:tcPr>
            <w:tcW w:w="1772" w:type="dxa"/>
            <w:vAlign w:val="center"/>
          </w:tcPr>
          <w:p w14:paraId="2C9639B1">
            <w:pPr>
              <w:tabs>
                <w:tab w:val="left" w:pos="0"/>
              </w:tabs>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Hans"/>
              </w:rPr>
              <w:t>二、</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需求</w:t>
            </w:r>
          </w:p>
        </w:tc>
        <w:tc>
          <w:tcPr>
            <w:tcW w:w="1707" w:type="dxa"/>
            <w:vAlign w:val="center"/>
          </w:tcPr>
          <w:p w14:paraId="56BE034A">
            <w:pPr>
              <w:jc w:val="center"/>
              <w:textAlignment w:val="center"/>
              <w:rPr>
                <w:rFonts w:hint="eastAsia" w:ascii="仿宋" w:hAnsi="仿宋" w:eastAsia="仿宋" w:cs="仿宋"/>
                <w:color w:val="auto"/>
                <w:sz w:val="24"/>
                <w:szCs w:val="24"/>
                <w:highlight w:val="yellow"/>
              </w:rPr>
            </w:pPr>
            <w:r>
              <w:rPr>
                <w:rFonts w:hint="eastAsia" w:ascii="仿宋" w:hAnsi="仿宋" w:eastAsia="仿宋" w:cs="仿宋"/>
                <w:snapToGrid/>
                <w:color w:val="auto"/>
                <w:kern w:val="2"/>
                <w:sz w:val="24"/>
                <w:szCs w:val="24"/>
                <w:highlight w:val="yellow"/>
                <w:lang w:val="en-US" w:eastAsia="zh-CN" w:bidi="ar-SA"/>
              </w:rPr>
              <w:t>8551165.00</w:t>
            </w:r>
          </w:p>
        </w:tc>
      </w:tr>
      <w:tr w14:paraId="40324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588" w:type="dxa"/>
            <w:tcMar>
              <w:top w:w="15" w:type="dxa"/>
              <w:left w:w="15" w:type="dxa"/>
              <w:bottom w:w="0" w:type="dxa"/>
              <w:right w:w="15" w:type="dxa"/>
            </w:tcMar>
            <w:vAlign w:val="center"/>
          </w:tcPr>
          <w:p w14:paraId="569A0A9A">
            <w:pPr>
              <w:tabs>
                <w:tab w:val="left" w:pos="0"/>
              </w:tabs>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2448" w:type="dxa"/>
            <w:tcMar>
              <w:top w:w="15" w:type="dxa"/>
              <w:left w:w="15" w:type="dxa"/>
              <w:bottom w:w="0" w:type="dxa"/>
              <w:right w:w="15" w:type="dxa"/>
            </w:tcMar>
            <w:vAlign w:val="center"/>
          </w:tcPr>
          <w:p w14:paraId="5E0D1A97">
            <w:pPr>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2025年度垃圾分类第三方服务</w:t>
            </w:r>
            <w:r>
              <w:rPr>
                <w:rFonts w:hint="eastAsia" w:ascii="仿宋" w:hAnsi="仿宋" w:eastAsia="仿宋" w:cs="仿宋"/>
                <w:color w:val="auto"/>
                <w:sz w:val="24"/>
                <w:szCs w:val="24"/>
                <w:highlight w:val="none"/>
                <w:lang w:val="en-US" w:eastAsia="zh-CN"/>
              </w:rPr>
              <w:t>-标项2</w:t>
            </w:r>
          </w:p>
        </w:tc>
        <w:tc>
          <w:tcPr>
            <w:tcW w:w="571" w:type="dxa"/>
            <w:tcMar>
              <w:top w:w="15" w:type="dxa"/>
              <w:left w:w="15" w:type="dxa"/>
              <w:bottom w:w="0" w:type="dxa"/>
              <w:right w:w="15" w:type="dxa"/>
            </w:tcMar>
            <w:vAlign w:val="center"/>
          </w:tcPr>
          <w:p w14:paraId="40E4A984">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5" w:type="dxa"/>
            <w:tcMar>
              <w:top w:w="15" w:type="dxa"/>
              <w:left w:w="15" w:type="dxa"/>
              <w:bottom w:w="0" w:type="dxa"/>
              <w:right w:w="15" w:type="dxa"/>
            </w:tcMar>
            <w:vAlign w:val="center"/>
          </w:tcPr>
          <w:p w14:paraId="352C5AF4">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年</w:t>
            </w:r>
          </w:p>
        </w:tc>
        <w:tc>
          <w:tcPr>
            <w:tcW w:w="1460" w:type="dxa"/>
            <w:vAlign w:val="center"/>
          </w:tcPr>
          <w:p w14:paraId="17638A6D">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8677452.00</w:t>
            </w:r>
          </w:p>
        </w:tc>
        <w:tc>
          <w:tcPr>
            <w:tcW w:w="1772" w:type="dxa"/>
            <w:vAlign w:val="center"/>
          </w:tcPr>
          <w:p w14:paraId="3A727994">
            <w:pPr>
              <w:tabs>
                <w:tab w:val="left" w:pos="0"/>
              </w:tabs>
              <w:jc w:val="center"/>
              <w:rPr>
                <w:rFonts w:hint="eastAsia" w:ascii="仿宋" w:hAnsi="仿宋" w:eastAsia="仿宋" w:cs="仿宋"/>
                <w:color w:val="auto"/>
                <w:sz w:val="24"/>
                <w:szCs w:val="24"/>
                <w:highlight w:val="none"/>
                <w:lang w:eastAsia="zh-Hans"/>
              </w:rPr>
            </w:pPr>
            <w:r>
              <w:rPr>
                <w:rFonts w:hint="eastAsia" w:ascii="仿宋" w:hAnsi="仿宋" w:eastAsia="仿宋" w:cs="仿宋"/>
                <w:color w:val="auto"/>
                <w:sz w:val="24"/>
                <w:szCs w:val="24"/>
                <w:highlight w:val="none"/>
                <w:lang w:eastAsia="zh-Hans"/>
              </w:rPr>
              <w:t>二、</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需求</w:t>
            </w:r>
          </w:p>
        </w:tc>
        <w:tc>
          <w:tcPr>
            <w:tcW w:w="1707" w:type="dxa"/>
            <w:vAlign w:val="center"/>
          </w:tcPr>
          <w:p w14:paraId="459CDEB0">
            <w:pPr>
              <w:jc w:val="center"/>
              <w:textAlignment w:val="center"/>
              <w:rPr>
                <w:rFonts w:hint="eastAsia" w:ascii="仿宋" w:hAnsi="仿宋" w:eastAsia="仿宋" w:cs="仿宋"/>
                <w:color w:val="auto"/>
                <w:sz w:val="24"/>
                <w:szCs w:val="24"/>
                <w:highlight w:val="yellow"/>
                <w:lang w:val="en-US" w:eastAsia="zh-CN"/>
              </w:rPr>
            </w:pPr>
            <w:r>
              <w:rPr>
                <w:rFonts w:hint="eastAsia" w:ascii="仿宋" w:hAnsi="仿宋" w:eastAsia="仿宋" w:cs="仿宋"/>
                <w:snapToGrid/>
                <w:color w:val="auto"/>
                <w:kern w:val="2"/>
                <w:sz w:val="24"/>
                <w:szCs w:val="24"/>
                <w:highlight w:val="yellow"/>
                <w:lang w:val="en-US" w:eastAsia="zh-CN" w:bidi="ar-SA"/>
              </w:rPr>
              <w:t>8254392.00</w:t>
            </w:r>
          </w:p>
        </w:tc>
      </w:tr>
      <w:tr w14:paraId="6AB05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588" w:type="dxa"/>
            <w:tcMar>
              <w:top w:w="15" w:type="dxa"/>
              <w:left w:w="15" w:type="dxa"/>
              <w:bottom w:w="0" w:type="dxa"/>
              <w:right w:w="15" w:type="dxa"/>
            </w:tcMar>
            <w:vAlign w:val="center"/>
          </w:tcPr>
          <w:p w14:paraId="6285562B">
            <w:pPr>
              <w:tabs>
                <w:tab w:val="left" w:pos="0"/>
              </w:tabs>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2448" w:type="dxa"/>
            <w:tcMar>
              <w:top w:w="15" w:type="dxa"/>
              <w:left w:w="15" w:type="dxa"/>
              <w:bottom w:w="0" w:type="dxa"/>
              <w:right w:w="15" w:type="dxa"/>
            </w:tcMar>
            <w:vAlign w:val="center"/>
          </w:tcPr>
          <w:p w14:paraId="5586260E">
            <w:pPr>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2025年度垃圾分类第三方服务</w:t>
            </w:r>
            <w:r>
              <w:rPr>
                <w:rFonts w:hint="eastAsia" w:ascii="仿宋" w:hAnsi="仿宋" w:eastAsia="仿宋" w:cs="仿宋"/>
                <w:color w:val="auto"/>
                <w:sz w:val="24"/>
                <w:szCs w:val="24"/>
                <w:highlight w:val="none"/>
                <w:lang w:val="en-US" w:eastAsia="zh-CN"/>
              </w:rPr>
              <w:t>-标项3</w:t>
            </w:r>
          </w:p>
        </w:tc>
        <w:tc>
          <w:tcPr>
            <w:tcW w:w="571" w:type="dxa"/>
            <w:tcMar>
              <w:top w:w="15" w:type="dxa"/>
              <w:left w:w="15" w:type="dxa"/>
              <w:bottom w:w="0" w:type="dxa"/>
              <w:right w:w="15" w:type="dxa"/>
            </w:tcMar>
            <w:vAlign w:val="center"/>
          </w:tcPr>
          <w:p w14:paraId="535B9A7A">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5" w:type="dxa"/>
            <w:tcMar>
              <w:top w:w="15" w:type="dxa"/>
              <w:left w:w="15" w:type="dxa"/>
              <w:bottom w:w="0" w:type="dxa"/>
              <w:right w:w="15" w:type="dxa"/>
            </w:tcMar>
            <w:vAlign w:val="center"/>
          </w:tcPr>
          <w:p w14:paraId="6CF816C1">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年</w:t>
            </w:r>
          </w:p>
        </w:tc>
        <w:tc>
          <w:tcPr>
            <w:tcW w:w="1460" w:type="dxa"/>
            <w:vAlign w:val="center"/>
          </w:tcPr>
          <w:p w14:paraId="50C00B27">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8408550.00</w:t>
            </w:r>
          </w:p>
        </w:tc>
        <w:tc>
          <w:tcPr>
            <w:tcW w:w="1772" w:type="dxa"/>
            <w:vAlign w:val="center"/>
          </w:tcPr>
          <w:p w14:paraId="39CD5170">
            <w:pPr>
              <w:tabs>
                <w:tab w:val="left" w:pos="0"/>
              </w:tabs>
              <w:jc w:val="center"/>
              <w:rPr>
                <w:rFonts w:hint="eastAsia" w:ascii="仿宋" w:hAnsi="仿宋" w:eastAsia="仿宋" w:cs="仿宋"/>
                <w:color w:val="auto"/>
                <w:sz w:val="24"/>
                <w:szCs w:val="24"/>
                <w:highlight w:val="none"/>
                <w:lang w:eastAsia="zh-Hans"/>
              </w:rPr>
            </w:pPr>
            <w:r>
              <w:rPr>
                <w:rFonts w:hint="eastAsia" w:ascii="仿宋" w:hAnsi="仿宋" w:eastAsia="仿宋" w:cs="仿宋"/>
                <w:color w:val="auto"/>
                <w:sz w:val="24"/>
                <w:szCs w:val="24"/>
                <w:highlight w:val="none"/>
                <w:lang w:eastAsia="zh-Hans"/>
              </w:rPr>
              <w:t>二、</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需求</w:t>
            </w:r>
          </w:p>
        </w:tc>
        <w:tc>
          <w:tcPr>
            <w:tcW w:w="1707" w:type="dxa"/>
            <w:vAlign w:val="center"/>
          </w:tcPr>
          <w:p w14:paraId="762BC4DD">
            <w:pPr>
              <w:jc w:val="center"/>
              <w:textAlignment w:val="center"/>
              <w:rPr>
                <w:rFonts w:hint="eastAsia" w:ascii="仿宋" w:hAnsi="仿宋" w:eastAsia="仿宋" w:cs="仿宋"/>
                <w:color w:val="auto"/>
                <w:sz w:val="24"/>
                <w:szCs w:val="24"/>
                <w:highlight w:val="yellow"/>
                <w:lang w:val="en-US" w:eastAsia="zh-CN"/>
              </w:rPr>
            </w:pPr>
            <w:r>
              <w:rPr>
                <w:rFonts w:hint="eastAsia" w:ascii="仿宋" w:hAnsi="仿宋" w:eastAsia="仿宋" w:cs="仿宋"/>
                <w:snapToGrid/>
                <w:color w:val="auto"/>
                <w:kern w:val="2"/>
                <w:sz w:val="24"/>
                <w:szCs w:val="24"/>
                <w:highlight w:val="yellow"/>
                <w:lang w:val="en-US" w:eastAsia="zh-CN" w:bidi="ar-SA"/>
              </w:rPr>
              <w:t>7993425.00</w:t>
            </w:r>
          </w:p>
        </w:tc>
      </w:tr>
    </w:tbl>
    <w:p w14:paraId="580521D6">
      <w:pPr>
        <w:pStyle w:val="3"/>
        <w:numPr>
          <w:ilvl w:val="0"/>
          <w:numId w:val="0"/>
        </w:numPr>
        <w:ind w:leftChars="0" w:firstLine="482" w:firstLineChars="200"/>
        <w:rPr>
          <w:rFonts w:hint="eastAsia" w:ascii="仿宋" w:hAnsi="仿宋" w:eastAsia="仿宋" w:cs="仿宋"/>
          <w:b/>
          <w:color w:val="auto"/>
          <w:sz w:val="22"/>
          <w:szCs w:val="22"/>
          <w:highlight w:val="none"/>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lang w:eastAsia="zh-CN"/>
        </w:rPr>
        <w:t>本项目</w:t>
      </w:r>
      <w:r>
        <w:rPr>
          <w:rFonts w:hint="eastAsia" w:ascii="仿宋" w:hAnsi="仿宋" w:eastAsia="仿宋" w:cs="仿宋"/>
          <w:b/>
          <w:bCs/>
          <w:color w:val="auto"/>
          <w:sz w:val="24"/>
          <w:szCs w:val="24"/>
          <w:highlight w:val="none"/>
          <w:lang w:val="en-US" w:eastAsia="zh-CN"/>
        </w:rPr>
        <w:t>分3个标项进行采购（详见招标一览表），投标人可自行选择其中1个或者多个标项响应投标，但中标只能中1个标项。评审次序按标项1、标项2、标项3的顺序进行评审。（如投标人（含联合体成员和分包供应商）被推荐为标项1的中标候选人，则不参与标项2、标项3的评审，如投标人（含联合体成员和分包供应商）被推荐为标项2的中标候选人，则不参与标项3的评审。）评标委员会根据得分排名推荐每个标项的中标候选人。</w:t>
      </w:r>
    </w:p>
    <w:p w14:paraId="1F4CD45D">
      <w:pPr>
        <w:pStyle w:val="3"/>
        <w:numPr>
          <w:ilvl w:val="0"/>
          <w:numId w:val="0"/>
        </w:numPr>
        <w:ind w:left="630" w:leftChars="0" w:hanging="630" w:firstLineChars="0"/>
        <w:jc w:val="center"/>
        <w:rPr>
          <w:rFonts w:hint="default" w:ascii="仿宋" w:hAnsi="仿宋" w:eastAsia="仿宋" w:cs="仿宋"/>
          <w:b/>
          <w:bCs/>
          <w:color w:val="auto"/>
          <w:kern w:val="2"/>
          <w:sz w:val="32"/>
          <w:szCs w:val="32"/>
          <w:highlight w:val="none"/>
          <w:lang w:val="zh-CN" w:eastAsia="zh-CN" w:bidi="ar-SA"/>
        </w:rPr>
      </w:pPr>
    </w:p>
    <w:p w14:paraId="1EF60068">
      <w:pPr>
        <w:pStyle w:val="3"/>
        <w:numPr>
          <w:ilvl w:val="0"/>
          <w:numId w:val="0"/>
        </w:numPr>
        <w:ind w:left="630" w:leftChars="0" w:hanging="630" w:firstLineChars="0"/>
        <w:jc w:val="center"/>
        <w:rPr>
          <w:rFonts w:hint="eastAsia" w:ascii="仿宋" w:hAnsi="仿宋" w:eastAsia="仿宋" w:cs="仿宋"/>
          <w:color w:val="auto"/>
          <w:highlight w:val="none"/>
        </w:rPr>
      </w:pPr>
      <w:r>
        <w:rPr>
          <w:rFonts w:hint="default" w:ascii="仿宋" w:hAnsi="仿宋" w:eastAsia="仿宋" w:cs="仿宋"/>
          <w:b/>
          <w:bCs/>
          <w:color w:val="auto"/>
          <w:kern w:val="2"/>
          <w:sz w:val="32"/>
          <w:szCs w:val="32"/>
          <w:highlight w:val="none"/>
          <w:lang w:val="zh-CN" w:eastAsia="zh-CN" w:bidi="ar-SA"/>
        </w:rPr>
        <w:t>二、</w:t>
      </w:r>
      <w:r>
        <w:rPr>
          <w:rFonts w:hint="eastAsia" w:ascii="仿宋" w:hAnsi="仿宋" w:eastAsia="仿宋" w:cs="仿宋"/>
          <w:color w:val="auto"/>
          <w:highlight w:val="none"/>
        </w:rPr>
        <w:t>采购需求</w:t>
      </w:r>
    </w:p>
    <w:p w14:paraId="4704B7DC">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一、项目概述</w:t>
      </w:r>
    </w:p>
    <w:p w14:paraId="5410E21A">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为认真贯彻省委、省政府召开的全省生活垃圾分类处理工作动员会议精神，树立垃圾分类是关键小事，更是民生大事的理念，坚决打赢垃圾分类处置攻坚战，萧山区北干街道通过政府购买服务方式选择第三方服务机构，引导和规范北干街道各</w:t>
      </w:r>
      <w:r>
        <w:rPr>
          <w:rFonts w:hint="eastAsia" w:ascii="仿宋" w:hAnsi="仿宋" w:eastAsia="仿宋" w:cs="仿宋"/>
          <w:color w:val="auto"/>
          <w:sz w:val="24"/>
          <w:szCs w:val="24"/>
          <w:highlight w:val="none"/>
        </w:rPr>
        <w:t>小区</w:t>
      </w:r>
      <w:r>
        <w:rPr>
          <w:rFonts w:hint="eastAsia" w:ascii="仿宋" w:hAnsi="仿宋" w:eastAsia="仿宋" w:cs="仿宋"/>
          <w:snapToGrid w:val="0"/>
          <w:color w:val="auto"/>
          <w:kern w:val="0"/>
          <w:sz w:val="24"/>
          <w:szCs w:val="24"/>
          <w:highlight w:val="none"/>
        </w:rPr>
        <w:t>分类投放、分类收集，以实现“生活垃圾四分类”。</w:t>
      </w:r>
    </w:p>
    <w:p w14:paraId="55B65808">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二、服务范围</w:t>
      </w:r>
    </w:p>
    <w:p w14:paraId="5EA26D81">
      <w:pPr>
        <w:spacing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kern w:val="0"/>
          <w:sz w:val="24"/>
          <w:szCs w:val="24"/>
          <w:highlight w:val="none"/>
        </w:rPr>
        <w:t>本次“北干街道垃圾分类第三方服务采购”采购项目招标服务范围为萧山区北干街道各小区的垃圾分类服务工作，共分</w:t>
      </w:r>
      <w:r>
        <w:rPr>
          <w:rFonts w:hint="eastAsia" w:ascii="仿宋" w:hAnsi="仿宋" w:eastAsia="仿宋" w:cs="仿宋"/>
          <w:snapToGrid w:val="0"/>
          <w:color w:val="auto"/>
          <w:kern w:val="0"/>
          <w:sz w:val="24"/>
          <w:szCs w:val="24"/>
          <w:highlight w:val="none"/>
          <w:lang w:val="en-US" w:eastAsia="zh-CN"/>
        </w:rPr>
        <w:t>3</w:t>
      </w:r>
      <w:r>
        <w:rPr>
          <w:rFonts w:hint="eastAsia" w:ascii="仿宋" w:hAnsi="仿宋" w:eastAsia="仿宋" w:cs="仿宋"/>
          <w:snapToGrid w:val="0"/>
          <w:color w:val="auto"/>
          <w:kern w:val="0"/>
          <w:sz w:val="24"/>
          <w:szCs w:val="24"/>
          <w:highlight w:val="none"/>
        </w:rPr>
        <w:t>个标项。</w:t>
      </w:r>
    </w:p>
    <w:tbl>
      <w:tblPr>
        <w:tblStyle w:val="62"/>
        <w:tblW w:w="95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3" w:type="dxa"/>
          <w:bottom w:w="0" w:type="dxa"/>
          <w:right w:w="113" w:type="dxa"/>
        </w:tblCellMar>
      </w:tblPr>
      <w:tblGrid>
        <w:gridCol w:w="668"/>
        <w:gridCol w:w="1759"/>
        <w:gridCol w:w="4073"/>
        <w:gridCol w:w="1490"/>
        <w:gridCol w:w="1561"/>
      </w:tblGrid>
      <w:tr w14:paraId="3BE89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651" w:hRule="atLeast"/>
          <w:jc w:val="center"/>
        </w:trPr>
        <w:tc>
          <w:tcPr>
            <w:tcW w:w="668" w:type="dxa"/>
            <w:noWrap w:val="0"/>
            <w:tcMar>
              <w:top w:w="15" w:type="dxa"/>
              <w:left w:w="15" w:type="dxa"/>
              <w:bottom w:w="0" w:type="dxa"/>
              <w:right w:w="15" w:type="dxa"/>
            </w:tcMar>
            <w:vAlign w:val="center"/>
          </w:tcPr>
          <w:p w14:paraId="1DA508F4">
            <w:pPr>
              <w:spacing w:line="240" w:lineRule="auto"/>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标项</w:t>
            </w:r>
          </w:p>
        </w:tc>
        <w:tc>
          <w:tcPr>
            <w:tcW w:w="1759" w:type="dxa"/>
            <w:noWrap w:val="0"/>
            <w:tcMar>
              <w:top w:w="15" w:type="dxa"/>
              <w:left w:w="15" w:type="dxa"/>
              <w:bottom w:w="0" w:type="dxa"/>
              <w:right w:w="15" w:type="dxa"/>
            </w:tcMar>
            <w:vAlign w:val="center"/>
          </w:tcPr>
          <w:p w14:paraId="68455CB9">
            <w:pPr>
              <w:spacing w:line="240" w:lineRule="auto"/>
              <w:jc w:val="center"/>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标项</w:t>
            </w:r>
            <w:r>
              <w:rPr>
                <w:rFonts w:hint="eastAsia" w:ascii="仿宋" w:hAnsi="仿宋" w:eastAsia="仿宋" w:cs="仿宋"/>
                <w:snapToGrid w:val="0"/>
                <w:color w:val="auto"/>
                <w:kern w:val="0"/>
                <w:sz w:val="24"/>
                <w:szCs w:val="24"/>
                <w:highlight w:val="none"/>
              </w:rPr>
              <w:t>名称</w:t>
            </w:r>
          </w:p>
        </w:tc>
        <w:tc>
          <w:tcPr>
            <w:tcW w:w="4073" w:type="dxa"/>
            <w:noWrap w:val="0"/>
            <w:tcMar>
              <w:top w:w="15" w:type="dxa"/>
              <w:left w:w="15" w:type="dxa"/>
              <w:bottom w:w="0" w:type="dxa"/>
              <w:right w:w="15" w:type="dxa"/>
            </w:tcMar>
            <w:vAlign w:val="center"/>
          </w:tcPr>
          <w:p w14:paraId="2BA652E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服务区域</w:t>
            </w:r>
          </w:p>
        </w:tc>
        <w:tc>
          <w:tcPr>
            <w:tcW w:w="1490" w:type="dxa"/>
            <w:noWrap w:val="0"/>
            <w:vAlign w:val="center"/>
          </w:tcPr>
          <w:p w14:paraId="2C7C92CA">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户数（户）</w:t>
            </w:r>
          </w:p>
        </w:tc>
        <w:tc>
          <w:tcPr>
            <w:tcW w:w="1561" w:type="dxa"/>
            <w:noWrap w:val="0"/>
            <w:vAlign w:val="center"/>
          </w:tcPr>
          <w:p w14:paraId="55E0E63A">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最高限价</w:t>
            </w:r>
            <w:r>
              <w:rPr>
                <w:rFonts w:hint="eastAsia" w:ascii="仿宋" w:hAnsi="仿宋" w:eastAsia="仿宋" w:cs="仿宋"/>
                <w:color w:val="auto"/>
                <w:sz w:val="24"/>
                <w:szCs w:val="24"/>
                <w:highlight w:val="none"/>
              </w:rPr>
              <w:t>（元）</w:t>
            </w:r>
          </w:p>
        </w:tc>
      </w:tr>
      <w:tr w14:paraId="74248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651" w:hRule="atLeast"/>
          <w:jc w:val="center"/>
        </w:trPr>
        <w:tc>
          <w:tcPr>
            <w:tcW w:w="668" w:type="dxa"/>
            <w:noWrap w:val="0"/>
            <w:tcMar>
              <w:top w:w="15" w:type="dxa"/>
              <w:left w:w="15" w:type="dxa"/>
              <w:bottom w:w="0" w:type="dxa"/>
              <w:right w:w="15" w:type="dxa"/>
            </w:tcMar>
            <w:vAlign w:val="center"/>
          </w:tcPr>
          <w:p w14:paraId="52F33106">
            <w:pPr>
              <w:spacing w:line="240" w:lineRule="auto"/>
              <w:jc w:val="center"/>
              <w:rPr>
                <w:rFonts w:hint="eastAsia" w:ascii="仿宋" w:hAnsi="仿宋" w:eastAsia="仿宋" w:cs="仿宋"/>
                <w:snapToGrid w:val="0"/>
                <w:color w:val="auto"/>
                <w:kern w:val="0"/>
                <w:sz w:val="24"/>
                <w:szCs w:val="24"/>
                <w:highlight w:val="none"/>
                <w:lang w:val="en-US" w:eastAsia="zh-CN" w:bidi="ar-SA"/>
              </w:rPr>
            </w:pPr>
            <w:bookmarkStart w:id="27" w:name="_Hlk116198989"/>
            <w:r>
              <w:rPr>
                <w:rFonts w:hint="eastAsia" w:ascii="仿宋" w:hAnsi="仿宋" w:eastAsia="仿宋" w:cs="仿宋"/>
                <w:snapToGrid w:val="0"/>
                <w:color w:val="auto"/>
                <w:kern w:val="0"/>
                <w:sz w:val="24"/>
                <w:szCs w:val="24"/>
                <w:highlight w:val="none"/>
                <w:lang w:val="en-US" w:eastAsia="zh-CN"/>
              </w:rPr>
              <w:t>1</w:t>
            </w:r>
          </w:p>
        </w:tc>
        <w:tc>
          <w:tcPr>
            <w:tcW w:w="1759" w:type="dxa"/>
            <w:noWrap w:val="0"/>
            <w:tcMar>
              <w:top w:w="15" w:type="dxa"/>
              <w:left w:w="15" w:type="dxa"/>
              <w:bottom w:w="0" w:type="dxa"/>
              <w:right w:w="15" w:type="dxa"/>
            </w:tcMar>
            <w:vAlign w:val="center"/>
          </w:tcPr>
          <w:p w14:paraId="7D24B3B3">
            <w:pPr>
              <w:spacing w:line="240" w:lineRule="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2025年度垃圾分类第三方服务-标项1</w:t>
            </w:r>
          </w:p>
        </w:tc>
        <w:tc>
          <w:tcPr>
            <w:tcW w:w="4073" w:type="dxa"/>
            <w:noWrap w:val="0"/>
            <w:tcMar>
              <w:top w:w="15" w:type="dxa"/>
              <w:left w:w="15" w:type="dxa"/>
              <w:bottom w:w="0" w:type="dxa"/>
              <w:right w:w="15" w:type="dxa"/>
            </w:tcMar>
            <w:vAlign w:val="center"/>
          </w:tcPr>
          <w:p w14:paraId="1974EBA6">
            <w:pPr>
              <w:spacing w:line="240" w:lineRule="auto"/>
              <w:jc w:val="both"/>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rPr>
              <w:t>北塘河以北区域</w:t>
            </w: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包括青茵社区、长茵社区、天悦社区、江南星城社区、风情科创社区、杨时社区、信息港社区、桂语听澜社区、明星社区、兴议社区、荣星社区，共计</w:t>
            </w:r>
            <w:r>
              <w:rPr>
                <w:rFonts w:hint="eastAsia" w:ascii="仿宋" w:hAnsi="仿宋" w:eastAsia="仿宋" w:cs="仿宋"/>
                <w:snapToGrid w:val="0"/>
                <w:color w:val="auto"/>
                <w:kern w:val="0"/>
                <w:sz w:val="24"/>
                <w:szCs w:val="24"/>
                <w:highlight w:val="none"/>
                <w:lang w:val="en-US" w:eastAsia="zh-CN"/>
              </w:rPr>
              <w:t>30</w:t>
            </w:r>
            <w:r>
              <w:rPr>
                <w:rFonts w:hint="eastAsia" w:ascii="仿宋" w:hAnsi="仿宋" w:eastAsia="仿宋" w:cs="仿宋"/>
                <w:snapToGrid w:val="0"/>
                <w:color w:val="auto"/>
                <w:kern w:val="0"/>
                <w:sz w:val="24"/>
                <w:szCs w:val="24"/>
                <w:highlight w:val="none"/>
              </w:rPr>
              <w:t>个小区。</w:t>
            </w:r>
          </w:p>
        </w:tc>
        <w:tc>
          <w:tcPr>
            <w:tcW w:w="1490" w:type="dxa"/>
            <w:noWrap w:val="0"/>
            <w:vAlign w:val="center"/>
          </w:tcPr>
          <w:p w14:paraId="566E57CB">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30855（多层2555、高层28300）</w:t>
            </w:r>
          </w:p>
        </w:tc>
        <w:tc>
          <w:tcPr>
            <w:tcW w:w="1561" w:type="dxa"/>
            <w:noWrap w:val="0"/>
            <w:vAlign w:val="center"/>
          </w:tcPr>
          <w:p w14:paraId="6A3AA382">
            <w:pPr>
              <w:jc w:val="center"/>
              <w:textAlignment w:val="center"/>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8551165.00</w:t>
            </w:r>
          </w:p>
        </w:tc>
      </w:tr>
      <w:tr w14:paraId="209F2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746" w:hRule="atLeast"/>
          <w:jc w:val="center"/>
        </w:trPr>
        <w:tc>
          <w:tcPr>
            <w:tcW w:w="668" w:type="dxa"/>
            <w:noWrap w:val="0"/>
            <w:tcMar>
              <w:top w:w="15" w:type="dxa"/>
              <w:left w:w="15" w:type="dxa"/>
              <w:bottom w:w="0" w:type="dxa"/>
              <w:right w:w="15" w:type="dxa"/>
            </w:tcMar>
            <w:vAlign w:val="center"/>
          </w:tcPr>
          <w:p w14:paraId="2C95A708">
            <w:pPr>
              <w:spacing w:line="240" w:lineRule="auto"/>
              <w:jc w:val="center"/>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2</w:t>
            </w:r>
          </w:p>
        </w:tc>
        <w:tc>
          <w:tcPr>
            <w:tcW w:w="1759" w:type="dxa"/>
            <w:noWrap w:val="0"/>
            <w:vAlign w:val="center"/>
          </w:tcPr>
          <w:p w14:paraId="41240B72">
            <w:pPr>
              <w:spacing w:line="240" w:lineRule="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2025年度垃圾分类第三方服务-标项2</w:t>
            </w:r>
          </w:p>
        </w:tc>
        <w:tc>
          <w:tcPr>
            <w:tcW w:w="4073" w:type="dxa"/>
            <w:noWrap w:val="0"/>
            <w:vAlign w:val="center"/>
          </w:tcPr>
          <w:p w14:paraId="4219E607">
            <w:pPr>
              <w:spacing w:line="240" w:lineRule="auto"/>
              <w:jc w:val="both"/>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北塘河以南市心路以东，包括塘湾社区、城北社区、柳桥社区、永高社区、墩里吴社区、钱塘明月社区、博学路社区、绿茵园社区、广德社区、华达社区、银河社区、中誉新城社区、北干一苑社区、北干二苑社区，共计</w:t>
            </w:r>
            <w:r>
              <w:rPr>
                <w:rFonts w:hint="eastAsia" w:ascii="仿宋" w:hAnsi="仿宋" w:eastAsia="仿宋" w:cs="仿宋"/>
                <w:snapToGrid w:val="0"/>
                <w:color w:val="auto"/>
                <w:kern w:val="0"/>
                <w:sz w:val="24"/>
                <w:szCs w:val="24"/>
                <w:highlight w:val="none"/>
                <w:lang w:val="en-US" w:eastAsia="zh-CN"/>
              </w:rPr>
              <w:t>50</w:t>
            </w:r>
            <w:r>
              <w:rPr>
                <w:rFonts w:hint="eastAsia" w:ascii="仿宋" w:hAnsi="仿宋" w:eastAsia="仿宋" w:cs="仿宋"/>
                <w:snapToGrid w:val="0"/>
                <w:color w:val="auto"/>
                <w:kern w:val="0"/>
                <w:sz w:val="24"/>
                <w:szCs w:val="24"/>
                <w:highlight w:val="none"/>
              </w:rPr>
              <w:t>个小区。</w:t>
            </w:r>
          </w:p>
        </w:tc>
        <w:tc>
          <w:tcPr>
            <w:tcW w:w="1490" w:type="dxa"/>
            <w:noWrap w:val="0"/>
            <w:vAlign w:val="center"/>
          </w:tcPr>
          <w:p w14:paraId="389E051C">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28204（多层11094、高层17110）</w:t>
            </w:r>
          </w:p>
        </w:tc>
        <w:tc>
          <w:tcPr>
            <w:tcW w:w="1561" w:type="dxa"/>
            <w:noWrap w:val="0"/>
            <w:vAlign w:val="center"/>
          </w:tcPr>
          <w:p w14:paraId="62A98826">
            <w:pPr>
              <w:jc w:val="center"/>
              <w:textAlignment w:val="center"/>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8254392.00</w:t>
            </w:r>
          </w:p>
        </w:tc>
      </w:tr>
      <w:tr w14:paraId="4BD80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746" w:hRule="atLeast"/>
          <w:jc w:val="center"/>
        </w:trPr>
        <w:tc>
          <w:tcPr>
            <w:tcW w:w="668" w:type="dxa"/>
            <w:noWrap w:val="0"/>
            <w:tcMar>
              <w:top w:w="15" w:type="dxa"/>
              <w:left w:w="15" w:type="dxa"/>
              <w:bottom w:w="0" w:type="dxa"/>
              <w:right w:w="15" w:type="dxa"/>
            </w:tcMar>
            <w:vAlign w:val="center"/>
          </w:tcPr>
          <w:p w14:paraId="4191C706">
            <w:pPr>
              <w:spacing w:line="240" w:lineRule="auto"/>
              <w:jc w:val="center"/>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3</w:t>
            </w:r>
          </w:p>
        </w:tc>
        <w:tc>
          <w:tcPr>
            <w:tcW w:w="1759" w:type="dxa"/>
            <w:noWrap w:val="0"/>
            <w:vAlign w:val="center"/>
          </w:tcPr>
          <w:p w14:paraId="4EB2FE42">
            <w:pPr>
              <w:spacing w:line="240" w:lineRule="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2025年度垃圾分类第三方服务-标项3</w:t>
            </w:r>
          </w:p>
        </w:tc>
        <w:tc>
          <w:tcPr>
            <w:tcW w:w="4073" w:type="dxa"/>
            <w:noWrap w:val="0"/>
            <w:vAlign w:val="center"/>
          </w:tcPr>
          <w:p w14:paraId="6B40522A">
            <w:pPr>
              <w:spacing w:line="24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val="0"/>
                <w:color w:val="auto"/>
                <w:kern w:val="0"/>
                <w:sz w:val="24"/>
                <w:szCs w:val="24"/>
                <w:highlight w:val="none"/>
              </w:rPr>
              <w:t>北塘河以南市心路以西（除江南星城社区），包括工人路社区、星都社区、萧然社区、金山西苑社区、金泰苑社区、加德社区、金稼苑社区、施家桥社区、畈里张社区、荣联社区、金江南社区、金风社区、湖滨花园社区、荣星社区、荣庄村，共计</w:t>
            </w:r>
            <w:r>
              <w:rPr>
                <w:rFonts w:hint="eastAsia" w:ascii="仿宋" w:hAnsi="仿宋" w:eastAsia="仿宋" w:cs="仿宋"/>
                <w:snapToGrid w:val="0"/>
                <w:color w:val="auto"/>
                <w:kern w:val="0"/>
                <w:sz w:val="24"/>
                <w:szCs w:val="24"/>
                <w:highlight w:val="none"/>
                <w:lang w:val="en-US" w:eastAsia="zh-CN"/>
              </w:rPr>
              <w:t>59</w:t>
            </w:r>
            <w:r>
              <w:rPr>
                <w:rFonts w:hint="eastAsia" w:ascii="仿宋" w:hAnsi="仿宋" w:eastAsia="仿宋" w:cs="仿宋"/>
                <w:snapToGrid w:val="0"/>
                <w:color w:val="auto"/>
                <w:kern w:val="0"/>
                <w:sz w:val="24"/>
                <w:szCs w:val="24"/>
                <w:highlight w:val="none"/>
              </w:rPr>
              <w:t>个小区。</w:t>
            </w:r>
          </w:p>
        </w:tc>
        <w:tc>
          <w:tcPr>
            <w:tcW w:w="1490" w:type="dxa"/>
            <w:noWrap w:val="0"/>
            <w:vAlign w:val="center"/>
          </w:tcPr>
          <w:p w14:paraId="03CBC33E">
            <w:pPr>
              <w:snapToGrid w:val="0"/>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27675（多层8763、高层18912）</w:t>
            </w:r>
          </w:p>
        </w:tc>
        <w:tc>
          <w:tcPr>
            <w:tcW w:w="1561" w:type="dxa"/>
            <w:noWrap w:val="0"/>
            <w:vAlign w:val="center"/>
          </w:tcPr>
          <w:p w14:paraId="10CFD53F">
            <w:pPr>
              <w:jc w:val="center"/>
              <w:textAlignment w:val="center"/>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7993425.00</w:t>
            </w:r>
          </w:p>
        </w:tc>
      </w:tr>
      <w:tr w14:paraId="70A00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746" w:hRule="atLeast"/>
          <w:jc w:val="center"/>
        </w:trPr>
        <w:tc>
          <w:tcPr>
            <w:tcW w:w="6500" w:type="dxa"/>
            <w:gridSpan w:val="3"/>
            <w:noWrap w:val="0"/>
            <w:tcMar>
              <w:top w:w="15" w:type="dxa"/>
              <w:left w:w="15" w:type="dxa"/>
              <w:bottom w:w="0" w:type="dxa"/>
              <w:right w:w="15" w:type="dxa"/>
            </w:tcMar>
            <w:vAlign w:val="center"/>
          </w:tcPr>
          <w:p w14:paraId="4436C2D7">
            <w:pPr>
              <w:spacing w:line="240" w:lineRule="auto"/>
              <w:jc w:val="center"/>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合计</w:t>
            </w:r>
          </w:p>
        </w:tc>
        <w:tc>
          <w:tcPr>
            <w:tcW w:w="1490" w:type="dxa"/>
            <w:noWrap w:val="0"/>
            <w:vAlign w:val="center"/>
          </w:tcPr>
          <w:p w14:paraId="5FB4E5CD">
            <w:pPr>
              <w:snapToGrid w:val="0"/>
              <w:spacing w:line="24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1561" w:type="dxa"/>
            <w:noWrap w:val="0"/>
            <w:vAlign w:val="center"/>
          </w:tcPr>
          <w:p w14:paraId="06BB7BE8">
            <w:pPr>
              <w:spacing w:line="240" w:lineRule="auto"/>
              <w:jc w:val="center"/>
              <w:textAlignment w:val="center"/>
              <w:rPr>
                <w:rFonts w:hint="default"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24798982.00</w:t>
            </w:r>
          </w:p>
        </w:tc>
      </w:tr>
      <w:bookmarkEnd w:id="27"/>
    </w:tbl>
    <w:p w14:paraId="7A2DBBDB">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备注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1.多层小区单价最高限价</w:t>
      </w:r>
      <w:r>
        <w:rPr>
          <w:rFonts w:hint="eastAsia" w:ascii="仿宋" w:hAnsi="仿宋" w:eastAsia="仿宋" w:cs="仿宋"/>
          <w:color w:val="auto"/>
          <w:sz w:val="24"/>
          <w:szCs w:val="24"/>
          <w:highlight w:val="yellow"/>
          <w:lang w:val="en-US" w:eastAsia="zh-CN"/>
        </w:rPr>
        <w:t>323元/户</w:t>
      </w:r>
      <w:r>
        <w:rPr>
          <w:rFonts w:hint="eastAsia" w:ascii="仿宋" w:hAnsi="仿宋" w:eastAsia="仿宋" w:cs="仿宋"/>
          <w:color w:val="auto"/>
          <w:sz w:val="24"/>
          <w:szCs w:val="24"/>
          <w:highlight w:val="none"/>
          <w:lang w:val="en-US" w:eastAsia="zh-CN"/>
        </w:rPr>
        <w:t>、高层小区单价最高限价</w:t>
      </w:r>
      <w:r>
        <w:rPr>
          <w:rFonts w:hint="eastAsia" w:ascii="仿宋" w:hAnsi="仿宋" w:eastAsia="仿宋" w:cs="仿宋"/>
          <w:color w:val="auto"/>
          <w:sz w:val="24"/>
          <w:szCs w:val="24"/>
          <w:highlight w:val="yellow"/>
          <w:lang w:val="en-US" w:eastAsia="zh-CN"/>
        </w:rPr>
        <w:t>273元/户</w:t>
      </w:r>
      <w:r>
        <w:rPr>
          <w:rFonts w:hint="eastAsia" w:ascii="仿宋" w:hAnsi="仿宋" w:eastAsia="仿宋" w:cs="仿宋"/>
          <w:color w:val="auto"/>
          <w:sz w:val="24"/>
          <w:szCs w:val="24"/>
          <w:highlight w:val="none"/>
          <w:lang w:val="en-US" w:eastAsia="zh-CN"/>
        </w:rPr>
        <w:t>。</w:t>
      </w:r>
    </w:p>
    <w:p w14:paraId="5BA6FA52">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2.本表数据为2024年12月统计数据，服务过程中结算按照实际为准。</w:t>
      </w:r>
    </w:p>
    <w:p w14:paraId="6AFB744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投标人自行实地调查各小区居民实际参与垃圾分类工作的积极性、配合性，对项目各个标项不同区域垃圾分类工作实施过程中的重难点进行分析，并制定有针对性的解决方案，保证服务质量达到考核目标。</w:t>
      </w:r>
    </w:p>
    <w:p w14:paraId="38EC62E2">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三、服务内容</w:t>
      </w:r>
    </w:p>
    <w:p w14:paraId="65DE1E7B">
      <w:pPr>
        <w:spacing w:line="360" w:lineRule="auto"/>
        <w:ind w:firstLine="480" w:firstLineChars="200"/>
        <w:rPr>
          <w:rFonts w:hint="eastAsia" w:ascii="仿宋" w:hAnsi="仿宋" w:eastAsia="仿宋" w:cs="仿宋"/>
          <w:snapToGrid w:val="0"/>
          <w:color w:val="auto"/>
          <w:kern w:val="0"/>
          <w:sz w:val="24"/>
          <w:szCs w:val="24"/>
          <w:highlight w:val="none"/>
        </w:rPr>
      </w:pPr>
      <w:bookmarkStart w:id="28" w:name="_Hlk118192944"/>
      <w:r>
        <w:rPr>
          <w:rFonts w:hint="eastAsia" w:ascii="仿宋" w:hAnsi="仿宋" w:eastAsia="仿宋" w:cs="仿宋"/>
          <w:snapToGrid w:val="0"/>
          <w:color w:val="auto"/>
          <w:kern w:val="0"/>
          <w:sz w:val="24"/>
          <w:szCs w:val="24"/>
          <w:highlight w:val="none"/>
        </w:rPr>
        <w:t>1.服务单位</w:t>
      </w:r>
      <w:r>
        <w:rPr>
          <w:rFonts w:hint="eastAsia" w:ascii="仿宋" w:hAnsi="仿宋" w:eastAsia="仿宋" w:cs="仿宋"/>
          <w:snapToGrid w:val="0"/>
          <w:color w:val="auto"/>
          <w:kern w:val="0"/>
          <w:sz w:val="24"/>
          <w:szCs w:val="24"/>
          <w:highlight w:val="none"/>
          <w:lang w:val="en-US" w:eastAsia="zh-CN"/>
        </w:rPr>
        <w:t>围绕萧山区“六全一码”工作推进要求，</w:t>
      </w:r>
      <w:r>
        <w:rPr>
          <w:rFonts w:hint="eastAsia" w:ascii="仿宋" w:hAnsi="仿宋" w:eastAsia="仿宋" w:cs="仿宋"/>
          <w:snapToGrid w:val="0"/>
          <w:color w:val="auto"/>
          <w:kern w:val="0"/>
          <w:sz w:val="24"/>
          <w:szCs w:val="24"/>
          <w:highlight w:val="none"/>
        </w:rPr>
        <w:t>提供服务区域内的垃圾分类服务，负责提供所有服务伴随的设施设备。</w:t>
      </w:r>
    </w:p>
    <w:p w14:paraId="485B3F95">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（1）负责辖区内的定时定点投放点和误时投放点的建设和运行，包括且不限于点位硬件设施、环境卫生、秩序维护和垃圾桶的布置、清运，垃圾桶需运至社区指定的集置房（位置）。</w:t>
      </w:r>
    </w:p>
    <w:p w14:paraId="38FB4AC9">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（2）负责再生资源回收点的建设和运行，包括且不限于点位硬件设施、环境卫生、秩序维护和再生资源的收集。</w:t>
      </w:r>
    </w:p>
    <w:p w14:paraId="62294C0C">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（3）负责</w:t>
      </w:r>
      <w:r>
        <w:rPr>
          <w:rFonts w:hint="eastAsia" w:ascii="仿宋" w:hAnsi="仿宋" w:eastAsia="仿宋" w:cs="仿宋"/>
          <w:snapToGrid w:val="0"/>
          <w:color w:val="auto"/>
          <w:kern w:val="0"/>
          <w:sz w:val="24"/>
          <w:szCs w:val="24"/>
          <w:highlight w:val="none"/>
          <w:lang w:val="en-US" w:eastAsia="zh-CN"/>
        </w:rPr>
        <w:t>推广“北干慧分类”微信小程序，负责</w:t>
      </w:r>
      <w:r>
        <w:rPr>
          <w:rFonts w:hint="eastAsia" w:ascii="仿宋" w:hAnsi="仿宋" w:eastAsia="仿宋" w:cs="仿宋"/>
          <w:snapToGrid w:val="0"/>
          <w:color w:val="auto"/>
          <w:kern w:val="0"/>
          <w:sz w:val="24"/>
          <w:szCs w:val="24"/>
          <w:highlight w:val="none"/>
        </w:rPr>
        <w:t>小区的垃圾分类氛围营造，策划活动、举办宣传培训活动推进工作以提升参与率、分类质量和居民获得感；配合社区做好定时定点新推进小区的实施策划，参与率不达标小区的改善策划等策划提升活动。负责对萧山区生活垃圾分类智能监管平台（城市大脑）中没有投放数据的住户开展上门宣传，服从社区的直接管理，配合社区开展各种垃圾分类宣传活动。</w:t>
      </w:r>
    </w:p>
    <w:p w14:paraId="357C15A9">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（4）负责对接各个垃圾分类智能平台，并巡检、培训、指导各社区、物业、第三方工作人员相关的智能应用，出具投放数据、生活垃圾重量分析报告，对街道的数据质量开展自查。</w:t>
      </w:r>
    </w:p>
    <w:p w14:paraId="474110E2">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（5）负责定时定点投放积分奖品兑换，服务单位应积极宣传、促进居民主动投放垃圾积分并及时兑换。</w:t>
      </w:r>
    </w:p>
    <w:p w14:paraId="0ECB94B5">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（6）协助其它一些临时的、应急的垃圾分类任务。</w:t>
      </w:r>
    </w:p>
    <w:p w14:paraId="2B86EFC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 xml:space="preserve">2.垃圾分类服务标准按上级有关规定执行。 </w:t>
      </w:r>
      <w:bookmarkEnd w:id="28"/>
    </w:p>
    <w:p w14:paraId="34B43ABB">
      <w:pPr>
        <w:spacing w:line="360" w:lineRule="auto"/>
        <w:outlineLvl w:val="0"/>
        <w:rPr>
          <w:rFonts w:hint="eastAsia" w:ascii="仿宋" w:hAnsi="仿宋" w:eastAsia="仿宋" w:cs="仿宋"/>
          <w:b/>
          <w:bCs/>
          <w:snapToGrid w:val="0"/>
          <w:color w:val="auto"/>
          <w:kern w:val="0"/>
          <w:sz w:val="24"/>
          <w:szCs w:val="24"/>
          <w:highlight w:val="none"/>
          <w:lang w:val="en-US" w:eastAsia="zh-CN"/>
        </w:rPr>
      </w:pPr>
      <w:r>
        <w:rPr>
          <w:rFonts w:hint="eastAsia" w:ascii="仿宋" w:hAnsi="仿宋" w:eastAsia="仿宋" w:cs="仿宋"/>
          <w:b/>
          <w:bCs/>
          <w:snapToGrid w:val="0"/>
          <w:color w:val="auto"/>
          <w:kern w:val="0"/>
          <w:sz w:val="24"/>
          <w:szCs w:val="24"/>
          <w:highlight w:val="none"/>
        </w:rPr>
        <w:t>四、</w:t>
      </w:r>
      <w:r>
        <w:rPr>
          <w:rFonts w:hint="eastAsia" w:ascii="仿宋" w:hAnsi="仿宋" w:eastAsia="仿宋" w:cs="仿宋"/>
          <w:b/>
          <w:bCs/>
          <w:snapToGrid w:val="0"/>
          <w:color w:val="auto"/>
          <w:kern w:val="0"/>
          <w:sz w:val="24"/>
          <w:szCs w:val="24"/>
          <w:highlight w:val="none"/>
          <w:lang w:val="en-US" w:eastAsia="zh-CN"/>
        </w:rPr>
        <w:t>过渡期和</w:t>
      </w:r>
      <w:r>
        <w:rPr>
          <w:rFonts w:hint="eastAsia" w:ascii="仿宋" w:hAnsi="仿宋" w:eastAsia="仿宋" w:cs="仿宋"/>
          <w:b/>
          <w:bCs/>
          <w:snapToGrid w:val="0"/>
          <w:color w:val="auto"/>
          <w:kern w:val="0"/>
          <w:sz w:val="24"/>
          <w:szCs w:val="24"/>
          <w:highlight w:val="none"/>
        </w:rPr>
        <w:t>服务期</w:t>
      </w:r>
    </w:p>
    <w:p w14:paraId="16F87C66">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lang w:val="en-US" w:eastAsia="zh-CN"/>
        </w:rPr>
        <w:t>1</w:t>
      </w:r>
      <w:r>
        <w:rPr>
          <w:rFonts w:hint="eastAsia" w:ascii="仿宋" w:hAnsi="仿宋" w:eastAsia="仿宋" w:cs="仿宋"/>
          <w:b/>
          <w:bCs/>
          <w:snapToGrid w:val="0"/>
          <w:color w:val="auto"/>
          <w:kern w:val="0"/>
          <w:sz w:val="24"/>
          <w:szCs w:val="24"/>
          <w:highlight w:val="none"/>
        </w:rPr>
        <w:t>.过渡期：</w:t>
      </w:r>
    </w:p>
    <w:p w14:paraId="50FFF86B">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lang w:val="en-US" w:eastAsia="zh-CN"/>
        </w:rPr>
        <w:t>1.1</w:t>
      </w:r>
      <w:r>
        <w:rPr>
          <w:rFonts w:hint="eastAsia" w:ascii="仿宋" w:hAnsi="仿宋" w:eastAsia="仿宋" w:cs="仿宋"/>
          <w:b/>
          <w:bCs/>
          <w:snapToGrid w:val="0"/>
          <w:color w:val="auto"/>
          <w:kern w:val="0"/>
          <w:sz w:val="24"/>
          <w:szCs w:val="24"/>
          <w:highlight w:val="none"/>
        </w:rPr>
        <w:t>为保证垃圾分类服务工作的连续性和平稳过渡，中标人在过渡期内确保</w:t>
      </w:r>
      <w:r>
        <w:rPr>
          <w:rFonts w:hint="eastAsia" w:ascii="仿宋" w:hAnsi="仿宋" w:eastAsia="仿宋" w:cs="仿宋"/>
          <w:b/>
          <w:bCs/>
          <w:snapToGrid w:val="0"/>
          <w:color w:val="auto"/>
          <w:kern w:val="0"/>
          <w:sz w:val="24"/>
          <w:szCs w:val="24"/>
          <w:highlight w:val="none"/>
          <w:lang w:val="en-US" w:eastAsia="zh-CN"/>
        </w:rPr>
        <w:t>机具、</w:t>
      </w:r>
      <w:r>
        <w:rPr>
          <w:rFonts w:hint="eastAsia" w:ascii="仿宋" w:hAnsi="仿宋" w:eastAsia="仿宋" w:cs="仿宋"/>
          <w:b/>
          <w:bCs/>
          <w:snapToGrid w:val="0"/>
          <w:color w:val="auto"/>
          <w:kern w:val="0"/>
          <w:sz w:val="24"/>
          <w:szCs w:val="24"/>
          <w:highlight w:val="none"/>
        </w:rPr>
        <w:t>设施设备</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车辆、</w:t>
      </w:r>
      <w:r>
        <w:rPr>
          <w:rFonts w:hint="eastAsia" w:ascii="仿宋" w:hAnsi="仿宋" w:eastAsia="仿宋" w:cs="仿宋"/>
          <w:b/>
          <w:bCs/>
          <w:snapToGrid w:val="0"/>
          <w:color w:val="auto"/>
          <w:kern w:val="0"/>
          <w:sz w:val="24"/>
          <w:szCs w:val="24"/>
          <w:highlight w:val="none"/>
        </w:rPr>
        <w:t>人员全部到位，以及完成居民数据帐户的建立，同时接入采购人平台</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北干街道</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北干慧分类</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rPr>
        <w:t>，并完成和原服务单位交接工作。</w:t>
      </w:r>
    </w:p>
    <w:p w14:paraId="6F4E71AA">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lang w:val="en-US" w:eastAsia="zh-CN"/>
        </w:rPr>
        <w:t>1</w:t>
      </w:r>
      <w:r>
        <w:rPr>
          <w:rFonts w:hint="eastAsia" w:ascii="仿宋" w:hAnsi="仿宋" w:eastAsia="仿宋" w:cs="仿宋"/>
          <w:b/>
          <w:bCs/>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lang w:val="en-US" w:eastAsia="zh-CN"/>
        </w:rPr>
        <w:t>2</w:t>
      </w:r>
      <w:r>
        <w:rPr>
          <w:rFonts w:hint="eastAsia" w:ascii="仿宋" w:hAnsi="仿宋" w:eastAsia="仿宋" w:cs="仿宋"/>
          <w:b/>
          <w:bCs/>
          <w:snapToGrid w:val="0"/>
          <w:color w:val="auto"/>
          <w:kern w:val="0"/>
          <w:sz w:val="24"/>
          <w:szCs w:val="24"/>
          <w:highlight w:val="none"/>
        </w:rPr>
        <w:t>本项目过渡期为中标通知书发出之日起10天内。若中标人未按承诺的过渡时间内完成准备</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接入和</w:t>
      </w:r>
      <w:r>
        <w:rPr>
          <w:rFonts w:hint="eastAsia" w:ascii="仿宋" w:hAnsi="仿宋" w:eastAsia="仿宋" w:cs="仿宋"/>
          <w:b/>
          <w:bCs/>
          <w:snapToGrid w:val="0"/>
          <w:color w:val="auto"/>
          <w:kern w:val="0"/>
          <w:sz w:val="24"/>
          <w:szCs w:val="24"/>
          <w:highlight w:val="none"/>
        </w:rPr>
        <w:t>交接</w:t>
      </w:r>
      <w:r>
        <w:rPr>
          <w:rFonts w:hint="eastAsia" w:ascii="仿宋" w:hAnsi="仿宋" w:eastAsia="仿宋" w:cs="仿宋"/>
          <w:b/>
          <w:bCs/>
          <w:snapToGrid w:val="0"/>
          <w:color w:val="auto"/>
          <w:kern w:val="0"/>
          <w:sz w:val="24"/>
          <w:szCs w:val="24"/>
          <w:highlight w:val="none"/>
          <w:lang w:val="en-US" w:eastAsia="zh-CN"/>
        </w:rPr>
        <w:t>等</w:t>
      </w:r>
      <w:r>
        <w:rPr>
          <w:rFonts w:hint="eastAsia" w:ascii="仿宋" w:hAnsi="仿宋" w:eastAsia="仿宋" w:cs="仿宋"/>
          <w:b/>
          <w:bCs/>
          <w:snapToGrid w:val="0"/>
          <w:color w:val="auto"/>
          <w:kern w:val="0"/>
          <w:sz w:val="24"/>
          <w:szCs w:val="24"/>
          <w:highlight w:val="none"/>
        </w:rPr>
        <w:t>工作，则视为</w:t>
      </w:r>
      <w:r>
        <w:rPr>
          <w:rFonts w:hint="eastAsia" w:ascii="仿宋" w:hAnsi="仿宋" w:eastAsia="仿宋" w:cs="仿宋"/>
          <w:b/>
          <w:bCs/>
          <w:snapToGrid w:val="0"/>
          <w:color w:val="auto"/>
          <w:kern w:val="0"/>
          <w:sz w:val="24"/>
          <w:szCs w:val="24"/>
          <w:highlight w:val="none"/>
          <w:lang w:val="en-US" w:eastAsia="zh-CN"/>
        </w:rPr>
        <w:t>主动放弃中标</w:t>
      </w:r>
      <w:r>
        <w:rPr>
          <w:rFonts w:hint="eastAsia" w:ascii="仿宋" w:hAnsi="仿宋" w:eastAsia="仿宋" w:cs="仿宋"/>
          <w:b/>
          <w:bCs/>
          <w:snapToGrid w:val="0"/>
          <w:color w:val="auto"/>
          <w:kern w:val="0"/>
          <w:sz w:val="24"/>
          <w:szCs w:val="24"/>
          <w:highlight w:val="none"/>
        </w:rPr>
        <w:t>。</w:t>
      </w:r>
    </w:p>
    <w:p w14:paraId="42422D4F">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lang w:val="en-US" w:eastAsia="zh-CN"/>
        </w:rPr>
        <w:t>2</w:t>
      </w:r>
      <w:r>
        <w:rPr>
          <w:rFonts w:hint="eastAsia" w:ascii="仿宋" w:hAnsi="仿宋" w:eastAsia="仿宋" w:cs="仿宋"/>
          <w:b/>
          <w:bCs/>
          <w:snapToGrid w:val="0"/>
          <w:color w:val="auto"/>
          <w:kern w:val="0"/>
          <w:sz w:val="24"/>
          <w:szCs w:val="24"/>
          <w:highlight w:val="none"/>
        </w:rPr>
        <w:t>.服务期</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rPr>
        <w:t>合同签订之日</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即过渡期完结</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rPr>
        <w:t>起1年。</w:t>
      </w:r>
    </w:p>
    <w:p w14:paraId="6C8B6D69">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五、服务管理要求</w:t>
      </w:r>
    </w:p>
    <w:p w14:paraId="4918C15E">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1.设施管理：</w:t>
      </w:r>
      <w:r>
        <w:rPr>
          <w:rFonts w:hint="eastAsia" w:ascii="仿宋" w:hAnsi="仿宋" w:eastAsia="仿宋" w:cs="仿宋"/>
          <w:color w:val="auto"/>
          <w:sz w:val="24"/>
          <w:szCs w:val="24"/>
          <w:highlight w:val="none"/>
        </w:rPr>
        <w:t>小区内无杂色桶；投放点位</w:t>
      </w:r>
      <w:r>
        <w:rPr>
          <w:rFonts w:hint="eastAsia" w:ascii="仿宋" w:hAnsi="仿宋" w:eastAsia="仿宋" w:cs="仿宋"/>
          <w:color w:val="auto"/>
          <w:sz w:val="24"/>
          <w:szCs w:val="24"/>
          <w:highlight w:val="none"/>
          <w:lang w:val="en-US" w:eastAsia="zh-CN"/>
        </w:rPr>
        <w:t>投放时间段</w:t>
      </w:r>
      <w:r>
        <w:rPr>
          <w:rFonts w:hint="eastAsia" w:ascii="仿宋" w:hAnsi="仿宋" w:eastAsia="仿宋" w:cs="仿宋"/>
          <w:color w:val="auto"/>
          <w:sz w:val="24"/>
          <w:szCs w:val="24"/>
          <w:highlight w:val="none"/>
        </w:rPr>
        <w:t>设置四分类桶，每日定时定点进行投放收集，要求实现对各类垃圾的称重计量；垃圾分类设施干净整洁无破损(包括小区内所有垃圾桶)。小区产生的易腐垃圾质量应当符合餐厨垃圾处置企业的收运标准，包括实现垃圾破袋投放。在本服务项目中提供的设施、设备一律不得播放商业广告。播放的公益广告仅限与垃圾分类有关的内容，且须由采购人审核同意后方可投入播放宣传。</w:t>
      </w:r>
    </w:p>
    <w:p w14:paraId="150E468E">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2.工作管理：</w:t>
      </w:r>
      <w:r>
        <w:rPr>
          <w:rFonts w:hint="eastAsia" w:ascii="仿宋" w:hAnsi="仿宋" w:eastAsia="仿宋" w:cs="仿宋"/>
          <w:color w:val="auto"/>
          <w:sz w:val="24"/>
          <w:szCs w:val="24"/>
          <w:highlight w:val="none"/>
        </w:rPr>
        <w:t>积极调解因投放点位问题产生的矛盾。小区内未经采购人认可的原投放点做到彻底撤桶。</w:t>
      </w:r>
    </w:p>
    <w:p w14:paraId="1F6B5B81">
      <w:pPr>
        <w:spacing w:line="360" w:lineRule="auto"/>
        <w:ind w:firstLine="482"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3.分类质量：</w:t>
      </w:r>
      <w:r>
        <w:rPr>
          <w:rFonts w:hint="eastAsia" w:ascii="仿宋" w:hAnsi="仿宋" w:eastAsia="仿宋" w:cs="仿宋"/>
          <w:color w:val="auto"/>
          <w:sz w:val="24"/>
          <w:szCs w:val="24"/>
          <w:highlight w:val="none"/>
        </w:rPr>
        <w:t>易腐垃圾、其他垃圾、可回收物和有害垃圾分类投放，无混装、错投等情况。如合同履约过程中，萧山区有最新更高要求的，按最新高要求执行。</w:t>
      </w:r>
    </w:p>
    <w:p w14:paraId="789C4138">
      <w:pPr>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 xml:space="preserve">    4.宣传氛围：</w:t>
      </w:r>
      <w:r>
        <w:rPr>
          <w:rFonts w:hint="eastAsia" w:ascii="仿宋" w:hAnsi="仿宋" w:eastAsia="仿宋" w:cs="仿宋"/>
          <w:color w:val="auto"/>
          <w:sz w:val="24"/>
          <w:szCs w:val="24"/>
          <w:highlight w:val="none"/>
        </w:rPr>
        <w:t>对现有的垃圾分类设备设施进行统一的视觉形象设计，包括且不限于对集置点/垃圾桶、宣传栏、宣传海报进行优化和科学布局。</w:t>
      </w:r>
    </w:p>
    <w:p w14:paraId="2E66354A">
      <w:pPr>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5.汇报总结</w:t>
      </w:r>
      <w:r>
        <w:rPr>
          <w:rFonts w:hint="eastAsia" w:ascii="仿宋" w:hAnsi="仿宋" w:eastAsia="仿宋" w:cs="仿宋"/>
          <w:color w:val="auto"/>
          <w:sz w:val="24"/>
          <w:szCs w:val="24"/>
          <w:highlight w:val="none"/>
        </w:rPr>
        <w:t>：需服从采购人的管理，所有工作方面汇报对象最高级别为采购人单位负责人，不得越级汇报；每季度就本项目开展情况，向采购人进行汇报，并提交书面汇报材料；未经采购人许可不得将涉及本项目商务、技术信息资料对采购人以外的单位或个人公开。</w:t>
      </w:r>
    </w:p>
    <w:p w14:paraId="4E317EAD">
      <w:pPr>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 xml:space="preserve">  6.调研接待：</w:t>
      </w:r>
      <w:r>
        <w:rPr>
          <w:rFonts w:hint="eastAsia" w:ascii="仿宋" w:hAnsi="仿宋" w:eastAsia="仿宋" w:cs="仿宋"/>
          <w:color w:val="auto"/>
          <w:sz w:val="24"/>
          <w:szCs w:val="24"/>
          <w:highlight w:val="none"/>
        </w:rPr>
        <w:t>完成采购人布置的各项应急保障和接待调研来访工作。</w:t>
      </w:r>
    </w:p>
    <w:p w14:paraId="1F698A6F">
      <w:pPr>
        <w:autoSpaceDE w:val="0"/>
        <w:autoSpaceDN w:val="0"/>
        <w:spacing w:line="360" w:lineRule="auto"/>
        <w:ind w:firstLine="482" w:firstLineChars="200"/>
        <w:textAlignment w:val="bottom"/>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7.工作响应</w:t>
      </w:r>
      <w:r>
        <w:rPr>
          <w:rFonts w:hint="eastAsia" w:ascii="仿宋" w:hAnsi="仿宋" w:eastAsia="仿宋" w:cs="仿宋"/>
          <w:color w:val="auto"/>
          <w:sz w:val="24"/>
          <w:szCs w:val="24"/>
          <w:highlight w:val="none"/>
        </w:rPr>
        <w:t>：提供24小时电话客服服务，发现问题</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分钟内到达现场，简单问题现场解决、复杂问题</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小时解决，小型设备无法在</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小时内解决的，需替换维修；大型设备无法在</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个自然日维修完毕的，需提供替代设备。服务单位应在服务辖区内设置固定办公场所（面积</w:t>
      </w:r>
      <w:r>
        <w:rPr>
          <w:rFonts w:hint="eastAsia" w:ascii="仿宋" w:hAnsi="仿宋" w:eastAsia="仿宋" w:cs="仿宋"/>
          <w:color w:val="auto"/>
          <w:sz w:val="24"/>
          <w:szCs w:val="24"/>
          <w:highlight w:val="none"/>
          <w:lang w:val="en-US" w:eastAsia="zh-CN"/>
        </w:rPr>
        <w:t>不少于60</w:t>
      </w:r>
      <w:r>
        <w:rPr>
          <w:rFonts w:hint="eastAsia" w:ascii="仿宋" w:hAnsi="仿宋" w:eastAsia="仿宋" w:cs="仿宋"/>
          <w:color w:val="auto"/>
          <w:sz w:val="24"/>
          <w:szCs w:val="24"/>
          <w:highlight w:val="none"/>
        </w:rPr>
        <w:t>个平方米）和停放作业器具的仓库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根据服务内容配备相应交通工具以保障日常巡查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设备应急维修、服务响应的及时性。</w:t>
      </w:r>
    </w:p>
    <w:p w14:paraId="5337A4E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 xml:space="preserve">  8.垃圾分类服务工作实时在线记录：</w:t>
      </w:r>
      <w:r>
        <w:rPr>
          <w:rFonts w:hint="eastAsia" w:ascii="仿宋" w:hAnsi="仿宋" w:eastAsia="仿宋" w:cs="仿宋"/>
          <w:color w:val="auto"/>
          <w:sz w:val="24"/>
          <w:szCs w:val="24"/>
          <w:highlight w:val="none"/>
        </w:rPr>
        <w:t>服务单位提供APP或小程序，实现数字化实时线上服务工作记录，包括但不限于人员到位考勤记录上下岗、策划活动记录、入户宣传记录、巡检记录等内容，并提供顶级管理员账号，便于采购人检查和考核。APP或小程序需实现的功能；</w:t>
      </w:r>
    </w:p>
    <w:p w14:paraId="610B6A4D">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（1）所有工作人员信息；</w:t>
      </w:r>
    </w:p>
    <w:p w14:paraId="147398DD">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（2）所有人员上下岗打卡；</w:t>
      </w:r>
    </w:p>
    <w:p w14:paraId="15B02499">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（3）管理员入户宣传打卡，一个定位一张照片一个工作评价；</w:t>
      </w:r>
    </w:p>
    <w:p w14:paraId="732510E3">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（4）策划活动记录，一个定位一张照片一个工作评价；</w:t>
      </w:r>
    </w:p>
    <w:p w14:paraId="791BBC55">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（5）巡检、</w:t>
      </w:r>
      <w:r>
        <w:rPr>
          <w:rFonts w:hint="eastAsia" w:ascii="仿宋" w:hAnsi="仿宋" w:eastAsia="仿宋" w:cs="仿宋"/>
          <w:snapToGrid w:val="0"/>
          <w:color w:val="auto"/>
          <w:kern w:val="0"/>
          <w:sz w:val="24"/>
          <w:szCs w:val="24"/>
          <w:highlight w:val="none"/>
        </w:rPr>
        <w:t>培训、指导记录，</w:t>
      </w:r>
      <w:r>
        <w:rPr>
          <w:rFonts w:hint="eastAsia" w:ascii="仿宋" w:hAnsi="仿宋" w:eastAsia="仿宋" w:cs="仿宋"/>
          <w:color w:val="auto"/>
          <w:sz w:val="24"/>
          <w:szCs w:val="24"/>
          <w:highlight w:val="none"/>
        </w:rPr>
        <w:t>一个定位一张照片一个工作评价；</w:t>
      </w:r>
    </w:p>
    <w:p w14:paraId="287A94C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（6）投放点、再生资源回收点每日工作开始结束记录，一定位一照片。</w:t>
      </w:r>
    </w:p>
    <w:p w14:paraId="56E20E85">
      <w:pPr>
        <w:pStyle w:val="23"/>
        <w:spacing w:line="360" w:lineRule="auto"/>
        <w:ind w:firstLine="482" w:firstLineChars="200"/>
        <w:outlineLvl w:val="1"/>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rPr>
        <w:t>9.标准化管理：</w:t>
      </w:r>
    </w:p>
    <w:p w14:paraId="126DFC0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（1）投标人应具有比较完善的组织架构，具有清晰的主要管理流程、权责分配、运作流程图、监督机制、自我约束机制、信息反馈渠道及处理机制。</w:t>
      </w:r>
    </w:p>
    <w:p w14:paraId="74D19D24">
      <w:pPr>
        <w:spacing w:line="360" w:lineRule="auto"/>
        <w:ind w:firstLine="420"/>
        <w:rPr>
          <w:rFonts w:hint="eastAsia" w:ascii="仿宋" w:hAnsi="仿宋" w:eastAsia="仿宋" w:cs="仿宋"/>
          <w:color w:val="auto"/>
          <w:sz w:val="24"/>
          <w:szCs w:val="24"/>
          <w:highlight w:val="none"/>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sz w:val="24"/>
          <w:szCs w:val="24"/>
          <w:highlight w:val="none"/>
        </w:rPr>
        <w:t>（2）投标人应具有完善的、切实有效的企业管理制度（包括但不限于绩效管理制度、台账管理制度及台账模板、员工考勤制度、员工日常行为规范管理制度、廉洁管理制度、资产管理制度、档案管理制度等相关规章制度）和规范化的垃圾分类服务质量控制标准。</w:t>
      </w:r>
    </w:p>
    <w:p w14:paraId="62890ECE">
      <w:pPr>
        <w:spacing w:line="360" w:lineRule="auto"/>
        <w:outlineLvl w:val="0"/>
        <w:rPr>
          <w:rFonts w:hint="eastAsia" w:ascii="仿宋" w:hAnsi="仿宋" w:eastAsia="仿宋" w:cs="仿宋"/>
          <w:b/>
          <w:bCs/>
          <w:color w:val="auto"/>
          <w:sz w:val="24"/>
          <w:szCs w:val="24"/>
          <w:highlight w:val="none"/>
        </w:rPr>
      </w:pPr>
      <w:r>
        <w:rPr>
          <w:rFonts w:hint="eastAsia" w:ascii="仿宋" w:hAnsi="仿宋" w:eastAsia="仿宋" w:cs="仿宋"/>
          <w:b/>
          <w:bCs/>
          <w:snapToGrid w:val="0"/>
          <w:color w:val="auto"/>
          <w:kern w:val="0"/>
          <w:sz w:val="24"/>
          <w:szCs w:val="24"/>
          <w:highlight w:val="none"/>
        </w:rPr>
        <w:t>六、项目组组织架构及人员配备要求</w:t>
      </w:r>
    </w:p>
    <w:tbl>
      <w:tblPr>
        <w:tblStyle w:val="62"/>
        <w:tblW w:w="52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7"/>
        <w:gridCol w:w="1224"/>
        <w:gridCol w:w="1160"/>
        <w:gridCol w:w="1660"/>
        <w:gridCol w:w="2974"/>
        <w:gridCol w:w="5983"/>
        <w:gridCol w:w="1704"/>
      </w:tblGrid>
      <w:tr w14:paraId="4923E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7"/>
            <w:shd w:val="clear" w:color="000000" w:fill="FFFFFF"/>
            <w:noWrap w:val="0"/>
            <w:vAlign w:val="center"/>
          </w:tcPr>
          <w:p w14:paraId="3934164E">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垃圾分类项目组人员配备最低要求表</w:t>
            </w:r>
          </w:p>
        </w:tc>
      </w:tr>
      <w:tr w14:paraId="483FC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jc w:val="center"/>
        </w:trPr>
        <w:tc>
          <w:tcPr>
            <w:tcW w:w="144" w:type="pct"/>
            <w:shd w:val="clear" w:color="auto" w:fill="auto"/>
            <w:noWrap w:val="0"/>
            <w:vAlign w:val="center"/>
          </w:tcPr>
          <w:p w14:paraId="1F063B1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序号</w:t>
            </w:r>
          </w:p>
        </w:tc>
        <w:tc>
          <w:tcPr>
            <w:tcW w:w="404" w:type="pct"/>
            <w:shd w:val="clear" w:color="000000" w:fill="FFFFFF"/>
            <w:noWrap w:val="0"/>
            <w:vAlign w:val="center"/>
          </w:tcPr>
          <w:p w14:paraId="7291A44A">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岗位</w:t>
            </w:r>
          </w:p>
          <w:p w14:paraId="689B26DF">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名称</w:t>
            </w:r>
          </w:p>
        </w:tc>
        <w:tc>
          <w:tcPr>
            <w:tcW w:w="382" w:type="pct"/>
            <w:shd w:val="clear" w:color="000000" w:fill="FFFFFF"/>
            <w:noWrap w:val="0"/>
            <w:vAlign w:val="center"/>
          </w:tcPr>
          <w:p w14:paraId="1980ABD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岗位</w:t>
            </w:r>
          </w:p>
          <w:p w14:paraId="434DF653">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数量</w:t>
            </w:r>
          </w:p>
        </w:tc>
        <w:tc>
          <w:tcPr>
            <w:tcW w:w="548" w:type="pct"/>
            <w:shd w:val="clear" w:color="000000" w:fill="FFFFFF"/>
            <w:noWrap w:val="0"/>
            <w:vAlign w:val="center"/>
          </w:tcPr>
          <w:p w14:paraId="3BBAF7A1">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工作时间</w:t>
            </w:r>
          </w:p>
        </w:tc>
        <w:tc>
          <w:tcPr>
            <w:tcW w:w="982" w:type="pct"/>
            <w:shd w:val="clear" w:color="000000" w:fill="FFFFFF"/>
            <w:noWrap w:val="0"/>
            <w:vAlign w:val="center"/>
          </w:tcPr>
          <w:p w14:paraId="018C058A">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▲说明</w:t>
            </w:r>
          </w:p>
        </w:tc>
        <w:tc>
          <w:tcPr>
            <w:tcW w:w="1975" w:type="pct"/>
            <w:shd w:val="clear" w:color="000000" w:fill="FFFFFF"/>
            <w:noWrap w:val="0"/>
            <w:vAlign w:val="center"/>
          </w:tcPr>
          <w:p w14:paraId="12593B63">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岗位要求</w:t>
            </w:r>
          </w:p>
        </w:tc>
        <w:tc>
          <w:tcPr>
            <w:tcW w:w="562" w:type="pct"/>
            <w:shd w:val="clear" w:color="000000" w:fill="FFFFFF"/>
            <w:noWrap w:val="0"/>
            <w:vAlign w:val="center"/>
          </w:tcPr>
          <w:p w14:paraId="21CEE2CF">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▲最低人数</w:t>
            </w:r>
          </w:p>
        </w:tc>
      </w:tr>
      <w:tr w14:paraId="53C1C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144" w:type="pct"/>
            <w:shd w:val="clear" w:color="auto" w:fill="auto"/>
            <w:noWrap w:val="0"/>
            <w:vAlign w:val="center"/>
          </w:tcPr>
          <w:p w14:paraId="4BEB1651">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一</w:t>
            </w:r>
          </w:p>
        </w:tc>
        <w:tc>
          <w:tcPr>
            <w:tcW w:w="404" w:type="pct"/>
            <w:shd w:val="clear" w:color="000000" w:fill="FFFFFF"/>
            <w:noWrap w:val="0"/>
            <w:vAlign w:val="center"/>
          </w:tcPr>
          <w:p w14:paraId="0F691F8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项目</w:t>
            </w:r>
          </w:p>
          <w:p w14:paraId="73D2E91B">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经理</w:t>
            </w:r>
          </w:p>
        </w:tc>
        <w:tc>
          <w:tcPr>
            <w:tcW w:w="382" w:type="pct"/>
            <w:shd w:val="clear" w:color="000000" w:fill="FFFFFF"/>
            <w:noWrap w:val="0"/>
            <w:vAlign w:val="center"/>
          </w:tcPr>
          <w:p w14:paraId="66090364">
            <w:pPr>
              <w:spacing w:line="240" w:lineRule="auto"/>
              <w:jc w:val="center"/>
              <w:rPr>
                <w:rFonts w:hint="eastAsia" w:ascii="仿宋" w:hAnsi="仿宋" w:eastAsia="仿宋" w:cs="仿宋"/>
                <w:b/>
                <w:bCs/>
                <w:color w:val="auto"/>
                <w:highlight w:val="none"/>
              </w:rPr>
            </w:pPr>
            <w:r>
              <w:rPr>
                <w:rFonts w:hint="eastAsia" w:ascii="仿宋" w:hAnsi="仿宋" w:eastAsia="仿宋" w:cs="仿宋"/>
                <w:b w:val="0"/>
                <w:bCs w:val="0"/>
                <w:color w:val="auto"/>
                <w:highlight w:val="none"/>
              </w:rPr>
              <w:t>1</w:t>
            </w:r>
          </w:p>
        </w:tc>
        <w:tc>
          <w:tcPr>
            <w:tcW w:w="548" w:type="pct"/>
            <w:shd w:val="clear" w:color="000000" w:fill="FFFFFF"/>
            <w:noWrap w:val="0"/>
            <w:vAlign w:val="center"/>
          </w:tcPr>
          <w:p w14:paraId="2321382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每周不少于6天。</w:t>
            </w:r>
          </w:p>
          <w:p w14:paraId="393BFBBF">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7:00-11:00, 13:00-17:00</w:t>
            </w:r>
          </w:p>
        </w:tc>
        <w:tc>
          <w:tcPr>
            <w:tcW w:w="982" w:type="pct"/>
            <w:shd w:val="clear" w:color="000000" w:fill="FFFFFF"/>
            <w:noWrap w:val="0"/>
            <w:vAlign w:val="center"/>
          </w:tcPr>
          <w:p w14:paraId="6FB48667">
            <w:pPr>
              <w:numPr>
                <w:ilvl w:val="0"/>
                <w:numId w:val="7"/>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和服务单位签订劳动合同并缴纳社保的正式全职员工。</w:t>
            </w:r>
          </w:p>
          <w:p w14:paraId="30767DDF">
            <w:pPr>
              <w:numPr>
                <w:ilvl w:val="0"/>
                <w:numId w:val="7"/>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大专及以上学历。</w:t>
            </w:r>
          </w:p>
        </w:tc>
        <w:tc>
          <w:tcPr>
            <w:tcW w:w="1975" w:type="pct"/>
            <w:shd w:val="clear" w:color="000000" w:fill="FFFFFF"/>
            <w:noWrap w:val="0"/>
            <w:vAlign w:val="center"/>
          </w:tcPr>
          <w:p w14:paraId="1504CE5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1.负责项目人、事、物（供应商应在投标文件明确项目经理管理权限）；</w:t>
            </w:r>
          </w:p>
          <w:p w14:paraId="6A66EA67">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2.协调联系采购人、社区、物业、直运（其他和易腐）及其他行业管理部门，谋划推进提质增效，对本项目的服务质量和考核结果直接负责。</w:t>
            </w:r>
          </w:p>
          <w:p w14:paraId="2FDB057C">
            <w:pPr>
              <w:spacing w:line="240" w:lineRule="auto"/>
              <w:rPr>
                <w:rFonts w:hint="eastAsia" w:ascii="仿宋" w:hAnsi="仿宋" w:eastAsia="仿宋" w:cs="仿宋"/>
                <w:b/>
                <w:bCs/>
                <w:color w:val="auto"/>
                <w:highlight w:val="none"/>
              </w:rPr>
            </w:pPr>
            <w:r>
              <w:rPr>
                <w:rFonts w:hint="eastAsia" w:ascii="仿宋" w:hAnsi="仿宋" w:eastAsia="仿宋" w:cs="仿宋"/>
                <w:color w:val="auto"/>
                <w:highlight w:val="none"/>
              </w:rPr>
              <w:t>3.</w:t>
            </w:r>
            <w:r>
              <w:rPr>
                <w:rFonts w:hint="eastAsia" w:ascii="仿宋" w:hAnsi="仿宋" w:eastAsia="仿宋" w:cs="仿宋"/>
                <w:b/>
                <w:bCs/>
                <w:color w:val="auto"/>
                <w:highlight w:val="none"/>
              </w:rPr>
              <w:t>拟派项目经理在投标截止日无在其他任何在履约合同项目上担任项目负责人（项目经理）的情形。在履约合同项目的开始时间为合同项目中标通知书发出日期（直接签订合同的，开始时间为合同签订日期），结束时间为该合同通过合同验收或合同解除日期。若拟派项目经理已在履约合同中担任项目经理，但合同服务期在本项目合同签订之日已结束的，则不视为在履约。</w:t>
            </w:r>
          </w:p>
        </w:tc>
        <w:tc>
          <w:tcPr>
            <w:tcW w:w="562" w:type="pct"/>
            <w:shd w:val="clear" w:color="000000" w:fill="FFFFFF"/>
            <w:noWrap w:val="0"/>
            <w:vAlign w:val="center"/>
          </w:tcPr>
          <w:p w14:paraId="0155D9FC">
            <w:pPr>
              <w:spacing w:line="240" w:lineRule="auto"/>
              <w:jc w:val="center"/>
              <w:rPr>
                <w:rFonts w:hint="eastAsia" w:ascii="仿宋" w:hAnsi="仿宋" w:eastAsia="仿宋" w:cs="仿宋"/>
                <w:color w:val="auto"/>
                <w:highlight w:val="none"/>
                <w:lang w:val="en-US" w:eastAsia="zh-CN"/>
              </w:rPr>
            </w:pPr>
          </w:p>
          <w:p w14:paraId="060C6229">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p w14:paraId="63EA18D5">
            <w:pPr>
              <w:spacing w:line="24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p w14:paraId="5A61218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tc>
      </w:tr>
      <w:tr w14:paraId="4A8F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144" w:type="pct"/>
            <w:shd w:val="clear" w:color="auto" w:fill="auto"/>
            <w:noWrap w:val="0"/>
            <w:vAlign w:val="center"/>
          </w:tcPr>
          <w:p w14:paraId="75526A1B">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二</w:t>
            </w:r>
          </w:p>
        </w:tc>
        <w:tc>
          <w:tcPr>
            <w:tcW w:w="404" w:type="pct"/>
            <w:shd w:val="clear" w:color="000000" w:fill="FFFFFF"/>
            <w:noWrap w:val="0"/>
            <w:vAlign w:val="center"/>
          </w:tcPr>
          <w:p w14:paraId="4BC42E2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管理策划组</w:t>
            </w:r>
          </w:p>
        </w:tc>
        <w:tc>
          <w:tcPr>
            <w:tcW w:w="382" w:type="pct"/>
            <w:shd w:val="clear" w:color="000000" w:fill="FFFFFF"/>
            <w:noWrap w:val="0"/>
            <w:vAlign w:val="center"/>
          </w:tcPr>
          <w:p w14:paraId="18B7244E">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2A6EC195">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00D2D65F">
            <w:pPr>
              <w:spacing w:line="240" w:lineRule="auto"/>
              <w:jc w:val="center"/>
              <w:rPr>
                <w:rFonts w:hint="eastAsia" w:ascii="仿宋" w:hAnsi="仿宋" w:eastAsia="仿宋" w:cs="仿宋"/>
                <w:b/>
                <w:bCs/>
                <w:color w:val="auto"/>
                <w:highlight w:val="none"/>
              </w:rPr>
            </w:pPr>
          </w:p>
        </w:tc>
        <w:tc>
          <w:tcPr>
            <w:tcW w:w="1975" w:type="pct"/>
            <w:shd w:val="clear" w:color="000000" w:fill="FFFFFF"/>
            <w:noWrap w:val="0"/>
            <w:vAlign w:val="center"/>
          </w:tcPr>
          <w:p w14:paraId="7BB75EFB">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291218D2">
            <w:pPr>
              <w:spacing w:line="240" w:lineRule="auto"/>
              <w:jc w:val="center"/>
              <w:rPr>
                <w:rFonts w:hint="eastAsia" w:ascii="仿宋" w:hAnsi="仿宋" w:eastAsia="仿宋" w:cs="仿宋"/>
                <w:color w:val="auto"/>
                <w:highlight w:val="none"/>
              </w:rPr>
            </w:pPr>
          </w:p>
        </w:tc>
      </w:tr>
      <w:tr w14:paraId="515A2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4" w:type="pct"/>
            <w:shd w:val="clear" w:color="auto" w:fill="auto"/>
            <w:noWrap w:val="0"/>
            <w:vAlign w:val="center"/>
          </w:tcPr>
          <w:p w14:paraId="496A1247">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091D624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管理员</w:t>
            </w:r>
          </w:p>
        </w:tc>
        <w:tc>
          <w:tcPr>
            <w:tcW w:w="382" w:type="pct"/>
            <w:shd w:val="clear" w:color="000000" w:fill="FFFFFF"/>
            <w:noWrap w:val="0"/>
            <w:vAlign w:val="center"/>
          </w:tcPr>
          <w:p w14:paraId="3FD90E5D">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每2000户配备一个岗位</w:t>
            </w:r>
          </w:p>
        </w:tc>
        <w:tc>
          <w:tcPr>
            <w:tcW w:w="548" w:type="pct"/>
            <w:shd w:val="clear" w:color="000000" w:fill="FFFFFF"/>
            <w:noWrap w:val="0"/>
            <w:vAlign w:val="center"/>
          </w:tcPr>
          <w:p w14:paraId="0620D002">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每周不少于5天。</w:t>
            </w:r>
          </w:p>
          <w:p w14:paraId="1CBC973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8:00-12:00, 13:00-17:00</w:t>
            </w:r>
          </w:p>
        </w:tc>
        <w:tc>
          <w:tcPr>
            <w:tcW w:w="982" w:type="pct"/>
            <w:shd w:val="clear" w:color="000000" w:fill="FFFFFF"/>
            <w:noWrap w:val="0"/>
            <w:vAlign w:val="center"/>
          </w:tcPr>
          <w:p w14:paraId="2531E962">
            <w:pPr>
              <w:numPr>
                <w:ilvl w:val="0"/>
                <w:numId w:val="0"/>
              </w:numPr>
              <w:spacing w:line="240" w:lineRule="auto"/>
              <w:rPr>
                <w:rFonts w:hint="eastAsia" w:ascii="仿宋" w:hAnsi="仿宋" w:eastAsia="仿宋" w:cs="仿宋"/>
                <w:b w:val="0"/>
                <w:bCs w:val="0"/>
                <w:color w:val="auto"/>
                <w:highlight w:val="none"/>
              </w:rPr>
            </w:pPr>
            <w:r>
              <w:rPr>
                <w:rFonts w:hint="eastAsia" w:ascii="仿宋" w:hAnsi="仿宋" w:eastAsia="仿宋" w:cs="仿宋"/>
                <w:b w:val="0"/>
                <w:bCs w:val="0"/>
                <w:color w:val="auto"/>
                <w:kern w:val="2"/>
                <w:sz w:val="21"/>
                <w:szCs w:val="24"/>
                <w:highlight w:val="none"/>
                <w:lang w:val="en-US" w:eastAsia="zh-CN" w:bidi="ar-SA"/>
              </w:rPr>
              <w:t>1.</w:t>
            </w:r>
            <w:r>
              <w:rPr>
                <w:rFonts w:hint="eastAsia" w:ascii="仿宋" w:hAnsi="仿宋" w:eastAsia="仿宋" w:cs="仿宋"/>
                <w:b w:val="0"/>
                <w:bCs w:val="0"/>
                <w:color w:val="auto"/>
                <w:highlight w:val="none"/>
              </w:rPr>
              <w:t>和服务单位签订劳动合同并缴纳社保的正式全职员工。</w:t>
            </w:r>
          </w:p>
          <w:p w14:paraId="4F2CDF98">
            <w:pPr>
              <w:numPr>
                <w:ilvl w:val="0"/>
                <w:numId w:val="0"/>
              </w:numPr>
              <w:spacing w:line="240" w:lineRule="auto"/>
              <w:rPr>
                <w:rFonts w:hint="eastAsia" w:ascii="仿宋" w:hAnsi="仿宋" w:eastAsia="仿宋" w:cs="仿宋"/>
                <w:b/>
                <w:bCs/>
                <w:color w:val="auto"/>
                <w:highlight w:val="none"/>
              </w:rPr>
            </w:pPr>
            <w:r>
              <w:rPr>
                <w:rFonts w:hint="eastAsia" w:ascii="仿宋" w:hAnsi="仿宋" w:eastAsia="仿宋" w:cs="仿宋"/>
                <w:b w:val="0"/>
                <w:bCs w:val="0"/>
                <w:color w:val="auto"/>
                <w:kern w:val="2"/>
                <w:sz w:val="21"/>
                <w:szCs w:val="24"/>
                <w:highlight w:val="none"/>
                <w:lang w:val="en-US" w:eastAsia="zh-CN" w:bidi="ar-SA"/>
              </w:rPr>
              <w:t>2.</w:t>
            </w:r>
            <w:r>
              <w:rPr>
                <w:rFonts w:hint="eastAsia" w:ascii="仿宋" w:hAnsi="仿宋" w:eastAsia="仿宋" w:cs="仿宋"/>
                <w:b w:val="0"/>
                <w:bCs w:val="0"/>
                <w:color w:val="auto"/>
                <w:highlight w:val="none"/>
              </w:rPr>
              <w:t>每1万户设组长一名，组长要求大专及以上学历。</w:t>
            </w:r>
          </w:p>
        </w:tc>
        <w:tc>
          <w:tcPr>
            <w:tcW w:w="1975" w:type="pct"/>
            <w:shd w:val="clear" w:color="000000" w:fill="FFFFFF"/>
            <w:noWrap w:val="0"/>
            <w:vAlign w:val="center"/>
          </w:tcPr>
          <w:p w14:paraId="7E7CE58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负责小区的垃圾分类氛围营造，包括且不限于分类活动、宣传氛围和提升参与率、准确率、对物业培训等。每月25日前书面汇报本月工作及下月计划并辅以相关的活动台帐。每个社区每月不少于一次大型活动（政策不允许人群集聚期除外），分类小区每月至少组织一次宣传或培训活动，示范小区加倍，配合社区做好定时定点新推进小区的实施策划，参与率不达标小区的改善策划等策划提升活动。</w:t>
            </w:r>
          </w:p>
          <w:p w14:paraId="3A5FE306">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对萧山区生活垃圾分类智能监管平台（城市大脑）中没有投放数据的住户开展上门宣传，服从社区的直接管理，配合社区开展各种垃圾分类宣传活动，由第三方落实绩效考核，每半个月完成萧山区生活垃圾分类智能监管平台（城市大脑）无数据常住户的入户宣传全覆盖（需要有APP记录辅证）；做好负责辖区的生活垃圾和投放点位的管理工作。</w:t>
            </w:r>
          </w:p>
        </w:tc>
        <w:tc>
          <w:tcPr>
            <w:tcW w:w="562" w:type="pct"/>
            <w:shd w:val="clear" w:color="000000" w:fill="FFFFFF"/>
            <w:noWrap w:val="0"/>
            <w:vAlign w:val="center"/>
          </w:tcPr>
          <w:p w14:paraId="4B2B94F1">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15人</w:t>
            </w:r>
          </w:p>
          <w:p w14:paraId="47BBC00C">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15人</w:t>
            </w:r>
          </w:p>
          <w:p w14:paraId="34F9477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15人</w:t>
            </w:r>
          </w:p>
        </w:tc>
      </w:tr>
      <w:tr w14:paraId="298DC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jc w:val="center"/>
        </w:trPr>
        <w:tc>
          <w:tcPr>
            <w:tcW w:w="144" w:type="pct"/>
            <w:shd w:val="clear" w:color="auto" w:fill="auto"/>
            <w:noWrap w:val="0"/>
            <w:vAlign w:val="center"/>
          </w:tcPr>
          <w:p w14:paraId="4010649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三</w:t>
            </w:r>
          </w:p>
        </w:tc>
        <w:tc>
          <w:tcPr>
            <w:tcW w:w="404" w:type="pct"/>
            <w:shd w:val="clear" w:color="000000" w:fill="FFFFFF"/>
            <w:noWrap w:val="0"/>
            <w:vAlign w:val="center"/>
          </w:tcPr>
          <w:p w14:paraId="15BA09A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平台</w:t>
            </w:r>
          </w:p>
          <w:p w14:paraId="4DCBFA2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对接组</w:t>
            </w:r>
          </w:p>
        </w:tc>
        <w:tc>
          <w:tcPr>
            <w:tcW w:w="382" w:type="pct"/>
            <w:shd w:val="clear" w:color="000000" w:fill="FFFFFF"/>
            <w:noWrap w:val="0"/>
            <w:vAlign w:val="center"/>
          </w:tcPr>
          <w:p w14:paraId="2AB419EA">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5FFB0263">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5C3AD7D1">
            <w:pPr>
              <w:spacing w:line="240" w:lineRule="auto"/>
              <w:jc w:val="center"/>
              <w:rPr>
                <w:rFonts w:hint="eastAsia" w:ascii="仿宋" w:hAnsi="仿宋" w:eastAsia="仿宋" w:cs="仿宋"/>
                <w:b/>
                <w:bCs/>
                <w:color w:val="auto"/>
                <w:highlight w:val="none"/>
              </w:rPr>
            </w:pPr>
          </w:p>
        </w:tc>
        <w:tc>
          <w:tcPr>
            <w:tcW w:w="1975" w:type="pct"/>
            <w:shd w:val="clear" w:color="000000" w:fill="FFFFFF"/>
            <w:noWrap w:val="0"/>
            <w:vAlign w:val="center"/>
          </w:tcPr>
          <w:p w14:paraId="3111EE46">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46D28462">
            <w:pPr>
              <w:spacing w:line="240" w:lineRule="auto"/>
              <w:jc w:val="center"/>
              <w:rPr>
                <w:rFonts w:hint="eastAsia" w:ascii="仿宋" w:hAnsi="仿宋" w:eastAsia="仿宋" w:cs="仿宋"/>
                <w:color w:val="auto"/>
                <w:highlight w:val="none"/>
              </w:rPr>
            </w:pPr>
          </w:p>
        </w:tc>
      </w:tr>
      <w:tr w14:paraId="75AF1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44" w:type="pct"/>
            <w:shd w:val="clear" w:color="auto" w:fill="auto"/>
            <w:noWrap w:val="0"/>
            <w:vAlign w:val="center"/>
          </w:tcPr>
          <w:p w14:paraId="0A58F8A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459FA048">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工程师</w:t>
            </w:r>
          </w:p>
        </w:tc>
        <w:tc>
          <w:tcPr>
            <w:tcW w:w="382" w:type="pct"/>
            <w:shd w:val="clear" w:color="000000" w:fill="FFFFFF"/>
            <w:noWrap w:val="0"/>
            <w:vAlign w:val="center"/>
          </w:tcPr>
          <w:p w14:paraId="10C734BF">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2个岗位</w:t>
            </w:r>
          </w:p>
        </w:tc>
        <w:tc>
          <w:tcPr>
            <w:tcW w:w="548" w:type="pct"/>
            <w:shd w:val="clear" w:color="000000" w:fill="FFFFFF"/>
            <w:noWrap w:val="0"/>
            <w:vAlign w:val="center"/>
          </w:tcPr>
          <w:p w14:paraId="1330ED9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每周不少于5天。8:30-12:00, 13:00-17:00</w:t>
            </w:r>
          </w:p>
        </w:tc>
        <w:tc>
          <w:tcPr>
            <w:tcW w:w="982" w:type="pct"/>
            <w:shd w:val="clear" w:color="000000" w:fill="FFFFFF"/>
            <w:noWrap w:val="0"/>
            <w:vAlign w:val="center"/>
          </w:tcPr>
          <w:p w14:paraId="45AC414F">
            <w:pPr>
              <w:numPr>
                <w:ilvl w:val="0"/>
                <w:numId w:val="8"/>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和服务单位签订劳动合同并缴纳社保的的正式全职员工；</w:t>
            </w:r>
          </w:p>
          <w:p w14:paraId="69C5F727">
            <w:pPr>
              <w:numPr>
                <w:ilvl w:val="0"/>
                <w:numId w:val="8"/>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计算机或电子信息相关专业，大学本科及以上学历</w:t>
            </w:r>
            <w:r>
              <w:rPr>
                <w:rFonts w:hint="eastAsia" w:ascii="仿宋" w:hAnsi="仿宋" w:eastAsia="仿宋" w:cs="仿宋"/>
                <w:b/>
                <w:bCs/>
                <w:color w:val="auto"/>
                <w:highlight w:val="none"/>
              </w:rPr>
              <w:t>。</w:t>
            </w:r>
          </w:p>
        </w:tc>
        <w:tc>
          <w:tcPr>
            <w:tcW w:w="1975" w:type="pct"/>
            <w:shd w:val="clear" w:color="000000" w:fill="FFFFFF"/>
            <w:noWrap w:val="0"/>
            <w:vAlign w:val="center"/>
          </w:tcPr>
          <w:p w14:paraId="0F0C1D21">
            <w:pPr>
              <w:pStyle w:val="23"/>
              <w:spacing w:line="240" w:lineRule="auto"/>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rPr>
              <w:t>负责对接各个智能平台，并巡检、培训、指导各社区、物业、第三方工作人员相关的智能应用，每周出具投放数据、生活垃圾重量分析报告，对街道的数据质量开展自查。</w:t>
            </w:r>
          </w:p>
          <w:p w14:paraId="2F4C6D98">
            <w:pPr>
              <w:spacing w:line="240" w:lineRule="auto"/>
              <w:rPr>
                <w:rFonts w:hint="eastAsia" w:ascii="仿宋" w:hAnsi="仿宋" w:eastAsia="仿宋" w:cs="仿宋"/>
                <w:color w:val="auto"/>
                <w:highlight w:val="none"/>
              </w:rPr>
            </w:pPr>
          </w:p>
        </w:tc>
        <w:tc>
          <w:tcPr>
            <w:tcW w:w="562" w:type="pct"/>
            <w:shd w:val="clear" w:color="000000" w:fill="FFFFFF"/>
            <w:noWrap w:val="0"/>
            <w:vAlign w:val="center"/>
          </w:tcPr>
          <w:p w14:paraId="4FFE12C6">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p w14:paraId="43D671A8">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p w14:paraId="56D2BE9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tc>
      </w:tr>
      <w:tr w14:paraId="02479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144" w:type="pct"/>
            <w:shd w:val="clear" w:color="auto" w:fill="auto"/>
            <w:noWrap w:val="0"/>
            <w:vAlign w:val="center"/>
          </w:tcPr>
          <w:p w14:paraId="2C637D57">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四</w:t>
            </w:r>
          </w:p>
        </w:tc>
        <w:tc>
          <w:tcPr>
            <w:tcW w:w="404" w:type="pct"/>
            <w:shd w:val="clear" w:color="000000" w:fill="FFFFFF"/>
            <w:noWrap w:val="0"/>
            <w:vAlign w:val="center"/>
          </w:tcPr>
          <w:p w14:paraId="05B410D3">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再生资源回收组</w:t>
            </w:r>
          </w:p>
        </w:tc>
        <w:tc>
          <w:tcPr>
            <w:tcW w:w="382" w:type="pct"/>
            <w:shd w:val="clear" w:color="000000" w:fill="FFFFFF"/>
            <w:noWrap w:val="0"/>
            <w:vAlign w:val="center"/>
          </w:tcPr>
          <w:p w14:paraId="28CEDFE6">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7911B660">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7705E6E5">
            <w:pPr>
              <w:spacing w:line="240" w:lineRule="auto"/>
              <w:jc w:val="center"/>
              <w:rPr>
                <w:rFonts w:hint="eastAsia" w:ascii="仿宋" w:hAnsi="仿宋" w:eastAsia="仿宋" w:cs="仿宋"/>
                <w:b/>
                <w:bCs/>
                <w:color w:val="auto"/>
                <w:highlight w:val="none"/>
              </w:rPr>
            </w:pPr>
          </w:p>
        </w:tc>
        <w:tc>
          <w:tcPr>
            <w:tcW w:w="1975" w:type="pct"/>
            <w:shd w:val="clear" w:color="000000" w:fill="FFFFFF"/>
            <w:noWrap w:val="0"/>
            <w:vAlign w:val="center"/>
          </w:tcPr>
          <w:p w14:paraId="240D53E3">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0CDC508E">
            <w:pPr>
              <w:spacing w:line="240" w:lineRule="auto"/>
              <w:jc w:val="center"/>
              <w:rPr>
                <w:rFonts w:hint="eastAsia" w:ascii="仿宋" w:hAnsi="仿宋" w:eastAsia="仿宋" w:cs="仿宋"/>
                <w:color w:val="auto"/>
                <w:highlight w:val="none"/>
              </w:rPr>
            </w:pPr>
          </w:p>
        </w:tc>
      </w:tr>
      <w:tr w14:paraId="0A13E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144" w:type="pct"/>
            <w:shd w:val="clear" w:color="auto" w:fill="auto"/>
            <w:noWrap w:val="0"/>
            <w:vAlign w:val="center"/>
          </w:tcPr>
          <w:p w14:paraId="0C57783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46DAE999">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回收员</w:t>
            </w:r>
          </w:p>
        </w:tc>
        <w:tc>
          <w:tcPr>
            <w:tcW w:w="382" w:type="pct"/>
            <w:shd w:val="clear" w:color="000000" w:fill="FFFFFF"/>
            <w:noWrap w:val="0"/>
            <w:vAlign w:val="center"/>
          </w:tcPr>
          <w:p w14:paraId="05E9DA5B">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每3个再生资源网点设一个岗位</w:t>
            </w:r>
          </w:p>
        </w:tc>
        <w:tc>
          <w:tcPr>
            <w:tcW w:w="548" w:type="pct"/>
            <w:shd w:val="clear" w:color="000000" w:fill="FFFFFF"/>
            <w:noWrap w:val="0"/>
            <w:vAlign w:val="center"/>
          </w:tcPr>
          <w:p w14:paraId="6ECF0F5F">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每天不少于</w:t>
            </w:r>
          </w:p>
          <w:p w14:paraId="351FC95B">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8小时</w:t>
            </w:r>
          </w:p>
        </w:tc>
        <w:tc>
          <w:tcPr>
            <w:tcW w:w="982" w:type="pct"/>
            <w:shd w:val="clear" w:color="000000" w:fill="FFFFFF"/>
            <w:noWrap w:val="0"/>
            <w:vAlign w:val="center"/>
          </w:tcPr>
          <w:p w14:paraId="05266DED">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1.和服务单位签订劳动合同并缴纳社保的正式全职员工；</w:t>
            </w:r>
          </w:p>
          <w:p w14:paraId="55ED2313">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2.设组长一名，要求初中及以上学历。可由回收员兼任。</w:t>
            </w:r>
          </w:p>
        </w:tc>
        <w:tc>
          <w:tcPr>
            <w:tcW w:w="1975" w:type="pct"/>
            <w:shd w:val="clear" w:color="000000" w:fill="FFFFFF"/>
            <w:noWrap w:val="0"/>
            <w:vAlign w:val="center"/>
          </w:tcPr>
          <w:p w14:paraId="75031EA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每个网点回收员驻点时间不少于2个小时，负责本社区内的再生资源网点内回收，回收数据进入区垃圾分类智能监管平台；负责在网点内对居民提供的再生资源采用积分兑换奖品或直接货币形式；负责网点的保洁和维护工作。根据居民需求提供上门回收服务。</w:t>
            </w:r>
          </w:p>
        </w:tc>
        <w:tc>
          <w:tcPr>
            <w:tcW w:w="562" w:type="pct"/>
            <w:shd w:val="clear" w:color="000000" w:fill="FFFFFF"/>
            <w:noWrap w:val="0"/>
            <w:vAlign w:val="center"/>
          </w:tcPr>
          <w:p w14:paraId="1C1493CC">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：4</w:t>
            </w:r>
            <w:r>
              <w:rPr>
                <w:rFonts w:hint="eastAsia" w:ascii="仿宋" w:hAnsi="仿宋" w:eastAsia="仿宋" w:cs="仿宋"/>
                <w:color w:val="auto"/>
                <w:highlight w:val="none"/>
                <w:lang w:val="en-US" w:eastAsia="zh-CN"/>
              </w:rPr>
              <w:t>人</w:t>
            </w:r>
          </w:p>
          <w:p w14:paraId="3336FC80">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：5</w:t>
            </w:r>
            <w:r>
              <w:rPr>
                <w:rFonts w:hint="eastAsia" w:ascii="仿宋" w:hAnsi="仿宋" w:eastAsia="仿宋" w:cs="仿宋"/>
                <w:color w:val="auto"/>
                <w:highlight w:val="none"/>
                <w:lang w:val="en-US" w:eastAsia="zh-CN"/>
              </w:rPr>
              <w:t>人</w:t>
            </w:r>
          </w:p>
          <w:p w14:paraId="48D163D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：5</w:t>
            </w:r>
            <w:r>
              <w:rPr>
                <w:rFonts w:hint="eastAsia" w:ascii="仿宋" w:hAnsi="仿宋" w:eastAsia="仿宋" w:cs="仿宋"/>
                <w:color w:val="auto"/>
                <w:highlight w:val="none"/>
                <w:lang w:val="en-US" w:eastAsia="zh-CN"/>
              </w:rPr>
              <w:t>人</w:t>
            </w:r>
          </w:p>
        </w:tc>
      </w:tr>
      <w:tr w14:paraId="6DE0C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144" w:type="pct"/>
            <w:shd w:val="clear" w:color="auto" w:fill="auto"/>
            <w:noWrap w:val="0"/>
            <w:vAlign w:val="center"/>
          </w:tcPr>
          <w:p w14:paraId="1BE7FB6B">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五</w:t>
            </w:r>
          </w:p>
        </w:tc>
        <w:tc>
          <w:tcPr>
            <w:tcW w:w="404" w:type="pct"/>
            <w:shd w:val="clear" w:color="000000" w:fill="FFFFFF"/>
            <w:noWrap w:val="0"/>
            <w:vAlign w:val="center"/>
          </w:tcPr>
          <w:p w14:paraId="359EC428">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定时定点分类组</w:t>
            </w:r>
          </w:p>
        </w:tc>
        <w:tc>
          <w:tcPr>
            <w:tcW w:w="382" w:type="pct"/>
            <w:shd w:val="clear" w:color="000000" w:fill="FFFFFF"/>
            <w:noWrap w:val="0"/>
            <w:vAlign w:val="center"/>
          </w:tcPr>
          <w:p w14:paraId="2C2C507B">
            <w:pPr>
              <w:spacing w:line="240" w:lineRule="auto"/>
              <w:jc w:val="center"/>
              <w:rPr>
                <w:rFonts w:hint="eastAsia" w:ascii="仿宋" w:hAnsi="仿宋" w:eastAsia="仿宋" w:cs="仿宋"/>
                <w:color w:val="auto"/>
                <w:highlight w:val="none"/>
              </w:rPr>
            </w:pPr>
          </w:p>
        </w:tc>
        <w:tc>
          <w:tcPr>
            <w:tcW w:w="548" w:type="pct"/>
            <w:shd w:val="clear" w:color="000000" w:fill="FFFFFF"/>
            <w:noWrap w:val="0"/>
            <w:vAlign w:val="center"/>
          </w:tcPr>
          <w:p w14:paraId="7CF20D00">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276ACAD0">
            <w:pPr>
              <w:spacing w:line="240" w:lineRule="auto"/>
              <w:jc w:val="center"/>
              <w:rPr>
                <w:rFonts w:hint="eastAsia" w:ascii="仿宋" w:hAnsi="仿宋" w:eastAsia="仿宋" w:cs="仿宋"/>
                <w:color w:val="auto"/>
                <w:highlight w:val="none"/>
              </w:rPr>
            </w:pPr>
          </w:p>
        </w:tc>
        <w:tc>
          <w:tcPr>
            <w:tcW w:w="1975" w:type="pct"/>
            <w:shd w:val="clear" w:color="000000" w:fill="FFFFFF"/>
            <w:noWrap w:val="0"/>
            <w:vAlign w:val="center"/>
          </w:tcPr>
          <w:p w14:paraId="2B61EAE6">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5139B637">
            <w:pPr>
              <w:spacing w:line="240" w:lineRule="auto"/>
              <w:jc w:val="center"/>
              <w:rPr>
                <w:rFonts w:hint="eastAsia" w:ascii="仿宋" w:hAnsi="仿宋" w:eastAsia="仿宋" w:cs="仿宋"/>
                <w:color w:val="auto"/>
                <w:highlight w:val="none"/>
              </w:rPr>
            </w:pPr>
          </w:p>
        </w:tc>
      </w:tr>
      <w:tr w14:paraId="47F2C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44" w:type="pct"/>
            <w:shd w:val="clear" w:color="auto" w:fill="auto"/>
            <w:noWrap w:val="0"/>
            <w:vAlign w:val="center"/>
          </w:tcPr>
          <w:p w14:paraId="472108A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41F2586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分类员</w:t>
            </w:r>
          </w:p>
        </w:tc>
        <w:tc>
          <w:tcPr>
            <w:tcW w:w="382" w:type="pct"/>
            <w:shd w:val="clear" w:color="000000" w:fill="FFFFFF"/>
            <w:noWrap w:val="0"/>
            <w:vAlign w:val="center"/>
          </w:tcPr>
          <w:p w14:paraId="4DC1274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每个定时定点投放点位设一个岗位</w:t>
            </w:r>
          </w:p>
        </w:tc>
        <w:tc>
          <w:tcPr>
            <w:tcW w:w="548" w:type="pct"/>
            <w:shd w:val="clear" w:color="000000" w:fill="FFFFFF"/>
            <w:noWrap w:val="0"/>
            <w:vAlign w:val="center"/>
          </w:tcPr>
          <w:p w14:paraId="11803039">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每天早上工作两小时（9点前），晚上工作两小时（21点前）。</w:t>
            </w:r>
          </w:p>
          <w:p w14:paraId="5E746A85">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（具体工作时间段以甲方要通知为准）</w:t>
            </w:r>
          </w:p>
        </w:tc>
        <w:tc>
          <w:tcPr>
            <w:tcW w:w="982" w:type="pct"/>
            <w:shd w:val="clear" w:color="000000" w:fill="FFFFFF"/>
            <w:noWrap w:val="0"/>
            <w:vAlign w:val="center"/>
          </w:tcPr>
          <w:p w14:paraId="07A9C23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1.设组长一名，可由分类员兼任。</w:t>
            </w:r>
          </w:p>
        </w:tc>
        <w:tc>
          <w:tcPr>
            <w:tcW w:w="1975" w:type="pct"/>
            <w:shd w:val="clear" w:color="000000" w:fill="FFFFFF"/>
            <w:noWrap w:val="0"/>
            <w:vAlign w:val="center"/>
          </w:tcPr>
          <w:p w14:paraId="3EE5A6E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熟练操作智能四分类秤智为投放的居民进行易腐垃圾的称重、上传、破袋和积分，或其他垃圾和有害垃圾的称重、上传和积分，对可回收物进行称重、上传和积分。维护投放点的环境卫生，上岗和离岗前分别进行冲洗打扫，及时更换满桶。可回收物统一送至采购人指定的再生资源分拣中心回收，数据进入区垃圾分类智能监管平台。</w:t>
            </w:r>
          </w:p>
          <w:p w14:paraId="26B9F94C">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2.分类员具备可回收物的常识（参照《浙江省城镇生活垃圾分类标准》）。</w:t>
            </w:r>
          </w:p>
          <w:p w14:paraId="08DFE3EE">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3.在居民投放时，主动向居民普及可回收物积分奖励规则，并进行积分回收。</w:t>
            </w:r>
          </w:p>
          <w:p w14:paraId="02A547F4">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4.误时投放点若采用垃圾分类亭的，误时投放点开放期间需有分类员驻点服务。</w:t>
            </w:r>
          </w:p>
          <w:p w14:paraId="51BA63B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5.统一制服和服务标准。</w:t>
            </w:r>
          </w:p>
          <w:p w14:paraId="070484F5">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6.具备正常交流能力，普通话流利。</w:t>
            </w:r>
          </w:p>
        </w:tc>
        <w:tc>
          <w:tcPr>
            <w:tcW w:w="562" w:type="pct"/>
            <w:shd w:val="clear" w:color="000000" w:fill="FFFFFF"/>
            <w:noWrap w:val="0"/>
            <w:vAlign w:val="center"/>
          </w:tcPr>
          <w:p w14:paraId="6807EB26">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115人</w:t>
            </w:r>
          </w:p>
          <w:p w14:paraId="1CFEB6C3">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123人</w:t>
            </w:r>
          </w:p>
          <w:p w14:paraId="5BA34C0B">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124人</w:t>
            </w:r>
          </w:p>
        </w:tc>
      </w:tr>
      <w:tr w14:paraId="079C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4" w:type="pct"/>
            <w:shd w:val="clear" w:color="auto" w:fill="auto"/>
            <w:noWrap w:val="0"/>
            <w:vAlign w:val="center"/>
          </w:tcPr>
          <w:p w14:paraId="142876FF">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六</w:t>
            </w:r>
          </w:p>
        </w:tc>
        <w:tc>
          <w:tcPr>
            <w:tcW w:w="404" w:type="pct"/>
            <w:shd w:val="clear" w:color="000000" w:fill="FFFFFF"/>
            <w:noWrap w:val="0"/>
            <w:vAlign w:val="center"/>
          </w:tcPr>
          <w:p w14:paraId="3C172F1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辅助组</w:t>
            </w:r>
          </w:p>
        </w:tc>
        <w:tc>
          <w:tcPr>
            <w:tcW w:w="382" w:type="pct"/>
            <w:shd w:val="clear" w:color="000000" w:fill="FFFFFF"/>
            <w:noWrap w:val="0"/>
            <w:vAlign w:val="center"/>
          </w:tcPr>
          <w:p w14:paraId="0EFF12B1">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4CFD8B59">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438A1B29">
            <w:pPr>
              <w:spacing w:line="240" w:lineRule="auto"/>
              <w:jc w:val="center"/>
              <w:rPr>
                <w:rFonts w:hint="eastAsia" w:ascii="仿宋" w:hAnsi="仿宋" w:eastAsia="仿宋" w:cs="仿宋"/>
                <w:color w:val="auto"/>
                <w:highlight w:val="none"/>
              </w:rPr>
            </w:pPr>
          </w:p>
        </w:tc>
        <w:tc>
          <w:tcPr>
            <w:tcW w:w="1975" w:type="pct"/>
            <w:shd w:val="clear" w:color="000000" w:fill="FFFFFF"/>
            <w:noWrap w:val="0"/>
            <w:vAlign w:val="center"/>
          </w:tcPr>
          <w:p w14:paraId="16899431">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7AE9DBED">
            <w:pPr>
              <w:spacing w:line="240" w:lineRule="auto"/>
              <w:jc w:val="center"/>
              <w:rPr>
                <w:rFonts w:hint="eastAsia" w:ascii="仿宋" w:hAnsi="仿宋" w:eastAsia="仿宋" w:cs="仿宋"/>
                <w:color w:val="auto"/>
                <w:highlight w:val="none"/>
              </w:rPr>
            </w:pPr>
          </w:p>
        </w:tc>
      </w:tr>
      <w:tr w14:paraId="54EDD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144" w:type="pct"/>
            <w:shd w:val="clear" w:color="auto" w:fill="auto"/>
            <w:noWrap w:val="0"/>
            <w:vAlign w:val="center"/>
          </w:tcPr>
          <w:p w14:paraId="3520E5E2">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404" w:type="pct"/>
            <w:shd w:val="clear" w:color="000000" w:fill="FFFFFF"/>
            <w:noWrap w:val="0"/>
            <w:vAlign w:val="center"/>
          </w:tcPr>
          <w:p w14:paraId="372566B5">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巡检员</w:t>
            </w:r>
          </w:p>
        </w:tc>
        <w:tc>
          <w:tcPr>
            <w:tcW w:w="382" w:type="pct"/>
            <w:shd w:val="clear" w:color="000000" w:fill="FFFFFF"/>
            <w:noWrap w:val="0"/>
            <w:vAlign w:val="center"/>
          </w:tcPr>
          <w:p w14:paraId="124D2012">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每天至少8人同时在岗；标项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每天至少6人同时在岗；标项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每天至少8人同时在岗。</w:t>
            </w:r>
          </w:p>
        </w:tc>
        <w:tc>
          <w:tcPr>
            <w:tcW w:w="548" w:type="pct"/>
            <w:shd w:val="clear" w:color="000000" w:fill="FFFFFF"/>
            <w:noWrap w:val="0"/>
            <w:vAlign w:val="center"/>
          </w:tcPr>
          <w:p w14:paraId="7F35CD0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每天不少于6个小时（具体时间由各社区确认）</w:t>
            </w:r>
          </w:p>
        </w:tc>
        <w:tc>
          <w:tcPr>
            <w:tcW w:w="982" w:type="pct"/>
            <w:shd w:val="clear" w:color="000000" w:fill="FFFFFF"/>
            <w:noWrap w:val="0"/>
            <w:vAlign w:val="center"/>
          </w:tcPr>
          <w:p w14:paraId="4DB31808">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1975" w:type="pct"/>
            <w:shd w:val="clear" w:color="000000" w:fill="FFFFFF"/>
            <w:noWrap w:val="0"/>
            <w:vAlign w:val="center"/>
          </w:tcPr>
          <w:p w14:paraId="5ECEFC80">
            <w:pPr>
              <w:spacing w:line="240" w:lineRule="auto"/>
              <w:jc w:val="both"/>
              <w:rPr>
                <w:rFonts w:hint="eastAsia" w:ascii="仿宋" w:hAnsi="仿宋" w:eastAsia="仿宋" w:cs="仿宋"/>
                <w:color w:val="auto"/>
                <w:highlight w:val="none"/>
              </w:rPr>
            </w:pPr>
            <w:r>
              <w:rPr>
                <w:rFonts w:hint="eastAsia" w:ascii="仿宋" w:hAnsi="仿宋" w:eastAsia="仿宋" w:cs="仿宋"/>
                <w:color w:val="auto"/>
                <w:highlight w:val="none"/>
              </w:rPr>
              <w:t>1.对于撤桶后定时定点点位、原投放点撤除后的点位做好桶外垃圾包的及时巡检和清运。</w:t>
            </w:r>
          </w:p>
          <w:p w14:paraId="3DE5C5A5">
            <w:pPr>
              <w:spacing w:line="240" w:lineRule="auto"/>
              <w:jc w:val="both"/>
              <w:rPr>
                <w:rFonts w:hint="eastAsia" w:ascii="仿宋" w:hAnsi="仿宋" w:eastAsia="仿宋" w:cs="仿宋"/>
                <w:color w:val="auto"/>
                <w:highlight w:val="none"/>
              </w:rPr>
            </w:pPr>
            <w:r>
              <w:rPr>
                <w:rFonts w:hint="eastAsia" w:ascii="仿宋" w:hAnsi="仿宋" w:eastAsia="仿宋" w:cs="仿宋"/>
                <w:color w:val="auto"/>
                <w:highlight w:val="none"/>
              </w:rPr>
              <w:t>2.统一制服和服务标准。</w:t>
            </w:r>
          </w:p>
        </w:tc>
        <w:tc>
          <w:tcPr>
            <w:tcW w:w="562" w:type="pct"/>
            <w:shd w:val="clear" w:color="000000" w:fill="FFFFFF"/>
            <w:noWrap w:val="0"/>
            <w:vAlign w:val="center"/>
          </w:tcPr>
          <w:p w14:paraId="04EC3278">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：8</w:t>
            </w:r>
            <w:r>
              <w:rPr>
                <w:rFonts w:hint="eastAsia" w:ascii="仿宋" w:hAnsi="仿宋" w:eastAsia="仿宋" w:cs="仿宋"/>
                <w:color w:val="auto"/>
                <w:highlight w:val="none"/>
                <w:lang w:val="en-US" w:eastAsia="zh-CN"/>
              </w:rPr>
              <w:t>人</w:t>
            </w:r>
          </w:p>
          <w:p w14:paraId="3628EEE1">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：6</w:t>
            </w:r>
            <w:r>
              <w:rPr>
                <w:rFonts w:hint="eastAsia" w:ascii="仿宋" w:hAnsi="仿宋" w:eastAsia="仿宋" w:cs="仿宋"/>
                <w:color w:val="auto"/>
                <w:highlight w:val="none"/>
                <w:lang w:val="en-US" w:eastAsia="zh-CN"/>
              </w:rPr>
              <w:t>人</w:t>
            </w:r>
          </w:p>
          <w:p w14:paraId="665D52F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：8</w:t>
            </w:r>
            <w:r>
              <w:rPr>
                <w:rFonts w:hint="eastAsia" w:ascii="仿宋" w:hAnsi="仿宋" w:eastAsia="仿宋" w:cs="仿宋"/>
                <w:color w:val="auto"/>
                <w:highlight w:val="none"/>
                <w:lang w:val="en-US" w:eastAsia="zh-CN"/>
              </w:rPr>
              <w:t>人</w:t>
            </w:r>
          </w:p>
        </w:tc>
      </w:tr>
      <w:tr w14:paraId="00032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144" w:type="pct"/>
            <w:shd w:val="clear" w:color="auto" w:fill="auto"/>
            <w:noWrap w:val="0"/>
            <w:vAlign w:val="center"/>
          </w:tcPr>
          <w:p w14:paraId="2310C2B3">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404" w:type="pct"/>
            <w:shd w:val="clear" w:color="000000" w:fill="FFFFFF"/>
            <w:noWrap w:val="0"/>
            <w:vAlign w:val="center"/>
          </w:tcPr>
          <w:p w14:paraId="4085BEE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集置点管理员</w:t>
            </w:r>
          </w:p>
        </w:tc>
        <w:tc>
          <w:tcPr>
            <w:tcW w:w="382" w:type="pct"/>
            <w:shd w:val="clear" w:color="000000" w:fill="FFFFFF"/>
            <w:noWrap w:val="0"/>
            <w:vAlign w:val="center"/>
          </w:tcPr>
          <w:p w14:paraId="7D0A01A7">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每个集置点设一个岗位</w:t>
            </w:r>
          </w:p>
        </w:tc>
        <w:tc>
          <w:tcPr>
            <w:tcW w:w="548" w:type="pct"/>
            <w:shd w:val="clear" w:color="000000" w:fill="FFFFFF"/>
            <w:noWrap w:val="0"/>
            <w:vAlign w:val="center"/>
          </w:tcPr>
          <w:p w14:paraId="17CDDDD9">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生活垃圾收运至集置站期间和其他垃圾和易腐垃圾第三方清运期间</w:t>
            </w:r>
          </w:p>
        </w:tc>
        <w:tc>
          <w:tcPr>
            <w:tcW w:w="982" w:type="pct"/>
            <w:shd w:val="clear" w:color="000000" w:fill="FFFFFF"/>
            <w:noWrap w:val="0"/>
            <w:vAlign w:val="center"/>
          </w:tcPr>
          <w:p w14:paraId="1351E9AB">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1975" w:type="pct"/>
            <w:shd w:val="clear" w:color="000000" w:fill="FFFFFF"/>
            <w:noWrap w:val="0"/>
            <w:vAlign w:val="center"/>
          </w:tcPr>
          <w:p w14:paraId="717B3DE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1.对进入集置站的生活垃圾进行分类监督和指导。</w:t>
            </w:r>
          </w:p>
          <w:p w14:paraId="6240375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2.其他垃圾和易腐垃圾清运后对垃圾桶进行清洗。</w:t>
            </w:r>
          </w:p>
          <w:p w14:paraId="4130964E">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3.负责站点的环境卫生工作，不得在站点及周边随意丢弃生活垃圾。</w:t>
            </w:r>
          </w:p>
          <w:p w14:paraId="5D925B3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4.统一制服和服务标准。</w:t>
            </w:r>
          </w:p>
        </w:tc>
        <w:tc>
          <w:tcPr>
            <w:tcW w:w="562" w:type="pct"/>
            <w:shd w:val="clear" w:color="000000" w:fill="FFFFFF"/>
            <w:noWrap w:val="0"/>
            <w:vAlign w:val="center"/>
          </w:tcPr>
          <w:p w14:paraId="0A8EE94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p w14:paraId="3CA9A4E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p w14:paraId="594CE423">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3人</w:t>
            </w:r>
          </w:p>
        </w:tc>
      </w:tr>
    </w:tbl>
    <w:p w14:paraId="2F01DEE0">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1）在相应的服务时间内至少保证最低在岗人数，每个岗位不得低于本表要求，供应商可根据以往服务经验提供优质服务方案、最佳岗位设置，可增设应急服务、安全管理等岗位（每个岗位至少1人专职专岗），根据各单位员工工作制度自行配置最佳人数，以保证服务质量和提高服务人员稳定性；</w:t>
      </w:r>
    </w:p>
    <w:p w14:paraId="41B46B66">
      <w:pPr>
        <w:numPr>
          <w:ilvl w:val="0"/>
          <w:numId w:val="0"/>
        </w:num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kern w:val="2"/>
          <w:sz w:val="24"/>
          <w:szCs w:val="24"/>
          <w:highlight w:val="none"/>
          <w:lang w:val="en-US" w:eastAsia="zh-CN" w:bidi="ar-SA"/>
        </w:rPr>
        <w:t>2）</w:t>
      </w:r>
      <w:r>
        <w:rPr>
          <w:rFonts w:hint="eastAsia" w:ascii="仿宋" w:hAnsi="仿宋" w:eastAsia="仿宋" w:cs="仿宋"/>
          <w:b/>
          <w:bCs/>
          <w:color w:val="auto"/>
          <w:sz w:val="24"/>
          <w:szCs w:val="24"/>
          <w:highlight w:val="none"/>
        </w:rPr>
        <w:t>不得违反劳动法规、安全法规等国家法律法规，工资应当至少每月支付一次，非全职员工的支付周期不得超过15日，遇到节假日或者休息日的提前支付；</w:t>
      </w:r>
    </w:p>
    <w:p w14:paraId="64369BBB">
      <w:pPr>
        <w:numPr>
          <w:ilvl w:val="0"/>
          <w:numId w:val="0"/>
        </w:numPr>
        <w:spacing w:line="360" w:lineRule="auto"/>
        <w:ind w:firstLine="482" w:firstLineChars="200"/>
        <w:rPr>
          <w:rFonts w:hint="eastAsia" w:ascii="仿宋" w:hAnsi="仿宋" w:eastAsia="仿宋_GB2312" w:cs="仿宋"/>
          <w:color w:val="auto"/>
          <w:sz w:val="24"/>
          <w:szCs w:val="24"/>
          <w:highlight w:val="none"/>
          <w:lang w:eastAsia="zh-CN"/>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b/>
          <w:bCs/>
          <w:color w:val="auto"/>
          <w:sz w:val="24"/>
          <w:szCs w:val="24"/>
          <w:highlight w:val="none"/>
        </w:rPr>
        <w:t>3）具体工作时间随季节变化和实际情况进行调整</w:t>
      </w:r>
      <w:r>
        <w:rPr>
          <w:rFonts w:hint="eastAsia" w:ascii="仿宋_GB2312" w:hAnsi="仿宋_GB2312" w:eastAsia="仿宋_GB2312"/>
          <w:b/>
          <w:bCs/>
          <w:color w:val="auto"/>
          <w:sz w:val="24"/>
          <w:szCs w:val="24"/>
          <w:highlight w:val="none"/>
          <w:lang w:eastAsia="zh-CN"/>
        </w:rPr>
        <w:t>。</w:t>
      </w:r>
    </w:p>
    <w:p w14:paraId="428ABBD7">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七、定时定点投放点设立要求</w:t>
      </w:r>
    </w:p>
    <w:p w14:paraId="19697445">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1.设立标准：</w:t>
      </w:r>
      <w:r>
        <w:rPr>
          <w:rFonts w:hint="eastAsia" w:ascii="仿宋" w:hAnsi="仿宋" w:eastAsia="仿宋" w:cs="仿宋"/>
          <w:color w:val="auto"/>
          <w:sz w:val="24"/>
          <w:szCs w:val="24"/>
          <w:highlight w:val="none"/>
        </w:rPr>
        <w:t>每300户左右标准设立一处定时定点投放点(具体暂以“垃圾分类人员设施配备最低要求一览表”为准，合同履约过程中采购人根据实际场地情况、居民需求调整投放点数量的，合同价不予调整)，每个点位每天运行时间不低于早晚两次累计4小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夏令时（5-10月）可延长至4.5小时</w:t>
      </w:r>
      <w:r>
        <w:rPr>
          <w:rFonts w:hint="eastAsia" w:ascii="仿宋" w:hAnsi="仿宋" w:eastAsia="仿宋" w:cs="仿宋"/>
          <w:color w:val="auto"/>
          <w:sz w:val="24"/>
          <w:szCs w:val="24"/>
          <w:highlight w:val="none"/>
        </w:rPr>
        <w:t>。</w:t>
      </w:r>
    </w:p>
    <w:p w14:paraId="6D6F9F4B">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2.运行服务要求：</w:t>
      </w:r>
    </w:p>
    <w:p w14:paraId="7701E5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2.1定时定点投放点运行期间，点位的秩序管理和环境卫生均由服务单位负责，维护投放点的环境卫生，分类员每天上岗和离岗前分别进行冲洗打扫，及时更换满桶。</w:t>
      </w:r>
    </w:p>
    <w:p w14:paraId="23B3AD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2.2负责点位上的垃圾桶在投放结束30分钟内拖运至社区指定的集置点。</w:t>
      </w:r>
    </w:p>
    <w:p w14:paraId="76E60CF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2.3运行点位设施要求：每个定时定点投放点位，需固定配备一人（分类员）、一秤（智能四分类封装秤）、一垃圾分类亭（固定遮雨棚,因非乙方原因无法设立的除外），一套垃圾桶。</w:t>
      </w:r>
    </w:p>
    <w:p w14:paraId="706693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（1）一人：统一制服和服务标准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每个小区或每5个投放点位设立一名组长，负责监督日常服务、整理打包可回收物</w:t>
      </w:r>
      <w:r>
        <w:rPr>
          <w:rFonts w:hint="eastAsia" w:ascii="仿宋" w:hAnsi="仿宋" w:eastAsia="仿宋" w:cs="仿宋"/>
          <w:color w:val="auto"/>
          <w:sz w:val="24"/>
          <w:szCs w:val="24"/>
          <w:highlight w:val="none"/>
        </w:rPr>
        <w:t>。</w:t>
      </w:r>
    </w:p>
    <w:p w14:paraId="5EB170BC">
      <w:pPr>
        <w:spacing w:line="360" w:lineRule="auto"/>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（2）一秤：用于秤易腐垃圾和可回收物重量。能进行二维码识别、人脸识别，分类投放成功时间10秒内，四分类数据及投放照片可正常传送至萧山区生活垃圾分类智能监管平台（城市大脑）</w:t>
      </w:r>
      <w:bookmarkStart w:id="29" w:name="_Hlk118187647"/>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北干街道生活垃圾监管平台（</w:t>
      </w:r>
      <w:r>
        <w:rPr>
          <w:rFonts w:hint="eastAsia" w:ascii="仿宋" w:hAnsi="仿宋" w:eastAsia="仿宋" w:cs="仿宋"/>
          <w:color w:val="auto"/>
          <w:sz w:val="24"/>
          <w:szCs w:val="24"/>
          <w:highlight w:val="none"/>
          <w:lang w:val="en-US" w:eastAsia="zh-CN"/>
        </w:rPr>
        <w:t>“北干慧分类”小程序后台，</w:t>
      </w:r>
      <w:r>
        <w:rPr>
          <w:rFonts w:hint="eastAsia" w:ascii="仿宋" w:hAnsi="仿宋" w:eastAsia="仿宋" w:cs="仿宋"/>
          <w:color w:val="auto"/>
          <w:sz w:val="24"/>
          <w:szCs w:val="24"/>
          <w:highlight w:val="none"/>
        </w:rPr>
        <w:t>后续接入过程中产生的相关费用自行考虑计入投标报价）</w:t>
      </w:r>
      <w:bookmarkEnd w:id="29"/>
      <w:r>
        <w:rPr>
          <w:rFonts w:hint="eastAsia" w:ascii="仿宋" w:hAnsi="仿宋" w:eastAsia="仿宋" w:cs="仿宋"/>
          <w:color w:val="auto"/>
          <w:sz w:val="24"/>
          <w:szCs w:val="24"/>
          <w:highlight w:val="none"/>
        </w:rPr>
        <w:t>，用户收到积分成功消息（短信形式，以及APP或小程序）。</w:t>
      </w:r>
      <w:r>
        <w:rPr>
          <w:rFonts w:hint="eastAsia" w:ascii="仿宋" w:hAnsi="仿宋" w:eastAsia="仿宋" w:cs="仿宋"/>
          <w:color w:val="auto"/>
          <w:sz w:val="24"/>
          <w:szCs w:val="24"/>
          <w:highlight w:val="none"/>
          <w:lang w:val="en-US" w:eastAsia="zh-CN"/>
        </w:rPr>
        <w:t>按照“六全一码”的要求，至少30%的点位需要额外配备一台地磅秤，用于易腐垃圾无感投放。</w:t>
      </w:r>
      <w:r>
        <w:rPr>
          <w:rFonts w:hint="eastAsia" w:ascii="仿宋" w:hAnsi="仿宋" w:eastAsia="仿宋" w:cs="仿宋"/>
          <w:color w:val="auto"/>
          <w:sz w:val="24"/>
          <w:szCs w:val="24"/>
          <w:highlight w:val="none"/>
        </w:rPr>
        <w:t>垃圾投放高峰时段，供应商应及时提供备用秤，避免出现居民投放等候时间超过一分钟。</w:t>
      </w:r>
    </w:p>
    <w:p w14:paraId="583CEF85">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w:t>
      </w:r>
    </w:p>
    <w:p w14:paraId="131C465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①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显示屏显示称重台感应重量数据；显示屏尺寸参数：不小于7寸，主板3288,分辨率1024*600，Android5.1.1，全网通模块，4G、无线WIFI、GPS定位。</w:t>
      </w:r>
    </w:p>
    <w:p w14:paraId="3DAAAFC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②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和原有居民使用二维码（和积分卡）及</w:t>
      </w:r>
      <w:r>
        <w:rPr>
          <w:rFonts w:hint="eastAsia" w:ascii="仿宋" w:hAnsi="仿宋" w:eastAsia="仿宋" w:cs="仿宋"/>
          <w:color w:val="auto"/>
          <w:sz w:val="24"/>
          <w:szCs w:val="24"/>
          <w:highlight w:val="none"/>
          <w:lang w:val="en-US" w:eastAsia="zh-CN"/>
        </w:rPr>
        <w:t>北干街道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北干慧分类</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小程序分类码</w:t>
      </w:r>
      <w:r>
        <w:rPr>
          <w:rFonts w:hint="eastAsia" w:ascii="仿宋" w:hAnsi="仿宋" w:eastAsia="仿宋" w:cs="仿宋"/>
          <w:color w:val="auto"/>
          <w:sz w:val="24"/>
          <w:szCs w:val="24"/>
          <w:highlight w:val="none"/>
        </w:rPr>
        <w:t>实现并连使用。</w:t>
      </w:r>
    </w:p>
    <w:p w14:paraId="4A256795">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③　</w:t>
      </w:r>
      <w:r>
        <w:rPr>
          <w:rFonts w:hint="eastAsia" w:ascii="仿宋" w:hAnsi="仿宋" w:eastAsia="仿宋" w:cs="仿宋"/>
          <w:color w:val="auto"/>
          <w:sz w:val="24"/>
          <w:szCs w:val="24"/>
          <w:highlight w:val="none"/>
        </w:rPr>
        <w:t>整体材质：金属喷塑。</w:t>
      </w:r>
    </w:p>
    <w:p w14:paraId="16C40E8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④　</w:t>
      </w:r>
      <w:r>
        <w:rPr>
          <w:rFonts w:hint="eastAsia" w:ascii="仿宋" w:hAnsi="仿宋" w:eastAsia="仿宋" w:cs="仿宋"/>
          <w:color w:val="auto"/>
          <w:sz w:val="24"/>
          <w:szCs w:val="24"/>
          <w:highlight w:val="none"/>
        </w:rPr>
        <w:t>操作员可在称重时在显示屏上对垃圾分类情况进行评分，并可拍照上传照片。</w:t>
      </w:r>
      <w:r>
        <w:rPr>
          <w:rFonts w:hint="eastAsia" w:ascii="仿宋" w:hAnsi="仿宋" w:eastAsia="仿宋" w:cs="仿宋"/>
          <w:color w:val="auto"/>
          <w:sz w:val="24"/>
          <w:szCs w:val="24"/>
          <w:highlight w:val="none"/>
          <w:lang w:val="en-US" w:eastAsia="zh-CN"/>
        </w:rPr>
        <w:t>通过“北干慧分类”小程序</w:t>
      </w:r>
      <w:r>
        <w:rPr>
          <w:rFonts w:hint="eastAsia" w:ascii="仿宋" w:hAnsi="仿宋" w:eastAsia="仿宋" w:cs="仿宋"/>
          <w:color w:val="auto"/>
          <w:sz w:val="24"/>
          <w:szCs w:val="24"/>
          <w:highlight w:val="none"/>
        </w:rPr>
        <w:t>可以实时可查询回收记录和兑换记录。</w:t>
      </w:r>
    </w:p>
    <w:p w14:paraId="7E6544B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无感投放</w:t>
      </w:r>
      <w:r>
        <w:rPr>
          <w:rFonts w:hint="eastAsia" w:ascii="仿宋" w:hAnsi="仿宋" w:eastAsia="仿宋" w:cs="仿宋"/>
          <w:color w:val="auto"/>
          <w:sz w:val="24"/>
          <w:szCs w:val="24"/>
          <w:highlight w:val="none"/>
          <w:lang w:val="en-US" w:eastAsia="zh-CN"/>
        </w:rPr>
        <w:t>地磅</w:t>
      </w:r>
      <w:r>
        <w:rPr>
          <w:rFonts w:hint="eastAsia" w:ascii="仿宋" w:hAnsi="仿宋" w:eastAsia="仿宋" w:cs="仿宋"/>
          <w:color w:val="auto"/>
          <w:sz w:val="24"/>
          <w:szCs w:val="24"/>
          <w:highlight w:val="none"/>
        </w:rPr>
        <w:t>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无感投放是指生活垃圾投入垃圾桶时可同步完成称重、拍照及积分，数据上传至区、街道平台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推荐使用</w:t>
      </w:r>
      <w:r>
        <w:rPr>
          <w:rFonts w:hint="eastAsia" w:ascii="仿宋" w:hAnsi="仿宋" w:eastAsia="仿宋" w:cs="仿宋"/>
          <w:color w:val="auto"/>
          <w:sz w:val="24"/>
          <w:szCs w:val="24"/>
          <w:highlight w:val="none"/>
        </w:rPr>
        <w:t>新型垃圾分类智能设备。</w:t>
      </w:r>
    </w:p>
    <w:p w14:paraId="445C57C7">
      <w:pPr>
        <w:pStyle w:val="3"/>
        <w:ind w:left="0" w:leftChars="0" w:firstLine="482"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设备参数：</w:t>
      </w:r>
    </w:p>
    <w:p w14:paraId="5F8A085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基本参数</w:t>
      </w:r>
    </w:p>
    <w:p w14:paraId="2CAE13B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机身尺寸：31*38.5*107.5cm</w:t>
      </w:r>
    </w:p>
    <w:p w14:paraId="413BE1C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机身材质：不锈钢,防水防锈</w:t>
      </w:r>
    </w:p>
    <w:p w14:paraId="46E43039">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底座材质：高强度铸钢</w:t>
      </w:r>
    </w:p>
    <w:p w14:paraId="1A6375A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开关：不锈钢防水开关</w:t>
      </w:r>
    </w:p>
    <w:p w14:paraId="63DB5F19">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天线：LTE+GPS双模天线</w:t>
      </w:r>
    </w:p>
    <w:p w14:paraId="5E2C751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读卡器类型：防水读卡器</w:t>
      </w:r>
    </w:p>
    <w:p w14:paraId="529A706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触摸屏参数</w:t>
      </w:r>
    </w:p>
    <w:p w14:paraId="0CF4662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CPU处理器：RK3288/4核1.8Ghz</w:t>
      </w:r>
    </w:p>
    <w:p w14:paraId="6BC5287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操作系统：安卓7.1</w:t>
      </w:r>
    </w:p>
    <w:p w14:paraId="6D375C8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运行内容：2GB</w:t>
      </w:r>
    </w:p>
    <w:p w14:paraId="77B59A8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内部存储：8GB</w:t>
      </w:r>
    </w:p>
    <w:p w14:paraId="71FCE7A3">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尺寸：10.1寸,1280*800</w:t>
      </w:r>
    </w:p>
    <w:p w14:paraId="2FC0A5D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触摸形式：电容式5点</w:t>
      </w:r>
    </w:p>
    <w:p w14:paraId="14AC6DC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网络类型：WIFI+LTE全网通+GPS</w:t>
      </w:r>
    </w:p>
    <w:p w14:paraId="45822EF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工作电压：11.5-125V典型值12V</w:t>
      </w:r>
    </w:p>
    <w:p w14:paraId="3A01CDB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工作电流：620mA</w:t>
      </w:r>
    </w:p>
    <w:p w14:paraId="7CADF93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称重传感器参数</w:t>
      </w:r>
    </w:p>
    <w:p w14:paraId="6F38571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量程：0-200kg</w:t>
      </w:r>
    </w:p>
    <w:p w14:paraId="2F91FA7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分度值：10g</w:t>
      </w:r>
    </w:p>
    <w:p w14:paraId="19A1B2AF">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结合精度：0.01%</w:t>
      </w:r>
    </w:p>
    <w:p w14:paraId="0350CFAE">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防护等级：IP65</w:t>
      </w:r>
    </w:p>
    <w:p w14:paraId="11C62D5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供电电压：DC6-12V</w:t>
      </w:r>
    </w:p>
    <w:p w14:paraId="4BE82B4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工作电流：&lt;30mA</w:t>
      </w:r>
    </w:p>
    <w:p w14:paraId="4EEF202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摄像头参数</w:t>
      </w:r>
    </w:p>
    <w:p w14:paraId="34328E4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传感器：CMOS超清工业感光芯片</w:t>
      </w:r>
    </w:p>
    <w:p w14:paraId="6268FBE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最高有效像素：640*480200万硬件优化压缩技术</w:t>
      </w:r>
    </w:p>
    <w:p w14:paraId="38AE5FD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信噪比：45dB</w:t>
      </w:r>
    </w:p>
    <w:p w14:paraId="6809E63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镜头：2.8mm</w:t>
      </w:r>
    </w:p>
    <w:p w14:paraId="5C0A6FA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供电电压：DC5V</w:t>
      </w:r>
    </w:p>
    <w:p w14:paraId="74D7A3E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工作电流：100mA-160mA</w:t>
      </w:r>
    </w:p>
    <w:p w14:paraId="79CB4AA9">
      <w:pPr>
        <w:spacing w:line="360" w:lineRule="auto"/>
        <w:ind w:firstLine="480" w:firstLineChars="200"/>
        <w:rPr>
          <w:rFonts w:hint="eastAsia" w:ascii="仿宋" w:hAnsi="仿宋" w:eastAsia="仿宋" w:cs="仿宋"/>
          <w:b w:val="0"/>
          <w:bCs/>
          <w:color w:val="auto"/>
          <w:highlight w:val="none"/>
          <w:lang w:val="en-US" w:eastAsia="zh-CN"/>
        </w:rPr>
      </w:pPr>
      <w:r>
        <w:rPr>
          <w:rFonts w:hint="eastAsia" w:ascii="仿宋" w:hAnsi="仿宋" w:eastAsia="仿宋" w:cs="仿宋"/>
          <w:color w:val="auto"/>
          <w:sz w:val="24"/>
          <w:szCs w:val="24"/>
          <w:highlight w:val="none"/>
          <w:lang w:val="en-US" w:eastAsia="zh-CN"/>
        </w:rPr>
        <w:t>红外夜视：2颗点阵超清红外灯</w:t>
      </w:r>
    </w:p>
    <w:p w14:paraId="4FC50B3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（3）一垃圾分类亭：场地位置由采购人指定并提供。</w:t>
      </w:r>
    </w:p>
    <w:p w14:paraId="1B84C42A">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▲垃圾分类亭要求设置固定遮雨棚（因非乙方原因无法设置固定遮雨棚的，报采购人备案同意后可按照现有点位的标准设置），可摆放4分类垃圾桶</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智能电子秤</w:t>
      </w:r>
      <w:r>
        <w:rPr>
          <w:rFonts w:hint="eastAsia" w:ascii="仿宋" w:hAnsi="仿宋" w:eastAsia="仿宋" w:cs="仿宋"/>
          <w:b/>
          <w:bCs/>
          <w:color w:val="auto"/>
          <w:sz w:val="24"/>
          <w:szCs w:val="24"/>
          <w:highlight w:val="none"/>
          <w:lang w:val="en-US" w:eastAsia="zh-CN"/>
        </w:rPr>
        <w:t>和无感投放地磅秤</w:t>
      </w:r>
      <w:r>
        <w:rPr>
          <w:rFonts w:hint="eastAsia" w:ascii="仿宋" w:hAnsi="仿宋" w:eastAsia="仿宋" w:cs="仿宋"/>
          <w:b/>
          <w:bCs/>
          <w:color w:val="auto"/>
          <w:sz w:val="24"/>
          <w:szCs w:val="24"/>
          <w:highlight w:val="none"/>
        </w:rPr>
        <w:t>，设有垃圾分类宣传。如设置固定遮雨棚，服务单位按以下要求提供，所需费用计入投标报价，要求如下：</w:t>
      </w:r>
    </w:p>
    <w:p w14:paraId="7D9A93ED">
      <w:pPr>
        <w:spacing w:line="360" w:lineRule="auto"/>
        <w:ind w:firstLine="482" w:firstLineChars="20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①要求落地净深2米*宽3.5米*高2.2米，挑檐0.6米，三面围挡及宣传栏落地，顶部留20cm-35cm风道</w:t>
      </w:r>
      <w:r>
        <w:rPr>
          <w:rFonts w:hint="eastAsia" w:ascii="仿宋" w:hAnsi="仿宋" w:eastAsia="仿宋" w:cs="仿宋"/>
          <w:b/>
          <w:bCs/>
          <w:color w:val="auto"/>
          <w:sz w:val="24"/>
          <w:szCs w:val="24"/>
          <w:highlight w:val="none"/>
          <w:lang w:eastAsia="zh-CN"/>
        </w:rPr>
        <w:t>；</w:t>
      </w:r>
    </w:p>
    <w:p w14:paraId="27CAA9B2">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②地面须硬化处理，并做好雨（污）水纳管、通电通水，做好日常维护；</w:t>
      </w:r>
    </w:p>
    <w:p w14:paraId="799CE7E9">
      <w:pPr>
        <w:spacing w:line="360" w:lineRule="auto"/>
        <w:ind w:firstLine="482" w:firstLineChars="20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③设有</w:t>
      </w:r>
      <w:bookmarkStart w:id="30" w:name="_Hlk117759354"/>
      <w:r>
        <w:rPr>
          <w:rFonts w:hint="eastAsia" w:ascii="仿宋" w:hAnsi="仿宋" w:eastAsia="仿宋" w:cs="仿宋"/>
          <w:b/>
          <w:bCs/>
          <w:color w:val="auto"/>
          <w:sz w:val="24"/>
          <w:szCs w:val="24"/>
          <w:highlight w:val="none"/>
        </w:rPr>
        <w:t>智能电子秤防盗防潮柜</w:t>
      </w:r>
      <w:bookmarkEnd w:id="30"/>
      <w:r>
        <w:rPr>
          <w:rFonts w:hint="eastAsia" w:ascii="仿宋" w:hAnsi="仿宋" w:eastAsia="仿宋" w:cs="仿宋"/>
          <w:b/>
          <w:bCs/>
          <w:color w:val="auto"/>
          <w:sz w:val="24"/>
          <w:szCs w:val="24"/>
          <w:highlight w:val="none"/>
        </w:rPr>
        <w:t>和卫生工具储存柜；柜子参数：不锈钢制，大小适宜，秤可存入智能电子秤防盗防潮柜，也可放在柜上正常使用</w:t>
      </w:r>
      <w:r>
        <w:rPr>
          <w:rFonts w:hint="eastAsia" w:ascii="仿宋" w:hAnsi="仿宋" w:eastAsia="仿宋" w:cs="仿宋"/>
          <w:b/>
          <w:bCs/>
          <w:color w:val="auto"/>
          <w:sz w:val="24"/>
          <w:szCs w:val="24"/>
          <w:highlight w:val="none"/>
          <w:lang w:eastAsia="zh-CN"/>
        </w:rPr>
        <w:t>；</w:t>
      </w:r>
    </w:p>
    <w:p w14:paraId="04AD983C">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④遮雨棚视觉设计与小区风格保持一致。</w:t>
      </w:r>
    </w:p>
    <w:p w14:paraId="3EDEC42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（4）一套垃圾桶：每个投放点配置3只240升其他垃圾桶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不得同时摆放大量灰桶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，1只120升易腐垃圾桶和1只120升有害垃圾桶，可回收物可使用1立方的框体。个别小区垃圾量大的，需适当增加，合同价不予调整；如有损坏或丢失的，需及时更换或补充。</w:t>
      </w:r>
    </w:p>
    <w:p w14:paraId="4F22CD00">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3.定时定点投放积分与兑换要求</w:t>
      </w:r>
    </w:p>
    <w:p w14:paraId="6C2E099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3.1积分规则：</w:t>
      </w:r>
      <w:r>
        <w:rPr>
          <w:rFonts w:hint="eastAsia" w:ascii="仿宋" w:hAnsi="仿宋" w:eastAsia="仿宋" w:cs="仿宋"/>
          <w:color w:val="auto"/>
          <w:sz w:val="24"/>
          <w:szCs w:val="24"/>
          <w:highlight w:val="none"/>
          <w:lang w:val="en-US" w:eastAsia="zh-CN"/>
        </w:rPr>
        <w:t>积分统一接入北干街道生活垃圾监管平台，即“北干慧分类”小程序；积分使用需接入“北干街坊汇”小程序（接入时间以采购人通知为准）。</w:t>
      </w:r>
    </w:p>
    <w:p w14:paraId="3554E63F">
      <w:pPr>
        <w:numPr>
          <w:ilvl w:val="0"/>
          <w:numId w:val="0"/>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（1）</w:t>
      </w:r>
      <w:r>
        <w:rPr>
          <w:rFonts w:hint="eastAsia" w:ascii="仿宋" w:hAnsi="仿宋" w:eastAsia="仿宋" w:cs="仿宋"/>
          <w:color w:val="auto"/>
          <w:sz w:val="24"/>
          <w:szCs w:val="24"/>
          <w:highlight w:val="none"/>
        </w:rPr>
        <w:t>再生资源积分：投放再生资源按照不低于市场价格（参照3家商务局认可的废品回收站价格，价格经采购人认可后进行系统设置，北干街道生活垃圾监管平台由采购人统一设置）进行积分，即每投放价值0.1元的再生资源可积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,100积分=1元</w:t>
      </w:r>
      <w:r>
        <w:rPr>
          <w:rFonts w:hint="eastAsia" w:ascii="仿宋" w:hAnsi="仿宋" w:eastAsia="仿宋" w:cs="仿宋"/>
          <w:color w:val="auto"/>
          <w:sz w:val="24"/>
          <w:szCs w:val="24"/>
          <w:highlight w:val="none"/>
        </w:rPr>
        <w:t>；</w:t>
      </w:r>
    </w:p>
    <w:p w14:paraId="19C7CA5A">
      <w:pPr>
        <w:numPr>
          <w:ilvl w:val="0"/>
          <w:numId w:val="0"/>
        </w:num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SA"/>
        </w:rPr>
        <w:t>（2）</w:t>
      </w:r>
      <w:r>
        <w:rPr>
          <w:rFonts w:hint="eastAsia" w:ascii="仿宋" w:hAnsi="仿宋" w:eastAsia="仿宋" w:cs="仿宋"/>
          <w:color w:val="auto"/>
          <w:sz w:val="24"/>
          <w:szCs w:val="24"/>
          <w:highlight w:val="none"/>
        </w:rPr>
        <w:t>生活垃圾积分：定时投放生活垃圾每户每日累计最多积1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分，居民按0.</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1元/积分予以兑换奖品。</w:t>
      </w:r>
      <w:r>
        <w:rPr>
          <w:rFonts w:hint="eastAsia" w:ascii="仿宋" w:hAnsi="仿宋" w:eastAsia="仿宋" w:cs="仿宋"/>
          <w:color w:val="auto"/>
          <w:sz w:val="24"/>
          <w:szCs w:val="24"/>
          <w:highlight w:val="yellow"/>
          <w:lang w:val="en-US" w:eastAsia="zh-CN"/>
        </w:rPr>
        <w:t>生活垃圾积分奖品费用不包含在本次招标价格中。</w:t>
      </w:r>
    </w:p>
    <w:p w14:paraId="6170AC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3.2兑换要求：积分兑换</w:t>
      </w:r>
      <w:r>
        <w:rPr>
          <w:rFonts w:hint="eastAsia" w:ascii="仿宋" w:hAnsi="仿宋" w:eastAsia="仿宋" w:cs="仿宋"/>
          <w:color w:val="auto"/>
          <w:sz w:val="24"/>
          <w:szCs w:val="24"/>
          <w:highlight w:val="none"/>
          <w:lang w:val="en-US" w:eastAsia="zh-CN"/>
        </w:rPr>
        <w:t>需可在“北干慧分类”</w:t>
      </w:r>
      <w:r>
        <w:rPr>
          <w:rFonts w:hint="eastAsia" w:ascii="仿宋" w:hAnsi="仿宋" w:eastAsia="仿宋" w:cs="仿宋"/>
          <w:color w:val="auto"/>
          <w:sz w:val="24"/>
          <w:szCs w:val="24"/>
          <w:highlight w:val="none"/>
        </w:rPr>
        <w:t>积分</w:t>
      </w:r>
      <w:r>
        <w:rPr>
          <w:rFonts w:hint="eastAsia" w:ascii="仿宋" w:hAnsi="仿宋" w:eastAsia="仿宋" w:cs="仿宋"/>
          <w:color w:val="auto"/>
          <w:sz w:val="24"/>
          <w:szCs w:val="24"/>
          <w:highlight w:val="none"/>
          <w:lang w:val="en-US" w:eastAsia="zh-CN"/>
        </w:rPr>
        <w:t>商城或“北干街坊汇”小程序</w:t>
      </w:r>
      <w:r>
        <w:rPr>
          <w:rFonts w:hint="eastAsia" w:ascii="仿宋" w:hAnsi="仿宋" w:eastAsia="仿宋" w:cs="仿宋"/>
          <w:color w:val="auto"/>
          <w:sz w:val="24"/>
          <w:szCs w:val="24"/>
          <w:highlight w:val="none"/>
        </w:rPr>
        <w:t>进行兑换</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也可由服务单位提供线下、线上兑换</w:t>
      </w:r>
      <w:r>
        <w:rPr>
          <w:rFonts w:hint="eastAsia" w:ascii="仿宋" w:hAnsi="仿宋" w:eastAsia="仿宋" w:cs="仿宋"/>
          <w:color w:val="auto"/>
          <w:sz w:val="24"/>
          <w:szCs w:val="24"/>
          <w:highlight w:val="none"/>
        </w:rPr>
        <w:t>。</w:t>
      </w:r>
    </w:p>
    <w:p w14:paraId="43B66CF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每整十数积分分别可兑换不同档次的奖品，同时每一个档次应有多款兑换奖品可选；投标单位需在投标文件中提供奖品兑换方案，最终奖品及对应积分额应报采购人确认。</w:t>
      </w:r>
    </w:p>
    <w:p w14:paraId="3D6A89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兑换方式一：</w:t>
      </w:r>
      <w:r>
        <w:rPr>
          <w:rFonts w:hint="eastAsia" w:ascii="仿宋" w:hAnsi="仿宋" w:eastAsia="仿宋" w:cs="仿宋"/>
          <w:color w:val="auto"/>
          <w:sz w:val="24"/>
          <w:szCs w:val="24"/>
          <w:highlight w:val="none"/>
          <w:lang w:val="en-US" w:eastAsia="zh-CN"/>
        </w:rPr>
        <w:t>通过“北干慧分类”积分商城进行兑换，每个社区至少设置2处线下提货点（同时为老年人提供线下兑换），以及1处本地合作商超。</w:t>
      </w:r>
    </w:p>
    <w:p w14:paraId="7BEDF008">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兑换方式二：积分兑换机进行24小时兑换，未设置积分兑换机的小区每个月至少选择一个节假日开展一次集中积分兑换</w:t>
      </w:r>
      <w:r>
        <w:rPr>
          <w:rFonts w:hint="eastAsia" w:ascii="仿宋" w:hAnsi="仿宋" w:eastAsia="仿宋" w:cs="仿宋"/>
          <w:color w:val="auto"/>
          <w:sz w:val="24"/>
          <w:szCs w:val="24"/>
          <w:highlight w:val="none"/>
          <w:lang w:eastAsia="zh-CN"/>
        </w:rPr>
        <w:t>。</w:t>
      </w:r>
    </w:p>
    <w:p w14:paraId="533494D7">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兑换方式三：通过“北干街坊汇”小程序进行兑换。经此程序兑换涉及的</w:t>
      </w:r>
      <w:r>
        <w:rPr>
          <w:rFonts w:hint="eastAsia" w:ascii="仿宋" w:hAnsi="仿宋" w:eastAsia="仿宋" w:cs="仿宋"/>
          <w:color w:val="auto"/>
          <w:sz w:val="24"/>
          <w:szCs w:val="24"/>
          <w:highlight w:val="yellow"/>
          <w:lang w:val="en-US" w:eastAsia="zh-CN"/>
        </w:rPr>
        <w:t>再生资源</w:t>
      </w:r>
      <w:r>
        <w:rPr>
          <w:rFonts w:hint="eastAsia" w:ascii="仿宋" w:hAnsi="仿宋" w:eastAsia="仿宋" w:cs="仿宋"/>
          <w:color w:val="auto"/>
          <w:sz w:val="24"/>
          <w:szCs w:val="24"/>
          <w:highlight w:val="none"/>
          <w:lang w:val="en-US" w:eastAsia="zh-CN"/>
        </w:rPr>
        <w:t>积分需换算费用后，由中标人支付给第三方运营商。</w:t>
      </w:r>
    </w:p>
    <w:p w14:paraId="5F69EF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兑换指标要求：要求供应商积</w:t>
      </w:r>
      <w:bookmarkStart w:id="31" w:name="_Hlk118125981"/>
      <w:r>
        <w:rPr>
          <w:rFonts w:hint="eastAsia" w:ascii="仿宋" w:hAnsi="仿宋" w:eastAsia="仿宋" w:cs="仿宋"/>
          <w:color w:val="auto"/>
          <w:sz w:val="24"/>
          <w:szCs w:val="24"/>
          <w:highlight w:val="none"/>
        </w:rPr>
        <w:t>极宣传、促进居民主动投放垃圾积分并及时兑换</w:t>
      </w:r>
      <w:bookmarkEnd w:id="31"/>
      <w:r>
        <w:rPr>
          <w:rFonts w:hint="eastAsia" w:ascii="仿宋" w:hAnsi="仿宋" w:eastAsia="仿宋" w:cs="仿宋"/>
          <w:color w:val="auto"/>
          <w:sz w:val="24"/>
          <w:szCs w:val="24"/>
          <w:highlight w:val="none"/>
        </w:rPr>
        <w:t>，居民</w:t>
      </w:r>
      <w:r>
        <w:rPr>
          <w:rFonts w:hint="eastAsia" w:ascii="仿宋" w:hAnsi="仿宋" w:eastAsia="仿宋" w:cs="仿宋"/>
          <w:color w:val="auto"/>
          <w:sz w:val="24"/>
          <w:szCs w:val="24"/>
          <w:highlight w:val="none"/>
          <w:lang w:val="en-US" w:eastAsia="zh-CN"/>
        </w:rPr>
        <w:t>兑换</w:t>
      </w:r>
      <w:r>
        <w:rPr>
          <w:rFonts w:hint="eastAsia" w:ascii="仿宋" w:hAnsi="仿宋" w:eastAsia="仿宋" w:cs="仿宋"/>
          <w:color w:val="auto"/>
          <w:sz w:val="24"/>
          <w:szCs w:val="24"/>
          <w:highlight w:val="none"/>
        </w:rPr>
        <w:t>率不低于90%，未达标的，考核中相应扣分。服务期结束时，居民账户中所有未兑换的积分（包括再生资源积分和生活垃圾积分）由社区一次性兑换成奖品（由社区发放）。</w:t>
      </w:r>
    </w:p>
    <w:p w14:paraId="3851C20C">
      <w:pPr>
        <w:spacing w:line="360" w:lineRule="auto"/>
        <w:ind w:firstLine="480" w:firstLineChars="200"/>
        <w:rPr>
          <w:rFonts w:hint="eastAsia" w:ascii="仿宋" w:hAnsi="仿宋" w:eastAsia="仿宋" w:cs="仿宋"/>
          <w:b/>
          <w:bCs/>
          <w:snapToGrid w:val="0"/>
          <w:color w:val="auto"/>
          <w:kern w:val="0"/>
          <w:sz w:val="24"/>
          <w:szCs w:val="24"/>
          <w:highlight w:val="yellow"/>
        </w:rPr>
      </w:pPr>
      <w:r>
        <w:rPr>
          <w:rFonts w:hint="eastAsia" w:ascii="仿宋" w:hAnsi="仿宋" w:eastAsia="仿宋" w:cs="仿宋"/>
          <w:color w:val="auto"/>
          <w:sz w:val="24"/>
          <w:szCs w:val="24"/>
          <w:highlight w:val="yellow"/>
          <w:lang w:val="en-US" w:eastAsia="zh-CN"/>
        </w:rPr>
        <w:t>3.3</w:t>
      </w:r>
      <w:r>
        <w:rPr>
          <w:rFonts w:hint="eastAsia" w:ascii="仿宋" w:hAnsi="仿宋" w:eastAsia="仿宋" w:cs="仿宋"/>
          <w:color w:val="auto"/>
          <w:sz w:val="24"/>
          <w:szCs w:val="24"/>
          <w:highlight w:val="yellow"/>
        </w:rPr>
        <w:t>最终的兑换方式需经采购人确认方可实施。</w:t>
      </w:r>
    </w:p>
    <w:p w14:paraId="40CC044C">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八、误时投放点设立要求</w:t>
      </w:r>
    </w:p>
    <w:p w14:paraId="14C9C909">
      <w:pPr>
        <w:spacing w:line="360" w:lineRule="auto"/>
        <w:ind w:firstLine="482"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1.设立标准：</w:t>
      </w:r>
      <w:r>
        <w:rPr>
          <w:rFonts w:hint="eastAsia" w:ascii="仿宋" w:hAnsi="仿宋" w:eastAsia="仿宋" w:cs="仿宋"/>
          <w:snapToGrid w:val="0"/>
          <w:color w:val="auto"/>
          <w:kern w:val="0"/>
          <w:sz w:val="24"/>
          <w:szCs w:val="24"/>
          <w:highlight w:val="none"/>
        </w:rPr>
        <w:t>每一个小区</w:t>
      </w:r>
      <w:r>
        <w:rPr>
          <w:rFonts w:hint="eastAsia" w:ascii="仿宋" w:hAnsi="仿宋" w:eastAsia="仿宋" w:cs="仿宋"/>
          <w:snapToGrid w:val="0"/>
          <w:color w:val="auto"/>
          <w:kern w:val="0"/>
          <w:sz w:val="24"/>
          <w:szCs w:val="24"/>
          <w:highlight w:val="none"/>
          <w:lang w:val="en-US" w:eastAsia="zh-CN"/>
        </w:rPr>
        <w:t>可</w:t>
      </w:r>
      <w:r>
        <w:rPr>
          <w:rFonts w:hint="eastAsia" w:ascii="仿宋" w:hAnsi="仿宋" w:eastAsia="仿宋" w:cs="仿宋"/>
          <w:snapToGrid w:val="0"/>
          <w:color w:val="auto"/>
          <w:kern w:val="0"/>
          <w:sz w:val="24"/>
          <w:szCs w:val="24"/>
          <w:highlight w:val="none"/>
        </w:rPr>
        <w:t>设立一处误时投放点(具体暂以“垃圾分类人员设施配备最低要求一览表”为准，合同履约过程中采购人根据</w:t>
      </w:r>
      <w:r>
        <w:rPr>
          <w:rFonts w:hint="eastAsia" w:ascii="仿宋" w:hAnsi="仿宋" w:eastAsia="仿宋" w:cs="仿宋"/>
          <w:color w:val="auto"/>
          <w:sz w:val="24"/>
          <w:szCs w:val="24"/>
          <w:highlight w:val="none"/>
        </w:rPr>
        <w:t>场地情况、居民需求</w:t>
      </w:r>
      <w:r>
        <w:rPr>
          <w:rFonts w:hint="eastAsia" w:ascii="仿宋" w:hAnsi="仿宋" w:eastAsia="仿宋" w:cs="仿宋"/>
          <w:snapToGrid w:val="0"/>
          <w:color w:val="auto"/>
          <w:kern w:val="0"/>
          <w:sz w:val="24"/>
          <w:szCs w:val="24"/>
          <w:highlight w:val="none"/>
        </w:rPr>
        <w:t>调整误时投放点数量的，合同价不予调整)，每个点位每天运行时间不低于6小时，具体开放时间按照社区要求执行。</w:t>
      </w:r>
    </w:p>
    <w:p w14:paraId="7F6C8145">
      <w:pPr>
        <w:spacing w:line="360" w:lineRule="auto"/>
        <w:ind w:firstLine="482"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2.运行服务要求：</w:t>
      </w:r>
    </w:p>
    <w:p w14:paraId="3F2DD66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2.1小区原误时投放点</w:t>
      </w:r>
      <w:bookmarkStart w:id="32" w:name="_Hlk118185753"/>
      <w:r>
        <w:rPr>
          <w:rFonts w:hint="eastAsia" w:ascii="仿宋" w:hAnsi="仿宋" w:eastAsia="仿宋" w:cs="仿宋"/>
          <w:snapToGrid w:val="0"/>
          <w:color w:val="auto"/>
          <w:kern w:val="0"/>
          <w:sz w:val="24"/>
          <w:szCs w:val="24"/>
          <w:highlight w:val="none"/>
        </w:rPr>
        <w:t>采用智能误时投放机</w:t>
      </w:r>
      <w:bookmarkEnd w:id="32"/>
      <w:r>
        <w:rPr>
          <w:rFonts w:hint="eastAsia" w:ascii="仿宋" w:hAnsi="仿宋" w:eastAsia="仿宋" w:cs="仿宋"/>
          <w:snapToGrid w:val="0"/>
          <w:color w:val="auto"/>
          <w:kern w:val="0"/>
          <w:sz w:val="24"/>
          <w:szCs w:val="24"/>
          <w:highlight w:val="none"/>
        </w:rPr>
        <w:t>的，供应商仍应配备智能误时投放机（参数不低于本次招标要求），本次招标</w:t>
      </w:r>
      <w:r>
        <w:rPr>
          <w:rFonts w:hint="eastAsia" w:ascii="仿宋" w:hAnsi="仿宋" w:eastAsia="仿宋" w:cs="仿宋"/>
          <w:snapToGrid w:val="0"/>
          <w:color w:val="auto"/>
          <w:kern w:val="0"/>
          <w:sz w:val="24"/>
          <w:szCs w:val="24"/>
          <w:highlight w:val="none"/>
          <w:lang w:val="en-US" w:eastAsia="zh-CN"/>
        </w:rPr>
        <w:t>3</w:t>
      </w:r>
      <w:r>
        <w:rPr>
          <w:rFonts w:hint="eastAsia" w:ascii="仿宋" w:hAnsi="仿宋" w:eastAsia="仿宋" w:cs="仿宋"/>
          <w:snapToGrid w:val="0"/>
          <w:color w:val="auto"/>
          <w:kern w:val="0"/>
          <w:sz w:val="24"/>
          <w:szCs w:val="24"/>
          <w:highlight w:val="none"/>
        </w:rPr>
        <w:t>个标项原</w:t>
      </w:r>
      <w:bookmarkStart w:id="33" w:name="_Hlk118185377"/>
      <w:r>
        <w:rPr>
          <w:rFonts w:hint="eastAsia" w:ascii="仿宋" w:hAnsi="仿宋" w:eastAsia="仿宋" w:cs="仿宋"/>
          <w:snapToGrid w:val="0"/>
          <w:color w:val="auto"/>
          <w:kern w:val="0"/>
          <w:sz w:val="24"/>
          <w:szCs w:val="24"/>
          <w:highlight w:val="none"/>
        </w:rPr>
        <w:t>智能误时投放机</w:t>
      </w:r>
      <w:bookmarkEnd w:id="33"/>
      <w:r>
        <w:rPr>
          <w:rFonts w:hint="eastAsia" w:ascii="仿宋" w:hAnsi="仿宋" w:eastAsia="仿宋" w:cs="仿宋"/>
          <w:snapToGrid w:val="0"/>
          <w:color w:val="auto"/>
          <w:kern w:val="0"/>
          <w:sz w:val="24"/>
          <w:szCs w:val="24"/>
          <w:highlight w:val="none"/>
        </w:rPr>
        <w:t>设置情况详见“垃圾分类人员设施配备最低要求一览表”。</w:t>
      </w:r>
    </w:p>
    <w:p w14:paraId="4F397F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2.2小区原误时投放点未采用智能误时投放机的，以及新设立小区的误时投放点，供应商可选择采用智能误时投放机或垃圾分类亭，采用垃圾分类亭的，在运行时间内应配备分类员驻点指导分类。</w:t>
      </w:r>
    </w:p>
    <w:p w14:paraId="41E74F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配备智能误时投放机的，投放易腐垃圾和其他垃圾应实现与积分卡和积分二维码的关联使用，投放记录参与数据（拍照，可不称重）并上传至萧山区生活垃圾分类智能监管平台（城市大脑）和北干街道生活垃圾监管平台，误时投放同定时投放同样积分。</w:t>
      </w:r>
    </w:p>
    <w:p w14:paraId="2988260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智能误时投放机技术参数：</w:t>
      </w:r>
    </w:p>
    <w:p w14:paraId="0B930E8B">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智能识别居民二维码并自动开箱门；</w:t>
      </w:r>
    </w:p>
    <w:p w14:paraId="2EF3D36F">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bidi="ar-SA"/>
        </w:rPr>
        <w:t></w:t>
      </w:r>
      <w:r>
        <w:rPr>
          <w:rFonts w:hint="eastAsia" w:ascii="仿宋" w:hAnsi="仿宋" w:eastAsia="仿宋" w:cs="仿宋"/>
          <w:color w:val="auto"/>
          <w:sz w:val="24"/>
          <w:szCs w:val="24"/>
          <w:highlight w:val="none"/>
        </w:rPr>
        <w:t>面板上配备操作按键，方便信息输入；</w:t>
      </w:r>
    </w:p>
    <w:p w14:paraId="0D68779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bidi="ar-SA"/>
        </w:rPr>
        <w:t></w:t>
      </w:r>
      <w:r>
        <w:rPr>
          <w:rFonts w:hint="eastAsia" w:ascii="仿宋" w:hAnsi="仿宋" w:eastAsia="仿宋" w:cs="仿宋"/>
          <w:color w:val="auto"/>
          <w:sz w:val="24"/>
          <w:szCs w:val="24"/>
          <w:highlight w:val="none"/>
        </w:rPr>
        <w:t>智能统计每次居民投放易腐垃圾和可回收物的重量；</w:t>
      </w:r>
    </w:p>
    <w:p w14:paraId="004CA46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w:t>
      </w:r>
      <w:r>
        <w:rPr>
          <w:rFonts w:hint="eastAsia" w:ascii="仿宋" w:hAnsi="仿宋" w:eastAsia="仿宋" w:cs="仿宋"/>
          <w:b w:val="0"/>
          <w:bCs w:val="0"/>
          <w:color w:val="auto"/>
          <w:sz w:val="24"/>
          <w:szCs w:val="24"/>
          <w:highlight w:val="none"/>
        </w:rPr>
        <w:t>数据实时上传萧山区生活垃圾分类智能智能监管平台、至云管理平台。</w:t>
      </w:r>
    </w:p>
    <w:p w14:paraId="446FA06E">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w:t>
      </w:r>
      <w:r>
        <w:rPr>
          <w:rFonts w:hint="eastAsia" w:ascii="仿宋" w:hAnsi="仿宋" w:eastAsia="仿宋" w:cs="仿宋"/>
          <w:bCs/>
          <w:color w:val="auto"/>
          <w:sz w:val="24"/>
          <w:szCs w:val="24"/>
          <w:highlight w:val="none"/>
        </w:rPr>
        <w:t>智能误时投放点设备主要技术指标及配置</w:t>
      </w:r>
      <w:r>
        <w:rPr>
          <w:rFonts w:hint="eastAsia" w:ascii="仿宋" w:hAnsi="仿宋" w:eastAsia="仿宋" w:cs="仿宋"/>
          <w:color w:val="auto"/>
          <w:sz w:val="24"/>
          <w:szCs w:val="24"/>
          <w:highlight w:val="none"/>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4"/>
        <w:gridCol w:w="6279"/>
      </w:tblGrid>
      <w:tr w14:paraId="21148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54BDB1B">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部件</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2462B6B2">
            <w:pPr>
              <w:spacing w:line="24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技术参数和规格</w:t>
            </w:r>
          </w:p>
        </w:tc>
      </w:tr>
      <w:tr w14:paraId="3697F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C2AA4C9">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规格</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2D892B2B">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四分类箱体，分别为易腐垃圾、其他垃圾、可回收物和有害垃圾，可装240L的绿灰蓝红垃圾桶</w:t>
            </w:r>
          </w:p>
        </w:tc>
      </w:tr>
      <w:tr w14:paraId="7282F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5B2526E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用材</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7F99D8C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1.5mm钢板</w:t>
            </w:r>
          </w:p>
        </w:tc>
      </w:tr>
      <w:tr w14:paraId="2BB69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05923B1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显示器</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22F0C5F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由投标单位自行考虑尺寸，品牌</w:t>
            </w:r>
          </w:p>
        </w:tc>
      </w:tr>
    </w:tbl>
    <w:p w14:paraId="23C221BA">
      <w:pPr>
        <w:spacing w:line="360" w:lineRule="auto"/>
        <w:ind w:firstLine="480" w:firstLineChars="200"/>
        <w:outlineLvl w:val="0"/>
        <w:rPr>
          <w:rFonts w:hint="default"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2.4垃圾桶接驳车辆要求：因垃圾桶需经市政道路运送至集置点原因产生接驳需求的，要求投标人使用的接驳车辆符合相关上路要求，车辆驾驶员持有相应准驾车型的驾驶证；建议使用新能源车辆。</w:t>
      </w:r>
    </w:p>
    <w:p w14:paraId="437D80FF">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九、再生资源回收网点设置要求</w:t>
      </w:r>
    </w:p>
    <w:p w14:paraId="68F50281">
      <w:pPr>
        <w:spacing w:line="360" w:lineRule="auto"/>
        <w:ind w:firstLine="482" w:firstLineChars="200"/>
        <w:outlineLvl w:val="1"/>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1.设立标准：</w:t>
      </w:r>
      <w:r>
        <w:rPr>
          <w:rFonts w:hint="eastAsia" w:ascii="仿宋" w:hAnsi="仿宋" w:eastAsia="仿宋" w:cs="仿宋"/>
          <w:color w:val="auto"/>
          <w:sz w:val="24"/>
          <w:szCs w:val="24"/>
          <w:highlight w:val="none"/>
        </w:rPr>
        <w:t>每个社区需至少设置一处再生资源回收网点(具体暂以“垃圾分类人员设施配备最低要求一览表”为准，合同履约过程中采购人根据场地情况、居民需求调整数量的，合同价不予调整)，并负责运行。</w:t>
      </w:r>
    </w:p>
    <w:p w14:paraId="19590B9E">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2.再生资源回收网点设置要求</w:t>
      </w:r>
    </w:p>
    <w:p w14:paraId="01610D67">
      <w:pPr>
        <w:pStyle w:val="965"/>
        <w:keepNext w:val="0"/>
        <w:keepLines w:val="0"/>
        <w:pageBreakBefore w:val="0"/>
        <w:widowControl/>
        <w:kinsoku/>
        <w:wordWrap/>
        <w:overflowPunct/>
        <w:topLinePunct w:val="0"/>
        <w:bidi w:val="0"/>
        <w:adjustRightInd w:val="0"/>
        <w:snapToGrid/>
        <w:spacing w:line="50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原有已设再生资源回收网点，需按要求继续运营；</w:t>
      </w:r>
      <w:r>
        <w:rPr>
          <w:rFonts w:hint="eastAsia" w:ascii="仿宋" w:hAnsi="仿宋" w:eastAsia="仿宋" w:cs="仿宋"/>
          <w:color w:val="auto"/>
          <w:sz w:val="24"/>
          <w:szCs w:val="24"/>
          <w:highlight w:val="none"/>
          <w:lang w:val="en-US" w:eastAsia="zh-CN"/>
        </w:rPr>
        <w:t>如小区需新设置再生资源网点的</w:t>
      </w:r>
      <w:r>
        <w:rPr>
          <w:rFonts w:hint="eastAsia" w:ascii="仿宋" w:hAnsi="仿宋" w:eastAsia="仿宋" w:cs="仿宋"/>
          <w:color w:val="auto"/>
          <w:sz w:val="24"/>
          <w:szCs w:val="24"/>
          <w:highlight w:val="none"/>
          <w:lang w:val="en-US"/>
        </w:rPr>
        <w:t>，需</w:t>
      </w:r>
      <w:r>
        <w:rPr>
          <w:rFonts w:hint="eastAsia" w:ascii="仿宋" w:hAnsi="仿宋" w:eastAsia="仿宋" w:cs="仿宋"/>
          <w:color w:val="auto"/>
          <w:sz w:val="24"/>
          <w:szCs w:val="24"/>
          <w:highlight w:val="none"/>
          <w:lang w:val="en-US" w:eastAsia="zh-CN"/>
        </w:rPr>
        <w:t>按市、区最新要求增设</w:t>
      </w:r>
      <w:r>
        <w:rPr>
          <w:rFonts w:hint="eastAsia" w:ascii="仿宋" w:hAnsi="仿宋" w:eastAsia="仿宋" w:cs="仿宋"/>
          <w:color w:val="auto"/>
          <w:sz w:val="24"/>
          <w:szCs w:val="24"/>
          <w:highlight w:val="none"/>
          <w:lang w:val="en-US"/>
        </w:rPr>
        <w:t>，其他视情况增设，运行时间符合萧山区生活垃圾分类办公室最新要求；可回收物回量需接入数据平台，可以采用积分兑换的形式，也可以现金结算；再生资源回收网点需由中标人自行设置或由中标人委托合作单位进行设置，且必须将数据接入</w:t>
      </w:r>
      <w:r>
        <w:rPr>
          <w:rFonts w:hint="eastAsia" w:ascii="仿宋" w:hAnsi="仿宋" w:eastAsia="仿宋" w:cs="仿宋"/>
          <w:color w:val="auto"/>
          <w:sz w:val="24"/>
          <w:szCs w:val="24"/>
          <w:highlight w:val="none"/>
          <w:lang w:val="en-US" w:eastAsia="zh-CN"/>
        </w:rPr>
        <w:t>街道、</w:t>
      </w:r>
      <w:r>
        <w:rPr>
          <w:rFonts w:hint="eastAsia" w:ascii="仿宋" w:hAnsi="仿宋" w:eastAsia="仿宋" w:cs="仿宋"/>
          <w:color w:val="auto"/>
          <w:sz w:val="24"/>
          <w:szCs w:val="24"/>
          <w:highlight w:val="none"/>
          <w:lang w:val="en-US"/>
        </w:rPr>
        <w:t>区数据平台。</w:t>
      </w:r>
    </w:p>
    <w:p w14:paraId="3B337482">
      <w:pPr>
        <w:pStyle w:val="23"/>
        <w:keepNext w:val="0"/>
        <w:keepLines w:val="0"/>
        <w:pageBreakBefore w:val="0"/>
        <w:widowControl/>
        <w:kinsoku/>
        <w:wordWrap/>
        <w:overflowPunct/>
        <w:topLinePunct w:val="0"/>
        <w:bidi w:val="0"/>
        <w:adjustRightInd w:val="0"/>
        <w:snapToGrid/>
        <w:spacing w:line="500" w:lineRule="exact"/>
        <w:ind w:firstLine="480" w:firstLineChars="200"/>
        <w:textAlignment w:val="auto"/>
        <w:rPr>
          <w:rFonts w:hint="eastAsia" w:ascii="仿宋" w:hAnsi="仿宋" w:eastAsia="仿宋" w:cs="仿宋"/>
          <w:color w:val="auto"/>
          <w:kern w:val="0"/>
          <w:sz w:val="24"/>
          <w:szCs w:val="24"/>
          <w:highlight w:val="none"/>
          <w:lang w:val="en-US"/>
        </w:rPr>
      </w:pPr>
      <w:r>
        <w:rPr>
          <w:rFonts w:hint="eastAsia" w:ascii="仿宋" w:hAnsi="仿宋" w:eastAsia="仿宋" w:cs="仿宋"/>
          <w:color w:val="auto"/>
          <w:kern w:val="0"/>
          <w:sz w:val="24"/>
          <w:szCs w:val="24"/>
          <w:highlight w:val="none"/>
          <w:lang w:val="en-US"/>
        </w:rPr>
        <w:t>相关要求：</w:t>
      </w:r>
    </w:p>
    <w:p w14:paraId="689EE58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①再生资源回收网点由中标人或中标人委托合作单位落实建设，建设完成后由中标人负责或监督运行管理，相关盈亏及补贴均归中标人或其合作单位。</w:t>
      </w:r>
    </w:p>
    <w:p w14:paraId="30DA6052">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
          <w:bCs w:val="0"/>
          <w:color w:val="auto"/>
          <w:sz w:val="24"/>
          <w:szCs w:val="24"/>
          <w:highlight w:val="none"/>
          <w:u w:val="none"/>
          <w:lang w:val="en-US" w:eastAsia="zh-CN" w:bidi="ar-SA"/>
        </w:rPr>
      </w:pPr>
      <w:r>
        <w:rPr>
          <w:rFonts w:hint="eastAsia" w:ascii="仿宋" w:hAnsi="仿宋" w:eastAsia="仿宋" w:cs="仿宋"/>
          <w:b/>
          <w:bCs w:val="0"/>
          <w:color w:val="auto"/>
          <w:sz w:val="24"/>
          <w:szCs w:val="24"/>
          <w:highlight w:val="none"/>
          <w:u w:val="none"/>
          <w:lang w:val="en-US" w:eastAsia="zh-Hans" w:bidi="ar-SA"/>
        </w:rPr>
        <w:t>▲②前期已经设置再生资源回收网点产权系原服务单位或其合作单位所有，投标人须提供承诺书，承诺</w:t>
      </w:r>
      <w:r>
        <w:rPr>
          <w:rFonts w:hint="eastAsia" w:ascii="仿宋" w:hAnsi="仿宋" w:eastAsia="仿宋" w:cs="仿宋"/>
          <w:b/>
          <w:bCs w:val="0"/>
          <w:color w:val="auto"/>
          <w:sz w:val="24"/>
          <w:szCs w:val="24"/>
          <w:highlight w:val="none"/>
          <w:u w:val="none"/>
          <w:lang w:val="en-US" w:eastAsia="zh-CN" w:bidi="ar-SA"/>
        </w:rPr>
        <w:t>在过渡期（本项目过渡期为中标通知书发出之日起10天内）</w:t>
      </w:r>
      <w:r>
        <w:rPr>
          <w:rFonts w:hint="eastAsia" w:ascii="仿宋" w:hAnsi="仿宋" w:eastAsia="仿宋" w:cs="仿宋"/>
          <w:b/>
          <w:bCs w:val="0"/>
          <w:color w:val="auto"/>
          <w:sz w:val="24"/>
          <w:szCs w:val="24"/>
          <w:highlight w:val="none"/>
          <w:u w:val="none"/>
          <w:lang w:val="en-US" w:eastAsia="zh-Hans" w:bidi="ar-SA"/>
        </w:rPr>
        <w:t>内，</w:t>
      </w:r>
      <w:r>
        <w:rPr>
          <w:rFonts w:hint="eastAsia" w:ascii="仿宋" w:hAnsi="仿宋" w:eastAsia="仿宋" w:cs="仿宋"/>
          <w:b/>
          <w:bCs w:val="0"/>
          <w:color w:val="auto"/>
          <w:sz w:val="24"/>
          <w:szCs w:val="24"/>
          <w:highlight w:val="none"/>
          <w:lang w:val="en-US"/>
        </w:rPr>
        <w:t>中标人需根据采购人</w:t>
      </w:r>
      <w:r>
        <w:rPr>
          <w:rFonts w:hint="eastAsia" w:ascii="仿宋" w:hAnsi="仿宋" w:eastAsia="仿宋" w:cs="仿宋"/>
          <w:b/>
          <w:bCs w:val="0"/>
          <w:color w:val="auto"/>
          <w:sz w:val="24"/>
          <w:szCs w:val="24"/>
          <w:highlight w:val="none"/>
          <w:lang w:val="en-US" w:eastAsia="zh-CN"/>
        </w:rPr>
        <w:t>和社区</w:t>
      </w:r>
      <w:r>
        <w:rPr>
          <w:rFonts w:hint="eastAsia" w:ascii="仿宋" w:hAnsi="仿宋" w:eastAsia="仿宋" w:cs="仿宋"/>
          <w:b/>
          <w:bCs w:val="0"/>
          <w:color w:val="auto"/>
          <w:sz w:val="24"/>
          <w:szCs w:val="24"/>
          <w:highlight w:val="none"/>
          <w:lang w:val="en-US" w:eastAsia="zh-Hans"/>
        </w:rPr>
        <w:t>要求</w:t>
      </w:r>
      <w:r>
        <w:rPr>
          <w:rFonts w:hint="eastAsia" w:ascii="仿宋" w:hAnsi="仿宋" w:eastAsia="仿宋" w:cs="仿宋"/>
          <w:b/>
          <w:bCs w:val="0"/>
          <w:color w:val="auto"/>
          <w:sz w:val="24"/>
          <w:szCs w:val="24"/>
          <w:highlight w:val="none"/>
          <w:lang w:val="en-US" w:eastAsia="zh-CN"/>
        </w:rPr>
        <w:t>完成</w:t>
      </w:r>
      <w:r>
        <w:rPr>
          <w:rFonts w:hint="eastAsia" w:ascii="仿宋" w:hAnsi="仿宋" w:eastAsia="仿宋" w:cs="仿宋"/>
          <w:b/>
          <w:bCs w:val="0"/>
          <w:color w:val="auto"/>
          <w:sz w:val="24"/>
          <w:szCs w:val="24"/>
          <w:highlight w:val="none"/>
          <w:lang w:val="en-US" w:eastAsia="zh-Hans"/>
        </w:rPr>
        <w:t>再生资源网点</w:t>
      </w:r>
      <w:r>
        <w:rPr>
          <w:rFonts w:hint="eastAsia" w:ascii="仿宋" w:hAnsi="仿宋" w:eastAsia="仿宋" w:cs="仿宋"/>
          <w:b/>
          <w:bCs w:val="0"/>
          <w:color w:val="auto"/>
          <w:sz w:val="24"/>
          <w:szCs w:val="24"/>
          <w:highlight w:val="none"/>
          <w:lang w:val="en-US" w:eastAsia="zh-CN"/>
        </w:rPr>
        <w:t>的提升</w:t>
      </w:r>
      <w:r>
        <w:rPr>
          <w:rFonts w:hint="eastAsia" w:ascii="仿宋" w:hAnsi="仿宋" w:eastAsia="仿宋" w:cs="仿宋"/>
          <w:b/>
          <w:bCs w:val="0"/>
          <w:color w:val="auto"/>
          <w:sz w:val="24"/>
          <w:szCs w:val="24"/>
          <w:highlight w:val="none"/>
          <w:lang w:val="en-US"/>
        </w:rPr>
        <w:t>，该费用包含在投标总价中，若无法按时</w:t>
      </w:r>
      <w:r>
        <w:rPr>
          <w:rFonts w:hint="eastAsia" w:ascii="仿宋" w:hAnsi="仿宋" w:eastAsia="仿宋" w:cs="仿宋"/>
          <w:b/>
          <w:bCs w:val="0"/>
          <w:color w:val="auto"/>
          <w:sz w:val="24"/>
          <w:szCs w:val="24"/>
          <w:highlight w:val="none"/>
          <w:lang w:val="en-US" w:eastAsia="zh-CN"/>
        </w:rPr>
        <w:t>提升完成的</w:t>
      </w:r>
      <w:r>
        <w:rPr>
          <w:rFonts w:hint="eastAsia" w:ascii="仿宋" w:hAnsi="仿宋" w:eastAsia="仿宋" w:cs="仿宋"/>
          <w:b/>
          <w:bCs w:val="0"/>
          <w:color w:val="auto"/>
          <w:sz w:val="24"/>
          <w:szCs w:val="24"/>
          <w:highlight w:val="none"/>
          <w:lang w:val="en-US" w:eastAsia="zh-Hans"/>
        </w:rPr>
        <w:t>，则视为主动放弃中标。</w:t>
      </w:r>
    </w:p>
    <w:p w14:paraId="15308930">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相关要求</w:t>
      </w:r>
    </w:p>
    <w:p w14:paraId="06B3249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A.和</w:t>
      </w:r>
      <w:r>
        <w:rPr>
          <w:rFonts w:hint="eastAsia" w:ascii="仿宋" w:hAnsi="仿宋" w:eastAsia="仿宋" w:cs="仿宋"/>
          <w:bCs/>
          <w:color w:val="auto"/>
          <w:sz w:val="24"/>
          <w:szCs w:val="24"/>
          <w:highlight w:val="none"/>
          <w:u w:val="none"/>
          <w:lang w:val="en-US" w:eastAsia="zh-CN" w:bidi="ar-SA"/>
        </w:rPr>
        <w:t>投标单位</w:t>
      </w:r>
      <w:r>
        <w:rPr>
          <w:rFonts w:hint="eastAsia" w:ascii="仿宋" w:hAnsi="仿宋" w:eastAsia="仿宋" w:cs="仿宋"/>
          <w:bCs/>
          <w:color w:val="auto"/>
          <w:sz w:val="24"/>
          <w:szCs w:val="24"/>
          <w:highlight w:val="none"/>
          <w:u w:val="none"/>
          <w:lang w:val="en-US" w:eastAsia="zh-Hans" w:bidi="ar-SA"/>
        </w:rPr>
        <w:t>签订劳动合同并缴纳社保的</w:t>
      </w:r>
      <w:r>
        <w:rPr>
          <w:rFonts w:hint="eastAsia" w:ascii="仿宋" w:hAnsi="仿宋" w:eastAsia="仿宋" w:cs="仿宋"/>
          <w:bCs/>
          <w:color w:val="auto"/>
          <w:sz w:val="24"/>
          <w:szCs w:val="24"/>
          <w:highlight w:val="none"/>
          <w:u w:val="none"/>
          <w:lang w:val="en-US" w:eastAsia="zh-CN" w:bidi="ar-SA"/>
        </w:rPr>
        <w:t>正式全职员工</w:t>
      </w:r>
      <w:r>
        <w:rPr>
          <w:rFonts w:hint="eastAsia" w:ascii="仿宋" w:hAnsi="仿宋" w:eastAsia="仿宋" w:cs="仿宋"/>
          <w:bCs/>
          <w:color w:val="auto"/>
          <w:sz w:val="24"/>
          <w:szCs w:val="24"/>
          <w:highlight w:val="none"/>
          <w:u w:val="none"/>
          <w:lang w:val="en-US" w:eastAsia="zh-Hans" w:bidi="ar-SA"/>
        </w:rPr>
        <w:t>；</w:t>
      </w:r>
    </w:p>
    <w:p w14:paraId="368BA929">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B.设组长一名，要求初中及以上学历(可由回收员兼任)；</w:t>
      </w:r>
    </w:p>
    <w:p w14:paraId="0980F65C">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C.统一服装、车辆。</w:t>
      </w:r>
    </w:p>
    <w:p w14:paraId="5D303CE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每个再生资源网点设一个专人，每天至少保障2个小时及以上工作时间，其余时段实行电话预约上门回收，服务对象包含周边小区（未设再生资源网点的小区）、沿街商铺、企业等；采用积分或者货币形式，回收数据进入区垃圾分类智能监管平台。</w:t>
      </w:r>
      <w:r>
        <w:rPr>
          <w:rFonts w:hint="eastAsia" w:ascii="仿宋" w:hAnsi="仿宋" w:eastAsia="仿宋" w:cs="仿宋"/>
          <w:bCs/>
          <w:color w:val="auto"/>
          <w:sz w:val="24"/>
          <w:szCs w:val="24"/>
          <w:highlight w:val="none"/>
          <w:u w:val="none"/>
          <w:lang w:val="en-US" w:eastAsia="zh-CN" w:bidi="ar-SA"/>
        </w:rPr>
        <w:t>可</w:t>
      </w:r>
      <w:r>
        <w:rPr>
          <w:rFonts w:hint="eastAsia" w:ascii="仿宋" w:hAnsi="仿宋" w:eastAsia="仿宋" w:cs="仿宋"/>
          <w:bCs/>
          <w:color w:val="auto"/>
          <w:sz w:val="24"/>
          <w:szCs w:val="24"/>
          <w:highlight w:val="none"/>
          <w:u w:val="none"/>
          <w:lang w:val="en-US" w:eastAsia="zh-Hans" w:bidi="ar-SA"/>
        </w:rPr>
        <w:t>在网点内开展积分兑换，同时负责网点及周边的保洁和维护工作。运行时间符合市区两级有关再生资源开放时间的要求。通水电并自负费用，前端收集数据接入区平台，可实现现金与积分兑换，后端处置需交由有资质的回收企业，标识上应有“萧铃铛”品牌及固定招牌，有公示牌，公示内容包含点位名称、运营时间、运营人员、联系方式、清运时间和投诉电话，点位须有分类指南。提供价目表或者兑换表，标明各类可回收物积分或者价格。原单位退出，采购人指定专业第三方机构评估后由中标方支付费用后进行资产和相关合约一并转移的，中标人应予配合。网点场地由社区提供的，中标人需无偿对网点进行改造装修。</w:t>
      </w:r>
    </w:p>
    <w:p w14:paraId="31C4D1EA">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④配备</w:t>
      </w:r>
      <w:r>
        <w:rPr>
          <w:rFonts w:hint="eastAsia" w:ascii="仿宋" w:hAnsi="仿宋" w:eastAsia="仿宋" w:cs="仿宋"/>
          <w:bCs/>
          <w:color w:val="auto"/>
          <w:sz w:val="24"/>
          <w:szCs w:val="24"/>
          <w:highlight w:val="none"/>
          <w:u w:val="none"/>
          <w:lang w:val="en-US" w:eastAsia="zh-CN" w:bidi="ar-SA"/>
        </w:rPr>
        <w:t>7</w:t>
      </w:r>
      <w:r>
        <w:rPr>
          <w:rFonts w:hint="eastAsia" w:ascii="仿宋" w:hAnsi="仿宋" w:eastAsia="仿宋" w:cs="仿宋"/>
          <w:bCs/>
          <w:color w:val="auto"/>
          <w:sz w:val="24"/>
          <w:szCs w:val="24"/>
          <w:highlight w:val="none"/>
          <w:u w:val="none"/>
          <w:lang w:val="en-US" w:eastAsia="zh-Hans" w:bidi="ar-SA"/>
        </w:rPr>
        <w:t>分类回收箱、封装电子秤、价格表、人员信息表、宣传标识、消防设施、器材，实行统一标识、统一收购价格、统一计量工具、统一管理制度、统一着装。</w:t>
      </w:r>
    </w:p>
    <w:p w14:paraId="77514E6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⑤数据接入区、街道区生活垃圾分类智能监管平台，回收价格不低于市场价。</w:t>
      </w:r>
    </w:p>
    <w:p w14:paraId="132290F2">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u w:val="none"/>
          <w:lang w:val="en-US" w:eastAsia="zh-Hans" w:bidi="ar-SA"/>
        </w:rPr>
        <w:t>⑥设立预约上门联系电话，在回收时段外或未设网点的小区，实现预约上门服务。</w:t>
      </w:r>
    </w:p>
    <w:p w14:paraId="40F47C2A">
      <w:pPr>
        <w:spacing w:line="360" w:lineRule="auto"/>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十、其他设备要求</w:t>
      </w:r>
    </w:p>
    <w:p w14:paraId="430A412B">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1.智能发袋机（积分兑换弹簧机）</w:t>
      </w:r>
    </w:p>
    <w:p w14:paraId="658BEA8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原则上按每500户标准配备一台智能发袋机（积分兑换弹簧机）(具体暂以“垃圾分类人员设施配备最低要求一览表”为准，合同履约过程中采购人根据场地情况、居民需求调整数量的，合同价不予调整)。</w:t>
      </w:r>
    </w:p>
    <w:p w14:paraId="7470799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供应商按“垃圾分类人员设施配备最低要求一览表”要求的数量配备智能发袋机，设置场地由采购人提供，垃圾袋由中标单位提供。发袋机要求实现与原有居民使用二维码（和积分卡）及</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北干慧分类</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小程序</w:t>
      </w:r>
      <w:r>
        <w:rPr>
          <w:rFonts w:hint="eastAsia" w:ascii="仿宋" w:hAnsi="仿宋" w:eastAsia="仿宋" w:cs="仿宋"/>
          <w:color w:val="auto"/>
          <w:sz w:val="24"/>
          <w:szCs w:val="24"/>
          <w:highlight w:val="none"/>
        </w:rPr>
        <w:t>并连使用，用户在发袋机上进行取袋或积分兑换需刷卡或者绑定手机扫码。同时投放的可回收物可兑换消费积分返还居民账户。因非乙方原因无法设置到位的，报采购人备案同意后可暂时不配置，但中标单位需做好每户人家的上门发放工作。</w:t>
      </w:r>
    </w:p>
    <w:p w14:paraId="6BB5A5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发袋机技术参数：</w:t>
      </w:r>
    </w:p>
    <w:p w14:paraId="4D125AA2">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①</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智能识别居民二维码并自动绑定垃圾袋的二维码；</w:t>
      </w:r>
    </w:p>
    <w:p w14:paraId="091D527B">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②</w:t>
      </w:r>
      <w:r>
        <w:rPr>
          <w:rFonts w:hint="eastAsia" w:ascii="仿宋" w:hAnsi="仿宋" w:eastAsia="仿宋" w:cs="仿宋"/>
          <w:b w:val="0"/>
          <w:bCs w:val="0"/>
          <w:color w:val="auto"/>
          <w:sz w:val="24"/>
          <w:szCs w:val="24"/>
          <w:highlight w:val="none"/>
        </w:rPr>
        <w:t>面板上配备操作按键或触控屏，方便信息输入；</w:t>
      </w:r>
    </w:p>
    <w:p w14:paraId="2BC0DC29">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③</w:t>
      </w:r>
      <w:r>
        <w:rPr>
          <w:rFonts w:hint="eastAsia" w:ascii="仿宋" w:hAnsi="仿宋" w:eastAsia="仿宋" w:cs="仿宋"/>
          <w:b w:val="0"/>
          <w:bCs w:val="0"/>
          <w:color w:val="auto"/>
          <w:sz w:val="24"/>
          <w:szCs w:val="24"/>
          <w:highlight w:val="none"/>
        </w:rPr>
        <w:t>智能统计每月居民领取垃圾袋量；</w:t>
      </w:r>
    </w:p>
    <w:p w14:paraId="34FD9F09">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④</w:t>
      </w:r>
      <w:r>
        <w:rPr>
          <w:rFonts w:hint="eastAsia" w:ascii="仿宋" w:hAnsi="仿宋" w:eastAsia="仿宋" w:cs="仿宋"/>
          <w:color w:val="auto"/>
          <w:sz w:val="24"/>
          <w:szCs w:val="24"/>
          <w:highlight w:val="none"/>
        </w:rPr>
        <w:t>可装填物品空间不少于400格，可装填200卷垃圾袋（垃圾袋以淀粉基-聚乙烯为原料（禁止使用含氯材料）添加各类助剂，淀粉成分≥15%，鼓励中标人使用全降解原料，垃圾袋在合适位置设置有二维码）和200份兑换奖品（品种不少于5种）；当物品库存不足时，系统预警。（因非乙方原因无法放置400卷容量的机子，报采购人备案同意后可以选用容量小的自助发袋机。）</w:t>
      </w:r>
    </w:p>
    <w:p w14:paraId="0CE304EE">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⑤</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数据实时上传萧山区生活垃圾分类智能智能监管平台、北干街道生活垃圾监管平台（</w:t>
      </w:r>
      <w:r>
        <w:rPr>
          <w:rFonts w:hint="eastAsia" w:ascii="仿宋" w:hAnsi="仿宋" w:eastAsia="仿宋" w:cs="仿宋"/>
          <w:b w:val="0"/>
          <w:bCs w:val="0"/>
          <w:color w:val="auto"/>
          <w:sz w:val="24"/>
          <w:szCs w:val="24"/>
          <w:highlight w:val="none"/>
          <w:lang w:val="en-US" w:eastAsia="zh-CN"/>
        </w:rPr>
        <w:t>北干慧分类</w:t>
      </w:r>
      <w:r>
        <w:rPr>
          <w:rFonts w:hint="eastAsia" w:ascii="仿宋" w:hAnsi="仿宋" w:eastAsia="仿宋" w:cs="仿宋"/>
          <w:b w:val="0"/>
          <w:bCs w:val="0"/>
          <w:color w:val="auto"/>
          <w:sz w:val="24"/>
          <w:szCs w:val="24"/>
          <w:highlight w:val="none"/>
        </w:rPr>
        <w:t>）等相关平台。</w:t>
      </w:r>
    </w:p>
    <w:p w14:paraId="79ADAB4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⑥</w:t>
      </w:r>
      <w:r>
        <w:rPr>
          <w:rFonts w:hint="eastAsia" w:ascii="仿宋" w:hAnsi="仿宋" w:eastAsia="仿宋" w:cs="仿宋"/>
          <w:color w:val="auto"/>
          <w:sz w:val="24"/>
          <w:szCs w:val="24"/>
          <w:highlight w:val="none"/>
        </w:rPr>
        <w:t>自助发袋机</w:t>
      </w:r>
      <w:r>
        <w:rPr>
          <w:rFonts w:hint="eastAsia" w:ascii="仿宋" w:hAnsi="仿宋" w:eastAsia="仿宋" w:cs="仿宋"/>
          <w:bCs/>
          <w:color w:val="auto"/>
          <w:sz w:val="24"/>
          <w:szCs w:val="24"/>
          <w:highlight w:val="none"/>
        </w:rPr>
        <w:t>主要技术指标及配置</w:t>
      </w:r>
      <w:r>
        <w:rPr>
          <w:rFonts w:hint="eastAsia" w:ascii="仿宋" w:hAnsi="仿宋" w:eastAsia="仿宋" w:cs="仿宋"/>
          <w:color w:val="auto"/>
          <w:sz w:val="24"/>
          <w:szCs w:val="24"/>
          <w:highlight w:val="none"/>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4"/>
        <w:gridCol w:w="6305"/>
      </w:tblGrid>
      <w:tr w14:paraId="07348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BA993C5">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部件</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5181C216">
            <w:pPr>
              <w:spacing w:line="24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技术参数和规格</w:t>
            </w:r>
          </w:p>
        </w:tc>
      </w:tr>
      <w:tr w14:paraId="6BA7B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6E1943CF">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18BAE89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容量不少于400格。</w:t>
            </w:r>
          </w:p>
        </w:tc>
      </w:tr>
      <w:tr w14:paraId="32B9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59D315F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用材</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209038C6">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1.5mm钢板</w:t>
            </w:r>
          </w:p>
        </w:tc>
      </w:tr>
      <w:tr w14:paraId="15AFF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240E698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显示器</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688800DD">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由投标单位自行考虑尺寸，品牌</w:t>
            </w:r>
          </w:p>
        </w:tc>
      </w:tr>
      <w:tr w14:paraId="5A73F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6B8683CA">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处理速度</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14FCC983">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4G网络，单次操作反应时间不超过5秒。</w:t>
            </w:r>
          </w:p>
        </w:tc>
      </w:tr>
    </w:tbl>
    <w:p w14:paraId="6CB38639">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2.户积分卡及积分二维码</w:t>
      </w:r>
    </w:p>
    <w:p w14:paraId="52874B2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积分卡要求：新入住小区每户至少发放一张积分卡，配备一个积分二维码，卡码一一对应，费用计入投标报价。已配备积分卡的住户无需重复配备，如有损坏或丢失需更换或补办，仅向居民收取工本费，不得向居民额外收取。积分卡需与北干街道生活垃圾监管平台实现对接。</w:t>
      </w:r>
      <w:r>
        <w:rPr>
          <w:rFonts w:hint="eastAsia" w:ascii="仿宋" w:hAnsi="仿宋" w:eastAsia="仿宋" w:cs="仿宋"/>
          <w:color w:val="auto"/>
          <w:sz w:val="24"/>
          <w:szCs w:val="24"/>
          <w:highlight w:val="none"/>
          <w:lang w:val="en-US" w:eastAsia="zh-CN"/>
        </w:rPr>
        <w:t>需配置总用户数的30%作为备卡。</w:t>
      </w:r>
    </w:p>
    <w:p w14:paraId="6A5D69E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2）一户发放一张积分卡二维码生成规则及码应无条件提供给采购人。</w:t>
      </w:r>
    </w:p>
    <w:p w14:paraId="056ABF8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w:t>
      </w:r>
    </w:p>
    <w:p w14:paraId="359A76E7">
      <w:pPr>
        <w:pStyle w:val="23"/>
        <w:numPr>
          <w:ilvl w:val="0"/>
          <w:numId w:val="0"/>
        </w:numPr>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lang w:val="zh-CN" w:eastAsia="zh-CN" w:bidi="ar-SA"/>
        </w:rPr>
        <w:t>①</w:t>
      </w:r>
      <w:r>
        <w:rPr>
          <w:rFonts w:hint="eastAsia" w:ascii="仿宋" w:hAnsi="仿宋" w:eastAsia="仿宋" w:cs="仿宋"/>
          <w:color w:val="auto"/>
          <w:sz w:val="24"/>
          <w:szCs w:val="24"/>
          <w:highlight w:val="none"/>
        </w:rPr>
        <w:t>一户一卡，卡内信息与居民信息一一对应，方便溯源；</w:t>
      </w:r>
    </w:p>
    <w:p w14:paraId="54F88E3D">
      <w:pPr>
        <w:pStyle w:val="23"/>
        <w:numPr>
          <w:ilvl w:val="0"/>
          <w:numId w:val="0"/>
        </w:numPr>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lang w:val="zh-CN" w:eastAsia="zh-CN" w:bidi="ar-SA"/>
        </w:rPr>
        <w:t>②</w:t>
      </w:r>
      <w:r>
        <w:rPr>
          <w:rFonts w:hint="eastAsia" w:ascii="仿宋" w:hAnsi="仿宋" w:eastAsia="仿宋" w:cs="仿宋"/>
          <w:color w:val="auto"/>
          <w:sz w:val="24"/>
          <w:szCs w:val="24"/>
          <w:highlight w:val="none"/>
        </w:rPr>
        <w:t>用于居民每月领取垃圾袋、投放对应垃圾时称重积分和用于积分兑换；</w:t>
      </w:r>
    </w:p>
    <w:p w14:paraId="03A14621">
      <w:pPr>
        <w:pStyle w:val="23"/>
        <w:numPr>
          <w:ilvl w:val="0"/>
          <w:numId w:val="0"/>
        </w:numPr>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lang w:val="zh-CN" w:eastAsia="zh-CN" w:bidi="ar-SA"/>
        </w:rPr>
        <w:t>③</w:t>
      </w:r>
      <w:r>
        <w:rPr>
          <w:rFonts w:hint="eastAsia" w:ascii="仿宋" w:hAnsi="仿宋" w:eastAsia="仿宋" w:cs="仿宋"/>
          <w:color w:val="auto"/>
          <w:sz w:val="24"/>
          <w:szCs w:val="24"/>
          <w:highlight w:val="none"/>
        </w:rPr>
        <w:t>在智能设备上使用时，扫二维码，根据显示屏上提示进行操作；</w:t>
      </w:r>
    </w:p>
    <w:p w14:paraId="66C0A2F9">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3.垃圾桶</w:t>
      </w:r>
    </w:p>
    <w:p w14:paraId="6E946815">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3.1 垃圾桶</w:t>
      </w:r>
    </w:p>
    <w:p w14:paraId="07233ED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鉴于目前小区四分类垃圾桶的产权存在多样性，中标单位需按照</w:t>
      </w:r>
      <w:r>
        <w:rPr>
          <w:rFonts w:hint="eastAsia" w:ascii="仿宋" w:hAnsi="仿宋" w:eastAsia="仿宋" w:cs="仿宋"/>
          <w:color w:val="auto"/>
          <w:sz w:val="24"/>
          <w:szCs w:val="24"/>
          <w:highlight w:val="none"/>
          <w:lang w:val="en-US" w:eastAsia="zh-CN"/>
        </w:rPr>
        <w:t>采购人要求（每个标项总数不超过500只）</w:t>
      </w:r>
      <w:r>
        <w:rPr>
          <w:rFonts w:hint="eastAsia" w:ascii="仿宋" w:hAnsi="仿宋" w:eastAsia="仿宋" w:cs="仿宋"/>
          <w:color w:val="auto"/>
          <w:sz w:val="24"/>
          <w:szCs w:val="24"/>
          <w:highlight w:val="none"/>
        </w:rPr>
        <w:t>提供垃圾桶用于日常垃圾收集处置。可选240升灰桶、120升绿桶、120升红桶、120升蓝桶，质量经采购人确认认可，根据采购人需求统一进行调度派用，每次接到采购人通知之日起3天内放置到位，服务期满时不作退还。</w:t>
      </w:r>
    </w:p>
    <w:p w14:paraId="3E0AD4F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技术参数：参数要求：</w:t>
      </w:r>
    </w:p>
    <w:p w14:paraId="0452ED5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①规格：灰桶容量≥240升，总重量≥16kg，桶身重量（不包括盖、轮、轴、插销等）为≥11kg；绿桶、红桶、蓝桶容量可根据实际因素用≥120升，但需采购人确定后方可使用。</w:t>
      </w:r>
    </w:p>
    <w:p w14:paraId="2CAF55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②材料：采用100%高密度聚乙烯全新料添加增强、抗紫外线剂，轮毂及辋圈采用高密度聚乙烯，轮胎外圈采用橡胶材质，轮轴采用45#中碳钢；</w:t>
      </w:r>
    </w:p>
    <w:p w14:paraId="633362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③厚度：桶身壁≥4.5mm，桶口及加强筋厚度≥6mm，桶盖厚度≥3mm。</w:t>
      </w:r>
    </w:p>
    <w:p w14:paraId="0395AB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④通体前口与车辆提升机架配合处加有加强筋，提高运载能力，装载重量≥150kg；</w:t>
      </w:r>
    </w:p>
    <w:p w14:paraId="1E99DB4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⑤正常使用温度为-25℃—65℃，产品投入使用起一年内不褪色；</w:t>
      </w:r>
    </w:p>
    <w:p w14:paraId="01F4AB1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⑥垃圾桶的技术条件和要求能均达到国家CJ/T280-2008行业标准。</w:t>
      </w:r>
    </w:p>
    <w:p w14:paraId="19EB38A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⑦颜色及标识：a.桶体颜色：需符合相关规定标准；b．产品标识：垃圾桶四面及顶盖，应标注分类标识、图案、文字说明，标识统一采用白色，丝网印刷，标志、图案、文字说明需保证其牢固性、永久性、禁止脱落。</w:t>
      </w:r>
    </w:p>
    <w:p w14:paraId="739DF000">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3.2入户垃圾桶</w:t>
      </w:r>
    </w:p>
    <w:p w14:paraId="28F0CA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全部</w:t>
      </w:r>
      <w:r>
        <w:rPr>
          <w:rFonts w:hint="eastAsia" w:ascii="仿宋" w:hAnsi="仿宋" w:eastAsia="仿宋" w:cs="仿宋"/>
          <w:color w:val="auto"/>
          <w:sz w:val="24"/>
          <w:szCs w:val="24"/>
          <w:highlight w:val="none"/>
        </w:rPr>
        <w:t>小区进行发放，费用自行考虑计入投标报价，不得向居民额外收取。</w:t>
      </w:r>
    </w:p>
    <w:p w14:paraId="3033916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w:t>
      </w:r>
    </w:p>
    <w:p w14:paraId="2CF0BAF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①</w:t>
      </w:r>
      <w:r>
        <w:rPr>
          <w:rFonts w:hint="eastAsia" w:ascii="仿宋" w:hAnsi="仿宋" w:eastAsia="仿宋" w:cs="仿宋"/>
          <w:color w:val="auto"/>
          <w:sz w:val="24"/>
          <w:szCs w:val="24"/>
          <w:highlight w:val="none"/>
        </w:rPr>
        <w:t>绿色</w:t>
      </w:r>
      <w:r>
        <w:rPr>
          <w:rFonts w:hint="eastAsia" w:ascii="仿宋" w:hAnsi="仿宋" w:eastAsia="仿宋" w:cs="仿宋"/>
          <w:color w:val="auto"/>
          <w:sz w:val="24"/>
          <w:szCs w:val="24"/>
          <w:highlight w:val="none"/>
          <w:lang w:val="en-US" w:eastAsia="zh-CN"/>
        </w:rPr>
        <w:t>小</w:t>
      </w:r>
      <w:r>
        <w:rPr>
          <w:rFonts w:hint="eastAsia" w:ascii="仿宋" w:hAnsi="仿宋" w:eastAsia="仿宋" w:cs="仿宋"/>
          <w:color w:val="auto"/>
          <w:sz w:val="24"/>
          <w:szCs w:val="24"/>
          <w:highlight w:val="none"/>
        </w:rPr>
        <w:t>桶，绿桶容积</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9升。</w:t>
      </w:r>
    </w:p>
    <w:p w14:paraId="488CB97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②</w:t>
      </w:r>
      <w:r>
        <w:rPr>
          <w:rFonts w:hint="eastAsia" w:ascii="仿宋" w:hAnsi="仿宋" w:eastAsia="仿宋" w:cs="仿宋"/>
          <w:color w:val="auto"/>
          <w:sz w:val="24"/>
          <w:szCs w:val="24"/>
          <w:highlight w:val="none"/>
        </w:rPr>
        <w:t>桶盖内侧有密封条，外侧有锁扣，桶身带拎手，拎手双层加厚。</w:t>
      </w:r>
    </w:p>
    <w:p w14:paraId="46C6EE5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③</w:t>
      </w:r>
      <w:r>
        <w:rPr>
          <w:rFonts w:hint="eastAsia" w:ascii="仿宋" w:hAnsi="仿宋" w:eastAsia="仿宋" w:cs="仿宋"/>
          <w:color w:val="auto"/>
          <w:sz w:val="24"/>
          <w:szCs w:val="24"/>
          <w:highlight w:val="none"/>
        </w:rPr>
        <w:t>材料：全桶均使用共聚全新料（包括拎手的附件）。生产过程中允许添加改变桶色的色粉和抗氧化、抗紫外线、抗老化的添加剂，除此之外不允许使用任回料或再生料。</w:t>
      </w:r>
    </w:p>
    <w:p w14:paraId="533EE8D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④</w:t>
      </w:r>
      <w:r>
        <w:rPr>
          <w:rFonts w:hint="eastAsia" w:ascii="仿宋" w:hAnsi="仿宋" w:eastAsia="仿宋" w:cs="仿宋"/>
          <w:color w:val="auto"/>
          <w:sz w:val="24"/>
          <w:szCs w:val="24"/>
          <w:highlight w:val="none"/>
        </w:rPr>
        <w:t>桶体须为一次性注塑成型，无接缝，具有耐腐蚀、耐酸碱，并有足够的机械强度和良好的冲击韧性。</w:t>
      </w:r>
    </w:p>
    <w:p w14:paraId="76624C4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⑤</w:t>
      </w:r>
      <w:r>
        <w:rPr>
          <w:rFonts w:hint="eastAsia" w:ascii="仿宋" w:hAnsi="仿宋" w:eastAsia="仿宋" w:cs="仿宋"/>
          <w:color w:val="auto"/>
          <w:sz w:val="24"/>
          <w:szCs w:val="24"/>
          <w:highlight w:val="none"/>
        </w:rPr>
        <w:t>适用温度：－20℃－65℃气温下，不发生变形、开裂等损坏。</w:t>
      </w:r>
    </w:p>
    <w:p w14:paraId="01C9CFE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⑥</w:t>
      </w:r>
      <w:r>
        <w:rPr>
          <w:rFonts w:hint="eastAsia" w:ascii="仿宋" w:hAnsi="仿宋" w:eastAsia="仿宋" w:cs="仿宋"/>
          <w:color w:val="auto"/>
          <w:sz w:val="24"/>
          <w:szCs w:val="24"/>
          <w:highlight w:val="none"/>
        </w:rPr>
        <w:t>桶体壁厚≥1.8mm，桶口及加强筋壁厚≥3.0mm。</w:t>
      </w:r>
    </w:p>
    <w:p w14:paraId="0E99E8C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⑦</w:t>
      </w:r>
      <w:r>
        <w:rPr>
          <w:rFonts w:hint="eastAsia" w:ascii="仿宋" w:hAnsi="仿宋" w:eastAsia="仿宋" w:cs="仿宋"/>
          <w:color w:val="auto"/>
          <w:sz w:val="24"/>
          <w:szCs w:val="24"/>
          <w:highlight w:val="none"/>
        </w:rPr>
        <w:t>其他技术参数要求及物理性能均符合《中华人民共和国城镇建设行业标准-垃圾桶通用技术条件》，标准号：CJ/T280-2008</w:t>
      </w:r>
    </w:p>
    <w:p w14:paraId="713BF79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⑧</w:t>
      </w:r>
      <w:r>
        <w:rPr>
          <w:rFonts w:hint="eastAsia" w:ascii="仿宋" w:hAnsi="仿宋" w:eastAsia="仿宋" w:cs="仿宋"/>
          <w:color w:val="auto"/>
          <w:sz w:val="24"/>
          <w:szCs w:val="24"/>
          <w:highlight w:val="none"/>
        </w:rPr>
        <w:t>色彩鲜艳，且至少两年内不褪色。</w:t>
      </w:r>
    </w:p>
    <w:p w14:paraId="13874ED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⑨</w:t>
      </w:r>
      <w:r>
        <w:rPr>
          <w:rFonts w:hint="eastAsia" w:ascii="仿宋" w:hAnsi="仿宋" w:eastAsia="仿宋" w:cs="仿宋"/>
          <w:color w:val="auto"/>
          <w:sz w:val="24"/>
          <w:szCs w:val="24"/>
          <w:highlight w:val="none"/>
        </w:rPr>
        <w:t>样式、标识要求：桶顶和桶前需有相关标识，房号标签需采用反光条材料。</w:t>
      </w:r>
    </w:p>
    <w:p w14:paraId="2F2ECCA0">
      <w:pPr>
        <w:spacing w:line="360" w:lineRule="auto"/>
        <w:ind w:firstLine="482"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color w:val="auto"/>
          <w:sz w:val="24"/>
          <w:szCs w:val="24"/>
          <w:highlight w:val="none"/>
        </w:rPr>
        <w:t>4.</w:t>
      </w:r>
      <w:r>
        <w:rPr>
          <w:rFonts w:hint="eastAsia" w:ascii="仿宋" w:hAnsi="仿宋" w:eastAsia="仿宋" w:cs="仿宋"/>
          <w:b/>
          <w:bCs/>
          <w:snapToGrid w:val="0"/>
          <w:color w:val="auto"/>
          <w:kern w:val="0"/>
          <w:sz w:val="24"/>
          <w:szCs w:val="24"/>
          <w:highlight w:val="none"/>
        </w:rPr>
        <w:t>设施设备智能服务数据功能要求</w:t>
      </w:r>
    </w:p>
    <w:p w14:paraId="71756DE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服务单位提供的相关设施设备具备以下功能要求：</w:t>
      </w:r>
    </w:p>
    <w:p w14:paraId="3E102FD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①与区级、街道、各物业智能平台互联互通，按照区、街道要求推送相关数据；</w:t>
      </w:r>
    </w:p>
    <w:p w14:paraId="25C1BF1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②可以随时查看居民参与垃圾分类的报表；</w:t>
      </w:r>
    </w:p>
    <w:p w14:paraId="18BA42D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③居民垃圾袋领取、投递信息查询；</w:t>
      </w:r>
    </w:p>
    <w:p w14:paraId="34BC85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④可回收物投递、重量信息查询；</w:t>
      </w:r>
    </w:p>
    <w:p w14:paraId="4C9298F5">
      <w:pPr>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⑤具备积分兑换商城，方便居民积分兑换。</w:t>
      </w:r>
    </w:p>
    <w:p w14:paraId="23B12777">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十一、集置站管理需求：</w:t>
      </w:r>
    </w:p>
    <w:p w14:paraId="158F64C6">
      <w:pPr>
        <w:spacing w:line="360" w:lineRule="auto"/>
        <w:ind w:firstLine="480" w:firstLineChars="200"/>
        <w:outlineLvl w:val="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1.集置站设置情况：标</w:t>
      </w:r>
      <w:r>
        <w:rPr>
          <w:rFonts w:hint="eastAsia" w:ascii="仿宋" w:hAnsi="仿宋" w:eastAsia="仿宋" w:cs="仿宋"/>
          <w:snapToGrid w:val="0"/>
          <w:color w:val="auto"/>
          <w:kern w:val="0"/>
          <w:sz w:val="24"/>
          <w:szCs w:val="24"/>
          <w:highlight w:val="none"/>
          <w:lang w:val="en-US" w:eastAsia="zh-CN"/>
        </w:rPr>
        <w:t>项1：1</w:t>
      </w:r>
      <w:r>
        <w:rPr>
          <w:rFonts w:hint="eastAsia" w:ascii="仿宋" w:hAnsi="仿宋" w:eastAsia="仿宋" w:cs="仿宋"/>
          <w:snapToGrid w:val="0"/>
          <w:color w:val="auto"/>
          <w:kern w:val="0"/>
          <w:sz w:val="24"/>
          <w:szCs w:val="24"/>
          <w:highlight w:val="none"/>
        </w:rPr>
        <w:t>个</w:t>
      </w: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标项</w:t>
      </w:r>
      <w:r>
        <w:rPr>
          <w:rFonts w:hint="eastAsia" w:ascii="仿宋" w:hAnsi="仿宋" w:eastAsia="仿宋" w:cs="仿宋"/>
          <w:snapToGrid w:val="0"/>
          <w:color w:val="auto"/>
          <w:kern w:val="0"/>
          <w:sz w:val="24"/>
          <w:szCs w:val="24"/>
          <w:highlight w:val="none"/>
          <w:lang w:val="en-US" w:eastAsia="zh-CN"/>
        </w:rPr>
        <w:t>2：2</w:t>
      </w:r>
      <w:r>
        <w:rPr>
          <w:rFonts w:hint="eastAsia" w:ascii="仿宋" w:hAnsi="仿宋" w:eastAsia="仿宋" w:cs="仿宋"/>
          <w:snapToGrid w:val="0"/>
          <w:color w:val="auto"/>
          <w:kern w:val="0"/>
          <w:sz w:val="24"/>
          <w:szCs w:val="24"/>
          <w:highlight w:val="none"/>
        </w:rPr>
        <w:t>个，标</w:t>
      </w:r>
      <w:r>
        <w:rPr>
          <w:rFonts w:hint="eastAsia" w:ascii="仿宋" w:hAnsi="仿宋" w:eastAsia="仿宋" w:cs="仿宋"/>
          <w:snapToGrid w:val="0"/>
          <w:color w:val="auto"/>
          <w:kern w:val="0"/>
          <w:sz w:val="24"/>
          <w:szCs w:val="24"/>
          <w:highlight w:val="none"/>
          <w:lang w:val="en-US" w:eastAsia="zh-CN"/>
        </w:rPr>
        <w:t>项3：3</w:t>
      </w:r>
      <w:r>
        <w:rPr>
          <w:rFonts w:hint="eastAsia" w:ascii="仿宋" w:hAnsi="仿宋" w:eastAsia="仿宋" w:cs="仿宋"/>
          <w:snapToGrid w:val="0"/>
          <w:color w:val="auto"/>
          <w:kern w:val="0"/>
          <w:sz w:val="24"/>
          <w:szCs w:val="24"/>
          <w:highlight w:val="none"/>
        </w:rPr>
        <w:t>个。</w:t>
      </w:r>
    </w:p>
    <w:p w14:paraId="14950609">
      <w:pPr>
        <w:spacing w:line="360" w:lineRule="auto"/>
        <w:ind w:firstLine="480" w:firstLineChars="200"/>
        <w:outlineLvl w:val="0"/>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rPr>
        <w:t>2.每个站点配备不少于1名集置站管理员，负责对进入集置站的生活垃圾进行分类监督和指导，其他垃圾和易腐垃圾清运后</w:t>
      </w:r>
      <w:r>
        <w:rPr>
          <w:rFonts w:hint="eastAsia" w:ascii="仿宋" w:hAnsi="仿宋" w:eastAsia="仿宋" w:cs="仿宋"/>
          <w:snapToGrid w:val="0"/>
          <w:color w:val="auto"/>
          <w:kern w:val="0"/>
          <w:sz w:val="24"/>
          <w:szCs w:val="24"/>
          <w:highlight w:val="none"/>
          <w:lang w:val="en-US" w:eastAsia="zh-CN"/>
        </w:rPr>
        <w:t>立即</w:t>
      </w:r>
      <w:r>
        <w:rPr>
          <w:rFonts w:hint="eastAsia" w:ascii="仿宋" w:hAnsi="仿宋" w:eastAsia="仿宋" w:cs="仿宋"/>
          <w:snapToGrid w:val="0"/>
          <w:color w:val="auto"/>
          <w:kern w:val="0"/>
          <w:sz w:val="24"/>
          <w:szCs w:val="24"/>
          <w:highlight w:val="none"/>
        </w:rPr>
        <w:t>对垃圾桶进行清洗，并负责站点的环境卫生工作，不得在站点及周边随意丢弃生活垃圾。</w:t>
      </w:r>
      <w:r>
        <w:rPr>
          <w:rFonts w:hint="eastAsia" w:ascii="仿宋" w:hAnsi="仿宋" w:eastAsia="仿宋" w:cs="仿宋"/>
          <w:snapToGrid w:val="0"/>
          <w:color w:val="auto"/>
          <w:kern w:val="0"/>
          <w:sz w:val="24"/>
          <w:szCs w:val="24"/>
          <w:highlight w:val="none"/>
          <w:lang w:val="en-US" w:eastAsia="zh-CN"/>
        </w:rPr>
        <w:t>在集置站服务小区定时定点投放期间及结束后的1.5个小时内需要在站点工作。</w:t>
      </w:r>
    </w:p>
    <w:p w14:paraId="72531714">
      <w:pPr>
        <w:spacing w:line="360" w:lineRule="auto"/>
        <w:ind w:firstLine="480"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3.非工作时间集置站需保持封闭。</w:t>
      </w:r>
    </w:p>
    <w:p w14:paraId="7A67BF75">
      <w:pPr>
        <w:spacing w:line="360" w:lineRule="auto"/>
        <w:outlineLvl w:val="1"/>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十二、其他服务要求</w:t>
      </w:r>
    </w:p>
    <w:p w14:paraId="4D013B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1.本项目所涉及的设施设备投放场地须自行负责场地平整、线缆预埋、水电接入，防水设备、相关集置点升级所需材料及安装，日常运行维护等所有相关费用计入本次投标报价中，中标后不作调整。</w:t>
      </w:r>
    </w:p>
    <w:p w14:paraId="7D2E5E3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对所有垃圾分类点位和设施设备、各类公示牌、指示牌、宣传板等进行统一的视觉形象设计，设计应当积极向上符合主流思想，大小以符合人类正常视觉为准，中标单位负责设计和印制。公示牌公示内容包含点位名称、管理人员、清运单位、联系方式、清运时间和投诉电话，点位须有分类指南，辐射范围内有地理位置展示和导视。</w:t>
      </w:r>
    </w:p>
    <w:p w14:paraId="7B707314">
      <w:pPr>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3.投标人提供垃圾分类服务工作实时在线记录的</w:t>
      </w:r>
      <w:r>
        <w:rPr>
          <w:rFonts w:hint="eastAsia" w:ascii="仿宋" w:hAnsi="仿宋" w:eastAsia="仿宋" w:cs="仿宋"/>
          <w:color w:val="auto"/>
          <w:sz w:val="24"/>
          <w:szCs w:val="24"/>
          <w:highlight w:val="none"/>
          <w:lang w:val="en-US" w:eastAsia="zh-CN"/>
        </w:rPr>
        <w:t>软件</w:t>
      </w:r>
      <w:r>
        <w:rPr>
          <w:rFonts w:hint="eastAsia" w:ascii="仿宋" w:hAnsi="仿宋" w:eastAsia="仿宋" w:cs="仿宋"/>
          <w:color w:val="auto"/>
          <w:sz w:val="24"/>
          <w:szCs w:val="24"/>
          <w:highlight w:val="none"/>
        </w:rPr>
        <w:t>演示，并在投标文件中提供演示界面截图，演示至少包括以下几点：</w:t>
      </w:r>
    </w:p>
    <w:p w14:paraId="6EDE964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（1）所有工作人员信息；</w:t>
      </w:r>
    </w:p>
    <w:p w14:paraId="19D1931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（2）所有人员上下岗打卡；</w:t>
      </w:r>
    </w:p>
    <w:p w14:paraId="4B1337D9">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（3）管理员入户宣传打卡，一个定位一张照片一个工作评价；</w:t>
      </w:r>
    </w:p>
    <w:p w14:paraId="24C95AE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（4）策划活动记录，一个定位一张照片一个工作评价；</w:t>
      </w:r>
    </w:p>
    <w:p w14:paraId="392E65A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（5）巡检、培训、指导记录，一个定位一张照片一个工作评价；</w:t>
      </w:r>
    </w:p>
    <w:p w14:paraId="062E45F2">
      <w:pPr>
        <w:spacing w:line="360" w:lineRule="auto"/>
        <w:ind w:firstLine="420"/>
        <w:rPr>
          <w:rFonts w:hint="eastAsia" w:ascii="仿宋" w:hAnsi="仿宋" w:eastAsia="仿宋" w:cs="仿宋"/>
          <w:color w:val="auto"/>
          <w:highlight w:val="none"/>
        </w:rPr>
      </w:pPr>
      <w:r>
        <w:rPr>
          <w:rFonts w:hint="eastAsia" w:ascii="仿宋" w:hAnsi="仿宋" w:eastAsia="仿宋" w:cs="仿宋"/>
          <w:color w:val="auto"/>
          <w:sz w:val="24"/>
          <w:szCs w:val="24"/>
          <w:highlight w:val="none"/>
        </w:rPr>
        <w:t>（6）投放点、再生资源回收点每日工作开始结束记录，一定位一照片。</w:t>
      </w:r>
    </w:p>
    <w:p w14:paraId="26F0F330">
      <w:pPr>
        <w:pStyle w:val="79"/>
        <w:spacing w:line="360" w:lineRule="auto"/>
        <w:ind w:firstLine="480" w:firstLineChars="20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4.如有小区物业经街道同意后自行开展生活垃圾源头分类工作的，中标单位应无条件退出，并做好相关的配合工作，中标单位结算截止日期以街道书面通知日期为准。</w:t>
      </w:r>
    </w:p>
    <w:p w14:paraId="5A7F551F">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如有小区物业经采购人同意后自行开展生活垃圾源头分类工作的，中标单位应无条件同意终止该小区的垃圾分类工作，并做好相关的配合工作和签订补充合同，无任何补偿，结算截止日期以采购人书面通知日期为准。投标报价应充分考虑提前终止的风险。</w:t>
      </w:r>
    </w:p>
    <w:p w14:paraId="23ABE1AD">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如省、市、区垃圾分类办或城管部门要求进行分类模式调整或现有模式标准变化，在服务期间中标人应无条件按照采购人要求及时进行模式、标准调整，新增或更换相应设施设备产生的费用需由中标人承担，采购人不再另行支付。</w:t>
      </w:r>
    </w:p>
    <w:p w14:paraId="38B74D9B">
      <w:pPr>
        <w:pStyle w:val="19"/>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项目经理服务方案讲解要求：项目经理是整个项目组的重要角色，是项目完成与否、质量好坏的关键。项目经理需对项目需求理解全面、深入，对单位及本人自身优势认识清晰，能清楚阐述项目技术服务方案（含重难点把握准确、解决措施）和质量保障措施的科学性。</w:t>
      </w:r>
    </w:p>
    <w:p w14:paraId="0845431D">
      <w:pPr>
        <w:pStyle w:val="965"/>
        <w:numPr>
          <w:ilvl w:val="0"/>
          <w:numId w:val="0"/>
        </w:numPr>
        <w:adjustRightInd w:val="0"/>
        <w:spacing w:line="500" w:lineRule="exact"/>
        <w:ind w:firstLine="482" w:firstLineChars="200"/>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highlight w:val="none"/>
          <w:lang w:val="en-US"/>
        </w:rPr>
        <w:t>月度媒体宣传任务。需根据萧山区分类办的相关要求，做好指定媒体的宣传报道工作（具体以每年度萧山区对镇街、平台相关考核要求为准），每月完成</w:t>
      </w:r>
      <w:r>
        <w:rPr>
          <w:rFonts w:hint="eastAsia" w:ascii="仿宋" w:hAnsi="仿宋" w:eastAsia="仿宋" w:cs="仿宋"/>
          <w:b/>
          <w:bCs/>
          <w:color w:val="auto"/>
          <w:highlight w:val="none"/>
          <w:lang w:val="en-US" w:eastAsia="zh-Hans"/>
        </w:rPr>
        <w:t>市</w:t>
      </w:r>
      <w:r>
        <w:rPr>
          <w:rFonts w:hint="eastAsia" w:ascii="仿宋" w:hAnsi="仿宋" w:eastAsia="仿宋" w:cs="仿宋"/>
          <w:b/>
          <w:bCs/>
          <w:color w:val="auto"/>
          <w:highlight w:val="none"/>
          <w:lang w:eastAsia="zh-Hans"/>
        </w:rPr>
        <w:t>、</w:t>
      </w:r>
      <w:r>
        <w:rPr>
          <w:rFonts w:hint="eastAsia" w:ascii="仿宋" w:hAnsi="仿宋" w:eastAsia="仿宋" w:cs="仿宋"/>
          <w:b/>
          <w:bCs/>
          <w:color w:val="auto"/>
          <w:highlight w:val="none"/>
          <w:lang w:val="en-US" w:eastAsia="zh-Hans"/>
        </w:rPr>
        <w:t>区要求的媒体名录内的</w:t>
      </w:r>
      <w:r>
        <w:rPr>
          <w:rFonts w:hint="eastAsia" w:ascii="仿宋" w:hAnsi="仿宋" w:eastAsia="仿宋" w:cs="仿宋"/>
          <w:b/>
          <w:bCs/>
          <w:color w:val="auto"/>
          <w:highlight w:val="none"/>
          <w:lang w:val="en-US"/>
        </w:rPr>
        <w:t>国</w:t>
      </w:r>
      <w:r>
        <w:rPr>
          <w:rFonts w:hint="eastAsia" w:ascii="仿宋" w:hAnsi="仿宋" w:eastAsia="仿宋" w:cs="仿宋"/>
          <w:b/>
          <w:bCs/>
          <w:color w:val="auto"/>
          <w:sz w:val="24"/>
          <w:szCs w:val="24"/>
          <w:highlight w:val="none"/>
          <w:lang w:val="en-US"/>
        </w:rPr>
        <w:t>家、省、市、</w:t>
      </w:r>
      <w:r>
        <w:rPr>
          <w:rFonts w:hint="eastAsia" w:ascii="仿宋" w:hAnsi="仿宋" w:eastAsia="仿宋" w:cs="仿宋"/>
          <w:b/>
          <w:bCs/>
          <w:color w:val="auto"/>
          <w:sz w:val="24"/>
          <w:szCs w:val="24"/>
          <w:highlight w:val="none"/>
          <w:lang w:val="en-US" w:eastAsia="zh-CN"/>
        </w:rPr>
        <w:t>区</w:t>
      </w:r>
      <w:r>
        <w:rPr>
          <w:rFonts w:hint="eastAsia" w:ascii="仿宋" w:hAnsi="仿宋" w:eastAsia="仿宋" w:cs="仿宋"/>
          <w:b/>
          <w:bCs/>
          <w:color w:val="auto"/>
          <w:sz w:val="24"/>
          <w:szCs w:val="24"/>
          <w:highlight w:val="none"/>
          <w:lang w:val="en-US"/>
        </w:rPr>
        <w:t>等宣传媒体上的刊登，同时落实开展每月的各类垃圾分类宣传活动。</w:t>
      </w:r>
    </w:p>
    <w:p w14:paraId="5A4D316E">
      <w:pPr>
        <w:pStyle w:val="965"/>
        <w:numPr>
          <w:ilvl w:val="0"/>
          <w:numId w:val="0"/>
        </w:numPr>
        <w:adjustRightInd w:val="0"/>
        <w:spacing w:line="500" w:lineRule="exact"/>
        <w:ind w:firstLine="480" w:firstLineChars="200"/>
        <w:rPr>
          <w:rFonts w:hint="eastAsia" w:ascii="仿宋" w:hAnsi="仿宋" w:eastAsia="仿宋" w:cs="仿宋"/>
          <w:color w:val="auto"/>
          <w:sz w:val="24"/>
          <w:szCs w:val="24"/>
          <w:highlight w:val="none"/>
          <w:lang w:val="en-US" w:eastAsia="zh-Hans"/>
        </w:rPr>
      </w:pPr>
      <w:r>
        <w:rPr>
          <w:rFonts w:hint="eastAsia" w:ascii="仿宋" w:hAnsi="仿宋" w:eastAsia="仿宋" w:cs="仿宋"/>
          <w:color w:val="auto"/>
          <w:sz w:val="24"/>
          <w:szCs w:val="24"/>
          <w:highlight w:val="none"/>
          <w:lang w:val="en-US" w:eastAsia="zh-Hans"/>
        </w:rPr>
        <w:t>媒体名录</w:t>
      </w:r>
      <w:r>
        <w:rPr>
          <w:rFonts w:hint="eastAsia" w:ascii="仿宋" w:hAnsi="仿宋" w:eastAsia="仿宋" w:cs="仿宋"/>
          <w:color w:val="auto"/>
          <w:sz w:val="24"/>
          <w:szCs w:val="24"/>
          <w:highlight w:val="none"/>
          <w:lang w:val="en-US" w:eastAsia="zh-CN"/>
        </w:rPr>
        <w:t>可</w:t>
      </w:r>
      <w:r>
        <w:rPr>
          <w:rFonts w:hint="eastAsia" w:ascii="仿宋" w:hAnsi="仿宋" w:eastAsia="仿宋" w:cs="仿宋"/>
          <w:color w:val="auto"/>
          <w:sz w:val="24"/>
          <w:szCs w:val="24"/>
          <w:highlight w:val="none"/>
          <w:lang w:val="en-US" w:eastAsia="zh-Hans"/>
        </w:rPr>
        <w:t>参考如下</w:t>
      </w:r>
      <w:r>
        <w:rPr>
          <w:rFonts w:hint="eastAsia" w:ascii="仿宋" w:hAnsi="仿宋" w:eastAsia="仿宋" w:cs="仿宋"/>
          <w:color w:val="auto"/>
          <w:sz w:val="24"/>
          <w:szCs w:val="24"/>
          <w:highlight w:val="none"/>
          <w:lang w:eastAsia="zh-Hans"/>
        </w:rPr>
        <w:t>：</w:t>
      </w:r>
    </w:p>
    <w:p w14:paraId="12332D48">
      <w:pPr>
        <w:pStyle w:val="965"/>
        <w:numPr>
          <w:ilvl w:val="0"/>
          <w:numId w:val="0"/>
        </w:numPr>
        <w:adjustRightIn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drawing>
          <wp:inline distT="0" distB="0" distL="114300" distR="114300">
            <wp:extent cx="2310130" cy="5776595"/>
            <wp:effectExtent l="0" t="0" r="14605" b="13970"/>
            <wp:docPr id="1" name="图片 1" descr="WechatIMG1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echatIMG1750"/>
                    <pic:cNvPicPr>
                      <a:picLocks noChangeAspect="1"/>
                    </pic:cNvPicPr>
                  </pic:nvPicPr>
                  <pic:blipFill>
                    <a:blip r:embed="rId13"/>
                    <a:stretch>
                      <a:fillRect/>
                    </a:stretch>
                  </pic:blipFill>
                  <pic:spPr>
                    <a:xfrm rot="5400000">
                      <a:off x="0" y="0"/>
                      <a:ext cx="2310130" cy="5776595"/>
                    </a:xfrm>
                    <a:prstGeom prst="rect">
                      <a:avLst/>
                    </a:prstGeom>
                    <a:noFill/>
                    <a:ln>
                      <a:noFill/>
                    </a:ln>
                  </pic:spPr>
                </pic:pic>
              </a:graphicData>
            </a:graphic>
          </wp:inline>
        </w:drawing>
      </w:r>
    </w:p>
    <w:p w14:paraId="02957479">
      <w:pPr>
        <w:pStyle w:val="965"/>
        <w:adjustRightInd w:val="0"/>
        <w:spacing w:line="5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en-US"/>
        </w:rPr>
        <w:t>积分兑换要求。</w:t>
      </w:r>
      <w:r>
        <w:rPr>
          <w:rFonts w:hint="eastAsia" w:ascii="仿宋" w:hAnsi="仿宋" w:eastAsia="仿宋" w:cs="仿宋"/>
          <w:color w:val="auto"/>
          <w:sz w:val="24"/>
          <w:szCs w:val="24"/>
          <w:highlight w:val="none"/>
          <w:lang w:val="en-US" w:eastAsia="zh-CN"/>
        </w:rPr>
        <w:t>可回收物按照街道要求以不低于市场价对所在服务小区进行兜底回收。</w:t>
      </w:r>
      <w:r>
        <w:rPr>
          <w:rFonts w:hint="eastAsia" w:ascii="仿宋" w:hAnsi="仿宋" w:eastAsia="仿宋" w:cs="仿宋"/>
          <w:color w:val="auto"/>
          <w:sz w:val="24"/>
          <w:szCs w:val="24"/>
          <w:highlight w:val="none"/>
          <w:lang w:val="en-US" w:eastAsia="zh-Hans"/>
        </w:rPr>
        <w:t>居民智能账户内积分统一上传至街道平台</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落实积分管理制度</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确保“积</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存</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用”积分体系严格闭环</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不存在违规产生积分和使用积分的情况</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rPr>
        <w:t>每月至少开展一次积分兑换，</w:t>
      </w:r>
      <w:r>
        <w:rPr>
          <w:rFonts w:hint="eastAsia" w:ascii="仿宋" w:hAnsi="仿宋" w:eastAsia="仿宋" w:cs="仿宋"/>
          <w:color w:val="auto"/>
          <w:sz w:val="24"/>
          <w:szCs w:val="24"/>
          <w:highlight w:val="none"/>
          <w:lang w:val="en-US" w:eastAsia="zh-Hans"/>
        </w:rPr>
        <w:t>通过街道系统平台</w:t>
      </w:r>
      <w:r>
        <w:rPr>
          <w:rFonts w:hint="eastAsia" w:ascii="仿宋" w:hAnsi="仿宋" w:eastAsia="仿宋" w:cs="仿宋"/>
          <w:color w:val="auto"/>
          <w:sz w:val="24"/>
          <w:szCs w:val="24"/>
          <w:highlight w:val="none"/>
          <w:lang w:val="en-US"/>
        </w:rPr>
        <w:t>进行兑换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Hans"/>
        </w:rPr>
        <w:t>定期与积分兑换合作商进行结算</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建议</w:t>
      </w:r>
      <w:r>
        <w:rPr>
          <w:rFonts w:hint="eastAsia" w:ascii="仿宋" w:hAnsi="仿宋" w:eastAsia="仿宋" w:cs="仿宋"/>
          <w:color w:val="auto"/>
          <w:sz w:val="24"/>
          <w:szCs w:val="24"/>
          <w:highlight w:val="none"/>
          <w:lang w:eastAsia="zh-Hans"/>
        </w:rPr>
        <w:t>1</w:t>
      </w:r>
      <w:r>
        <w:rPr>
          <w:rFonts w:hint="eastAsia" w:ascii="仿宋" w:hAnsi="仿宋" w:eastAsia="仿宋" w:cs="仿宋"/>
          <w:color w:val="auto"/>
          <w:sz w:val="24"/>
          <w:szCs w:val="24"/>
          <w:highlight w:val="none"/>
          <w:lang w:val="en-US" w:eastAsia="zh-Hans"/>
        </w:rPr>
        <w:t>个月为周期</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并保留相关结算依据</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CN"/>
        </w:rPr>
        <w:t>后期若街道、社区有统一安排，需无条件服从。第三方服务单位按服务片区设立积分池独立账户，此账户受街道、社区共同监管，服务单位按月度将新增积分对应款按时打款至此账户。</w:t>
      </w:r>
    </w:p>
    <w:p w14:paraId="4041EAD4">
      <w:pPr>
        <w:pStyle w:val="965"/>
        <w:adjustRightInd w:val="0"/>
        <w:spacing w:line="5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4、建立积分台账，每月核对一次。</w:t>
      </w:r>
    </w:p>
    <w:p w14:paraId="498946B8">
      <w:pPr>
        <w:spacing w:line="360" w:lineRule="auto"/>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十三、商务要求</w:t>
      </w:r>
    </w:p>
    <w:p w14:paraId="2A90DF5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（一）投标报价</w:t>
      </w:r>
    </w:p>
    <w:p w14:paraId="19B49F89">
      <w:pPr>
        <w:spacing w:line="360" w:lineRule="auto"/>
        <w:ind w:firstLine="480" w:firstLineChars="200"/>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投标报价包括：（1）人工费(包括人员工资（最低2</w:t>
      </w:r>
      <w:r>
        <w:rPr>
          <w:rFonts w:hint="eastAsia" w:ascii="仿宋" w:hAnsi="仿宋" w:eastAsia="仿宋" w:cs="仿宋"/>
          <w:color w:val="auto"/>
          <w:sz w:val="24"/>
          <w:szCs w:val="24"/>
          <w:highlight w:val="yellow"/>
          <w:lang w:val="en-US" w:eastAsia="zh-CN"/>
        </w:rPr>
        <w:t>490</w:t>
      </w:r>
      <w:r>
        <w:rPr>
          <w:rFonts w:hint="eastAsia" w:ascii="仿宋" w:hAnsi="仿宋" w:eastAsia="仿宋" w:cs="仿宋"/>
          <w:color w:val="auto"/>
          <w:sz w:val="24"/>
          <w:szCs w:val="24"/>
          <w:highlight w:val="yellow"/>
        </w:rPr>
        <w:t>元/月）、津贴、劳动福利、高温费、社会保险费、双休日及法定节假日加班费、医疗体检费等)；（2）服务过程中所需的前期准备、耗材、设施设备、作业器具、水电等产生的费用；（3）作业安全保险费、安全培训费、职业教育费、企业管理费、利润、税金等费用。</w:t>
      </w:r>
    </w:p>
    <w:p w14:paraId="338F9E7C">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（二）合同定价方式</w:t>
      </w:r>
    </w:p>
    <w:p w14:paraId="199DA8E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本合同为固定单价合同，按实结算。</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854"/>
        <w:gridCol w:w="1550"/>
        <w:gridCol w:w="3358"/>
      </w:tblGrid>
      <w:tr w14:paraId="757BB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52C33995">
            <w:pPr>
              <w:spacing w:line="240" w:lineRule="auto"/>
              <w:jc w:val="center"/>
              <w:rPr>
                <w:rFonts w:hint="eastAsia" w:ascii="仿宋" w:hAnsi="仿宋" w:eastAsia="仿宋" w:cs="仿宋"/>
                <w:color w:val="auto"/>
                <w:sz w:val="24"/>
                <w:szCs w:val="24"/>
                <w:highlight w:val="none"/>
              </w:rPr>
            </w:pPr>
            <w:bookmarkStart w:id="34" w:name="_Hlk118190028"/>
            <w:r>
              <w:rPr>
                <w:rFonts w:hint="eastAsia" w:ascii="仿宋" w:hAnsi="仿宋" w:eastAsia="仿宋" w:cs="仿宋"/>
                <w:color w:val="auto"/>
                <w:sz w:val="24"/>
                <w:szCs w:val="24"/>
                <w:highlight w:val="none"/>
              </w:rPr>
              <w:t>序号</w:t>
            </w:r>
          </w:p>
        </w:tc>
        <w:tc>
          <w:tcPr>
            <w:tcW w:w="2854" w:type="dxa"/>
            <w:noWrap w:val="0"/>
            <w:vAlign w:val="center"/>
          </w:tcPr>
          <w:p w14:paraId="068C4B46">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支付项</w:t>
            </w:r>
          </w:p>
        </w:tc>
        <w:tc>
          <w:tcPr>
            <w:tcW w:w="1550" w:type="dxa"/>
            <w:noWrap w:val="0"/>
            <w:vAlign w:val="center"/>
          </w:tcPr>
          <w:p w14:paraId="50F340F6">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合同价</w:t>
            </w:r>
          </w:p>
        </w:tc>
        <w:tc>
          <w:tcPr>
            <w:tcW w:w="3358" w:type="dxa"/>
            <w:noWrap w:val="0"/>
            <w:vAlign w:val="center"/>
          </w:tcPr>
          <w:p w14:paraId="76223C6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5DD2A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11DE7EC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854" w:type="dxa"/>
            <w:noWrap w:val="0"/>
            <w:vAlign w:val="center"/>
          </w:tcPr>
          <w:p w14:paraId="6B0FDF80">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垃圾分类服务费</w:t>
            </w:r>
          </w:p>
        </w:tc>
        <w:tc>
          <w:tcPr>
            <w:tcW w:w="1550" w:type="dxa"/>
            <w:noWrap w:val="0"/>
            <w:vAlign w:val="center"/>
          </w:tcPr>
          <w:p w14:paraId="62DCA3F0">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（中标单价）元/户/年</w:t>
            </w:r>
          </w:p>
        </w:tc>
        <w:tc>
          <w:tcPr>
            <w:tcW w:w="3358" w:type="dxa"/>
            <w:noWrap w:val="0"/>
            <w:vAlign w:val="center"/>
          </w:tcPr>
          <w:p w14:paraId="19EF438B">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每月按照小区内实际入住户数核算（每月实际结算户数不足招标总户的50%，按招标总户数的50%结算）</w:t>
            </w:r>
          </w:p>
        </w:tc>
      </w:tr>
      <w:bookmarkEnd w:id="34"/>
    </w:tbl>
    <w:p w14:paraId="250887B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（三）支付方式 </w:t>
      </w:r>
    </w:p>
    <w:p w14:paraId="41A62552">
      <w:pPr>
        <w:spacing w:line="360" w:lineRule="auto"/>
        <w:ind w:firstLine="480" w:firstLineChars="200"/>
        <w:rPr>
          <w:rFonts w:hint="eastAsia" w:ascii="仿宋" w:hAnsi="仿宋" w:eastAsia="仿宋" w:cs="仿宋"/>
          <w:color w:val="auto"/>
          <w:sz w:val="24"/>
          <w:szCs w:val="24"/>
          <w:highlight w:val="none"/>
          <w:lang w:val="en-US" w:eastAsia="zh-CN"/>
        </w:rPr>
      </w:pPr>
      <w:bookmarkStart w:id="35" w:name="_Hlk118194455"/>
      <w:bookmarkStart w:id="36" w:name="_Hlk117775743"/>
      <w:r>
        <w:rPr>
          <w:rFonts w:hint="eastAsia" w:ascii="仿宋" w:hAnsi="仿宋" w:eastAsia="仿宋" w:cs="仿宋"/>
          <w:color w:val="auto"/>
          <w:sz w:val="24"/>
          <w:szCs w:val="24"/>
          <w:highlight w:val="none"/>
        </w:rPr>
        <w:t>1.垃圾分类服务费：</w:t>
      </w:r>
    </w:p>
    <w:p w14:paraId="05E7FFD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合同签订后预付40%预付款。</w:t>
      </w:r>
    </w:p>
    <w:p w14:paraId="330A0CF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垃圾分类服务费每月按照小区内实际入住户数核算（每月实际结算户数不足招标总户的50%，按招标总户数的50%结算），每季度结算并支付一次，每季度第一个月初支付上季度服务费用的90%，根据街道月度考核情况扣减相应费用后支付。【即每季度支付费用=（户数*单价）*考核得分对应应付比例*90%】</w:t>
      </w:r>
    </w:p>
    <w:p w14:paraId="66532CA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③垃圾分类服务费的剩余款项作为考核费，</w:t>
      </w:r>
      <w:bookmarkStart w:id="37" w:name="_Hlk119399042"/>
      <w:r>
        <w:rPr>
          <w:rFonts w:hint="eastAsia" w:ascii="仿宋" w:hAnsi="仿宋" w:eastAsia="仿宋" w:cs="仿宋"/>
          <w:color w:val="auto"/>
          <w:sz w:val="24"/>
          <w:szCs w:val="24"/>
          <w:highlight w:val="none"/>
        </w:rPr>
        <w:t>萧山区年度排名结果发布后一个月内，根据月度和年度排名情况扣减相应费用后支付</w:t>
      </w:r>
      <w:bookmarkEnd w:id="37"/>
      <w:r>
        <w:rPr>
          <w:rFonts w:hint="eastAsia" w:ascii="仿宋" w:hAnsi="仿宋" w:eastAsia="仿宋" w:cs="仿宋"/>
          <w:color w:val="auto"/>
          <w:sz w:val="24"/>
          <w:szCs w:val="24"/>
          <w:highlight w:val="none"/>
        </w:rPr>
        <w:t>。</w:t>
      </w:r>
    </w:p>
    <w:p w14:paraId="5AC249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 4 \* GB3 \* MERGEFORMAT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④</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如合同履约过程中，有新增小区垃圾分类服务工作，按合同单价结算。如新增小区每月实际结算户数不足该小区总户的50%，按该小区总户数的50%结算。</w:t>
      </w:r>
    </w:p>
    <w:bookmarkEnd w:id="35"/>
    <w:bookmarkEnd w:id="36"/>
    <w:p w14:paraId="6EB21F1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（四）考核</w:t>
      </w:r>
    </w:p>
    <w:p w14:paraId="4B04A1A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街道月度考核按附件《北干街道小区第三方服务月度考核评分细则（试行）》执行，考核得分大于90分的全额支付服务费；考核得分80（不含）-90（含）分的，支付服务费的90%；考核得分70（不含）-80（含）分的，支付服务费的80%；考核得分≤70分的，支付服务费的（得分数值）%；考核得分＜60分，为考核不合格，支付服务费的50%。</w:t>
      </w:r>
    </w:p>
    <w:p w14:paraId="559836A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2.市(包括市级及以上)、区、街道将分别进行三级考核，专项检查中或被媒体曝光通报批评的，由街道分管领导签发通告，每次通告扣款5万元，合同期内累计通告达5次的，采购人有权终止合同。</w:t>
      </w:r>
    </w:p>
    <w:p w14:paraId="74DAB73E">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szCs w:val="24"/>
          <w:highlight w:val="none"/>
        </w:rPr>
        <w:t>3.根据北干街道在萧山区垃圾分类工作年度考核排名情况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年度考核排名在</w:t>
      </w:r>
      <w:r>
        <w:rPr>
          <w:rFonts w:hint="eastAsia" w:ascii="仿宋" w:hAnsi="仿宋" w:eastAsia="仿宋" w:cs="仿宋"/>
          <w:color w:val="auto"/>
          <w:sz w:val="24"/>
          <w:szCs w:val="24"/>
          <w:highlight w:val="none"/>
          <w:lang w:val="en-US" w:eastAsia="zh-CN"/>
        </w:rPr>
        <w:t>街道组</w:t>
      </w:r>
      <w:r>
        <w:rPr>
          <w:rFonts w:hint="eastAsia" w:ascii="仿宋" w:hAnsi="仿宋" w:eastAsia="仿宋" w:cs="仿宋"/>
          <w:color w:val="auto"/>
          <w:sz w:val="24"/>
          <w:szCs w:val="24"/>
          <w:highlight w:val="none"/>
        </w:rPr>
        <w:t>前三名的不扣款，第四名及以下的，每下降1名扣除</w:t>
      </w:r>
      <w:r>
        <w:rPr>
          <w:rFonts w:hint="eastAsia" w:ascii="仿宋" w:hAnsi="仿宋" w:eastAsia="仿宋" w:cs="仿宋"/>
          <w:color w:val="auto"/>
          <w:sz w:val="24"/>
          <w:szCs w:val="24"/>
          <w:highlight w:val="none"/>
          <w:lang w:val="en-US" w:eastAsia="zh-CN"/>
        </w:rPr>
        <w:t>剩余</w:t>
      </w:r>
      <w:r>
        <w:rPr>
          <w:rFonts w:hint="eastAsia" w:ascii="仿宋" w:hAnsi="仿宋" w:eastAsia="仿宋" w:cs="仿宋"/>
          <w:color w:val="auto"/>
          <w:sz w:val="24"/>
          <w:szCs w:val="24"/>
          <w:highlight w:val="none"/>
        </w:rPr>
        <w:t>考核费的5%。</w:t>
      </w:r>
    </w:p>
    <w:p w14:paraId="0640A28B">
      <w:pPr>
        <w:snapToGrid w:val="0"/>
        <w:spacing w:line="490" w:lineRule="exact"/>
        <w:rPr>
          <w:rFonts w:hint="eastAsia" w:ascii="仿宋" w:hAnsi="仿宋" w:eastAsia="仿宋" w:cs="仿宋"/>
          <w:color w:val="auto"/>
          <w:sz w:val="24"/>
          <w:highlight w:val="none"/>
        </w:rPr>
      </w:pPr>
    </w:p>
    <w:p w14:paraId="7474C407">
      <w:pPr>
        <w:snapToGrid w:val="0"/>
        <w:spacing w:line="49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注：</w:t>
      </w:r>
    </w:p>
    <w:p w14:paraId="1DCE545F">
      <w:pPr>
        <w:snapToGrid w:val="0"/>
        <w:spacing w:line="490" w:lineRule="exact"/>
        <w:ind w:firstLine="54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1、如有附图，仅作参考。</w:t>
      </w:r>
    </w:p>
    <w:p w14:paraId="24C5277C">
      <w:pPr>
        <w:snapToGrid w:val="0"/>
        <w:spacing w:line="490" w:lineRule="exact"/>
        <w:ind w:firstLine="54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2、打▲内容为实质性要求，不允许有负偏离，否则将以涉及无效投标条款作无效投标。</w:t>
      </w:r>
    </w:p>
    <w:p w14:paraId="255DCFE9">
      <w:pPr>
        <w:snapToGrid w:val="0"/>
        <w:spacing w:line="490" w:lineRule="exact"/>
        <w:ind w:firstLine="54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3、中标人所提供的货物、服务须与投标承诺一致，不得以次充好、偷工减料，若在项目验收中发现有上述情况，将向有关部门举报，根据相关规定进行处理。</w:t>
      </w:r>
    </w:p>
    <w:p w14:paraId="3BBFFE03">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2FEA7BB1">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8" w:name="_Toc184312085"/>
      <w:bookmarkEnd w:id="38"/>
      <w:bookmarkStart w:id="39" w:name="_Toc184308084"/>
      <w:bookmarkEnd w:id="39"/>
      <w:bookmarkStart w:id="40" w:name="_Toc184312096"/>
      <w:bookmarkEnd w:id="40"/>
      <w:bookmarkStart w:id="41" w:name="_Toc184313271"/>
      <w:bookmarkEnd w:id="41"/>
      <w:bookmarkStart w:id="42" w:name="_Toc184314422"/>
      <w:bookmarkEnd w:id="42"/>
      <w:bookmarkStart w:id="43" w:name="_Toc184308103"/>
      <w:bookmarkEnd w:id="43"/>
      <w:bookmarkStart w:id="44" w:name="_Toc184308087"/>
      <w:bookmarkEnd w:id="44"/>
      <w:bookmarkStart w:id="45" w:name="_Toc184313298"/>
      <w:bookmarkEnd w:id="45"/>
      <w:bookmarkStart w:id="46" w:name="_Toc184314420"/>
      <w:bookmarkEnd w:id="46"/>
      <w:bookmarkStart w:id="47" w:name="_Toc184312134"/>
      <w:bookmarkEnd w:id="47"/>
      <w:bookmarkStart w:id="48" w:name="_Toc184308069"/>
      <w:bookmarkEnd w:id="48"/>
      <w:bookmarkStart w:id="49" w:name="_Toc184310285"/>
      <w:bookmarkEnd w:id="49"/>
      <w:bookmarkStart w:id="50" w:name="_Toc184312137"/>
      <w:bookmarkEnd w:id="50"/>
      <w:bookmarkStart w:id="51" w:name="_Toc184310297"/>
      <w:bookmarkEnd w:id="51"/>
      <w:bookmarkStart w:id="52" w:name="_Toc184314465"/>
      <w:bookmarkEnd w:id="52"/>
      <w:bookmarkStart w:id="53" w:name="_Toc184312084"/>
      <w:bookmarkEnd w:id="53"/>
      <w:bookmarkStart w:id="54" w:name="_Toc184313301"/>
      <w:bookmarkEnd w:id="54"/>
      <w:bookmarkStart w:id="55" w:name="_Toc184313270"/>
      <w:bookmarkEnd w:id="55"/>
      <w:bookmarkStart w:id="56" w:name="_Toc184308070"/>
      <w:bookmarkEnd w:id="56"/>
      <w:bookmarkStart w:id="57" w:name="_Toc184314460"/>
      <w:bookmarkEnd w:id="57"/>
      <w:bookmarkStart w:id="58" w:name="_Toc184310283"/>
      <w:bookmarkEnd w:id="58"/>
      <w:bookmarkStart w:id="59" w:name="_Toc184308046"/>
      <w:bookmarkEnd w:id="59"/>
      <w:bookmarkStart w:id="60" w:name="_Toc184308085"/>
      <w:bookmarkEnd w:id="60"/>
      <w:bookmarkStart w:id="61" w:name="_Toc184314452"/>
      <w:bookmarkEnd w:id="61"/>
      <w:bookmarkStart w:id="62" w:name="_Toc184310277"/>
      <w:bookmarkEnd w:id="62"/>
      <w:bookmarkStart w:id="63" w:name="_Toc184314411"/>
      <w:bookmarkEnd w:id="63"/>
      <w:bookmarkStart w:id="64" w:name="_Toc184310290"/>
      <w:bookmarkEnd w:id="64"/>
      <w:bookmarkStart w:id="65" w:name="_Toc184313252"/>
      <w:bookmarkEnd w:id="65"/>
      <w:bookmarkStart w:id="66" w:name="_Toc184313251"/>
      <w:bookmarkEnd w:id="66"/>
      <w:bookmarkStart w:id="67" w:name="_Toc184308039"/>
      <w:bookmarkEnd w:id="67"/>
      <w:bookmarkStart w:id="68" w:name="_Toc184314482"/>
      <w:bookmarkEnd w:id="68"/>
      <w:bookmarkStart w:id="69" w:name="_Toc184313260"/>
      <w:bookmarkEnd w:id="69"/>
      <w:bookmarkStart w:id="70" w:name="_Toc184314410"/>
      <w:bookmarkEnd w:id="70"/>
      <w:bookmarkStart w:id="71" w:name="_Toc184312073"/>
      <w:bookmarkEnd w:id="71"/>
      <w:bookmarkStart w:id="72" w:name="_Toc184312070"/>
      <w:bookmarkEnd w:id="72"/>
      <w:bookmarkStart w:id="73" w:name="_Toc184313310"/>
      <w:bookmarkEnd w:id="73"/>
      <w:bookmarkStart w:id="74" w:name="_Toc184314471"/>
      <w:bookmarkEnd w:id="74"/>
      <w:bookmarkStart w:id="75" w:name="_Toc184312118"/>
      <w:bookmarkEnd w:id="75"/>
      <w:bookmarkStart w:id="76" w:name="_Toc184313281"/>
      <w:bookmarkEnd w:id="76"/>
      <w:bookmarkStart w:id="77" w:name="_Toc184308065"/>
      <w:bookmarkEnd w:id="77"/>
      <w:bookmarkStart w:id="78" w:name="_Toc184314479"/>
      <w:bookmarkEnd w:id="78"/>
      <w:bookmarkStart w:id="79" w:name="_Toc184313280"/>
      <w:bookmarkEnd w:id="79"/>
      <w:bookmarkStart w:id="80" w:name="_Toc184313247"/>
      <w:bookmarkEnd w:id="80"/>
      <w:bookmarkStart w:id="81" w:name="_Toc184312068"/>
      <w:bookmarkEnd w:id="81"/>
      <w:bookmarkStart w:id="82" w:name="_Toc184312108"/>
      <w:bookmarkEnd w:id="82"/>
      <w:bookmarkStart w:id="83" w:name="_Toc184313305"/>
      <w:bookmarkEnd w:id="83"/>
      <w:bookmarkStart w:id="84" w:name="_Toc184313295"/>
      <w:bookmarkEnd w:id="84"/>
      <w:bookmarkStart w:id="85" w:name="_Toc184308088"/>
      <w:bookmarkEnd w:id="85"/>
      <w:bookmarkStart w:id="86" w:name="_Toc184310289"/>
      <w:bookmarkEnd w:id="86"/>
      <w:bookmarkStart w:id="87" w:name="_Toc184312089"/>
      <w:bookmarkEnd w:id="87"/>
      <w:bookmarkStart w:id="88" w:name="_Toc184314448"/>
      <w:bookmarkEnd w:id="88"/>
      <w:bookmarkStart w:id="89" w:name="_Toc184310307"/>
      <w:bookmarkEnd w:id="89"/>
      <w:bookmarkStart w:id="90" w:name="_Toc184312098"/>
      <w:bookmarkEnd w:id="90"/>
      <w:bookmarkStart w:id="91" w:name="_Toc184313265"/>
      <w:bookmarkEnd w:id="91"/>
      <w:bookmarkStart w:id="92" w:name="_Toc184308068"/>
      <w:bookmarkEnd w:id="92"/>
      <w:bookmarkStart w:id="93" w:name="_Toc184313284"/>
      <w:bookmarkEnd w:id="93"/>
      <w:bookmarkStart w:id="94" w:name="_Toc184313262"/>
      <w:bookmarkEnd w:id="94"/>
      <w:bookmarkStart w:id="95" w:name="_Toc184310323"/>
      <w:bookmarkEnd w:id="95"/>
      <w:bookmarkStart w:id="96" w:name="_Toc184308089"/>
      <w:bookmarkEnd w:id="96"/>
      <w:bookmarkStart w:id="97" w:name="_Toc184310344"/>
      <w:bookmarkEnd w:id="97"/>
      <w:bookmarkStart w:id="98" w:name="_Toc184312077"/>
      <w:bookmarkEnd w:id="98"/>
      <w:bookmarkStart w:id="99" w:name="_Toc184310343"/>
      <w:bookmarkEnd w:id="99"/>
      <w:bookmarkStart w:id="100" w:name="_Toc184310282"/>
      <w:bookmarkEnd w:id="100"/>
      <w:bookmarkStart w:id="101" w:name="_Toc184312086"/>
      <w:bookmarkEnd w:id="101"/>
      <w:bookmarkStart w:id="102" w:name="_Toc184313296"/>
      <w:bookmarkEnd w:id="102"/>
      <w:bookmarkStart w:id="103" w:name="_Toc184312074"/>
      <w:bookmarkEnd w:id="103"/>
      <w:bookmarkStart w:id="104" w:name="_Toc184312132"/>
      <w:bookmarkEnd w:id="104"/>
      <w:bookmarkStart w:id="105" w:name="_Toc184310276"/>
      <w:bookmarkEnd w:id="105"/>
      <w:bookmarkStart w:id="106" w:name="_Toc184312105"/>
      <w:bookmarkEnd w:id="106"/>
      <w:bookmarkStart w:id="107" w:name="_Toc184308086"/>
      <w:bookmarkEnd w:id="107"/>
      <w:bookmarkStart w:id="108" w:name="_Toc184314450"/>
      <w:bookmarkEnd w:id="108"/>
      <w:bookmarkStart w:id="109" w:name="_Toc184314466"/>
      <w:bookmarkEnd w:id="109"/>
      <w:bookmarkStart w:id="110" w:name="_Toc184313242"/>
      <w:bookmarkEnd w:id="110"/>
      <w:bookmarkStart w:id="111" w:name="_Toc184314423"/>
      <w:bookmarkEnd w:id="111"/>
      <w:bookmarkStart w:id="112" w:name="_Toc184312100"/>
      <w:bookmarkEnd w:id="112"/>
      <w:bookmarkStart w:id="113" w:name="_Toc184310332"/>
      <w:bookmarkEnd w:id="113"/>
      <w:bookmarkStart w:id="114" w:name="_Toc184314434"/>
      <w:bookmarkEnd w:id="114"/>
      <w:bookmarkStart w:id="115" w:name="_Toc184314418"/>
      <w:bookmarkEnd w:id="115"/>
      <w:bookmarkStart w:id="116" w:name="_Toc184313308"/>
      <w:bookmarkEnd w:id="116"/>
      <w:bookmarkStart w:id="117" w:name="_Toc184310325"/>
      <w:bookmarkEnd w:id="117"/>
      <w:bookmarkStart w:id="118" w:name="_Toc184312133"/>
      <w:bookmarkEnd w:id="118"/>
      <w:bookmarkStart w:id="119" w:name="_Toc184312072"/>
      <w:bookmarkEnd w:id="119"/>
      <w:bookmarkStart w:id="120" w:name="_Toc184313277"/>
      <w:bookmarkEnd w:id="120"/>
      <w:bookmarkStart w:id="121" w:name="_Toc184308058"/>
      <w:bookmarkEnd w:id="121"/>
      <w:bookmarkStart w:id="122" w:name="_Toc184310278"/>
      <w:bookmarkEnd w:id="122"/>
      <w:bookmarkStart w:id="123" w:name="_Toc184313273"/>
      <w:bookmarkEnd w:id="123"/>
      <w:bookmarkStart w:id="124" w:name="_Toc184314419"/>
      <w:bookmarkEnd w:id="124"/>
      <w:bookmarkStart w:id="125" w:name="_Toc184308101"/>
      <w:bookmarkEnd w:id="125"/>
      <w:bookmarkStart w:id="126" w:name="_Toc184313279"/>
      <w:bookmarkEnd w:id="126"/>
      <w:bookmarkStart w:id="127" w:name="_Toc184313303"/>
      <w:bookmarkEnd w:id="127"/>
      <w:bookmarkStart w:id="128" w:name="_Toc184308075"/>
      <w:bookmarkEnd w:id="128"/>
      <w:bookmarkStart w:id="129" w:name="_Toc184312131"/>
      <w:bookmarkEnd w:id="129"/>
      <w:bookmarkStart w:id="130" w:name="_Toc184312116"/>
      <w:bookmarkEnd w:id="130"/>
      <w:bookmarkStart w:id="131" w:name="_Toc184312106"/>
      <w:bookmarkEnd w:id="131"/>
      <w:bookmarkStart w:id="132" w:name="_Toc184308040"/>
      <w:bookmarkEnd w:id="132"/>
      <w:bookmarkStart w:id="133" w:name="_Toc184314430"/>
      <w:bookmarkEnd w:id="133"/>
      <w:bookmarkStart w:id="134" w:name="_Toc184313259"/>
      <w:bookmarkEnd w:id="134"/>
      <w:bookmarkStart w:id="135" w:name="_Toc184310301"/>
      <w:bookmarkEnd w:id="135"/>
      <w:bookmarkStart w:id="136" w:name="_Toc184313269"/>
      <w:bookmarkEnd w:id="136"/>
      <w:bookmarkStart w:id="137" w:name="_Toc184310312"/>
      <w:bookmarkEnd w:id="137"/>
      <w:bookmarkStart w:id="138" w:name="_Toc184314451"/>
      <w:bookmarkEnd w:id="138"/>
      <w:bookmarkStart w:id="139" w:name="_Toc184314458"/>
      <w:bookmarkEnd w:id="139"/>
      <w:bookmarkStart w:id="140" w:name="_Toc184313276"/>
      <w:bookmarkEnd w:id="140"/>
      <w:bookmarkStart w:id="141" w:name="_Toc184308104"/>
      <w:bookmarkEnd w:id="141"/>
      <w:bookmarkStart w:id="142" w:name="_Toc184310294"/>
      <w:bookmarkEnd w:id="142"/>
      <w:bookmarkStart w:id="143" w:name="_Toc184308082"/>
      <w:bookmarkEnd w:id="143"/>
      <w:bookmarkStart w:id="144" w:name="_Toc184308051"/>
      <w:bookmarkEnd w:id="144"/>
      <w:bookmarkStart w:id="145" w:name="_Toc184313246"/>
      <w:bookmarkEnd w:id="145"/>
      <w:bookmarkStart w:id="146" w:name="_Toc184310298"/>
      <w:bookmarkEnd w:id="146"/>
      <w:bookmarkStart w:id="147" w:name="_Toc184308095"/>
      <w:bookmarkEnd w:id="147"/>
      <w:bookmarkStart w:id="148" w:name="_Toc184310321"/>
      <w:bookmarkEnd w:id="148"/>
      <w:bookmarkStart w:id="149" w:name="_Toc184308074"/>
      <w:bookmarkEnd w:id="149"/>
      <w:bookmarkStart w:id="150" w:name="_Toc184312082"/>
      <w:bookmarkEnd w:id="150"/>
      <w:bookmarkStart w:id="151" w:name="_Toc184308063"/>
      <w:bookmarkEnd w:id="151"/>
      <w:bookmarkStart w:id="152" w:name="_Toc184310330"/>
      <w:bookmarkEnd w:id="152"/>
      <w:bookmarkStart w:id="153" w:name="_Toc184310291"/>
      <w:bookmarkEnd w:id="153"/>
      <w:bookmarkStart w:id="154" w:name="_Toc184314464"/>
      <w:bookmarkEnd w:id="154"/>
      <w:bookmarkStart w:id="155" w:name="_Toc184310281"/>
      <w:bookmarkEnd w:id="155"/>
      <w:bookmarkStart w:id="156" w:name="_Toc184308047"/>
      <w:bookmarkEnd w:id="156"/>
      <w:bookmarkStart w:id="157" w:name="_Toc184308049"/>
      <w:bookmarkEnd w:id="157"/>
      <w:bookmarkStart w:id="158" w:name="_Toc184310328"/>
      <w:bookmarkEnd w:id="158"/>
      <w:bookmarkStart w:id="159" w:name="_Toc184308106"/>
      <w:bookmarkEnd w:id="159"/>
      <w:bookmarkStart w:id="160" w:name="_Toc184312124"/>
      <w:bookmarkEnd w:id="160"/>
      <w:bookmarkStart w:id="161" w:name="_Toc184312127"/>
      <w:bookmarkEnd w:id="161"/>
      <w:bookmarkStart w:id="162" w:name="_Toc184310329"/>
      <w:bookmarkEnd w:id="162"/>
      <w:bookmarkStart w:id="163" w:name="_Toc184310311"/>
      <w:bookmarkEnd w:id="163"/>
      <w:bookmarkStart w:id="164" w:name="_Toc184312119"/>
      <w:bookmarkEnd w:id="164"/>
      <w:bookmarkStart w:id="165" w:name="_Toc184308071"/>
      <w:bookmarkEnd w:id="165"/>
      <w:bookmarkStart w:id="166" w:name="_Toc184308041"/>
      <w:bookmarkEnd w:id="166"/>
      <w:bookmarkStart w:id="167" w:name="_Toc184313304"/>
      <w:bookmarkEnd w:id="167"/>
      <w:bookmarkStart w:id="168" w:name="_Toc184314442"/>
      <w:bookmarkEnd w:id="168"/>
      <w:bookmarkStart w:id="169" w:name="_Toc184312107"/>
      <w:bookmarkEnd w:id="169"/>
      <w:bookmarkStart w:id="170" w:name="_Toc184310296"/>
      <w:bookmarkEnd w:id="170"/>
      <w:bookmarkStart w:id="171" w:name="_Toc184314455"/>
      <w:bookmarkEnd w:id="171"/>
      <w:bookmarkStart w:id="172" w:name="_Toc184308056"/>
      <w:bookmarkEnd w:id="172"/>
      <w:bookmarkStart w:id="173" w:name="_Toc184310324"/>
      <w:bookmarkEnd w:id="173"/>
      <w:bookmarkStart w:id="174" w:name="_Toc184312069"/>
      <w:bookmarkEnd w:id="174"/>
      <w:bookmarkStart w:id="175" w:name="_Toc184308057"/>
      <w:bookmarkEnd w:id="175"/>
      <w:bookmarkStart w:id="176" w:name="_Toc184313255"/>
      <w:bookmarkEnd w:id="176"/>
      <w:bookmarkStart w:id="177" w:name="_Toc184313263"/>
      <w:bookmarkEnd w:id="177"/>
      <w:bookmarkStart w:id="178" w:name="_Toc184314470"/>
      <w:bookmarkEnd w:id="178"/>
      <w:bookmarkStart w:id="179" w:name="_Toc184312117"/>
      <w:bookmarkEnd w:id="179"/>
      <w:bookmarkStart w:id="180" w:name="_Toc184308042"/>
      <w:bookmarkEnd w:id="180"/>
      <w:bookmarkStart w:id="181" w:name="_Toc184310342"/>
      <w:bookmarkEnd w:id="181"/>
      <w:bookmarkStart w:id="182" w:name="_Toc184312114"/>
      <w:bookmarkEnd w:id="182"/>
      <w:bookmarkStart w:id="183" w:name="_Toc184314475"/>
      <w:bookmarkEnd w:id="183"/>
      <w:bookmarkStart w:id="184" w:name="_Toc184313287"/>
      <w:bookmarkEnd w:id="184"/>
      <w:bookmarkStart w:id="185" w:name="_Toc184314439"/>
      <w:bookmarkEnd w:id="185"/>
      <w:bookmarkStart w:id="186" w:name="_Toc184310300"/>
      <w:bookmarkEnd w:id="186"/>
      <w:bookmarkStart w:id="187" w:name="_Toc184310293"/>
      <w:bookmarkEnd w:id="187"/>
      <w:bookmarkStart w:id="188" w:name="_Toc184312088"/>
      <w:bookmarkEnd w:id="188"/>
      <w:bookmarkStart w:id="189" w:name="_Toc184308059"/>
      <w:bookmarkEnd w:id="189"/>
      <w:bookmarkStart w:id="190" w:name="_Toc184314468"/>
      <w:bookmarkEnd w:id="190"/>
      <w:bookmarkStart w:id="191" w:name="_Toc184308064"/>
      <w:bookmarkEnd w:id="191"/>
      <w:bookmarkStart w:id="192" w:name="_Toc184310327"/>
      <w:bookmarkEnd w:id="192"/>
      <w:bookmarkStart w:id="193" w:name="_Toc184310288"/>
      <w:bookmarkEnd w:id="193"/>
      <w:bookmarkStart w:id="194" w:name="_Toc184310314"/>
      <w:bookmarkEnd w:id="194"/>
      <w:bookmarkStart w:id="195" w:name="_Toc184310304"/>
      <w:bookmarkEnd w:id="195"/>
      <w:bookmarkStart w:id="196" w:name="_Toc184313238"/>
      <w:bookmarkEnd w:id="196"/>
      <w:bookmarkStart w:id="197" w:name="_Toc184310319"/>
      <w:bookmarkEnd w:id="197"/>
      <w:bookmarkStart w:id="198" w:name="_Toc184312087"/>
      <w:bookmarkEnd w:id="198"/>
      <w:bookmarkStart w:id="199" w:name="_Toc184313294"/>
      <w:bookmarkEnd w:id="199"/>
      <w:bookmarkStart w:id="200" w:name="_Toc184308076"/>
      <w:bookmarkEnd w:id="200"/>
      <w:bookmarkStart w:id="201" w:name="_Toc184308053"/>
      <w:bookmarkEnd w:id="201"/>
      <w:bookmarkStart w:id="202" w:name="_Toc184313286"/>
      <w:bookmarkEnd w:id="202"/>
      <w:bookmarkStart w:id="203" w:name="_Toc184308055"/>
      <w:bookmarkEnd w:id="203"/>
      <w:bookmarkStart w:id="204" w:name="_Toc184308090"/>
      <w:bookmarkEnd w:id="204"/>
      <w:bookmarkStart w:id="205" w:name="_Toc184312122"/>
      <w:bookmarkEnd w:id="205"/>
      <w:bookmarkStart w:id="206" w:name="_Toc184313272"/>
      <w:bookmarkEnd w:id="206"/>
      <w:bookmarkStart w:id="207" w:name="_Toc184312093"/>
      <w:bookmarkEnd w:id="207"/>
      <w:bookmarkStart w:id="208" w:name="_Toc184308044"/>
      <w:bookmarkEnd w:id="208"/>
      <w:bookmarkStart w:id="209" w:name="_Toc184308048"/>
      <w:bookmarkEnd w:id="209"/>
      <w:bookmarkStart w:id="210" w:name="_Toc184313292"/>
      <w:bookmarkEnd w:id="210"/>
      <w:bookmarkStart w:id="211" w:name="_Toc184312112"/>
      <w:bookmarkEnd w:id="211"/>
      <w:bookmarkStart w:id="212" w:name="_Toc184313274"/>
      <w:bookmarkEnd w:id="212"/>
      <w:bookmarkStart w:id="213" w:name="_Toc184310334"/>
      <w:bookmarkEnd w:id="213"/>
      <w:bookmarkStart w:id="214" w:name="_Toc184308067"/>
      <w:bookmarkEnd w:id="214"/>
      <w:bookmarkStart w:id="215" w:name="_Toc184313268"/>
      <w:bookmarkEnd w:id="215"/>
      <w:bookmarkStart w:id="216" w:name="_Toc184312103"/>
      <w:bookmarkEnd w:id="216"/>
      <w:bookmarkStart w:id="217" w:name="_Toc184314443"/>
      <w:bookmarkEnd w:id="217"/>
      <w:bookmarkStart w:id="218" w:name="_Toc184314441"/>
      <w:bookmarkEnd w:id="218"/>
      <w:bookmarkStart w:id="219" w:name="_Toc184308097"/>
      <w:bookmarkEnd w:id="219"/>
      <w:bookmarkStart w:id="220" w:name="_Toc184310306"/>
      <w:bookmarkEnd w:id="220"/>
      <w:bookmarkStart w:id="221" w:name="_Toc184313289"/>
      <w:bookmarkEnd w:id="221"/>
      <w:bookmarkStart w:id="222" w:name="_Toc184313267"/>
      <w:bookmarkEnd w:id="222"/>
      <w:bookmarkStart w:id="223" w:name="_Toc184313250"/>
      <w:bookmarkEnd w:id="223"/>
      <w:bookmarkStart w:id="224" w:name="_Toc184314431"/>
      <w:bookmarkEnd w:id="224"/>
      <w:bookmarkStart w:id="225" w:name="_Toc184313306"/>
      <w:bookmarkEnd w:id="225"/>
      <w:bookmarkStart w:id="226" w:name="_Toc184314476"/>
      <w:bookmarkEnd w:id="226"/>
      <w:bookmarkStart w:id="227" w:name="_Toc184308096"/>
      <w:bookmarkEnd w:id="227"/>
      <w:bookmarkStart w:id="228" w:name="_Toc184312079"/>
      <w:bookmarkEnd w:id="228"/>
      <w:bookmarkStart w:id="229" w:name="_Toc184310320"/>
      <w:bookmarkEnd w:id="229"/>
      <w:bookmarkStart w:id="230" w:name="_Toc184314480"/>
      <w:bookmarkEnd w:id="230"/>
      <w:bookmarkStart w:id="231" w:name="_Toc184314473"/>
      <w:bookmarkEnd w:id="231"/>
      <w:bookmarkStart w:id="232" w:name="_Toc184312129"/>
      <w:bookmarkEnd w:id="232"/>
      <w:bookmarkStart w:id="233" w:name="_Toc184310338"/>
      <w:bookmarkEnd w:id="233"/>
      <w:bookmarkStart w:id="234" w:name="_Toc184308037"/>
      <w:bookmarkEnd w:id="234"/>
      <w:bookmarkStart w:id="235" w:name="_Toc184312115"/>
      <w:bookmarkEnd w:id="235"/>
      <w:bookmarkStart w:id="236" w:name="_Toc184308045"/>
      <w:bookmarkEnd w:id="236"/>
      <w:bookmarkStart w:id="237" w:name="_Toc184310286"/>
      <w:bookmarkEnd w:id="237"/>
      <w:bookmarkStart w:id="238" w:name="_Toc184310313"/>
      <w:bookmarkEnd w:id="238"/>
      <w:bookmarkStart w:id="239" w:name="_Toc184313302"/>
      <w:bookmarkEnd w:id="239"/>
      <w:bookmarkStart w:id="240" w:name="_Toc184314426"/>
      <w:bookmarkEnd w:id="240"/>
      <w:bookmarkStart w:id="241" w:name="_Toc184313239"/>
      <w:bookmarkEnd w:id="241"/>
      <w:bookmarkStart w:id="242" w:name="_Toc184314424"/>
      <w:bookmarkEnd w:id="242"/>
      <w:bookmarkStart w:id="243" w:name="_Toc184314459"/>
      <w:bookmarkEnd w:id="243"/>
      <w:bookmarkStart w:id="244" w:name="_Toc184314417"/>
      <w:bookmarkEnd w:id="244"/>
      <w:bookmarkStart w:id="245" w:name="_Toc184313245"/>
      <w:bookmarkEnd w:id="245"/>
      <w:bookmarkStart w:id="246" w:name="_Toc184314453"/>
      <w:bookmarkEnd w:id="246"/>
      <w:bookmarkStart w:id="247" w:name="_Toc184308038"/>
      <w:bookmarkEnd w:id="247"/>
      <w:bookmarkStart w:id="248" w:name="_Toc184313254"/>
      <w:bookmarkEnd w:id="248"/>
      <w:bookmarkStart w:id="249" w:name="_Toc184312075"/>
      <w:bookmarkEnd w:id="249"/>
      <w:bookmarkStart w:id="250" w:name="_Toc184310295"/>
      <w:bookmarkEnd w:id="250"/>
      <w:bookmarkStart w:id="251" w:name="_Toc184313240"/>
      <w:bookmarkEnd w:id="251"/>
      <w:bookmarkStart w:id="252" w:name="_Toc184314454"/>
      <w:bookmarkEnd w:id="252"/>
      <w:bookmarkStart w:id="253" w:name="_Toc184313264"/>
      <w:bookmarkEnd w:id="253"/>
      <w:bookmarkStart w:id="254" w:name="_Toc184314478"/>
      <w:bookmarkEnd w:id="254"/>
      <w:bookmarkStart w:id="255" w:name="_Toc184308052"/>
      <w:bookmarkEnd w:id="255"/>
      <w:bookmarkStart w:id="256" w:name="_Toc184313297"/>
      <w:bookmarkEnd w:id="256"/>
      <w:bookmarkStart w:id="257" w:name="_Toc184313275"/>
      <w:bookmarkEnd w:id="257"/>
      <w:bookmarkStart w:id="258" w:name="_Toc184310305"/>
      <w:bookmarkEnd w:id="258"/>
      <w:bookmarkStart w:id="259" w:name="_Toc184308054"/>
      <w:bookmarkEnd w:id="259"/>
      <w:bookmarkStart w:id="260" w:name="_Toc184312099"/>
      <w:bookmarkEnd w:id="260"/>
      <w:bookmarkStart w:id="261" w:name="_Toc184312138"/>
      <w:bookmarkEnd w:id="261"/>
      <w:bookmarkStart w:id="262" w:name="_Toc184313283"/>
      <w:bookmarkEnd w:id="262"/>
      <w:bookmarkStart w:id="263" w:name="_Toc184308077"/>
      <w:bookmarkEnd w:id="263"/>
      <w:bookmarkStart w:id="264" w:name="_Toc184312135"/>
      <w:bookmarkEnd w:id="264"/>
      <w:bookmarkStart w:id="265" w:name="_Toc184312130"/>
      <w:bookmarkEnd w:id="265"/>
      <w:bookmarkStart w:id="266" w:name="_Toc184314438"/>
      <w:bookmarkEnd w:id="266"/>
      <w:bookmarkStart w:id="267" w:name="_Toc184310336"/>
      <w:bookmarkEnd w:id="267"/>
      <w:bookmarkStart w:id="268" w:name="_Toc184313278"/>
      <w:bookmarkEnd w:id="268"/>
      <w:bookmarkStart w:id="269" w:name="_Toc184312125"/>
      <w:bookmarkEnd w:id="269"/>
      <w:bookmarkStart w:id="270" w:name="_Toc184308099"/>
      <w:bookmarkEnd w:id="270"/>
      <w:bookmarkStart w:id="271" w:name="_Toc184308050"/>
      <w:bookmarkEnd w:id="271"/>
      <w:bookmarkStart w:id="272" w:name="_Toc184313261"/>
      <w:bookmarkEnd w:id="272"/>
      <w:bookmarkStart w:id="273" w:name="_Toc184310272"/>
      <w:bookmarkEnd w:id="273"/>
      <w:bookmarkStart w:id="274" w:name="_Toc184310341"/>
      <w:bookmarkEnd w:id="274"/>
      <w:bookmarkStart w:id="275" w:name="_Toc184313266"/>
      <w:bookmarkEnd w:id="275"/>
      <w:bookmarkStart w:id="276" w:name="_Toc184313249"/>
      <w:bookmarkEnd w:id="276"/>
      <w:bookmarkStart w:id="277" w:name="_Toc184312120"/>
      <w:bookmarkEnd w:id="277"/>
      <w:bookmarkStart w:id="278" w:name="_Toc184310333"/>
      <w:bookmarkEnd w:id="278"/>
      <w:bookmarkStart w:id="279" w:name="_Toc184308107"/>
      <w:bookmarkEnd w:id="279"/>
      <w:bookmarkStart w:id="280" w:name="_Toc184314457"/>
      <w:bookmarkEnd w:id="280"/>
      <w:bookmarkStart w:id="281" w:name="_Toc184308092"/>
      <w:bookmarkEnd w:id="281"/>
      <w:bookmarkStart w:id="282" w:name="_Toc184314462"/>
      <w:bookmarkEnd w:id="282"/>
      <w:bookmarkStart w:id="283" w:name="_Toc184312076"/>
      <w:bookmarkEnd w:id="283"/>
      <w:bookmarkStart w:id="284" w:name="_Toc184314456"/>
      <w:bookmarkEnd w:id="284"/>
      <w:bookmarkStart w:id="285" w:name="_Toc184314416"/>
      <w:bookmarkEnd w:id="285"/>
      <w:bookmarkStart w:id="286" w:name="_Toc184312123"/>
      <w:bookmarkEnd w:id="286"/>
      <w:bookmarkStart w:id="287" w:name="_Toc184310287"/>
      <w:bookmarkEnd w:id="287"/>
      <w:bookmarkStart w:id="288" w:name="_Toc184308100"/>
      <w:bookmarkEnd w:id="288"/>
      <w:bookmarkStart w:id="289" w:name="_Toc184310316"/>
      <w:bookmarkEnd w:id="289"/>
      <w:bookmarkStart w:id="290" w:name="_Toc184313288"/>
      <w:bookmarkEnd w:id="290"/>
      <w:bookmarkStart w:id="291" w:name="_Toc184310322"/>
      <w:bookmarkEnd w:id="291"/>
      <w:bookmarkStart w:id="292" w:name="_Toc184312091"/>
      <w:bookmarkEnd w:id="292"/>
      <w:bookmarkStart w:id="293" w:name="_Toc184312071"/>
      <w:bookmarkEnd w:id="293"/>
      <w:bookmarkStart w:id="294" w:name="_Toc184312126"/>
      <w:bookmarkEnd w:id="294"/>
      <w:bookmarkStart w:id="295" w:name="_Toc184308108"/>
      <w:bookmarkEnd w:id="295"/>
      <w:bookmarkStart w:id="296" w:name="_Toc184314446"/>
      <w:bookmarkEnd w:id="296"/>
      <w:bookmarkStart w:id="297" w:name="_Toc184312110"/>
      <w:bookmarkEnd w:id="297"/>
      <w:bookmarkStart w:id="298" w:name="_Toc184313243"/>
      <w:bookmarkEnd w:id="298"/>
      <w:bookmarkStart w:id="299" w:name="_Toc184314427"/>
      <w:bookmarkEnd w:id="299"/>
      <w:bookmarkStart w:id="300" w:name="_Toc184310309"/>
      <w:bookmarkEnd w:id="300"/>
      <w:bookmarkStart w:id="301" w:name="_Toc184313291"/>
      <w:bookmarkEnd w:id="301"/>
      <w:bookmarkStart w:id="302" w:name="_Toc184313241"/>
      <w:bookmarkEnd w:id="302"/>
      <w:bookmarkStart w:id="303" w:name="_Toc184310308"/>
      <w:bookmarkEnd w:id="303"/>
      <w:bookmarkStart w:id="304" w:name="_Toc184312083"/>
      <w:bookmarkEnd w:id="304"/>
      <w:bookmarkStart w:id="305" w:name="_Toc184312121"/>
      <w:bookmarkEnd w:id="305"/>
      <w:bookmarkStart w:id="306" w:name="_Toc184312113"/>
      <w:bookmarkEnd w:id="306"/>
      <w:bookmarkStart w:id="307" w:name="_Toc184308079"/>
      <w:bookmarkEnd w:id="307"/>
      <w:bookmarkStart w:id="308" w:name="_Toc184314421"/>
      <w:bookmarkEnd w:id="308"/>
      <w:bookmarkStart w:id="309" w:name="_Toc184314461"/>
      <w:bookmarkEnd w:id="309"/>
      <w:bookmarkStart w:id="310" w:name="_Toc184314435"/>
      <w:bookmarkEnd w:id="310"/>
      <w:bookmarkStart w:id="311" w:name="_Toc184310273"/>
      <w:bookmarkEnd w:id="311"/>
      <w:bookmarkStart w:id="312" w:name="_Toc184313258"/>
      <w:bookmarkEnd w:id="312"/>
      <w:bookmarkStart w:id="313" w:name="_Toc184312078"/>
      <w:bookmarkEnd w:id="313"/>
      <w:bookmarkStart w:id="314" w:name="_Toc184308072"/>
      <w:bookmarkEnd w:id="314"/>
      <w:bookmarkStart w:id="315" w:name="_Toc184314481"/>
      <w:bookmarkEnd w:id="315"/>
      <w:bookmarkStart w:id="316" w:name="_Toc184314472"/>
      <w:bookmarkEnd w:id="316"/>
      <w:bookmarkStart w:id="317" w:name="_Toc184310317"/>
      <w:bookmarkEnd w:id="317"/>
      <w:bookmarkStart w:id="318" w:name="_Toc184314437"/>
      <w:bookmarkEnd w:id="318"/>
      <w:bookmarkStart w:id="319" w:name="_Toc184312109"/>
      <w:bookmarkEnd w:id="319"/>
      <w:bookmarkStart w:id="320" w:name="_Toc184312136"/>
      <w:bookmarkEnd w:id="320"/>
      <w:bookmarkStart w:id="321" w:name="_Toc184313293"/>
      <w:bookmarkEnd w:id="321"/>
      <w:bookmarkStart w:id="322" w:name="_Toc184314467"/>
      <w:bookmarkEnd w:id="322"/>
      <w:bookmarkStart w:id="323" w:name="_Toc184310318"/>
      <w:bookmarkEnd w:id="323"/>
      <w:bookmarkStart w:id="324" w:name="_Toc184310339"/>
      <w:bookmarkEnd w:id="324"/>
      <w:bookmarkStart w:id="325" w:name="_Toc184314440"/>
      <w:bookmarkEnd w:id="325"/>
      <w:bookmarkStart w:id="326" w:name="_Toc184313307"/>
      <w:bookmarkEnd w:id="326"/>
      <w:bookmarkStart w:id="327" w:name="_Toc184312128"/>
      <w:bookmarkEnd w:id="327"/>
      <w:bookmarkStart w:id="328" w:name="_Toc184308080"/>
      <w:bookmarkEnd w:id="328"/>
      <w:bookmarkStart w:id="329" w:name="_Toc184314432"/>
      <w:bookmarkEnd w:id="329"/>
      <w:bookmarkStart w:id="330" w:name="_Toc184308073"/>
      <w:bookmarkEnd w:id="330"/>
      <w:bookmarkStart w:id="331" w:name="_Toc184308036"/>
      <w:bookmarkEnd w:id="331"/>
      <w:bookmarkStart w:id="332" w:name="_Toc184310280"/>
      <w:bookmarkEnd w:id="332"/>
      <w:bookmarkStart w:id="333" w:name="_Toc184314436"/>
      <w:bookmarkEnd w:id="333"/>
      <w:bookmarkStart w:id="334" w:name="_Toc184313257"/>
      <w:bookmarkEnd w:id="334"/>
      <w:bookmarkStart w:id="335" w:name="_Toc184310302"/>
      <w:bookmarkEnd w:id="335"/>
      <w:bookmarkStart w:id="336" w:name="_Toc184312095"/>
      <w:bookmarkEnd w:id="336"/>
      <w:bookmarkStart w:id="337" w:name="_Toc184313300"/>
      <w:bookmarkEnd w:id="337"/>
      <w:bookmarkStart w:id="338" w:name="_Toc184313282"/>
      <w:bookmarkEnd w:id="338"/>
      <w:bookmarkStart w:id="339" w:name="_Toc184308105"/>
      <w:bookmarkEnd w:id="339"/>
      <w:bookmarkStart w:id="340" w:name="_Toc184310284"/>
      <w:bookmarkEnd w:id="340"/>
      <w:bookmarkStart w:id="341" w:name="_Toc184314413"/>
      <w:bookmarkEnd w:id="341"/>
      <w:bookmarkStart w:id="342" w:name="_Toc184310274"/>
      <w:bookmarkEnd w:id="342"/>
      <w:bookmarkStart w:id="343" w:name="_Toc184308093"/>
      <w:bookmarkEnd w:id="343"/>
      <w:bookmarkStart w:id="344" w:name="_Toc184310315"/>
      <w:bookmarkEnd w:id="344"/>
      <w:bookmarkStart w:id="345" w:name="_Toc184312111"/>
      <w:bookmarkEnd w:id="345"/>
      <w:bookmarkStart w:id="346" w:name="_Toc184308060"/>
      <w:bookmarkEnd w:id="346"/>
      <w:bookmarkStart w:id="347" w:name="_Toc184308066"/>
      <w:bookmarkEnd w:id="347"/>
      <w:bookmarkStart w:id="348" w:name="_Toc184312094"/>
      <w:bookmarkEnd w:id="348"/>
      <w:bookmarkStart w:id="349" w:name="_Toc184312104"/>
      <w:bookmarkEnd w:id="349"/>
      <w:bookmarkStart w:id="350" w:name="_Toc184314477"/>
      <w:bookmarkEnd w:id="350"/>
      <w:bookmarkStart w:id="351" w:name="_Toc184314433"/>
      <w:bookmarkEnd w:id="351"/>
      <w:bookmarkStart w:id="352" w:name="_Toc184308098"/>
      <w:bookmarkEnd w:id="352"/>
      <w:bookmarkStart w:id="353" w:name="_Toc184314425"/>
      <w:bookmarkEnd w:id="353"/>
      <w:bookmarkStart w:id="354" w:name="_Toc184313299"/>
      <w:bookmarkEnd w:id="354"/>
      <w:bookmarkStart w:id="355" w:name="_Toc184308062"/>
      <w:bookmarkEnd w:id="355"/>
      <w:bookmarkStart w:id="356" w:name="_Toc184314469"/>
      <w:bookmarkEnd w:id="356"/>
      <w:bookmarkStart w:id="357" w:name="_Toc184314428"/>
      <w:bookmarkEnd w:id="357"/>
      <w:bookmarkStart w:id="358" w:name="_Toc184312090"/>
      <w:bookmarkEnd w:id="358"/>
      <w:bookmarkStart w:id="359" w:name="_Toc184308078"/>
      <w:bookmarkEnd w:id="359"/>
      <w:bookmarkStart w:id="360" w:name="_Toc184313248"/>
      <w:bookmarkEnd w:id="360"/>
      <w:bookmarkStart w:id="361" w:name="_Toc184313253"/>
      <w:bookmarkEnd w:id="361"/>
      <w:bookmarkStart w:id="362" w:name="_Toc184310335"/>
      <w:bookmarkEnd w:id="362"/>
      <w:bookmarkStart w:id="363" w:name="_Toc184310326"/>
      <w:bookmarkEnd w:id="363"/>
      <w:bookmarkStart w:id="364" w:name="_Toc184314463"/>
      <w:bookmarkEnd w:id="364"/>
      <w:bookmarkStart w:id="365" w:name="_Toc184310303"/>
      <w:bookmarkEnd w:id="365"/>
      <w:bookmarkStart w:id="366" w:name="_Toc184312097"/>
      <w:bookmarkEnd w:id="366"/>
      <w:bookmarkStart w:id="367" w:name="_Toc184312080"/>
      <w:bookmarkEnd w:id="367"/>
      <w:bookmarkStart w:id="368" w:name="_Toc184308094"/>
      <w:bookmarkEnd w:id="368"/>
      <w:bookmarkStart w:id="369" w:name="_Toc184312102"/>
      <w:bookmarkEnd w:id="369"/>
      <w:bookmarkStart w:id="370" w:name="_Toc184314447"/>
      <w:bookmarkEnd w:id="370"/>
      <w:bookmarkStart w:id="371" w:name="_Toc184308081"/>
      <w:bookmarkEnd w:id="371"/>
      <w:bookmarkStart w:id="372" w:name="_Toc184313285"/>
      <w:bookmarkEnd w:id="372"/>
      <w:bookmarkStart w:id="373" w:name="_Toc184314412"/>
      <w:bookmarkEnd w:id="373"/>
      <w:bookmarkStart w:id="374" w:name="_Toc184313256"/>
      <w:bookmarkEnd w:id="374"/>
      <w:bookmarkStart w:id="375" w:name="_Toc184314445"/>
      <w:bookmarkEnd w:id="375"/>
      <w:bookmarkStart w:id="376" w:name="_Toc184314474"/>
      <w:bookmarkEnd w:id="376"/>
      <w:bookmarkStart w:id="377" w:name="_Toc184314444"/>
      <w:bookmarkEnd w:id="377"/>
      <w:bookmarkStart w:id="378" w:name="_Toc184308102"/>
      <w:bookmarkEnd w:id="378"/>
      <w:bookmarkStart w:id="379" w:name="_Toc184310331"/>
      <w:bookmarkEnd w:id="379"/>
      <w:bookmarkStart w:id="380" w:name="_Toc184312081"/>
      <w:bookmarkEnd w:id="380"/>
      <w:bookmarkStart w:id="381" w:name="_Toc184312101"/>
      <w:bookmarkEnd w:id="381"/>
      <w:bookmarkStart w:id="382" w:name="_Toc184314449"/>
      <w:bookmarkEnd w:id="382"/>
      <w:bookmarkStart w:id="383" w:name="_Toc184312139"/>
      <w:bookmarkEnd w:id="383"/>
      <w:bookmarkStart w:id="384" w:name="_Toc184308043"/>
      <w:bookmarkEnd w:id="384"/>
      <w:bookmarkStart w:id="385" w:name="_Toc184310310"/>
      <w:bookmarkEnd w:id="385"/>
      <w:bookmarkStart w:id="386" w:name="_Toc184314429"/>
      <w:bookmarkEnd w:id="386"/>
      <w:bookmarkStart w:id="387" w:name="_Toc184310337"/>
      <w:bookmarkEnd w:id="387"/>
      <w:bookmarkStart w:id="388" w:name="_Toc184310292"/>
      <w:bookmarkEnd w:id="388"/>
      <w:bookmarkStart w:id="389" w:name="_Toc184310279"/>
      <w:bookmarkEnd w:id="389"/>
      <w:bookmarkStart w:id="390" w:name="_Toc184310299"/>
      <w:bookmarkEnd w:id="390"/>
      <w:bookmarkStart w:id="391" w:name="_Toc184314414"/>
      <w:bookmarkEnd w:id="391"/>
      <w:bookmarkStart w:id="392" w:name="_Toc184312092"/>
      <w:bookmarkEnd w:id="392"/>
      <w:bookmarkStart w:id="393" w:name="_Toc184313290"/>
      <w:bookmarkEnd w:id="393"/>
      <w:bookmarkStart w:id="394" w:name="_Toc184310275"/>
      <w:bookmarkEnd w:id="394"/>
      <w:bookmarkStart w:id="395" w:name="_Toc184308061"/>
      <w:bookmarkEnd w:id="395"/>
      <w:bookmarkStart w:id="396" w:name="_Toc184312067"/>
      <w:bookmarkEnd w:id="396"/>
      <w:bookmarkStart w:id="397" w:name="_Toc184313244"/>
      <w:bookmarkEnd w:id="397"/>
      <w:bookmarkStart w:id="398" w:name="_Toc184308091"/>
      <w:bookmarkEnd w:id="398"/>
      <w:bookmarkStart w:id="399" w:name="_Toc184308083"/>
      <w:bookmarkEnd w:id="399"/>
      <w:bookmarkStart w:id="400" w:name="_Toc184313309"/>
      <w:bookmarkEnd w:id="400"/>
      <w:bookmarkStart w:id="401" w:name="_Toc184310340"/>
      <w:bookmarkEnd w:id="401"/>
      <w:bookmarkStart w:id="402" w:name="_Toc184314415"/>
      <w:bookmarkEnd w:id="402"/>
      <w:r>
        <w:rPr>
          <w:rFonts w:hint="eastAsia" w:ascii="仿宋" w:hAnsi="仿宋" w:eastAsia="仿宋" w:cs="仿宋"/>
          <w:b/>
          <w:color w:val="auto"/>
          <w:sz w:val="36"/>
          <w:szCs w:val="36"/>
          <w:highlight w:val="none"/>
        </w:rPr>
        <w:t>评标办法</w:t>
      </w:r>
    </w:p>
    <w:p w14:paraId="39CE0BE6">
      <w:pPr>
        <w:spacing w:line="360" w:lineRule="auto"/>
        <w:jc w:val="center"/>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rPr>
        <w:t>评标办法前附表</w:t>
      </w:r>
      <w:bookmarkEnd w:id="26"/>
      <w:bookmarkStart w:id="403" w:name="第五部分"/>
      <w:bookmarkStart w:id="404" w:name="_Toc86217003"/>
      <w:r>
        <w:rPr>
          <w:rFonts w:hint="eastAsia" w:ascii="仿宋" w:hAnsi="仿宋" w:eastAsia="仿宋" w:cs="仿宋"/>
          <w:b/>
          <w:color w:val="auto"/>
          <w:sz w:val="32"/>
          <w:szCs w:val="20"/>
          <w:highlight w:val="none"/>
          <w:lang w:eastAsia="zh-CN"/>
        </w:rPr>
        <w:t>（</w:t>
      </w:r>
      <w:r>
        <w:rPr>
          <w:rFonts w:hint="eastAsia" w:ascii="仿宋" w:hAnsi="仿宋" w:eastAsia="仿宋" w:cs="仿宋"/>
          <w:b/>
          <w:color w:val="auto"/>
          <w:sz w:val="32"/>
          <w:szCs w:val="20"/>
          <w:highlight w:val="none"/>
          <w:lang w:val="en-US" w:eastAsia="zh-CN"/>
        </w:rPr>
        <w:t>标项1、标项2、标项3</w:t>
      </w:r>
      <w:r>
        <w:rPr>
          <w:rFonts w:hint="eastAsia" w:ascii="仿宋" w:hAnsi="仿宋" w:eastAsia="仿宋" w:cs="仿宋"/>
          <w:b/>
          <w:color w:val="auto"/>
          <w:sz w:val="32"/>
          <w:szCs w:val="20"/>
          <w:highlight w:val="none"/>
          <w:lang w:eastAsia="zh-CN"/>
        </w:rPr>
        <w:t>）</w:t>
      </w:r>
    </w:p>
    <w:tbl>
      <w:tblPr>
        <w:tblStyle w:val="62"/>
        <w:tblW w:w="10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1223"/>
        <w:gridCol w:w="6311"/>
        <w:gridCol w:w="879"/>
        <w:gridCol w:w="959"/>
      </w:tblGrid>
      <w:tr w14:paraId="261A3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0" w:hRule="atLeast"/>
          <w:jc w:val="center"/>
        </w:trPr>
        <w:tc>
          <w:tcPr>
            <w:tcW w:w="666" w:type="dxa"/>
            <w:noWrap w:val="0"/>
            <w:vAlign w:val="center"/>
          </w:tcPr>
          <w:p w14:paraId="46B0B2E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223" w:type="dxa"/>
            <w:noWrap w:val="0"/>
            <w:vAlign w:val="center"/>
          </w:tcPr>
          <w:p w14:paraId="66207523">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评分内容</w:t>
            </w:r>
          </w:p>
        </w:tc>
        <w:tc>
          <w:tcPr>
            <w:tcW w:w="6311" w:type="dxa"/>
            <w:noWrap w:val="0"/>
            <w:vAlign w:val="center"/>
          </w:tcPr>
          <w:p w14:paraId="0BB1DAE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评分方法</w:t>
            </w:r>
          </w:p>
        </w:tc>
        <w:tc>
          <w:tcPr>
            <w:tcW w:w="879" w:type="dxa"/>
            <w:noWrap w:val="0"/>
            <w:vAlign w:val="center"/>
          </w:tcPr>
          <w:p w14:paraId="1F3FB8A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959" w:type="dxa"/>
            <w:noWrap w:val="0"/>
            <w:vAlign w:val="center"/>
          </w:tcPr>
          <w:p w14:paraId="439B1AA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主/客观分</w:t>
            </w:r>
          </w:p>
        </w:tc>
      </w:tr>
      <w:tr w14:paraId="19180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666" w:type="dxa"/>
            <w:noWrap w:val="0"/>
            <w:vAlign w:val="center"/>
          </w:tcPr>
          <w:p w14:paraId="73BB34B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w:t>
            </w:r>
          </w:p>
        </w:tc>
        <w:tc>
          <w:tcPr>
            <w:tcW w:w="1223" w:type="dxa"/>
            <w:noWrap w:val="0"/>
            <w:vAlign w:val="center"/>
          </w:tcPr>
          <w:p w14:paraId="3568A957">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商务部分</w:t>
            </w:r>
          </w:p>
        </w:tc>
        <w:tc>
          <w:tcPr>
            <w:tcW w:w="6311" w:type="dxa"/>
            <w:noWrap w:val="0"/>
            <w:vAlign w:val="center"/>
          </w:tcPr>
          <w:p w14:paraId="2B3341C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p>
        </w:tc>
        <w:tc>
          <w:tcPr>
            <w:tcW w:w="879" w:type="dxa"/>
            <w:noWrap w:val="0"/>
            <w:vAlign w:val="center"/>
          </w:tcPr>
          <w:p w14:paraId="1FB0BD99">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0-10</w:t>
            </w:r>
          </w:p>
        </w:tc>
        <w:tc>
          <w:tcPr>
            <w:tcW w:w="959" w:type="dxa"/>
            <w:noWrap w:val="0"/>
            <w:vAlign w:val="center"/>
          </w:tcPr>
          <w:p w14:paraId="01FDF744">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r>
      <w:tr w14:paraId="74D19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3" w:hRule="atLeast"/>
          <w:jc w:val="center"/>
        </w:trPr>
        <w:tc>
          <w:tcPr>
            <w:tcW w:w="666" w:type="dxa"/>
            <w:noWrap w:val="0"/>
            <w:vAlign w:val="center"/>
          </w:tcPr>
          <w:p w14:paraId="4C1B92BB">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p>
        </w:tc>
        <w:tc>
          <w:tcPr>
            <w:tcW w:w="1223" w:type="dxa"/>
            <w:noWrap w:val="0"/>
            <w:vAlign w:val="center"/>
          </w:tcPr>
          <w:p w14:paraId="3B94C564">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管理体系认证和服务认证</w:t>
            </w:r>
          </w:p>
        </w:tc>
        <w:tc>
          <w:tcPr>
            <w:tcW w:w="6311" w:type="dxa"/>
            <w:noWrap w:val="0"/>
            <w:vAlign w:val="center"/>
          </w:tcPr>
          <w:p w14:paraId="0E66B4D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以下认证的每具有1个得1分，本项最高得5分。</w:t>
            </w:r>
          </w:p>
          <w:p w14:paraId="3223EAB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（1）质量管理体系认证；（2）环境管理体系认证；（3）职业健康安全管理体系认证；（4）企业社会责任管理体系认证；（5）污水和垃圾处置、公共卫生及其他环境保护服务认证。</w:t>
            </w:r>
          </w:p>
          <w:p w14:paraId="2F2308F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rPr>
              <w:t>证明材料提供</w:t>
            </w:r>
            <w:r>
              <w:rPr>
                <w:rFonts w:hint="eastAsia" w:ascii="仿宋" w:hAnsi="仿宋" w:eastAsia="仿宋" w:cs="仿宋"/>
                <w:color w:val="auto"/>
                <w:sz w:val="24"/>
                <w:szCs w:val="24"/>
                <w:highlight w:val="none"/>
                <w:lang w:val="en-US" w:eastAsia="zh-CN"/>
              </w:rPr>
              <w:t>有效期内的</w:t>
            </w:r>
            <w:r>
              <w:rPr>
                <w:rFonts w:hint="eastAsia" w:ascii="仿宋" w:hAnsi="仿宋" w:eastAsia="仿宋" w:cs="仿宋"/>
                <w:color w:val="auto"/>
                <w:sz w:val="24"/>
                <w:szCs w:val="24"/>
                <w:highlight w:val="none"/>
              </w:rPr>
              <w:t>认证证书扫描件和全国认证认可信息公共服务平台（</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"http://cx.cnca.cn/CertECloud/result/skipResultList" </w:instrText>
            </w:r>
            <w:r>
              <w:rPr>
                <w:rFonts w:hint="eastAsia" w:ascii="仿宋" w:hAnsi="仿宋" w:eastAsia="仿宋" w:cs="仿宋"/>
                <w:color w:val="auto"/>
                <w:sz w:val="24"/>
                <w:szCs w:val="24"/>
                <w:highlight w:val="none"/>
              </w:rPr>
              <w:fldChar w:fldCharType="separate"/>
            </w:r>
            <w:r>
              <w:rPr>
                <w:rStyle w:val="76"/>
                <w:rFonts w:hint="eastAsia" w:ascii="仿宋" w:hAnsi="仿宋" w:eastAsia="仿宋" w:cs="仿宋"/>
                <w:color w:val="auto"/>
                <w:sz w:val="24"/>
                <w:szCs w:val="24"/>
                <w:highlight w:val="none"/>
              </w:rPr>
              <w:t>http://cx.cnca.cn/CertECloud/result/skipResultList</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）查询截图，</w:t>
            </w:r>
            <w:r>
              <w:rPr>
                <w:rFonts w:hint="eastAsia" w:ascii="仿宋" w:hAnsi="仿宋" w:eastAsia="仿宋" w:cs="仿宋"/>
                <w:b/>
                <w:bCs/>
                <w:color w:val="auto"/>
                <w:sz w:val="24"/>
                <w:szCs w:val="24"/>
                <w:highlight w:val="none"/>
              </w:rPr>
              <w:t>其中（1）、（2）、（5）认证范围须含垃圾分类服务或环卫保洁服务。</w:t>
            </w:r>
          </w:p>
        </w:tc>
        <w:tc>
          <w:tcPr>
            <w:tcW w:w="879" w:type="dxa"/>
            <w:noWrap w:val="0"/>
            <w:vAlign w:val="center"/>
          </w:tcPr>
          <w:p w14:paraId="2E4E602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0-5</w:t>
            </w:r>
          </w:p>
        </w:tc>
        <w:tc>
          <w:tcPr>
            <w:tcW w:w="959" w:type="dxa"/>
            <w:noWrap w:val="0"/>
            <w:vAlign w:val="center"/>
          </w:tcPr>
          <w:p w14:paraId="6411EA7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5376D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noWrap w:val="0"/>
            <w:vAlign w:val="center"/>
          </w:tcPr>
          <w:p w14:paraId="180DAF6C">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p>
        </w:tc>
        <w:tc>
          <w:tcPr>
            <w:tcW w:w="1223" w:type="dxa"/>
            <w:noWrap w:val="0"/>
            <w:vAlign w:val="center"/>
          </w:tcPr>
          <w:p w14:paraId="01635D10">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类似项目业绩</w:t>
            </w:r>
          </w:p>
        </w:tc>
        <w:tc>
          <w:tcPr>
            <w:tcW w:w="6311" w:type="dxa"/>
            <w:noWrap w:val="0"/>
            <w:vAlign w:val="center"/>
          </w:tcPr>
          <w:p w14:paraId="03C3D091">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lang w:val="en-US"/>
              </w:rPr>
              <w:t>具有已完成过的单个合同城镇住宅小区垃圾分类服务项目业绩的，每</w:t>
            </w:r>
            <w:r>
              <w:rPr>
                <w:rFonts w:hint="eastAsia" w:ascii="仿宋" w:hAnsi="仿宋" w:eastAsia="仿宋" w:cs="仿宋"/>
                <w:color w:val="auto"/>
                <w:sz w:val="24"/>
                <w:szCs w:val="24"/>
                <w:highlight w:val="none"/>
                <w:lang w:val="en-US" w:eastAsia="zh-CN"/>
              </w:rPr>
              <w:t>提供1</w:t>
            </w:r>
            <w:r>
              <w:rPr>
                <w:rFonts w:hint="eastAsia" w:ascii="仿宋" w:hAnsi="仿宋" w:eastAsia="仿宋" w:cs="仿宋"/>
                <w:color w:val="auto"/>
                <w:sz w:val="24"/>
                <w:szCs w:val="24"/>
                <w:highlight w:val="none"/>
                <w:lang w:val="en-US"/>
              </w:rPr>
              <w:t>个得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lang w:val="en-US"/>
              </w:rPr>
              <w:t>分，最高得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en-US"/>
              </w:rPr>
              <w:t>分。</w:t>
            </w:r>
          </w:p>
          <w:p w14:paraId="4E9C0DA2">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lang w:val="en-US"/>
              </w:rPr>
              <w:t>证明材料提供合同和履约完毕评价（合同中载明的服务期结束）。履约评价不合格的不得分。</w:t>
            </w:r>
          </w:p>
        </w:tc>
        <w:tc>
          <w:tcPr>
            <w:tcW w:w="879" w:type="dxa"/>
            <w:noWrap w:val="0"/>
            <w:vAlign w:val="center"/>
          </w:tcPr>
          <w:p w14:paraId="2F6A80F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w:t>
            </w:r>
          </w:p>
        </w:tc>
        <w:tc>
          <w:tcPr>
            <w:tcW w:w="959" w:type="dxa"/>
            <w:noWrap w:val="0"/>
            <w:vAlign w:val="center"/>
          </w:tcPr>
          <w:p w14:paraId="4D0E518E">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客观分</w:t>
            </w:r>
          </w:p>
        </w:tc>
      </w:tr>
      <w:tr w14:paraId="7299C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noWrap w:val="0"/>
            <w:vAlign w:val="center"/>
          </w:tcPr>
          <w:p w14:paraId="69480C31">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3</w:t>
            </w:r>
          </w:p>
        </w:tc>
        <w:tc>
          <w:tcPr>
            <w:tcW w:w="1223" w:type="dxa"/>
            <w:noWrap w:val="0"/>
            <w:vAlign w:val="center"/>
          </w:tcPr>
          <w:p w14:paraId="6DA718B9">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服务对象满意度</w:t>
            </w:r>
          </w:p>
        </w:tc>
        <w:tc>
          <w:tcPr>
            <w:tcW w:w="6311" w:type="dxa"/>
            <w:noWrap w:val="0"/>
            <w:vAlign w:val="center"/>
          </w:tcPr>
          <w:p w14:paraId="1F39A328">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20</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lang w:val="en-US"/>
              </w:rPr>
              <w:t>年1月1日起，投标人收到服务对象表扬信、感谢信、表彰等满意评价材料，每提供1个得1分，最高得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en-US"/>
              </w:rPr>
              <w:t>分。</w:t>
            </w:r>
          </w:p>
          <w:p w14:paraId="1C6C3754">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rPr>
              <w:t>以收到采购服务单位（包括但不限于机关事业单位、公司、小区业委会等非自然人机构）相关盖公章书面材料为准</w:t>
            </w:r>
            <w:r>
              <w:rPr>
                <w:rFonts w:hint="eastAsia" w:ascii="仿宋" w:hAnsi="仿宋" w:eastAsia="仿宋" w:cs="仿宋"/>
                <w:color w:val="auto"/>
                <w:sz w:val="24"/>
                <w:szCs w:val="24"/>
                <w:highlight w:val="none"/>
                <w:lang w:val="en-US" w:eastAsia="zh-CN"/>
              </w:rPr>
              <w:t>。</w:t>
            </w:r>
          </w:p>
        </w:tc>
        <w:tc>
          <w:tcPr>
            <w:tcW w:w="879" w:type="dxa"/>
            <w:noWrap w:val="0"/>
            <w:vAlign w:val="center"/>
          </w:tcPr>
          <w:p w14:paraId="0D20842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p>
        </w:tc>
        <w:tc>
          <w:tcPr>
            <w:tcW w:w="959" w:type="dxa"/>
            <w:noWrap w:val="0"/>
            <w:vAlign w:val="center"/>
          </w:tcPr>
          <w:p w14:paraId="3076B85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客观分</w:t>
            </w:r>
          </w:p>
        </w:tc>
      </w:tr>
      <w:tr w14:paraId="59691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666" w:type="dxa"/>
            <w:noWrap w:val="0"/>
            <w:vAlign w:val="center"/>
          </w:tcPr>
          <w:p w14:paraId="3086C4B7">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4</w:t>
            </w:r>
          </w:p>
        </w:tc>
        <w:tc>
          <w:tcPr>
            <w:tcW w:w="1223" w:type="dxa"/>
            <w:noWrap w:val="0"/>
            <w:vAlign w:val="center"/>
          </w:tcPr>
          <w:p w14:paraId="78DD5153">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拟派项目</w:t>
            </w:r>
          </w:p>
          <w:p w14:paraId="1CF40519">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经理</w:t>
            </w:r>
            <w:r>
              <w:rPr>
                <w:rFonts w:hint="eastAsia" w:ascii="仿宋" w:hAnsi="仿宋" w:eastAsia="仿宋" w:cs="仿宋"/>
                <w:color w:val="auto"/>
                <w:sz w:val="24"/>
                <w:szCs w:val="24"/>
                <w:highlight w:val="none"/>
                <w:lang w:val="en-US" w:eastAsia="zh-CN"/>
              </w:rPr>
              <w:t>经验</w:t>
            </w:r>
          </w:p>
        </w:tc>
        <w:tc>
          <w:tcPr>
            <w:tcW w:w="6311" w:type="dxa"/>
            <w:noWrap w:val="0"/>
            <w:vAlign w:val="center"/>
          </w:tcPr>
          <w:p w14:paraId="4FAC417E">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拟派项目经理具有担任过已完成的单个合同城镇住宅小区年度垃圾分类服务项目经理</w:t>
            </w:r>
            <w:r>
              <w:rPr>
                <w:rFonts w:hint="eastAsia" w:ascii="仿宋" w:hAnsi="仿宋" w:eastAsia="仿宋" w:cs="仿宋"/>
                <w:color w:val="auto"/>
                <w:sz w:val="24"/>
                <w:szCs w:val="24"/>
                <w:highlight w:val="none"/>
                <w:lang w:val="en-US" w:eastAsia="zh-CN"/>
              </w:rPr>
              <w:t>经验</w:t>
            </w:r>
            <w:r>
              <w:rPr>
                <w:rFonts w:hint="eastAsia" w:ascii="仿宋" w:hAnsi="仿宋" w:eastAsia="仿宋" w:cs="仿宋"/>
                <w:color w:val="auto"/>
                <w:sz w:val="24"/>
                <w:szCs w:val="24"/>
                <w:highlight w:val="none"/>
                <w:lang w:val="en-US"/>
              </w:rPr>
              <w:t>的，每具有1个得1分，最高得2分。</w:t>
            </w:r>
          </w:p>
          <w:p w14:paraId="7A23CE25">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lang w:val="en-US"/>
              </w:rPr>
              <w:t>证明材料提供合同和履约完毕评价（合同中载明的服务期结束）。履约评价不合格的不得分。若证明材料未体现项目经理姓名的，则另行提供甲方证明。</w:t>
            </w:r>
          </w:p>
        </w:tc>
        <w:tc>
          <w:tcPr>
            <w:tcW w:w="879" w:type="dxa"/>
            <w:noWrap w:val="0"/>
            <w:vAlign w:val="center"/>
          </w:tcPr>
          <w:p w14:paraId="17F32E28">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0-2</w:t>
            </w:r>
          </w:p>
        </w:tc>
        <w:tc>
          <w:tcPr>
            <w:tcW w:w="959" w:type="dxa"/>
            <w:noWrap w:val="0"/>
            <w:vAlign w:val="center"/>
          </w:tcPr>
          <w:p w14:paraId="6860138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客观分</w:t>
            </w:r>
          </w:p>
        </w:tc>
      </w:tr>
      <w:tr w14:paraId="3989C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666" w:type="dxa"/>
            <w:noWrap w:val="0"/>
            <w:vAlign w:val="center"/>
          </w:tcPr>
          <w:p w14:paraId="64ED3EC3">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rPr>
              <w:t>二</w:t>
            </w:r>
          </w:p>
        </w:tc>
        <w:tc>
          <w:tcPr>
            <w:tcW w:w="1223" w:type="dxa"/>
            <w:noWrap w:val="0"/>
            <w:vAlign w:val="center"/>
          </w:tcPr>
          <w:p w14:paraId="00BED78B">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rPr>
              <w:t>技术部分</w:t>
            </w:r>
          </w:p>
        </w:tc>
        <w:tc>
          <w:tcPr>
            <w:tcW w:w="6311" w:type="dxa"/>
            <w:noWrap w:val="0"/>
            <w:vAlign w:val="center"/>
          </w:tcPr>
          <w:p w14:paraId="576C6206">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lang w:val="en-US"/>
              </w:rPr>
            </w:pPr>
          </w:p>
        </w:tc>
        <w:tc>
          <w:tcPr>
            <w:tcW w:w="879" w:type="dxa"/>
            <w:noWrap w:val="0"/>
            <w:vAlign w:val="center"/>
          </w:tcPr>
          <w:p w14:paraId="3408534D">
            <w:pPr>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0-</w:t>
            </w:r>
            <w:r>
              <w:rPr>
                <w:rFonts w:hint="eastAsia" w:ascii="仿宋" w:hAnsi="仿宋" w:eastAsia="仿宋" w:cs="仿宋"/>
                <w:b/>
                <w:bCs/>
                <w:color w:val="auto"/>
                <w:sz w:val="24"/>
                <w:szCs w:val="24"/>
                <w:highlight w:val="none"/>
                <w:lang w:val="en-US" w:eastAsia="zh-CN"/>
              </w:rPr>
              <w:t>80</w:t>
            </w:r>
          </w:p>
        </w:tc>
        <w:tc>
          <w:tcPr>
            <w:tcW w:w="959" w:type="dxa"/>
            <w:noWrap w:val="0"/>
            <w:vAlign w:val="center"/>
          </w:tcPr>
          <w:p w14:paraId="2CF990E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r>
      <w:tr w14:paraId="3A130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noWrap w:val="0"/>
            <w:vAlign w:val="center"/>
          </w:tcPr>
          <w:p w14:paraId="12CDF718">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5</w:t>
            </w:r>
          </w:p>
        </w:tc>
        <w:tc>
          <w:tcPr>
            <w:tcW w:w="1223" w:type="dxa"/>
            <w:noWrap w:val="0"/>
            <w:vAlign w:val="center"/>
          </w:tcPr>
          <w:p w14:paraId="6FABAD88">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组织架构</w:t>
            </w:r>
          </w:p>
        </w:tc>
        <w:tc>
          <w:tcPr>
            <w:tcW w:w="6311" w:type="dxa"/>
            <w:noWrap w:val="0"/>
            <w:vAlign w:val="center"/>
          </w:tcPr>
          <w:p w14:paraId="28AF8BFB">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lang w:val="en-US"/>
              </w:rPr>
              <w:t>组织架构</w:t>
            </w:r>
            <w:r>
              <w:rPr>
                <w:rFonts w:hint="eastAsia" w:ascii="仿宋" w:hAnsi="仿宋" w:eastAsia="仿宋" w:cs="仿宋"/>
                <w:color w:val="auto"/>
                <w:sz w:val="24"/>
                <w:szCs w:val="24"/>
                <w:highlight w:val="none"/>
                <w:lang w:val="en-US" w:eastAsia="zh-CN"/>
              </w:rPr>
              <w:t>，包含但不限于</w:t>
            </w:r>
            <w:r>
              <w:rPr>
                <w:rFonts w:hint="eastAsia" w:ascii="仿宋" w:hAnsi="仿宋" w:eastAsia="仿宋" w:cs="仿宋"/>
                <w:color w:val="auto"/>
                <w:sz w:val="24"/>
                <w:szCs w:val="24"/>
                <w:highlight w:val="none"/>
                <w:lang w:val="en-US"/>
              </w:rPr>
              <w:t>管理流程、权责分配、运作流程图、监督机制、自我约束机制、信息反馈渠道及处理机制</w:t>
            </w:r>
            <w:r>
              <w:rPr>
                <w:rFonts w:hint="eastAsia" w:ascii="仿宋" w:hAnsi="仿宋" w:eastAsia="仿宋" w:cs="仿宋"/>
                <w:color w:val="auto"/>
                <w:sz w:val="24"/>
                <w:szCs w:val="24"/>
                <w:highlight w:val="none"/>
                <w:lang w:val="en-US" w:eastAsia="zh-CN"/>
              </w:rPr>
              <w:t>。架构完善、</w:t>
            </w:r>
            <w:r>
              <w:rPr>
                <w:rFonts w:hint="eastAsia" w:ascii="仿宋" w:hAnsi="仿宋" w:eastAsia="仿宋" w:cs="仿宋"/>
                <w:color w:val="auto"/>
                <w:sz w:val="24"/>
                <w:szCs w:val="24"/>
                <w:highlight w:val="none"/>
                <w:lang w:val="en-US"/>
              </w:rPr>
              <w:t>清晰简练</w:t>
            </w:r>
            <w:r>
              <w:rPr>
                <w:rFonts w:hint="eastAsia" w:ascii="仿宋" w:hAnsi="仿宋" w:eastAsia="仿宋" w:cs="仿宋"/>
                <w:color w:val="auto"/>
                <w:sz w:val="24"/>
                <w:szCs w:val="24"/>
                <w:highlight w:val="none"/>
                <w:lang w:val="en-US" w:eastAsia="zh-CN"/>
              </w:rPr>
              <w:t>列明，符合</w:t>
            </w:r>
            <w:r>
              <w:rPr>
                <w:rFonts w:hint="eastAsia" w:ascii="仿宋" w:hAnsi="仿宋" w:eastAsia="仿宋" w:cs="仿宋"/>
                <w:color w:val="auto"/>
                <w:sz w:val="24"/>
                <w:szCs w:val="24"/>
                <w:highlight w:val="none"/>
                <w:lang w:val="en-US"/>
              </w:rPr>
              <w:t>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en-US"/>
              </w:rPr>
              <w:t>分，</w:t>
            </w:r>
            <w:r>
              <w:rPr>
                <w:rFonts w:hint="eastAsia" w:ascii="仿宋" w:hAnsi="仿宋" w:eastAsia="仿宋" w:cs="仿宋"/>
                <w:color w:val="auto"/>
                <w:sz w:val="24"/>
                <w:szCs w:val="24"/>
                <w:highlight w:val="none"/>
                <w:lang w:val="en-US" w:eastAsia="zh-CN"/>
              </w:rPr>
              <w:t>较符合的得2分，</w:t>
            </w:r>
            <w:r>
              <w:rPr>
                <w:rFonts w:hint="eastAsia" w:ascii="仿宋" w:hAnsi="仿宋" w:eastAsia="仿宋" w:cs="仿宋"/>
                <w:color w:val="auto"/>
                <w:sz w:val="24"/>
                <w:szCs w:val="24"/>
                <w:highlight w:val="none"/>
                <w:lang w:val="en-US"/>
              </w:rPr>
              <w:t>基本符合的得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en-US"/>
              </w:rPr>
              <w:t>分，不符合的得0分。</w:t>
            </w:r>
          </w:p>
        </w:tc>
        <w:tc>
          <w:tcPr>
            <w:tcW w:w="879" w:type="dxa"/>
            <w:noWrap w:val="0"/>
            <w:vAlign w:val="center"/>
          </w:tcPr>
          <w:p w14:paraId="15BF73DC">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3</w:t>
            </w:r>
          </w:p>
        </w:tc>
        <w:tc>
          <w:tcPr>
            <w:tcW w:w="959" w:type="dxa"/>
            <w:noWrap w:val="0"/>
            <w:vAlign w:val="center"/>
          </w:tcPr>
          <w:p w14:paraId="79082F5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4F33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66" w:type="dxa"/>
            <w:noWrap w:val="0"/>
            <w:vAlign w:val="center"/>
          </w:tcPr>
          <w:p w14:paraId="41873EFF">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6</w:t>
            </w:r>
          </w:p>
        </w:tc>
        <w:tc>
          <w:tcPr>
            <w:tcW w:w="1223" w:type="dxa"/>
            <w:noWrap w:val="0"/>
            <w:vAlign w:val="center"/>
          </w:tcPr>
          <w:p w14:paraId="59FA5178">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管理制度</w:t>
            </w:r>
          </w:p>
        </w:tc>
        <w:tc>
          <w:tcPr>
            <w:tcW w:w="6311" w:type="dxa"/>
            <w:noWrap w:val="0"/>
            <w:vAlign w:val="center"/>
          </w:tcPr>
          <w:p w14:paraId="192A2FA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管理制度（绩效管理制度、台账管理制度及台账模板、员工考勤制度、员工日常行为规范管理制度、廉洁管理制度、资产管理制度、档案管理制度等相关规章制度），每具有一个有效</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完善</w:t>
            </w:r>
            <w:r>
              <w:rPr>
                <w:rFonts w:hint="eastAsia" w:ascii="仿宋" w:hAnsi="仿宋" w:eastAsia="仿宋" w:cs="仿宋"/>
                <w:color w:val="auto"/>
                <w:sz w:val="24"/>
                <w:szCs w:val="24"/>
                <w:highlight w:val="none"/>
              </w:rPr>
              <w:t>的规章制度</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得0.5分，最高得3分。</w:t>
            </w:r>
          </w:p>
          <w:p w14:paraId="673EE511">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垃圾分类服务质量控制标准是否符合采购要求，符合的得2分，基本符合的得1分，不符合的得0分。</w:t>
            </w:r>
          </w:p>
        </w:tc>
        <w:tc>
          <w:tcPr>
            <w:tcW w:w="879" w:type="dxa"/>
            <w:noWrap w:val="0"/>
            <w:vAlign w:val="center"/>
          </w:tcPr>
          <w:p w14:paraId="07305F2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0-5</w:t>
            </w:r>
          </w:p>
        </w:tc>
        <w:tc>
          <w:tcPr>
            <w:tcW w:w="959" w:type="dxa"/>
            <w:noWrap w:val="0"/>
            <w:vAlign w:val="center"/>
          </w:tcPr>
          <w:p w14:paraId="3F44C26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5C45C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9" w:hRule="atLeast"/>
          <w:jc w:val="center"/>
        </w:trPr>
        <w:tc>
          <w:tcPr>
            <w:tcW w:w="666" w:type="dxa"/>
            <w:noWrap w:val="0"/>
            <w:vAlign w:val="center"/>
          </w:tcPr>
          <w:p w14:paraId="433302D6">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7</w:t>
            </w:r>
          </w:p>
        </w:tc>
        <w:tc>
          <w:tcPr>
            <w:tcW w:w="1223" w:type="dxa"/>
            <w:noWrap w:val="0"/>
            <w:vAlign w:val="center"/>
          </w:tcPr>
          <w:p w14:paraId="02752710">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重难点</w:t>
            </w:r>
          </w:p>
          <w:p w14:paraId="1663FD03">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分析</w:t>
            </w:r>
          </w:p>
        </w:tc>
        <w:tc>
          <w:tcPr>
            <w:tcW w:w="6311" w:type="dxa"/>
            <w:noWrap w:val="0"/>
            <w:vAlign w:val="center"/>
          </w:tcPr>
          <w:p w14:paraId="2F84907E">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针对所投标项所包含的服务区域垃圾分类工作的重难点分析。分析到位、具有针对性解决方案的得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分；分析</w:t>
            </w:r>
            <w:r>
              <w:rPr>
                <w:rFonts w:hint="eastAsia" w:ascii="仿宋" w:hAnsi="仿宋" w:eastAsia="仿宋" w:cs="仿宋"/>
                <w:color w:val="auto"/>
                <w:sz w:val="24"/>
                <w:szCs w:val="24"/>
                <w:highlight w:val="none"/>
                <w:lang w:val="en-US" w:eastAsia="zh-CN"/>
              </w:rPr>
              <w:t>较</w:t>
            </w:r>
            <w:r>
              <w:rPr>
                <w:rFonts w:hint="eastAsia" w:ascii="仿宋" w:hAnsi="仿宋" w:eastAsia="仿宋" w:cs="仿宋"/>
                <w:color w:val="auto"/>
                <w:sz w:val="24"/>
                <w:szCs w:val="24"/>
                <w:highlight w:val="none"/>
              </w:rPr>
              <w:t>到位、</w:t>
            </w:r>
            <w:r>
              <w:rPr>
                <w:rFonts w:hint="eastAsia" w:ascii="仿宋" w:hAnsi="仿宋" w:eastAsia="仿宋" w:cs="仿宋"/>
                <w:color w:val="auto"/>
                <w:sz w:val="24"/>
                <w:szCs w:val="24"/>
                <w:highlight w:val="none"/>
                <w:lang w:val="en-US" w:eastAsia="zh-CN"/>
              </w:rPr>
              <w:t>具有较</w:t>
            </w:r>
            <w:r>
              <w:rPr>
                <w:rFonts w:hint="eastAsia" w:ascii="仿宋" w:hAnsi="仿宋" w:eastAsia="仿宋" w:cs="仿宋"/>
                <w:color w:val="auto"/>
                <w:sz w:val="24"/>
                <w:szCs w:val="24"/>
                <w:highlight w:val="none"/>
              </w:rPr>
              <w:t>针对性解决方案的得4分；分析</w:t>
            </w:r>
            <w:r>
              <w:rPr>
                <w:rFonts w:hint="eastAsia" w:ascii="仿宋" w:hAnsi="仿宋" w:eastAsia="仿宋" w:cs="仿宋"/>
                <w:color w:val="auto"/>
                <w:sz w:val="24"/>
                <w:szCs w:val="24"/>
                <w:highlight w:val="none"/>
                <w:lang w:val="en-US" w:eastAsia="zh-CN"/>
              </w:rPr>
              <w:t>基本</w:t>
            </w:r>
            <w:r>
              <w:rPr>
                <w:rFonts w:hint="eastAsia" w:ascii="仿宋" w:hAnsi="仿宋" w:eastAsia="仿宋" w:cs="仿宋"/>
                <w:color w:val="auto"/>
                <w:sz w:val="24"/>
                <w:szCs w:val="24"/>
                <w:highlight w:val="none"/>
              </w:rPr>
              <w:t>到位、具有基本针对性解决方案的得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分；分析</w:t>
            </w:r>
            <w:r>
              <w:rPr>
                <w:rFonts w:hint="eastAsia" w:ascii="仿宋" w:hAnsi="仿宋" w:eastAsia="仿宋" w:cs="仿宋"/>
                <w:color w:val="auto"/>
                <w:sz w:val="24"/>
                <w:szCs w:val="24"/>
                <w:highlight w:val="none"/>
                <w:lang w:val="en-US" w:eastAsia="zh-CN"/>
              </w:rPr>
              <w:t>一般</w:t>
            </w:r>
            <w:r>
              <w:rPr>
                <w:rFonts w:hint="eastAsia" w:ascii="仿宋" w:hAnsi="仿宋" w:eastAsia="仿宋" w:cs="仿宋"/>
                <w:color w:val="auto"/>
                <w:sz w:val="24"/>
                <w:szCs w:val="24"/>
                <w:highlight w:val="none"/>
              </w:rPr>
              <w:t>、具有针对性</w:t>
            </w:r>
            <w:r>
              <w:rPr>
                <w:rFonts w:hint="eastAsia" w:ascii="仿宋" w:hAnsi="仿宋" w:eastAsia="仿宋" w:cs="仿宋"/>
                <w:color w:val="auto"/>
                <w:sz w:val="24"/>
                <w:szCs w:val="24"/>
                <w:highlight w:val="none"/>
                <w:lang w:val="en-US" w:eastAsia="zh-CN"/>
              </w:rPr>
              <w:t>一般</w:t>
            </w:r>
            <w:r>
              <w:rPr>
                <w:rFonts w:hint="eastAsia" w:ascii="仿宋" w:hAnsi="仿宋" w:eastAsia="仿宋" w:cs="仿宋"/>
                <w:color w:val="auto"/>
                <w:sz w:val="24"/>
                <w:szCs w:val="24"/>
                <w:highlight w:val="none"/>
              </w:rPr>
              <w:t>解决方案的得2分；分析不到位、无针对性</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解决方案的得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不提供不得分</w:t>
            </w:r>
            <w:r>
              <w:rPr>
                <w:rFonts w:hint="eastAsia" w:ascii="仿宋" w:hAnsi="仿宋" w:eastAsia="仿宋" w:cs="仿宋"/>
                <w:color w:val="auto"/>
                <w:sz w:val="24"/>
                <w:szCs w:val="24"/>
                <w:highlight w:val="none"/>
              </w:rPr>
              <w:t>。</w:t>
            </w:r>
          </w:p>
          <w:p w14:paraId="3036D7AD">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标项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：至少含该区域大批新杭州人作息与定时定点分类投放的时间不匹配，参与分类获得积分的欲望不高等情况进行分析并提供针对性解决方案。</w:t>
            </w:r>
          </w:p>
          <w:p w14:paraId="42E96546">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标项</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：至少含针对该区域内大多老旧小区基础物业较差、缺少垃圾桶集置房、老年人居多等情况进行分析并提供针对性解决方案。</w:t>
            </w:r>
          </w:p>
          <w:p w14:paraId="5443A971">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标项</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：至少含该区域小区数量多、大部分老小区物业为基础物业、人员居住比较复杂等情况进行分析并提供针对性解决方案。</w:t>
            </w:r>
          </w:p>
        </w:tc>
        <w:tc>
          <w:tcPr>
            <w:tcW w:w="879" w:type="dxa"/>
            <w:noWrap w:val="0"/>
            <w:vAlign w:val="center"/>
          </w:tcPr>
          <w:p w14:paraId="669A85E9">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959" w:type="dxa"/>
            <w:noWrap w:val="0"/>
            <w:vAlign w:val="center"/>
          </w:tcPr>
          <w:p w14:paraId="37A46CD7">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4C658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66" w:type="dxa"/>
            <w:vMerge w:val="restart"/>
            <w:noWrap w:val="0"/>
            <w:vAlign w:val="center"/>
          </w:tcPr>
          <w:p w14:paraId="1E4ADB9A">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8</w:t>
            </w:r>
          </w:p>
        </w:tc>
        <w:tc>
          <w:tcPr>
            <w:tcW w:w="1223" w:type="dxa"/>
            <w:vMerge w:val="restart"/>
            <w:noWrap w:val="0"/>
            <w:vAlign w:val="center"/>
          </w:tcPr>
          <w:p w14:paraId="154A47D8">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实施方案</w:t>
            </w:r>
          </w:p>
        </w:tc>
        <w:tc>
          <w:tcPr>
            <w:tcW w:w="6311" w:type="dxa"/>
            <w:noWrap w:val="0"/>
            <w:vAlign w:val="center"/>
          </w:tcPr>
          <w:p w14:paraId="41FBC632">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（1）定时定点投放点设立与运营方案是否满足采购要求。</w:t>
            </w:r>
            <w:r>
              <w:rPr>
                <w:rFonts w:hint="eastAsia" w:ascii="仿宋" w:hAnsi="仿宋" w:eastAsia="仿宋" w:cs="仿宋"/>
                <w:color w:val="auto"/>
                <w:kern w:val="0"/>
                <w:sz w:val="24"/>
                <w:szCs w:val="24"/>
                <w:highlight w:val="none"/>
                <w:lang w:val="en-US" w:eastAsia="zh-CN"/>
              </w:rPr>
              <w:t>方案内容完整且与项目匹配度好的得5分；方案内容较为完整且与项目匹配度较好的得4分；方案内容基本完整且与项目匹配度较好的得3分；方案内容存在欠缺或与项目匹配度一般的得2分；方案内容缺失严重或与项目不匹配的得1分；不提供不得分</w:t>
            </w:r>
            <w:r>
              <w:rPr>
                <w:rFonts w:hint="eastAsia" w:ascii="仿宋" w:hAnsi="仿宋" w:eastAsia="仿宋" w:cs="仿宋"/>
                <w:color w:val="auto"/>
                <w:kern w:val="0"/>
                <w:sz w:val="24"/>
                <w:szCs w:val="24"/>
                <w:highlight w:val="none"/>
                <w:lang w:val="zh-CN" w:eastAsia="zh-CN"/>
              </w:rPr>
              <w:t>。</w:t>
            </w:r>
          </w:p>
        </w:tc>
        <w:tc>
          <w:tcPr>
            <w:tcW w:w="879" w:type="dxa"/>
            <w:noWrap w:val="0"/>
            <w:vAlign w:val="center"/>
          </w:tcPr>
          <w:p w14:paraId="1CC58CE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959" w:type="dxa"/>
            <w:noWrap w:val="0"/>
            <w:vAlign w:val="center"/>
          </w:tcPr>
          <w:p w14:paraId="76AC25A3">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112D2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vMerge w:val="continue"/>
            <w:noWrap w:val="0"/>
            <w:vAlign w:val="center"/>
          </w:tcPr>
          <w:p w14:paraId="7B5989F3">
            <w:pPr>
              <w:keepNext w:val="0"/>
              <w:keepLines w:val="0"/>
              <w:pageBreakBefore w:val="0"/>
              <w:numPr>
                <w:ilvl w:val="0"/>
                <w:numId w:val="9"/>
              </w:numPr>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1223" w:type="dxa"/>
            <w:vMerge w:val="continue"/>
            <w:noWrap w:val="0"/>
            <w:vAlign w:val="center"/>
          </w:tcPr>
          <w:p w14:paraId="7F3D8204">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6311" w:type="dxa"/>
            <w:noWrap w:val="0"/>
            <w:vAlign w:val="center"/>
          </w:tcPr>
          <w:p w14:paraId="6FFF60EB">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积分兑换方案与所提供的兑换物品（数量、种类、规格等）是否满足采购要求。</w:t>
            </w:r>
            <w:r>
              <w:rPr>
                <w:rFonts w:hint="eastAsia" w:ascii="仿宋" w:hAnsi="仿宋" w:eastAsia="仿宋" w:cs="仿宋"/>
                <w:color w:val="auto"/>
                <w:kern w:val="0"/>
                <w:sz w:val="24"/>
                <w:szCs w:val="24"/>
                <w:highlight w:val="none"/>
                <w:lang w:val="en-US" w:eastAsia="zh-CN"/>
              </w:rPr>
              <w:t>方案内容完整且与项目匹配度好的得4分；方案内容较为完整且与项目匹配度较好的得3分；方案内容基本完整且与项目匹配度较好的得2分；方案内容存在欠缺或与项目匹配度一般的得1分；不提供不得分</w:t>
            </w:r>
            <w:r>
              <w:rPr>
                <w:rFonts w:hint="eastAsia" w:ascii="仿宋" w:hAnsi="仿宋" w:eastAsia="仿宋" w:cs="仿宋"/>
                <w:color w:val="auto"/>
                <w:sz w:val="24"/>
                <w:szCs w:val="24"/>
                <w:highlight w:val="none"/>
              </w:rPr>
              <w:t>。</w:t>
            </w:r>
          </w:p>
          <w:p w14:paraId="15A5FFBE">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未承诺服务过程中使用“北干慧分类”小程序积分商城</w:t>
            </w:r>
            <w:r>
              <w:rPr>
                <w:rFonts w:hint="eastAsia" w:ascii="仿宋" w:hAnsi="仿宋" w:eastAsia="仿宋" w:cs="仿宋"/>
                <w:color w:val="auto"/>
                <w:sz w:val="24"/>
                <w:szCs w:val="24"/>
                <w:highlight w:val="none"/>
                <w:lang w:val="en-US" w:eastAsia="zh-CN"/>
              </w:rPr>
              <w:t>和“北干街坊汇”小程序积分兑换</w:t>
            </w:r>
            <w:r>
              <w:rPr>
                <w:rFonts w:hint="eastAsia" w:ascii="仿宋" w:hAnsi="仿宋" w:eastAsia="仿宋" w:cs="仿宋"/>
                <w:color w:val="auto"/>
                <w:sz w:val="24"/>
                <w:szCs w:val="24"/>
                <w:highlight w:val="none"/>
              </w:rPr>
              <w:t>的直接不得分。</w:t>
            </w:r>
          </w:p>
        </w:tc>
        <w:tc>
          <w:tcPr>
            <w:tcW w:w="879" w:type="dxa"/>
            <w:noWrap w:val="0"/>
            <w:vAlign w:val="center"/>
          </w:tcPr>
          <w:p w14:paraId="6B344023">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0-4</w:t>
            </w:r>
          </w:p>
        </w:tc>
        <w:tc>
          <w:tcPr>
            <w:tcW w:w="959" w:type="dxa"/>
            <w:noWrap w:val="0"/>
            <w:vAlign w:val="center"/>
          </w:tcPr>
          <w:p w14:paraId="567E3E6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7C946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666" w:type="dxa"/>
            <w:vMerge w:val="continue"/>
            <w:noWrap w:val="0"/>
            <w:vAlign w:val="center"/>
          </w:tcPr>
          <w:p w14:paraId="18DC48F6">
            <w:pPr>
              <w:keepNext w:val="0"/>
              <w:keepLines w:val="0"/>
              <w:pageBreakBefore w:val="0"/>
              <w:numPr>
                <w:ilvl w:val="0"/>
                <w:numId w:val="9"/>
              </w:numPr>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1223" w:type="dxa"/>
            <w:vMerge w:val="continue"/>
            <w:noWrap w:val="0"/>
            <w:vAlign w:val="center"/>
          </w:tcPr>
          <w:p w14:paraId="31C8EBE0">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6311" w:type="dxa"/>
            <w:noWrap w:val="0"/>
            <w:vAlign w:val="center"/>
          </w:tcPr>
          <w:p w14:paraId="1B1FE72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）垃圾分类氛围营造的活动策划、</w:t>
            </w:r>
            <w:r>
              <w:rPr>
                <w:rFonts w:hint="eastAsia" w:ascii="仿宋" w:hAnsi="仿宋" w:eastAsia="仿宋" w:cs="仿宋"/>
                <w:color w:val="auto"/>
                <w:sz w:val="24"/>
                <w:szCs w:val="24"/>
                <w:highlight w:val="none"/>
                <w:lang w:val="en-US" w:eastAsia="zh-CN"/>
              </w:rPr>
              <w:t>整体</w:t>
            </w:r>
            <w:r>
              <w:rPr>
                <w:rFonts w:hint="eastAsia" w:ascii="仿宋" w:hAnsi="仿宋" w:eastAsia="仿宋" w:cs="仿宋"/>
                <w:color w:val="auto"/>
                <w:sz w:val="24"/>
                <w:szCs w:val="24"/>
                <w:highlight w:val="none"/>
              </w:rPr>
              <w:t>宣传</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、培训方案是否满足采购需求。</w:t>
            </w:r>
            <w:r>
              <w:rPr>
                <w:rFonts w:hint="eastAsia" w:ascii="仿宋" w:hAnsi="仿宋" w:eastAsia="仿宋" w:cs="仿宋"/>
                <w:color w:val="auto"/>
                <w:kern w:val="0"/>
                <w:sz w:val="24"/>
                <w:szCs w:val="24"/>
                <w:highlight w:val="none"/>
                <w:lang w:val="en-US" w:eastAsia="zh-CN"/>
              </w:rPr>
              <w:t>方案内容完整且与项目匹配度好的得4分；方案内容较为完整且与项目匹配度较好的得3分；方案内容基本完整且与项目匹配度较好的得2分；方案内容存在欠缺或与项目匹配度一般的得1分；不提供不得分</w:t>
            </w:r>
            <w:r>
              <w:rPr>
                <w:rFonts w:hint="eastAsia" w:ascii="仿宋" w:hAnsi="仿宋" w:eastAsia="仿宋" w:cs="仿宋"/>
                <w:color w:val="auto"/>
                <w:sz w:val="24"/>
                <w:szCs w:val="24"/>
                <w:highlight w:val="none"/>
              </w:rPr>
              <w:t>。</w:t>
            </w:r>
          </w:p>
        </w:tc>
        <w:tc>
          <w:tcPr>
            <w:tcW w:w="879" w:type="dxa"/>
            <w:noWrap w:val="0"/>
            <w:vAlign w:val="center"/>
          </w:tcPr>
          <w:p w14:paraId="2EEB001B">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0-4</w:t>
            </w:r>
          </w:p>
        </w:tc>
        <w:tc>
          <w:tcPr>
            <w:tcW w:w="959" w:type="dxa"/>
            <w:noWrap w:val="0"/>
            <w:vAlign w:val="center"/>
          </w:tcPr>
          <w:p w14:paraId="2246068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1B1D0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jc w:val="center"/>
        </w:trPr>
        <w:tc>
          <w:tcPr>
            <w:tcW w:w="666" w:type="dxa"/>
            <w:noWrap w:val="0"/>
            <w:vAlign w:val="center"/>
          </w:tcPr>
          <w:p w14:paraId="2276CD2E">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9</w:t>
            </w:r>
          </w:p>
        </w:tc>
        <w:tc>
          <w:tcPr>
            <w:tcW w:w="1223" w:type="dxa"/>
            <w:noWrap w:val="0"/>
            <w:vAlign w:val="center"/>
          </w:tcPr>
          <w:p w14:paraId="740AAB0A">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设施设备配备情况</w:t>
            </w:r>
          </w:p>
        </w:tc>
        <w:tc>
          <w:tcPr>
            <w:tcW w:w="6311" w:type="dxa"/>
            <w:noWrap w:val="0"/>
            <w:vAlign w:val="center"/>
          </w:tcPr>
          <w:p w14:paraId="4B40F131">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lang w:val="en-US" w:eastAsia="zh-CN"/>
              </w:rPr>
              <w:t>至少配备1辆电动车辆（5个及以上座位），已配备或承诺过渡期内配备到位的得1分，其余得0分。</w:t>
            </w:r>
          </w:p>
          <w:p w14:paraId="66C78B31">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智能四分类封装秤、智能误时投放机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智能发袋机</w:t>
            </w:r>
            <w:r>
              <w:rPr>
                <w:rFonts w:hint="eastAsia" w:ascii="仿宋" w:hAnsi="仿宋" w:eastAsia="仿宋" w:cs="仿宋"/>
                <w:color w:val="auto"/>
                <w:sz w:val="24"/>
                <w:szCs w:val="24"/>
                <w:highlight w:val="none"/>
                <w:lang w:val="en-US" w:eastAsia="zh-CN"/>
              </w:rPr>
              <w:t>和地磅秤</w:t>
            </w:r>
            <w:r>
              <w:rPr>
                <w:rFonts w:hint="eastAsia" w:ascii="仿宋" w:hAnsi="仿宋" w:eastAsia="仿宋" w:cs="仿宋"/>
                <w:color w:val="auto"/>
                <w:sz w:val="24"/>
                <w:szCs w:val="24"/>
                <w:highlight w:val="none"/>
              </w:rPr>
              <w:t>技术参数是否满足采购要求。全部满足或正偏离的得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分，打■条款每负偏离1条扣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其余</w:t>
            </w:r>
            <w:r>
              <w:rPr>
                <w:rFonts w:hint="eastAsia" w:ascii="仿宋" w:hAnsi="仿宋" w:eastAsia="仿宋" w:cs="仿宋"/>
                <w:color w:val="auto"/>
                <w:sz w:val="24"/>
                <w:szCs w:val="24"/>
                <w:highlight w:val="none"/>
              </w:rPr>
              <w:t>条款每负偏离1条扣</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扣完为止</w:t>
            </w:r>
            <w:r>
              <w:rPr>
                <w:rFonts w:hint="eastAsia" w:ascii="仿宋" w:hAnsi="仿宋" w:eastAsia="仿宋" w:cs="仿宋"/>
                <w:color w:val="auto"/>
                <w:sz w:val="24"/>
                <w:szCs w:val="24"/>
                <w:highlight w:val="none"/>
              </w:rPr>
              <w:t>。</w:t>
            </w:r>
          </w:p>
          <w:p w14:paraId="386D92ED">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lang w:val="en-US" w:eastAsia="zh-CN"/>
              </w:rPr>
              <w:t>地磅秤配置覆盖达到30%以上点位的，每提升5%，得1分，最高得3分（提供承诺函）。</w:t>
            </w:r>
          </w:p>
        </w:tc>
        <w:tc>
          <w:tcPr>
            <w:tcW w:w="879" w:type="dxa"/>
            <w:noWrap w:val="0"/>
            <w:vAlign w:val="center"/>
          </w:tcPr>
          <w:p w14:paraId="0968BA0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0-6</w:t>
            </w:r>
          </w:p>
        </w:tc>
        <w:tc>
          <w:tcPr>
            <w:tcW w:w="959" w:type="dxa"/>
            <w:noWrap w:val="0"/>
            <w:vAlign w:val="center"/>
          </w:tcPr>
          <w:p w14:paraId="459048B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2FF5F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66" w:type="dxa"/>
            <w:vMerge w:val="restart"/>
            <w:noWrap w:val="0"/>
            <w:vAlign w:val="center"/>
          </w:tcPr>
          <w:p w14:paraId="33016065">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10</w:t>
            </w:r>
          </w:p>
        </w:tc>
        <w:tc>
          <w:tcPr>
            <w:tcW w:w="1223" w:type="dxa"/>
            <w:vMerge w:val="restart"/>
            <w:noWrap w:val="0"/>
            <w:vAlign w:val="center"/>
          </w:tcPr>
          <w:p w14:paraId="533B2523">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垃圾分类亭情况</w:t>
            </w:r>
          </w:p>
        </w:tc>
        <w:tc>
          <w:tcPr>
            <w:tcW w:w="6311" w:type="dxa"/>
            <w:noWrap w:val="0"/>
            <w:vAlign w:val="center"/>
          </w:tcPr>
          <w:p w14:paraId="06AE47E8">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投标人提供3种及以上垃圾分类亭方案（不同方案的报价均含在总投标报价内）供采购人选择的得2分。</w:t>
            </w:r>
          </w:p>
        </w:tc>
        <w:tc>
          <w:tcPr>
            <w:tcW w:w="879" w:type="dxa"/>
            <w:noWrap w:val="0"/>
            <w:vAlign w:val="center"/>
          </w:tcPr>
          <w:p w14:paraId="00A628F4">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w:t>
            </w:r>
          </w:p>
        </w:tc>
        <w:tc>
          <w:tcPr>
            <w:tcW w:w="959" w:type="dxa"/>
            <w:noWrap w:val="0"/>
            <w:vAlign w:val="center"/>
          </w:tcPr>
          <w:p w14:paraId="1763122F">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2153F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666" w:type="dxa"/>
            <w:vMerge w:val="continue"/>
            <w:noWrap w:val="0"/>
            <w:vAlign w:val="center"/>
          </w:tcPr>
          <w:p w14:paraId="6A5F04C1">
            <w:pPr>
              <w:keepNext w:val="0"/>
              <w:keepLines w:val="0"/>
              <w:pageBreakBefore w:val="0"/>
              <w:numPr>
                <w:ilvl w:val="0"/>
                <w:numId w:val="9"/>
              </w:numPr>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1223" w:type="dxa"/>
            <w:vMerge w:val="continue"/>
            <w:noWrap w:val="0"/>
            <w:vAlign w:val="center"/>
          </w:tcPr>
          <w:p w14:paraId="174E9030">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p>
        </w:tc>
        <w:tc>
          <w:tcPr>
            <w:tcW w:w="6311" w:type="dxa"/>
            <w:noWrap w:val="0"/>
            <w:vAlign w:val="center"/>
          </w:tcPr>
          <w:p w14:paraId="7A9467A3">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根据垃圾分类亭方案的设计、样式评定，设计合理、样式美观的得2分，设计欠合理或样式欠美观的得1分，设计不合理或样式不美观的得0分。</w:t>
            </w:r>
          </w:p>
        </w:tc>
        <w:tc>
          <w:tcPr>
            <w:tcW w:w="879" w:type="dxa"/>
            <w:noWrap w:val="0"/>
            <w:vAlign w:val="center"/>
          </w:tcPr>
          <w:p w14:paraId="186A01C6">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w:t>
            </w:r>
          </w:p>
        </w:tc>
        <w:tc>
          <w:tcPr>
            <w:tcW w:w="959" w:type="dxa"/>
            <w:noWrap w:val="0"/>
            <w:vAlign w:val="center"/>
          </w:tcPr>
          <w:p w14:paraId="4E7A78A9">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49EC0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666" w:type="dxa"/>
            <w:noWrap w:val="0"/>
            <w:vAlign w:val="center"/>
          </w:tcPr>
          <w:p w14:paraId="46DE43A6">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11</w:t>
            </w:r>
          </w:p>
        </w:tc>
        <w:tc>
          <w:tcPr>
            <w:tcW w:w="1223" w:type="dxa"/>
            <w:noWrap w:val="0"/>
            <w:vAlign w:val="center"/>
          </w:tcPr>
          <w:p w14:paraId="68BF7A34">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拟派项目组架构及人员配备情况</w:t>
            </w:r>
          </w:p>
        </w:tc>
        <w:tc>
          <w:tcPr>
            <w:tcW w:w="6311" w:type="dxa"/>
            <w:noWrap w:val="0"/>
            <w:vAlign w:val="center"/>
          </w:tcPr>
          <w:p w14:paraId="7D5C1C7F">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（1）组织架构(岗位设置、人数）</w:t>
            </w:r>
            <w:r>
              <w:rPr>
                <w:rFonts w:hint="eastAsia" w:ascii="仿宋" w:hAnsi="仿宋" w:eastAsia="仿宋" w:cs="仿宋"/>
                <w:b/>
                <w:bCs/>
                <w:color w:val="auto"/>
                <w:sz w:val="24"/>
                <w:szCs w:val="24"/>
                <w:highlight w:val="none"/>
                <w:lang w:val="en-US" w:eastAsia="zh-CN"/>
              </w:rPr>
              <w:t>情况</w:t>
            </w:r>
            <w:r>
              <w:rPr>
                <w:rFonts w:hint="eastAsia" w:ascii="仿宋" w:hAnsi="仿宋" w:eastAsia="仿宋" w:cs="仿宋"/>
                <w:b/>
                <w:bCs/>
                <w:color w:val="auto"/>
                <w:sz w:val="24"/>
                <w:szCs w:val="24"/>
                <w:highlight w:val="none"/>
              </w:rPr>
              <w:t>：</w:t>
            </w:r>
          </w:p>
          <w:p w14:paraId="36C5FD95">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①岗位设置：增设应急服务、安全管理等岗位（每个岗位至少1人专职专岗）的，每个岗位得0.5分；②人数配备：分类员、巡检员岗位配备人数不少于采购最低要求的，每多1人得0.2分。本项最高得2分。</w:t>
            </w:r>
          </w:p>
          <w:p w14:paraId="285FC048">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（2）人员配备情况：</w:t>
            </w:r>
          </w:p>
          <w:p w14:paraId="74B015EB">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①项目经理：具有本科及以上学历的得1分；具有3年及以上</w:t>
            </w:r>
            <w:r>
              <w:rPr>
                <w:rFonts w:hint="eastAsia" w:ascii="仿宋" w:hAnsi="仿宋" w:eastAsia="仿宋" w:cs="仿宋"/>
                <w:color w:val="auto"/>
                <w:sz w:val="24"/>
                <w:szCs w:val="24"/>
                <w:highlight w:val="none"/>
                <w:lang w:val="en-US" w:eastAsia="zh-CN"/>
              </w:rPr>
              <w:t>垃圾分类项目经理</w:t>
            </w:r>
            <w:r>
              <w:rPr>
                <w:rFonts w:hint="eastAsia" w:ascii="仿宋" w:hAnsi="仿宋" w:eastAsia="仿宋" w:cs="仿宋"/>
                <w:color w:val="auto"/>
                <w:sz w:val="24"/>
                <w:szCs w:val="24"/>
                <w:highlight w:val="none"/>
              </w:rPr>
              <w:t>工作经验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以投标人明确承诺为准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的得1分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具有人社部门颁发的中级及以上职称的得2分。本项最高得4分</w:t>
            </w:r>
            <w:r>
              <w:rPr>
                <w:rFonts w:hint="eastAsia" w:ascii="仿宋" w:hAnsi="仿宋" w:eastAsia="仿宋" w:cs="仿宋"/>
                <w:color w:val="auto"/>
                <w:sz w:val="24"/>
                <w:szCs w:val="24"/>
                <w:highlight w:val="none"/>
                <w:lang w:eastAsia="zh-CN"/>
              </w:rPr>
              <w:t>。</w:t>
            </w:r>
          </w:p>
          <w:p w14:paraId="02F74DBB">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②项目组成员：具有3年及以上</w:t>
            </w:r>
            <w:r>
              <w:rPr>
                <w:rFonts w:hint="eastAsia" w:ascii="仿宋" w:hAnsi="仿宋" w:eastAsia="仿宋" w:cs="仿宋"/>
                <w:color w:val="auto"/>
                <w:sz w:val="24"/>
                <w:szCs w:val="24"/>
                <w:highlight w:val="none"/>
                <w:lang w:val="en-US" w:eastAsia="zh-CN"/>
              </w:rPr>
              <w:t>垃圾分类</w:t>
            </w:r>
            <w:r>
              <w:rPr>
                <w:rFonts w:hint="eastAsia" w:ascii="仿宋" w:hAnsi="仿宋" w:eastAsia="仿宋" w:cs="仿宋"/>
                <w:color w:val="auto"/>
                <w:sz w:val="24"/>
                <w:szCs w:val="24"/>
                <w:highlight w:val="none"/>
              </w:rPr>
              <w:t>工作经验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以投标人明确承诺为准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的每1人得1分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最高得4分</w:t>
            </w:r>
            <w:r>
              <w:rPr>
                <w:rFonts w:hint="eastAsia" w:ascii="仿宋" w:hAnsi="仿宋" w:eastAsia="仿宋" w:cs="仿宋"/>
                <w:color w:val="auto"/>
                <w:sz w:val="24"/>
                <w:szCs w:val="24"/>
                <w:highlight w:val="none"/>
              </w:rPr>
              <w:t>；具有人社部门颁发的中级及以上职称的每1人得1分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最高得2分</w:t>
            </w:r>
            <w:r>
              <w:rPr>
                <w:rFonts w:hint="eastAsia" w:ascii="仿宋" w:hAnsi="仿宋" w:eastAsia="仿宋" w:cs="仿宋"/>
                <w:color w:val="auto"/>
                <w:sz w:val="24"/>
                <w:szCs w:val="24"/>
                <w:highlight w:val="none"/>
              </w:rPr>
              <w:t>。本项最高得6分。</w:t>
            </w:r>
          </w:p>
          <w:p w14:paraId="15128B93">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rPr>
              <w:t>证明材料提供证书彩色扫描件，各岗位人员要求为本单位职工，证明材料需提供劳动合同、工资发放凭证和</w:t>
            </w:r>
            <w:r>
              <w:rPr>
                <w:rFonts w:hint="eastAsia" w:ascii="仿宋" w:hAnsi="仿宋" w:eastAsia="仿宋" w:cs="仿宋"/>
                <w:color w:val="auto"/>
                <w:sz w:val="24"/>
                <w:szCs w:val="24"/>
                <w:highlight w:val="none"/>
                <w:lang w:val="en-US" w:eastAsia="zh-CN"/>
              </w:rPr>
              <w:t>截止开标当月前三个月中任意一个月的</w:t>
            </w:r>
            <w:r>
              <w:rPr>
                <w:rFonts w:hint="eastAsia" w:ascii="仿宋" w:hAnsi="仿宋" w:eastAsia="仿宋" w:cs="仿宋"/>
                <w:color w:val="auto"/>
                <w:sz w:val="24"/>
                <w:szCs w:val="24"/>
                <w:highlight w:val="none"/>
              </w:rPr>
              <w:t>社保缴纳</w:t>
            </w:r>
            <w:r>
              <w:rPr>
                <w:rFonts w:hint="eastAsia" w:ascii="仿宋" w:hAnsi="仿宋" w:eastAsia="仿宋" w:cs="仿宋"/>
                <w:color w:val="auto"/>
                <w:sz w:val="24"/>
                <w:szCs w:val="24"/>
                <w:highlight w:val="none"/>
                <w:lang w:val="en-US" w:eastAsia="zh-CN"/>
              </w:rPr>
              <w:t>证明</w:t>
            </w:r>
            <w:r>
              <w:rPr>
                <w:rFonts w:hint="eastAsia" w:ascii="仿宋" w:hAnsi="仿宋" w:eastAsia="仿宋" w:cs="仿宋"/>
                <w:color w:val="auto"/>
                <w:sz w:val="24"/>
                <w:szCs w:val="24"/>
                <w:highlight w:val="none"/>
              </w:rPr>
              <w:t>，新入职截止投标截止日前不满1个月的可仅提供劳动合同，退休返聘的可仅提供退休证明和劳务合同。</w:t>
            </w:r>
          </w:p>
        </w:tc>
        <w:tc>
          <w:tcPr>
            <w:tcW w:w="879" w:type="dxa"/>
            <w:noWrap w:val="0"/>
            <w:vAlign w:val="center"/>
          </w:tcPr>
          <w:p w14:paraId="33D2E29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0-12</w:t>
            </w:r>
          </w:p>
        </w:tc>
        <w:tc>
          <w:tcPr>
            <w:tcW w:w="959" w:type="dxa"/>
            <w:noWrap w:val="0"/>
            <w:vAlign w:val="center"/>
          </w:tcPr>
          <w:p w14:paraId="76E818EE">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4EB6F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4" w:hRule="atLeast"/>
          <w:jc w:val="center"/>
        </w:trPr>
        <w:tc>
          <w:tcPr>
            <w:tcW w:w="666" w:type="dxa"/>
            <w:noWrap w:val="0"/>
            <w:vAlign w:val="center"/>
          </w:tcPr>
          <w:p w14:paraId="4DD9AFBC">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12</w:t>
            </w:r>
          </w:p>
        </w:tc>
        <w:tc>
          <w:tcPr>
            <w:tcW w:w="1223" w:type="dxa"/>
            <w:noWrap w:val="0"/>
            <w:vAlign w:val="center"/>
          </w:tcPr>
          <w:p w14:paraId="12ED8EE1">
            <w:pPr>
              <w:pStyle w:val="481"/>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员工薪资发放规范及权益保障情况</w:t>
            </w:r>
          </w:p>
        </w:tc>
        <w:tc>
          <w:tcPr>
            <w:tcW w:w="6311" w:type="dxa"/>
            <w:noWrap w:val="0"/>
            <w:vAlign w:val="center"/>
          </w:tcPr>
          <w:p w14:paraId="52F13E82">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（1）员工薪资发放是否规范及时，排班时间是否合理，福利保障措施是否到位，是否严格遵守有关劳动法规：</w:t>
            </w:r>
          </w:p>
          <w:p w14:paraId="7269BF27">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①企业承诺项目组员工薪资发放：</w:t>
            </w:r>
          </w:p>
          <w:p w14:paraId="42F3F71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a.按本月发下月工资的、或当月发当月工资的、或下月5日（含）前（发上月）发员工银行卡的得1分；</w:t>
            </w:r>
          </w:p>
          <w:p w14:paraId="2DD8D5A5">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b.下月10日（含）前（发上月）发员工银行卡的得0.5分，下月15日（含）前发（发上月）员工银行卡的得0.2分，下月15日后发（发上月）员工银行卡或不发员工银行卡的无效处理。</w:t>
            </w:r>
          </w:p>
          <w:p w14:paraId="469A8B4F">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2020</w:t>
            </w:r>
            <w:r>
              <w:rPr>
                <w:rFonts w:hint="eastAsia" w:ascii="仿宋" w:hAnsi="仿宋" w:eastAsia="仿宋" w:cs="仿宋"/>
                <w:color w:val="auto"/>
                <w:sz w:val="24"/>
                <w:szCs w:val="24"/>
                <w:highlight w:val="none"/>
              </w:rPr>
              <w:t>年1月1日至今（以公告发布之日或通报文件生效之日为准），未发生过有关“员工薪酬及权益保障方面的投诉或群</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体性事件”被劳动部门处罚且被环卫行政主管部门通报批评的得4分，每发生一次扣一分，扣完为止。未发生过的，则投标文件中提供未发生过有关“员工薪酬及权益保障方面的投诉或群</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体性事件”被劳动部门处罚且被环卫行政主管部门通报批评的声明书，未提供声明书的不得分。若有隐瞒的取消其中标资格。</w:t>
            </w:r>
          </w:p>
        </w:tc>
        <w:tc>
          <w:tcPr>
            <w:tcW w:w="879" w:type="dxa"/>
            <w:noWrap w:val="0"/>
            <w:vAlign w:val="center"/>
          </w:tcPr>
          <w:p w14:paraId="46CF569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959" w:type="dxa"/>
            <w:noWrap w:val="0"/>
            <w:vAlign w:val="center"/>
          </w:tcPr>
          <w:p w14:paraId="7DB61028">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03A04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66" w:type="dxa"/>
            <w:noWrap w:val="0"/>
            <w:vAlign w:val="center"/>
          </w:tcPr>
          <w:p w14:paraId="2509BA60">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13</w:t>
            </w:r>
          </w:p>
        </w:tc>
        <w:tc>
          <w:tcPr>
            <w:tcW w:w="1223" w:type="dxa"/>
            <w:noWrap w:val="0"/>
            <w:vAlign w:val="center"/>
          </w:tcPr>
          <w:p w14:paraId="08F46C6F">
            <w:pPr>
              <w:pStyle w:val="481"/>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平稳交接过渡方案</w:t>
            </w:r>
          </w:p>
        </w:tc>
        <w:tc>
          <w:tcPr>
            <w:tcW w:w="6311" w:type="dxa"/>
            <w:noWrap w:val="0"/>
            <w:vAlign w:val="center"/>
          </w:tcPr>
          <w:p w14:paraId="1E088C2A">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垃圾分类</w:t>
            </w:r>
            <w:r>
              <w:rPr>
                <w:rFonts w:hint="eastAsia" w:ascii="仿宋" w:hAnsi="仿宋" w:eastAsia="仿宋" w:cs="仿宋"/>
                <w:color w:val="auto"/>
                <w:sz w:val="24"/>
                <w:szCs w:val="24"/>
                <w:highlight w:val="none"/>
              </w:rPr>
              <w:t>服务平稳过渡交接，</w:t>
            </w:r>
            <w:r>
              <w:rPr>
                <w:rFonts w:hint="eastAsia" w:ascii="仿宋" w:hAnsi="仿宋" w:eastAsia="仿宋" w:cs="仿宋"/>
                <w:color w:val="auto"/>
                <w:sz w:val="24"/>
                <w:szCs w:val="24"/>
                <w:highlight w:val="none"/>
                <w:lang w:val="en-US" w:eastAsia="zh-CN"/>
              </w:rPr>
              <w:t>分析、</w:t>
            </w:r>
            <w:r>
              <w:rPr>
                <w:rFonts w:hint="eastAsia" w:ascii="仿宋" w:hAnsi="仿宋" w:eastAsia="仿宋" w:cs="仿宋"/>
                <w:color w:val="auto"/>
                <w:sz w:val="24"/>
                <w:szCs w:val="24"/>
                <w:highlight w:val="none"/>
              </w:rPr>
              <w:t>制定相关的平稳过渡交接实施措施，分析到位、具有针对性解决方案的得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分；分析</w:t>
            </w:r>
            <w:r>
              <w:rPr>
                <w:rFonts w:hint="eastAsia" w:ascii="仿宋" w:hAnsi="仿宋" w:eastAsia="仿宋" w:cs="仿宋"/>
                <w:color w:val="auto"/>
                <w:sz w:val="24"/>
                <w:szCs w:val="24"/>
                <w:highlight w:val="none"/>
                <w:lang w:val="en-US" w:eastAsia="zh-CN"/>
              </w:rPr>
              <w:t>较</w:t>
            </w:r>
            <w:r>
              <w:rPr>
                <w:rFonts w:hint="eastAsia" w:ascii="仿宋" w:hAnsi="仿宋" w:eastAsia="仿宋" w:cs="仿宋"/>
                <w:color w:val="auto"/>
                <w:sz w:val="24"/>
                <w:szCs w:val="24"/>
                <w:highlight w:val="none"/>
              </w:rPr>
              <w:t>到位、</w:t>
            </w:r>
            <w:r>
              <w:rPr>
                <w:rFonts w:hint="eastAsia" w:ascii="仿宋" w:hAnsi="仿宋" w:eastAsia="仿宋" w:cs="仿宋"/>
                <w:color w:val="auto"/>
                <w:sz w:val="24"/>
                <w:szCs w:val="24"/>
                <w:highlight w:val="none"/>
                <w:lang w:val="en-US" w:eastAsia="zh-CN"/>
              </w:rPr>
              <w:t>具有较</w:t>
            </w:r>
            <w:r>
              <w:rPr>
                <w:rFonts w:hint="eastAsia" w:ascii="仿宋" w:hAnsi="仿宋" w:eastAsia="仿宋" w:cs="仿宋"/>
                <w:color w:val="auto"/>
                <w:sz w:val="24"/>
                <w:szCs w:val="24"/>
                <w:highlight w:val="none"/>
              </w:rPr>
              <w:t>针对性解决方案的得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分；分析</w:t>
            </w:r>
            <w:r>
              <w:rPr>
                <w:rFonts w:hint="eastAsia" w:ascii="仿宋" w:hAnsi="仿宋" w:eastAsia="仿宋" w:cs="仿宋"/>
                <w:color w:val="auto"/>
                <w:sz w:val="24"/>
                <w:szCs w:val="24"/>
                <w:highlight w:val="none"/>
                <w:lang w:val="en-US" w:eastAsia="zh-CN"/>
              </w:rPr>
              <w:t>基本</w:t>
            </w:r>
            <w:r>
              <w:rPr>
                <w:rFonts w:hint="eastAsia" w:ascii="仿宋" w:hAnsi="仿宋" w:eastAsia="仿宋" w:cs="仿宋"/>
                <w:color w:val="auto"/>
                <w:sz w:val="24"/>
                <w:szCs w:val="24"/>
                <w:highlight w:val="none"/>
              </w:rPr>
              <w:t>到位、具有基本针对性解决方案的得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分；分析</w:t>
            </w:r>
            <w:r>
              <w:rPr>
                <w:rFonts w:hint="eastAsia" w:ascii="仿宋" w:hAnsi="仿宋" w:eastAsia="仿宋" w:cs="仿宋"/>
                <w:color w:val="auto"/>
                <w:sz w:val="24"/>
                <w:szCs w:val="24"/>
                <w:highlight w:val="none"/>
                <w:lang w:val="en-US" w:eastAsia="zh-CN"/>
              </w:rPr>
              <w:t>一般</w:t>
            </w:r>
            <w:r>
              <w:rPr>
                <w:rFonts w:hint="eastAsia" w:ascii="仿宋" w:hAnsi="仿宋" w:eastAsia="仿宋" w:cs="仿宋"/>
                <w:color w:val="auto"/>
                <w:sz w:val="24"/>
                <w:szCs w:val="24"/>
                <w:highlight w:val="none"/>
              </w:rPr>
              <w:t>、具有针对性</w:t>
            </w:r>
            <w:r>
              <w:rPr>
                <w:rFonts w:hint="eastAsia" w:ascii="仿宋" w:hAnsi="仿宋" w:eastAsia="仿宋" w:cs="仿宋"/>
                <w:color w:val="auto"/>
                <w:sz w:val="24"/>
                <w:szCs w:val="24"/>
                <w:highlight w:val="none"/>
                <w:lang w:val="en-US" w:eastAsia="zh-CN"/>
              </w:rPr>
              <w:t>一般</w:t>
            </w:r>
            <w:r>
              <w:rPr>
                <w:rFonts w:hint="eastAsia" w:ascii="仿宋" w:hAnsi="仿宋" w:eastAsia="仿宋" w:cs="仿宋"/>
                <w:color w:val="auto"/>
                <w:sz w:val="24"/>
                <w:szCs w:val="24"/>
                <w:highlight w:val="none"/>
              </w:rPr>
              <w:t>解决方案的得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分；分析不到位、无针对性解决方案的得0分。</w:t>
            </w:r>
          </w:p>
        </w:tc>
        <w:tc>
          <w:tcPr>
            <w:tcW w:w="879" w:type="dxa"/>
            <w:noWrap w:val="0"/>
            <w:vAlign w:val="center"/>
          </w:tcPr>
          <w:p w14:paraId="5FA4A39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0-4</w:t>
            </w:r>
          </w:p>
        </w:tc>
        <w:tc>
          <w:tcPr>
            <w:tcW w:w="959" w:type="dxa"/>
            <w:noWrap w:val="0"/>
            <w:vAlign w:val="center"/>
          </w:tcPr>
          <w:p w14:paraId="40BBFC5B">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54025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66" w:type="dxa"/>
            <w:noWrap w:val="0"/>
            <w:vAlign w:val="center"/>
          </w:tcPr>
          <w:p w14:paraId="3A78CFEE">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w:t>
            </w:r>
          </w:p>
        </w:tc>
        <w:tc>
          <w:tcPr>
            <w:tcW w:w="1223" w:type="dxa"/>
            <w:noWrap w:val="0"/>
            <w:vAlign w:val="center"/>
          </w:tcPr>
          <w:p w14:paraId="27DE35D8">
            <w:pPr>
              <w:pStyle w:val="481"/>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应急保障方案</w:t>
            </w:r>
          </w:p>
        </w:tc>
        <w:tc>
          <w:tcPr>
            <w:tcW w:w="6311" w:type="dxa"/>
            <w:noWrap w:val="0"/>
            <w:vAlign w:val="center"/>
          </w:tcPr>
          <w:p w14:paraId="196049C4">
            <w:pPr>
              <w:keepNext w:val="0"/>
              <w:keepLines w:val="0"/>
              <w:pageBreakBefore w:val="0"/>
              <w:kinsoku/>
              <w:wordWrap/>
              <w:overflowPunct/>
              <w:topLinePunct w:val="0"/>
              <w:autoSpaceDE/>
              <w:autoSpaceDN/>
              <w:bidi w:val="0"/>
              <w:snapToGrid/>
              <w:spacing w:line="360" w:lineRule="exact"/>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投标人提供针对各标项的应急保障方案，包含但不限于应急保障服务、应急宣传、应急垃圾分类任务、应急维修、应急人员配置。</w:t>
            </w:r>
            <w:r>
              <w:rPr>
                <w:rFonts w:hint="eastAsia" w:ascii="仿宋" w:hAnsi="仿宋" w:eastAsia="仿宋" w:cs="仿宋"/>
                <w:color w:val="auto"/>
                <w:kern w:val="0"/>
                <w:sz w:val="24"/>
                <w:szCs w:val="24"/>
                <w:highlight w:val="none"/>
                <w:lang w:val="en-US" w:eastAsia="zh-CN"/>
              </w:rPr>
              <w:t>方案内容完整且与项目匹配度好的得4分；方案内容基本完整且与项目匹配度较好的得3分；方案内容存在欠缺或与项目匹配度一般的得2分；方案内容缺失严重或与项目不匹配的得1分；不提供不得分</w:t>
            </w:r>
            <w:r>
              <w:rPr>
                <w:rFonts w:hint="eastAsia" w:ascii="仿宋" w:hAnsi="仿宋" w:eastAsia="仿宋" w:cs="仿宋"/>
                <w:color w:val="auto"/>
                <w:kern w:val="0"/>
                <w:sz w:val="24"/>
                <w:szCs w:val="24"/>
                <w:highlight w:val="none"/>
                <w:lang w:val="zh-CN" w:eastAsia="zh-CN"/>
              </w:rPr>
              <w:t>。</w:t>
            </w:r>
          </w:p>
        </w:tc>
        <w:tc>
          <w:tcPr>
            <w:tcW w:w="879" w:type="dxa"/>
            <w:noWrap w:val="0"/>
            <w:vAlign w:val="center"/>
          </w:tcPr>
          <w:p w14:paraId="3B492D7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4</w:t>
            </w:r>
          </w:p>
        </w:tc>
        <w:tc>
          <w:tcPr>
            <w:tcW w:w="959" w:type="dxa"/>
            <w:noWrap w:val="0"/>
            <w:vAlign w:val="center"/>
          </w:tcPr>
          <w:p w14:paraId="2819D27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5B40A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666" w:type="dxa"/>
            <w:noWrap w:val="0"/>
            <w:vAlign w:val="center"/>
          </w:tcPr>
          <w:p w14:paraId="14099352">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5</w:t>
            </w:r>
          </w:p>
        </w:tc>
        <w:tc>
          <w:tcPr>
            <w:tcW w:w="1223" w:type="dxa"/>
            <w:noWrap w:val="0"/>
            <w:vAlign w:val="center"/>
          </w:tcPr>
          <w:p w14:paraId="2D9CB4B5">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软件演示（U盘形式递交）</w:t>
            </w:r>
          </w:p>
        </w:tc>
        <w:tc>
          <w:tcPr>
            <w:tcW w:w="6311" w:type="dxa"/>
            <w:noWrap w:val="0"/>
            <w:vAlign w:val="center"/>
          </w:tcPr>
          <w:p w14:paraId="73FC9689">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垃圾分类服务工作实时在线记录系统</w:t>
            </w:r>
            <w:r>
              <w:rPr>
                <w:rFonts w:hint="eastAsia" w:ascii="仿宋" w:hAnsi="仿宋" w:eastAsia="仿宋" w:cs="仿宋"/>
                <w:color w:val="auto"/>
                <w:sz w:val="24"/>
                <w:szCs w:val="24"/>
                <w:highlight w:val="none"/>
                <w:lang w:val="en-US" w:eastAsia="zh-CN"/>
              </w:rPr>
              <w:t>软件演示</w:t>
            </w:r>
            <w:r>
              <w:rPr>
                <w:rFonts w:hint="eastAsia" w:ascii="仿宋" w:hAnsi="仿宋" w:eastAsia="仿宋" w:cs="仿宋"/>
                <w:color w:val="auto"/>
                <w:sz w:val="24"/>
                <w:szCs w:val="24"/>
                <w:highlight w:val="none"/>
              </w:rPr>
              <w:t>，具备以下功能的</w:t>
            </w:r>
            <w:r>
              <w:rPr>
                <w:rFonts w:hint="eastAsia" w:ascii="仿宋" w:hAnsi="仿宋" w:eastAsia="仿宋" w:cs="仿宋"/>
                <w:color w:val="auto"/>
                <w:sz w:val="24"/>
                <w:szCs w:val="24"/>
                <w:highlight w:val="none"/>
                <w:lang w:eastAsia="zh-CN"/>
              </w:rPr>
              <w:t>：</w:t>
            </w:r>
          </w:p>
          <w:p w14:paraId="274D81C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（1）所有工作人员信息具备的得1分；</w:t>
            </w:r>
          </w:p>
          <w:p w14:paraId="35AEB747">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（2）所有人员上下岗打卡具备的得1分；</w:t>
            </w:r>
          </w:p>
          <w:p w14:paraId="25AE15C7">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管理员</w:t>
            </w:r>
            <w:r>
              <w:rPr>
                <w:rFonts w:hint="eastAsia" w:ascii="仿宋" w:hAnsi="仿宋" w:eastAsia="仿宋" w:cs="仿宋"/>
                <w:color w:val="auto"/>
                <w:sz w:val="24"/>
                <w:szCs w:val="24"/>
                <w:highlight w:val="none"/>
              </w:rPr>
              <w:t>入户宣传打卡，一个定位一张照片一个工作评价具备的得1分；</w:t>
            </w:r>
          </w:p>
          <w:p w14:paraId="08546ADD">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（4）策划活动记录，一个定位一张照片一个工作评价具备的得1分；</w:t>
            </w:r>
          </w:p>
          <w:p w14:paraId="5415647E">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（5）巡检、培训、指导记录，一个定位一张照片一个工作评价具备的得1分；</w:t>
            </w:r>
          </w:p>
          <w:p w14:paraId="1C597026">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（6）投放点、再生资源回收点每日工作开始结束记录，一定位一照片具备的得1分。</w:t>
            </w:r>
          </w:p>
          <w:p w14:paraId="444644B1">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备注</w:t>
            </w:r>
            <w:r>
              <w:rPr>
                <w:rFonts w:hint="eastAsia" w:ascii="仿宋" w:hAnsi="仿宋" w:eastAsia="仿宋" w:cs="仿宋"/>
                <w:color w:val="auto"/>
                <w:sz w:val="24"/>
                <w:szCs w:val="24"/>
                <w:highlight w:val="none"/>
              </w:rPr>
              <w:t>：未</w:t>
            </w:r>
            <w:r>
              <w:rPr>
                <w:rFonts w:hint="eastAsia" w:ascii="仿宋" w:hAnsi="仿宋" w:eastAsia="仿宋" w:cs="仿宋"/>
                <w:color w:val="auto"/>
                <w:sz w:val="24"/>
                <w:szCs w:val="24"/>
                <w:highlight w:val="none"/>
                <w:lang w:val="en-US" w:eastAsia="zh-CN"/>
              </w:rPr>
              <w:t>提供软件演示的直接</w:t>
            </w:r>
            <w:r>
              <w:rPr>
                <w:rFonts w:hint="eastAsia" w:ascii="仿宋" w:hAnsi="仿宋" w:eastAsia="仿宋" w:cs="仿宋"/>
                <w:color w:val="auto"/>
                <w:sz w:val="24"/>
                <w:szCs w:val="24"/>
                <w:highlight w:val="none"/>
              </w:rPr>
              <w:t>不得分。</w:t>
            </w:r>
          </w:p>
        </w:tc>
        <w:tc>
          <w:tcPr>
            <w:tcW w:w="879" w:type="dxa"/>
            <w:noWrap w:val="0"/>
            <w:vAlign w:val="center"/>
          </w:tcPr>
          <w:p w14:paraId="5D03A65F">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0-6</w:t>
            </w:r>
          </w:p>
        </w:tc>
        <w:tc>
          <w:tcPr>
            <w:tcW w:w="959" w:type="dxa"/>
            <w:noWrap w:val="0"/>
            <w:vAlign w:val="center"/>
          </w:tcPr>
          <w:p w14:paraId="08473B0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51CE9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8" w:hRule="atLeast"/>
          <w:jc w:val="center"/>
        </w:trPr>
        <w:tc>
          <w:tcPr>
            <w:tcW w:w="666" w:type="dxa"/>
            <w:noWrap w:val="0"/>
            <w:vAlign w:val="center"/>
          </w:tcPr>
          <w:p w14:paraId="6883EFDF">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6</w:t>
            </w:r>
          </w:p>
        </w:tc>
        <w:tc>
          <w:tcPr>
            <w:tcW w:w="1223" w:type="dxa"/>
            <w:noWrap w:val="0"/>
            <w:vAlign w:val="center"/>
          </w:tcPr>
          <w:p w14:paraId="23BA378A">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封装电子秤样品提供、演示和入户垃圾桶样品提供</w:t>
            </w:r>
          </w:p>
        </w:tc>
        <w:tc>
          <w:tcPr>
            <w:tcW w:w="6311" w:type="dxa"/>
            <w:noWrap w:val="0"/>
            <w:vAlign w:val="center"/>
          </w:tcPr>
          <w:p w14:paraId="04314C27">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（1）封装电子称：①质量精度准确、牢固、操作简便的得0.5分，一般的得0.3分，差的得0分；②二维码及人脸识别功能</w:t>
            </w:r>
            <w:r>
              <w:rPr>
                <w:rFonts w:hint="eastAsia" w:ascii="仿宋" w:hAnsi="仿宋" w:eastAsia="仿宋" w:cs="仿宋"/>
                <w:color w:val="auto"/>
                <w:sz w:val="24"/>
                <w:szCs w:val="24"/>
                <w:highlight w:val="none"/>
                <w:lang w:val="en-US" w:eastAsia="zh-CN"/>
              </w:rPr>
              <w:t>和</w:t>
            </w:r>
            <w:r>
              <w:rPr>
                <w:rFonts w:hint="eastAsia" w:ascii="仿宋" w:hAnsi="仿宋" w:eastAsia="仿宋" w:cs="仿宋"/>
                <w:color w:val="auto"/>
                <w:sz w:val="24"/>
                <w:szCs w:val="24"/>
                <w:highlight w:val="none"/>
              </w:rPr>
              <w:t>易腐垃圾、其他垃圾、可回收垃圾、有害垃圾实时智能秤重拍照及评价功能，符合的得0.5分，不符合的得0分；③</w:t>
            </w:r>
            <w:r>
              <w:rPr>
                <w:rFonts w:hint="eastAsia" w:ascii="仿宋" w:hAnsi="仿宋" w:eastAsia="仿宋" w:cs="仿宋"/>
                <w:color w:val="auto"/>
                <w:sz w:val="24"/>
                <w:szCs w:val="24"/>
                <w:highlight w:val="none"/>
                <w:lang w:val="en-US" w:eastAsia="zh-CN"/>
              </w:rPr>
              <w:t>可回收物积分种类可按照区级要求，达到10种及以上</w:t>
            </w:r>
            <w:r>
              <w:rPr>
                <w:rFonts w:hint="eastAsia" w:ascii="仿宋" w:hAnsi="仿宋" w:eastAsia="仿宋" w:cs="仿宋"/>
                <w:color w:val="auto"/>
                <w:sz w:val="24"/>
                <w:szCs w:val="24"/>
                <w:highlight w:val="none"/>
              </w:rPr>
              <w:t>，符合的得0.5分，不符合的得0分；④实时查询用户投放记录和积分功能，符合的得0.5分，不符合的得0分。</w:t>
            </w:r>
          </w:p>
          <w:p w14:paraId="583A674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（2）入户垃圾桶：①色彩鲜艳、易分辨的得0.2分，不鲜艳、不易分辨的得0分；②样式、标识符合采购要求的得0.2分，不符合的得0分；③质量牢固可靠、不易破损的得0.6分，一般的得0.4分，差的得0分。</w:t>
            </w:r>
          </w:p>
          <w:p w14:paraId="667C91A7">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备</w:t>
            </w:r>
            <w:r>
              <w:rPr>
                <w:rFonts w:hint="eastAsia" w:ascii="仿宋" w:hAnsi="仿宋" w:eastAsia="仿宋" w:cs="仿宋"/>
                <w:color w:val="auto"/>
                <w:sz w:val="24"/>
                <w:szCs w:val="24"/>
                <w:highlight w:val="none"/>
              </w:rPr>
              <w:t>注：未</w:t>
            </w:r>
            <w:r>
              <w:rPr>
                <w:rFonts w:hint="eastAsia" w:ascii="仿宋" w:hAnsi="仿宋" w:eastAsia="仿宋" w:cs="仿宋"/>
                <w:color w:val="auto"/>
                <w:sz w:val="24"/>
                <w:szCs w:val="24"/>
                <w:highlight w:val="none"/>
                <w:lang w:val="en-US" w:eastAsia="zh-CN"/>
              </w:rPr>
              <w:t>提供样品或演示的直接</w:t>
            </w:r>
            <w:r>
              <w:rPr>
                <w:rFonts w:hint="eastAsia" w:ascii="仿宋" w:hAnsi="仿宋" w:eastAsia="仿宋" w:cs="仿宋"/>
                <w:color w:val="auto"/>
                <w:sz w:val="24"/>
                <w:szCs w:val="24"/>
                <w:highlight w:val="none"/>
              </w:rPr>
              <w:t>不得分。</w:t>
            </w:r>
          </w:p>
        </w:tc>
        <w:tc>
          <w:tcPr>
            <w:tcW w:w="879" w:type="dxa"/>
            <w:noWrap w:val="0"/>
            <w:vAlign w:val="center"/>
          </w:tcPr>
          <w:p w14:paraId="0E436B61">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0-3</w:t>
            </w:r>
          </w:p>
        </w:tc>
        <w:tc>
          <w:tcPr>
            <w:tcW w:w="959" w:type="dxa"/>
            <w:noWrap w:val="0"/>
            <w:vAlign w:val="center"/>
          </w:tcPr>
          <w:p w14:paraId="1C50ADF2">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5844B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1" w:hRule="atLeast"/>
          <w:jc w:val="center"/>
        </w:trPr>
        <w:tc>
          <w:tcPr>
            <w:tcW w:w="666" w:type="dxa"/>
            <w:noWrap w:val="0"/>
            <w:vAlign w:val="center"/>
          </w:tcPr>
          <w:p w14:paraId="477F1577">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7</w:t>
            </w:r>
          </w:p>
        </w:tc>
        <w:tc>
          <w:tcPr>
            <w:tcW w:w="1223" w:type="dxa"/>
            <w:noWrap w:val="0"/>
            <w:vAlign w:val="center"/>
          </w:tcPr>
          <w:p w14:paraId="53231399">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p w14:paraId="207EC8E6">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项目经理服务方案讲解（U盘形式递交）</w:t>
            </w:r>
          </w:p>
        </w:tc>
        <w:tc>
          <w:tcPr>
            <w:tcW w:w="6311" w:type="dxa"/>
            <w:noWrap w:val="0"/>
            <w:vAlign w:val="center"/>
          </w:tcPr>
          <w:p w14:paraId="3C771956">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对项目需求理解全面、深入，对单位及本人自身优势认识清晰，能清楚阐述项目技术服务方案（含重难点把握准确、解决措施）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六全一码相关工作推进和</w:t>
            </w:r>
            <w:r>
              <w:rPr>
                <w:rFonts w:hint="eastAsia" w:ascii="仿宋" w:hAnsi="仿宋" w:eastAsia="仿宋" w:cs="仿宋"/>
                <w:color w:val="auto"/>
                <w:sz w:val="24"/>
                <w:szCs w:val="24"/>
                <w:highlight w:val="none"/>
              </w:rPr>
              <w:t>质量保障措施的科学性，</w:t>
            </w:r>
            <w:r>
              <w:rPr>
                <w:rFonts w:hint="eastAsia" w:ascii="仿宋" w:hAnsi="仿宋" w:eastAsia="仿宋" w:cs="仿宋"/>
                <w:color w:val="auto"/>
                <w:sz w:val="24"/>
                <w:szCs w:val="24"/>
                <w:highlight w:val="none"/>
                <w:lang w:val="en-US" w:eastAsia="zh-CN"/>
              </w:rPr>
              <w:t>要求项目经理</w:t>
            </w:r>
            <w:r>
              <w:rPr>
                <w:rFonts w:hint="eastAsia" w:ascii="仿宋" w:hAnsi="仿宋" w:eastAsia="仿宋" w:cs="仿宋"/>
                <w:color w:val="auto"/>
                <w:sz w:val="24"/>
                <w:szCs w:val="24"/>
                <w:highlight w:val="none"/>
              </w:rPr>
              <w:t>能够重点突出、清楚</w:t>
            </w:r>
            <w:r>
              <w:rPr>
                <w:rFonts w:hint="eastAsia" w:ascii="仿宋" w:hAnsi="仿宋" w:eastAsia="仿宋" w:cs="仿宋"/>
                <w:color w:val="auto"/>
                <w:sz w:val="24"/>
                <w:szCs w:val="24"/>
                <w:highlight w:val="none"/>
                <w:lang w:val="en-US" w:eastAsia="zh-CN"/>
              </w:rPr>
              <w:t>的进行视频讲解</w:t>
            </w:r>
            <w:r>
              <w:rPr>
                <w:rFonts w:hint="eastAsia" w:ascii="仿宋" w:hAnsi="仿宋" w:eastAsia="仿宋" w:cs="仿宋"/>
                <w:color w:val="auto"/>
                <w:sz w:val="24"/>
                <w:szCs w:val="24"/>
                <w:highlight w:val="none"/>
                <w:lang w:eastAsia="zh-CN"/>
              </w:rPr>
              <w:t>：</w:t>
            </w:r>
          </w:p>
          <w:p w14:paraId="186CC5AB">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项目经理</w:t>
            </w:r>
            <w:r>
              <w:rPr>
                <w:rFonts w:hint="eastAsia" w:ascii="仿宋" w:hAnsi="仿宋" w:eastAsia="仿宋" w:cs="仿宋"/>
                <w:color w:val="auto"/>
                <w:sz w:val="24"/>
                <w:szCs w:val="24"/>
                <w:highlight w:val="none"/>
              </w:rPr>
              <w:t>对项目需求理解全面、深入的得3分；基本全面、深入的得2分；不全面的得0.5分；</w:t>
            </w:r>
          </w:p>
          <w:p w14:paraId="0655615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②对单位及本人优势认识清晰的得1分，基本清晰的得0.5分，不清晰的得0.1分；</w:t>
            </w:r>
          </w:p>
          <w:p w14:paraId="7296CE6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③技术服务方案（含重难点把握准确、解决措施）清楚阐述的得3分，较清楚的得2分，不清楚的得0.5分</w:t>
            </w:r>
            <w:r>
              <w:rPr>
                <w:rFonts w:hint="eastAsia" w:ascii="仿宋" w:hAnsi="仿宋" w:eastAsia="仿宋" w:cs="仿宋"/>
                <w:color w:val="auto"/>
                <w:sz w:val="24"/>
                <w:szCs w:val="24"/>
                <w:highlight w:val="none"/>
                <w:lang w:eastAsia="zh-CN"/>
              </w:rPr>
              <w:t>；</w:t>
            </w:r>
          </w:p>
          <w:p w14:paraId="4745F50F">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④</w:t>
            </w:r>
            <w:r>
              <w:rPr>
                <w:rFonts w:hint="eastAsia" w:ascii="仿宋" w:hAnsi="仿宋" w:eastAsia="仿宋" w:cs="仿宋"/>
                <w:color w:val="auto"/>
                <w:sz w:val="24"/>
                <w:szCs w:val="24"/>
                <w:highlight w:val="none"/>
                <w:lang w:val="en-US" w:eastAsia="zh-CN"/>
              </w:rPr>
              <w:t>六全一码相关工作推进</w:t>
            </w:r>
            <w:r>
              <w:rPr>
                <w:rFonts w:hint="eastAsia" w:ascii="仿宋" w:hAnsi="仿宋" w:eastAsia="仿宋" w:cs="仿宋"/>
                <w:color w:val="auto"/>
                <w:sz w:val="24"/>
                <w:szCs w:val="24"/>
                <w:highlight w:val="none"/>
              </w:rPr>
              <w:t>和质量保障措施清楚阐述的得3分，较清楚的得2分，不清楚的得0.5分</w:t>
            </w:r>
            <w:r>
              <w:rPr>
                <w:rFonts w:hint="eastAsia" w:ascii="仿宋" w:hAnsi="仿宋" w:eastAsia="仿宋" w:cs="仿宋"/>
                <w:color w:val="auto"/>
                <w:sz w:val="24"/>
                <w:szCs w:val="24"/>
                <w:highlight w:val="none"/>
                <w:lang w:eastAsia="zh-CN"/>
              </w:rPr>
              <w:t>。</w:t>
            </w:r>
          </w:p>
          <w:p w14:paraId="049340A5">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备注</w:t>
            </w:r>
            <w:r>
              <w:rPr>
                <w:rFonts w:hint="eastAsia" w:ascii="仿宋" w:hAnsi="仿宋" w:eastAsia="仿宋" w:cs="仿宋"/>
                <w:color w:val="auto"/>
                <w:sz w:val="24"/>
                <w:szCs w:val="24"/>
                <w:highlight w:val="none"/>
              </w:rPr>
              <w:t>：未</w:t>
            </w:r>
            <w:r>
              <w:rPr>
                <w:rFonts w:hint="eastAsia" w:ascii="仿宋" w:hAnsi="仿宋" w:eastAsia="仿宋" w:cs="仿宋"/>
                <w:color w:val="auto"/>
                <w:sz w:val="24"/>
                <w:szCs w:val="24"/>
                <w:highlight w:val="none"/>
                <w:lang w:val="en-US" w:eastAsia="zh-CN"/>
              </w:rPr>
              <w:t>提供讲解的直接</w:t>
            </w:r>
            <w:r>
              <w:rPr>
                <w:rFonts w:hint="eastAsia" w:ascii="仿宋" w:hAnsi="仿宋" w:eastAsia="仿宋" w:cs="仿宋"/>
                <w:color w:val="auto"/>
                <w:sz w:val="24"/>
                <w:szCs w:val="24"/>
                <w:highlight w:val="none"/>
              </w:rPr>
              <w:t>不得分。</w:t>
            </w:r>
          </w:p>
        </w:tc>
        <w:tc>
          <w:tcPr>
            <w:tcW w:w="879" w:type="dxa"/>
            <w:noWrap w:val="0"/>
            <w:vAlign w:val="center"/>
          </w:tcPr>
          <w:p w14:paraId="186072DA">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0-10</w:t>
            </w:r>
          </w:p>
        </w:tc>
        <w:tc>
          <w:tcPr>
            <w:tcW w:w="959" w:type="dxa"/>
            <w:noWrap w:val="0"/>
            <w:vAlign w:val="center"/>
          </w:tcPr>
          <w:p w14:paraId="71A6F57F">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A93E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666" w:type="dxa"/>
            <w:noWrap w:val="0"/>
            <w:vAlign w:val="center"/>
          </w:tcPr>
          <w:p w14:paraId="72AF6F1D">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三</w:t>
            </w:r>
          </w:p>
        </w:tc>
        <w:tc>
          <w:tcPr>
            <w:tcW w:w="1223" w:type="dxa"/>
            <w:noWrap w:val="0"/>
            <w:vAlign w:val="center"/>
          </w:tcPr>
          <w:p w14:paraId="1B8C47D5">
            <w:pPr>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价格部分</w:t>
            </w:r>
          </w:p>
        </w:tc>
        <w:tc>
          <w:tcPr>
            <w:tcW w:w="6311" w:type="dxa"/>
            <w:noWrap w:val="0"/>
            <w:vAlign w:val="center"/>
          </w:tcPr>
          <w:p w14:paraId="2FCC5784">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b/>
                <w:bCs/>
                <w:color w:val="auto"/>
                <w:sz w:val="24"/>
                <w:szCs w:val="24"/>
                <w:highlight w:val="none"/>
                <w:lang w:val="en-US" w:eastAsia="zh-CN"/>
              </w:rPr>
            </w:pPr>
          </w:p>
        </w:tc>
        <w:tc>
          <w:tcPr>
            <w:tcW w:w="879" w:type="dxa"/>
            <w:noWrap w:val="0"/>
            <w:vAlign w:val="center"/>
          </w:tcPr>
          <w:p w14:paraId="6D4FD5CA">
            <w:pPr>
              <w:keepNext w:val="0"/>
              <w:keepLines w:val="0"/>
              <w:pageBreakBefore w:val="0"/>
              <w:widowControl/>
              <w:kinsoku/>
              <w:wordWrap/>
              <w:overflowPunct/>
              <w:topLinePunct w:val="0"/>
              <w:autoSpaceDE/>
              <w:autoSpaceDN/>
              <w:bidi w:val="0"/>
              <w:snapToGrid/>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0-10</w:t>
            </w:r>
          </w:p>
        </w:tc>
        <w:tc>
          <w:tcPr>
            <w:tcW w:w="959" w:type="dxa"/>
            <w:noWrap w:val="0"/>
            <w:vAlign w:val="center"/>
          </w:tcPr>
          <w:p w14:paraId="0D6E2239">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p>
        </w:tc>
      </w:tr>
      <w:tr w14:paraId="61F05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666" w:type="dxa"/>
            <w:noWrap w:val="0"/>
            <w:vAlign w:val="center"/>
          </w:tcPr>
          <w:p w14:paraId="1830B329">
            <w:pPr>
              <w:keepNext w:val="0"/>
              <w:keepLines w:val="0"/>
              <w:pageBreakBefore w:val="0"/>
              <w:numPr>
                <w:ilvl w:val="0"/>
                <w:numId w:val="0"/>
              </w:numPr>
              <w:kinsoku/>
              <w:wordWrap/>
              <w:overflowPunct/>
              <w:topLinePunct w:val="0"/>
              <w:autoSpaceDE/>
              <w:autoSpaceDN/>
              <w:bidi w:val="0"/>
              <w:snapToGrid/>
              <w:spacing w:line="360" w:lineRule="exact"/>
              <w:ind w:lef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1223" w:type="dxa"/>
            <w:noWrap w:val="0"/>
            <w:vAlign w:val="center"/>
          </w:tcPr>
          <w:p w14:paraId="71A7BF44">
            <w:pPr>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价格权值</w:t>
            </w:r>
            <w:r>
              <w:rPr>
                <w:rFonts w:hint="eastAsia" w:ascii="仿宋" w:hAnsi="仿宋" w:eastAsia="仿宋" w:cs="仿宋"/>
                <w:color w:val="auto"/>
                <w:sz w:val="24"/>
                <w:szCs w:val="24"/>
                <w:highlight w:val="none"/>
                <w:lang w:val="en-US" w:eastAsia="zh-CN"/>
              </w:rPr>
              <w:t>=0.10</w:t>
            </w:r>
          </w:p>
        </w:tc>
        <w:tc>
          <w:tcPr>
            <w:tcW w:w="6311" w:type="dxa"/>
            <w:noWrap w:val="0"/>
            <w:vAlign w:val="center"/>
          </w:tcPr>
          <w:p w14:paraId="46DA7044">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最低有效投标价格为评标基准价</w:t>
            </w:r>
          </w:p>
          <w:p w14:paraId="2FDBC807">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投标报价得分=(评标基准价／投标报价)×价格权值×100 （计算得分保留小数点后2位）</w:t>
            </w:r>
          </w:p>
          <w:p w14:paraId="6827DE33">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p w14:paraId="0FECF4E2">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对于未预留份额专门面向中小企业的政府采购服务项目，以及预留份额政府采购服务项目中的非预留部分标项，对小型和微型企业的投标报价给予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%的扣除，用扣除后的价格参加评审。</w:t>
            </w:r>
          </w:p>
        </w:tc>
        <w:tc>
          <w:tcPr>
            <w:tcW w:w="879" w:type="dxa"/>
            <w:noWrap w:val="0"/>
            <w:vAlign w:val="center"/>
          </w:tcPr>
          <w:p w14:paraId="4FC054B8">
            <w:pPr>
              <w:keepNext w:val="0"/>
              <w:keepLines w:val="0"/>
              <w:pageBreakBefore w:val="0"/>
              <w:widowControl/>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0-10</w:t>
            </w:r>
          </w:p>
        </w:tc>
        <w:tc>
          <w:tcPr>
            <w:tcW w:w="959" w:type="dxa"/>
            <w:noWrap w:val="0"/>
            <w:vAlign w:val="center"/>
          </w:tcPr>
          <w:p w14:paraId="40C6DAC4">
            <w:pPr>
              <w:keepNext w:val="0"/>
              <w:keepLines w:val="0"/>
              <w:pageBreakBefore w:val="0"/>
              <w:widowControl/>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bl>
    <w:p w14:paraId="07603C6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w:t>
      </w:r>
      <w:r>
        <w:rPr>
          <w:rFonts w:hint="eastAsia" w:ascii="仿宋" w:hAnsi="仿宋" w:eastAsia="仿宋" w:cs="仿宋"/>
          <w:color w:val="auto"/>
          <w:sz w:val="24"/>
          <w:highlight w:val="none"/>
        </w:rPr>
        <w:t xml:space="preserve">备注：1、投标人编制投标文件（商务技术文件部分）时，建议按此目录（序号和内容）提供评标标准相应的商务技术资料。 </w:t>
      </w:r>
    </w:p>
    <w:p w14:paraId="2732B56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2、评分条款中涉及的业绩、荣誉、人员、社保等分公司均有效。涉及社保、劳动关系证明关系的，如人员为法人代表，则无需提供相关证明，提供营业执照及身份证。</w:t>
      </w:r>
    </w:p>
    <w:p w14:paraId="538EC3C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3、投标文件中如附有外文资料，必须逐一对应翻译成中文并加盖投标人公章后附在相关外文资料后面，否则外文资料不予认可。</w:t>
      </w:r>
    </w:p>
    <w:p w14:paraId="3F768B23">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255B4D81">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19C437D3">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6A9429C2">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340A6E5A">
      <w:pPr>
        <w:spacing w:line="360" w:lineRule="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三、评标程序</w:t>
      </w:r>
    </w:p>
    <w:p w14:paraId="4F74114F">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C27B06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57C0BA7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44CD80D4">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7CA7C96E">
      <w:pPr>
        <w:pStyle w:val="130"/>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434E5CCD">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2396FBB7">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54428A8C">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3AE1B41E">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52391EA">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57EB5F9">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3F316E10">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33C66F4D">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5BA6C5D">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42C856F2">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E812772">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37789D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w:t>
      </w:r>
      <w:r>
        <w:rPr>
          <w:rFonts w:hint="eastAsia" w:ascii="仿宋" w:hAnsi="仿宋" w:eastAsia="仿宋" w:cs="仿宋"/>
          <w:bCs/>
          <w:color w:val="auto"/>
          <w:kern w:val="0"/>
          <w:sz w:val="24"/>
          <w:highlight w:val="none"/>
        </w:rPr>
        <w:t>6</w:t>
      </w:r>
      <w:r>
        <w:rPr>
          <w:rFonts w:hint="eastAsia" w:ascii="仿宋" w:hAnsi="仿宋" w:eastAsia="仿宋" w:cs="仿宋"/>
          <w:b/>
          <w:color w:val="auto"/>
          <w:kern w:val="0"/>
          <w:sz w:val="24"/>
          <w:highlight w:val="none"/>
        </w:rPr>
        <w:t>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B406D85">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1126D870">
      <w:pPr>
        <w:pStyle w:val="130"/>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BCCED52">
      <w:pPr>
        <w:pStyle w:val="24"/>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1C92780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0044A31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23232B8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926B63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76CFC0A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15451873">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6A3108B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44F3643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6E3A403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6592F50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214B1CBF">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7077567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14:paraId="51794DC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4.2.13投标人未提供样品或提供的样品不满足采购需求实质性条件的，投标无效；</w:t>
      </w:r>
    </w:p>
    <w:p w14:paraId="4E9B3127">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rPr>
        <w:t>4.2.14 投标文件不满足招标文件的实质性要求的；</w:t>
      </w:r>
    </w:p>
    <w:p w14:paraId="4D3BEE7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4.2.15法律、法规、规章（适用本市的）及省级以上规范性文件（适用本市的）规定的其他无效情形。</w:t>
      </w:r>
    </w:p>
    <w:p w14:paraId="567DBD56">
      <w:pPr>
        <w:pStyle w:val="24"/>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4BD9CF02">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189045DC">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65113B45">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55AC8BD4">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37EA729E">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废标后，采购代理机构应当将废标理由通知所有投标人。</w:t>
      </w:r>
    </w:p>
    <w:p w14:paraId="12A26E9D">
      <w:pPr>
        <w:pStyle w:val="24"/>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670578E">
      <w:pPr>
        <w:pStyle w:val="24"/>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2CF8B2DC">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7526950C">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3DD6F063">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199A54B0">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4AA68E07">
      <w:pPr>
        <w:spacing w:line="360" w:lineRule="auto"/>
        <w:ind w:firstLine="420"/>
        <w:outlineLvl w:val="0"/>
        <w:rPr>
          <w:rFonts w:hint="eastAsia" w:ascii="仿宋" w:hAnsi="仿宋" w:eastAsia="仿宋" w:cs="仿宋"/>
          <w:color w:val="auto"/>
          <w:highlight w:val="none"/>
        </w:rPr>
      </w:pPr>
      <w:r>
        <w:rPr>
          <w:rFonts w:hint="eastAsia" w:ascii="仿宋" w:hAnsi="仿宋" w:eastAsia="仿宋" w:cs="仿宋"/>
          <w:color w:val="auto"/>
          <w:highlight w:val="none"/>
        </w:rPr>
        <w:t>7.</w:t>
      </w:r>
      <w:r>
        <w:rPr>
          <w:rFonts w:hint="eastAsia" w:ascii="仿宋" w:hAnsi="仿宋" w:eastAsia="仿宋" w:cs="仿宋"/>
          <w:color w:val="auto"/>
          <w:sz w:val="24"/>
          <w:highlight w:val="none"/>
        </w:rPr>
        <w:t>5政府采购当事人有其他违反政府采购法或者政府采购法实施条例等法律法规规定的行为，经改正后仍然影响或者可能影响中标结果或者依法被认定为中标无效的，依照7.1-7.4规定处理。</w:t>
      </w:r>
    </w:p>
    <w:p w14:paraId="3CF03127">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75E7838">
      <w:pPr>
        <w:numPr>
          <w:ilvl w:val="0"/>
          <w:numId w:val="10"/>
        </w:num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拟签订的合同文本</w:t>
      </w:r>
    </w:p>
    <w:p w14:paraId="6F758D7D">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6303E080">
      <w:pPr>
        <w:pStyle w:val="3"/>
        <w:ind w:left="0" w:firstLine="0"/>
        <w:rPr>
          <w:rFonts w:hint="eastAsia" w:ascii="仿宋" w:hAnsi="仿宋" w:eastAsia="仿宋" w:cs="仿宋"/>
          <w:color w:val="auto"/>
          <w:highlight w:val="none"/>
        </w:rPr>
      </w:pPr>
    </w:p>
    <w:p w14:paraId="4CD9570B">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合同编号：</w:t>
      </w:r>
    </w:p>
    <w:p w14:paraId="7C17FC4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签订地点： </w:t>
      </w:r>
    </w:p>
    <w:p w14:paraId="027BE8A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签订时间：</w:t>
      </w:r>
    </w:p>
    <w:p w14:paraId="27491285">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584A8678">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甲方（需方）：</w:t>
      </w:r>
    </w:p>
    <w:p w14:paraId="2DAA55D3">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乙方（供方）：</w:t>
      </w:r>
    </w:p>
    <w:p w14:paraId="247D8057">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供、需双方根据</w:t>
      </w:r>
      <w:r>
        <w:rPr>
          <w:rFonts w:hint="eastAsia" w:ascii="仿宋" w:hAnsi="仿宋" w:eastAsia="仿宋" w:cs="仿宋"/>
          <w:color w:val="auto"/>
          <w:sz w:val="24"/>
          <w:szCs w:val="24"/>
          <w:highlight w:val="none"/>
          <w:u w:val="single"/>
        </w:rPr>
        <w:t>项目名称-标项（标项号）</w:t>
      </w:r>
      <w:r>
        <w:rPr>
          <w:rFonts w:hint="eastAsia" w:ascii="仿宋" w:hAnsi="仿宋" w:eastAsia="仿宋" w:cs="仿宋"/>
          <w:color w:val="auto"/>
          <w:sz w:val="24"/>
          <w:szCs w:val="24"/>
          <w:highlight w:val="none"/>
        </w:rPr>
        <w:t>（采购编号：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）采购结果和采购文件的要求，经双方协商一致，订立本采购合同。</w:t>
      </w:r>
    </w:p>
    <w:p w14:paraId="30B949C8">
      <w:pPr>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一、合同文件：</w:t>
      </w:r>
    </w:p>
    <w:p w14:paraId="3E429FB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1.合同主要条款；</w:t>
      </w:r>
    </w:p>
    <w:p w14:paraId="7BB69A3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2.询标纪要（如有）；</w:t>
      </w:r>
    </w:p>
    <w:p w14:paraId="6AD29DE5">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3.中标通知书；</w:t>
      </w:r>
    </w:p>
    <w:p w14:paraId="142AFE2D">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4.招标文件；</w:t>
      </w:r>
    </w:p>
    <w:p w14:paraId="511A544A">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5.更正公告（如有）；</w:t>
      </w:r>
      <w:r>
        <w:rPr>
          <w:rFonts w:hint="eastAsia" w:ascii="仿宋" w:hAnsi="仿宋" w:eastAsia="仿宋" w:cs="仿宋"/>
          <w:color w:val="auto"/>
          <w:sz w:val="24"/>
          <w:szCs w:val="24"/>
          <w:highlight w:val="none"/>
        </w:rPr>
        <w:tab/>
      </w:r>
    </w:p>
    <w:p w14:paraId="2EF061D8">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6.投标文件。</w:t>
      </w:r>
    </w:p>
    <w:p w14:paraId="4C53230C">
      <w:pPr>
        <w:widowControl/>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二、服务范围、内容、服务期</w:t>
      </w:r>
    </w:p>
    <w:p w14:paraId="777455ED">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1.服务范围</w:t>
      </w:r>
    </w:p>
    <w:p w14:paraId="591F1ABC">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2" w:char="00A3"/>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：北塘河以北区域</w:t>
      </w:r>
      <w:r>
        <w:rPr>
          <w:rFonts w:hint="eastAsia" w:ascii="仿宋" w:hAnsi="仿宋" w:eastAsia="仿宋" w:cs="仿宋"/>
          <w:color w:val="auto"/>
          <w:sz w:val="24"/>
          <w:szCs w:val="24"/>
          <w:highlight w:val="none"/>
          <w:lang w:eastAsia="zh-CN"/>
        </w:rPr>
        <w:t>，包括青茵社区、长茵社区、天悦社区、江南星城社区、风情科创社区、杨时社区、信息港社区、桂语听澜社区、明星社区、兴议社区、荣星社区，共计30个小区。</w:t>
      </w:r>
    </w:p>
    <w:p w14:paraId="1AA51BE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2" w:char="00A3"/>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：北塘河以南市心路以东，包括</w:t>
      </w:r>
      <w:r>
        <w:rPr>
          <w:rFonts w:hint="eastAsia" w:ascii="仿宋" w:hAnsi="仿宋" w:eastAsia="仿宋" w:cs="仿宋"/>
          <w:snapToGrid w:val="0"/>
          <w:color w:val="auto"/>
          <w:kern w:val="0"/>
          <w:sz w:val="24"/>
          <w:szCs w:val="24"/>
          <w:highlight w:val="none"/>
        </w:rPr>
        <w:t>塘湾社区、城北社区、柳桥社区、永高社区、墩里吴社区、钱塘明月社区、博学路社区、绿茵园社区、广德社区、华达社区、银河社区、中誉新城社区、北干一苑社区、北干二苑社区</w:t>
      </w:r>
      <w:r>
        <w:rPr>
          <w:rFonts w:hint="eastAsia" w:ascii="仿宋" w:hAnsi="仿宋" w:eastAsia="仿宋" w:cs="仿宋"/>
          <w:color w:val="auto"/>
          <w:sz w:val="24"/>
          <w:szCs w:val="24"/>
          <w:highlight w:val="none"/>
        </w:rPr>
        <w:t>，共计</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个小区。</w:t>
      </w:r>
    </w:p>
    <w:p w14:paraId="6132A9A7">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2" w:char="00A3"/>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：北塘河以南市心路以西（除江南星城社区），包括</w:t>
      </w:r>
      <w:r>
        <w:rPr>
          <w:rFonts w:hint="eastAsia" w:ascii="仿宋" w:hAnsi="仿宋" w:eastAsia="仿宋" w:cs="仿宋"/>
          <w:snapToGrid w:val="0"/>
          <w:color w:val="auto"/>
          <w:kern w:val="0"/>
          <w:sz w:val="24"/>
          <w:szCs w:val="24"/>
          <w:highlight w:val="none"/>
        </w:rPr>
        <w:t>工人路社区、星都社区、萧然社区、金山西苑社区、金泰苑社区、加德社区、金稼苑社区、施家桥社区、畈里张社区、荣联社区、金江南社区、金风社区、湖滨花园社区、荣星社区、荣庄村</w:t>
      </w:r>
      <w:r>
        <w:rPr>
          <w:rFonts w:hint="eastAsia" w:ascii="仿宋" w:hAnsi="仿宋" w:eastAsia="仿宋" w:cs="仿宋"/>
          <w:color w:val="auto"/>
          <w:sz w:val="24"/>
          <w:szCs w:val="24"/>
          <w:highlight w:val="none"/>
        </w:rPr>
        <w:t>，共计</w:t>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个小区。</w:t>
      </w:r>
    </w:p>
    <w:p w14:paraId="2868FF0B">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2.服务内容</w:t>
      </w:r>
    </w:p>
    <w:p w14:paraId="306A4C24">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2.1乙方提供服务区域内的垃圾分类服务，负责提供所有服务伴随的设施设备。</w:t>
      </w:r>
    </w:p>
    <w:p w14:paraId="55CC66A5">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（1）负责辖区内的定时定点投放点和误时投放点的建设和运行，包括且不限于点位硬件设施、环境卫生、秩序维护和垃圾桶的布置、清运，垃圾桶需运至社区指定的集置房（位置）。</w:t>
      </w:r>
    </w:p>
    <w:p w14:paraId="1CA7EC58">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（2）负责再生资源回收点的建设和运行，包括且不限于点位硬件设施、环境卫生、秩序维护和再生资源的收集。</w:t>
      </w:r>
    </w:p>
    <w:p w14:paraId="5CB66547">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负责小区的垃圾分类氛围营造，策划活动、举办宣传培训活动推进工作以提升参与率、分类质量和居民获得感；配合社区做好定时定点新推进小区的实施策划，参与率不达标小区的改善策划等策划提升活动。负责对萧山区生活垃圾分类智能监管平台（城市大脑）中没有投放数据的住户开展上门宣传，服从社区的直接管理，配合社区开展各种垃圾分类宣传活动。</w:t>
      </w:r>
    </w:p>
    <w:p w14:paraId="0B1FFB53">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（4）负责对接各个垃圾分类智能平台，并巡检、培训、指导各社区、物业、第三方工作人员相关的智能应用，每周出具投放数据、生活垃圾重量分析报告，对街道的数据质量开展自查。</w:t>
      </w:r>
    </w:p>
    <w:p w14:paraId="35B1C08E">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（5）负责定时定点投放积分奖品兑换，乙方应积极宣传、促进居民主动投放垃圾积分并及时兑换。</w:t>
      </w:r>
    </w:p>
    <w:p w14:paraId="0CAD1982">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（6）协助其它一些临时的、应急的垃圾分类任务。</w:t>
      </w:r>
    </w:p>
    <w:p w14:paraId="2304A30D">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2.2垃圾分类服务标准按上级有关规定执行。</w:t>
      </w:r>
    </w:p>
    <w:p w14:paraId="2F47EDDF">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3.服务期：1年，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2B3E131">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4.项目经理：</w:t>
      </w:r>
      <w:r>
        <w:rPr>
          <w:rFonts w:hint="eastAsia" w:ascii="仿宋" w:hAnsi="仿宋" w:eastAsia="仿宋" w:cs="仿宋"/>
          <w:color w:val="auto"/>
          <w:sz w:val="24"/>
          <w:szCs w:val="24"/>
          <w:highlight w:val="none"/>
          <w:u w:val="single"/>
        </w:rPr>
        <w:t xml:space="preserve">      （姓名，联系电话）        </w:t>
      </w:r>
      <w:r>
        <w:rPr>
          <w:rFonts w:hint="eastAsia" w:ascii="仿宋" w:hAnsi="仿宋" w:eastAsia="仿宋" w:cs="仿宋"/>
          <w:color w:val="auto"/>
          <w:sz w:val="24"/>
          <w:szCs w:val="24"/>
          <w:highlight w:val="none"/>
        </w:rPr>
        <w:t>。</w:t>
      </w:r>
    </w:p>
    <w:p w14:paraId="769E592E">
      <w:pPr>
        <w:widowControl/>
        <w:spacing w:line="440" w:lineRule="exact"/>
        <w:outlineLvl w:val="0"/>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三、合同价</w:t>
      </w:r>
      <w:r>
        <w:rPr>
          <w:rFonts w:hint="eastAsia" w:ascii="仿宋" w:hAnsi="仿宋" w:eastAsia="仿宋" w:cs="仿宋"/>
          <w:bCs/>
          <w:color w:val="auto"/>
          <w:sz w:val="24"/>
          <w:szCs w:val="24"/>
          <w:highlight w:val="none"/>
        </w:rPr>
        <w:t xml:space="preserve"> </w:t>
      </w:r>
    </w:p>
    <w:p w14:paraId="32E534C5">
      <w:pPr>
        <w:widowControl/>
        <w:spacing w:line="440" w:lineRule="exact"/>
        <w:ind w:firstLine="480" w:firstLineChars="2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1.合同签约总价为(大写)</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元）人民币。合同价包括：</w:t>
      </w:r>
      <w:r>
        <w:rPr>
          <w:rFonts w:hint="eastAsia" w:ascii="仿宋" w:hAnsi="仿宋" w:eastAsia="仿宋" w:cs="仿宋"/>
          <w:bCs/>
          <w:color w:val="auto"/>
          <w:sz w:val="24"/>
          <w:szCs w:val="24"/>
          <w:highlight w:val="yellow"/>
        </w:rPr>
        <w:t>（1）人工费(包括人员工资（最低</w:t>
      </w:r>
      <w:r>
        <w:rPr>
          <w:rFonts w:hint="eastAsia" w:ascii="仿宋" w:hAnsi="仿宋" w:eastAsia="仿宋" w:cs="仿宋"/>
          <w:bCs/>
          <w:color w:val="auto"/>
          <w:sz w:val="24"/>
          <w:szCs w:val="24"/>
          <w:highlight w:val="yellow"/>
          <w:lang w:val="en-US" w:eastAsia="zh-CN"/>
        </w:rPr>
        <w:t>2490</w:t>
      </w:r>
      <w:r>
        <w:rPr>
          <w:rFonts w:hint="eastAsia" w:ascii="仿宋" w:hAnsi="仿宋" w:eastAsia="仿宋" w:cs="仿宋"/>
          <w:bCs/>
          <w:color w:val="auto"/>
          <w:sz w:val="24"/>
          <w:szCs w:val="24"/>
          <w:highlight w:val="yellow"/>
        </w:rPr>
        <w:t>元/月）、津贴、劳动福利、高温费、社会保险费、双休日及法定节假日加班费、医疗体检费等)；（2）服务过程中所需的前期准备、耗材、设施设备、作业器具、水电等产生的费用；（3）作业安全保险费、安全培训费、职业教育费、企业管理费、利润、税金等费用</w:t>
      </w:r>
      <w:r>
        <w:rPr>
          <w:rFonts w:hint="eastAsia" w:ascii="仿宋" w:hAnsi="仿宋" w:eastAsia="仿宋" w:cs="仿宋"/>
          <w:bCs/>
          <w:color w:val="auto"/>
          <w:sz w:val="24"/>
          <w:szCs w:val="24"/>
          <w:highlight w:val="yellow"/>
          <w:lang w:eastAsia="zh-CN"/>
        </w:rPr>
        <w:t>。</w:t>
      </w:r>
    </w:p>
    <w:p w14:paraId="6EC680F1">
      <w:pPr>
        <w:widowControl/>
        <w:spacing w:line="440" w:lineRule="exact"/>
        <w:ind w:firstLine="480" w:firstLineChars="200"/>
        <w:outlineLvl w:val="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2.本合同为固定单价合同，按实结算。</w:t>
      </w:r>
    </w:p>
    <w:tbl>
      <w:tblPr>
        <w:tblStyle w:val="62"/>
        <w:tblW w:w="92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902"/>
        <w:gridCol w:w="2591"/>
        <w:gridCol w:w="3927"/>
      </w:tblGrid>
      <w:tr w14:paraId="1F835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6BDE7AB6">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02" w:type="dxa"/>
            <w:noWrap w:val="0"/>
            <w:vAlign w:val="center"/>
          </w:tcPr>
          <w:p w14:paraId="7B95C229">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支付项</w:t>
            </w:r>
          </w:p>
        </w:tc>
        <w:tc>
          <w:tcPr>
            <w:tcW w:w="2591" w:type="dxa"/>
            <w:noWrap w:val="0"/>
            <w:vAlign w:val="center"/>
          </w:tcPr>
          <w:p w14:paraId="7D7B74C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合同价</w:t>
            </w:r>
          </w:p>
        </w:tc>
        <w:tc>
          <w:tcPr>
            <w:tcW w:w="3927" w:type="dxa"/>
            <w:noWrap w:val="0"/>
            <w:vAlign w:val="center"/>
          </w:tcPr>
          <w:p w14:paraId="2C299E9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40D9E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69587C84">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02" w:type="dxa"/>
            <w:noWrap w:val="0"/>
            <w:vAlign w:val="center"/>
          </w:tcPr>
          <w:p w14:paraId="7AD77E4E">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垃圾分类服务费</w:t>
            </w:r>
          </w:p>
        </w:tc>
        <w:tc>
          <w:tcPr>
            <w:tcW w:w="2591" w:type="dxa"/>
            <w:noWrap w:val="0"/>
            <w:vAlign w:val="center"/>
          </w:tcPr>
          <w:p w14:paraId="7245D06C">
            <w:pPr>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签约价：（  ）元；</w:t>
            </w:r>
          </w:p>
          <w:p w14:paraId="7548910C">
            <w:pPr>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  ）元/户/年</w:t>
            </w:r>
          </w:p>
        </w:tc>
        <w:tc>
          <w:tcPr>
            <w:tcW w:w="3927" w:type="dxa"/>
            <w:noWrap w:val="0"/>
            <w:vAlign w:val="center"/>
          </w:tcPr>
          <w:p w14:paraId="6355B41B">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每月按照小区内实际入住户数核算（每月实际结算户数不足招标总户的50%，按招标总户数的50%结算）</w:t>
            </w:r>
          </w:p>
        </w:tc>
      </w:tr>
    </w:tbl>
    <w:p w14:paraId="1704A55F">
      <w:pPr>
        <w:spacing w:line="440" w:lineRule="exact"/>
        <w:outlineLvl w:val="0"/>
        <w:rPr>
          <w:rFonts w:hint="eastAsia" w:ascii="仿宋" w:hAnsi="仿宋" w:eastAsia="仿宋" w:cs="仿宋"/>
          <w:b/>
          <w:color w:val="auto"/>
          <w:sz w:val="24"/>
          <w:szCs w:val="24"/>
          <w:highlight w:val="none"/>
        </w:rPr>
      </w:pPr>
    </w:p>
    <w:p w14:paraId="4AC20238">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四、支付方式 </w:t>
      </w:r>
    </w:p>
    <w:p w14:paraId="5BC4EDEB">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1.垃圾分类服务费：</w:t>
      </w:r>
    </w:p>
    <w:p w14:paraId="1046F29B">
      <w:pPr>
        <w:spacing w:line="440" w:lineRule="exact"/>
        <w:ind w:firstLine="480" w:firstLineChars="200"/>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合同签订后预付40%预付款。</w:t>
      </w:r>
    </w:p>
    <w:p w14:paraId="5B38F7A3">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垃圾分类服务费每月按照小区内实际入住户数核算（每月实际结算户数不足招标总户的50%，按招标总户数的50%结算），每季度结算并支付一次，每季度第一个月初支付上季度服务费用的90%，根据街道月度考核情况扣减相应费用后支付。【即每季度支付费用=（户数*单价）*考核得分对应应付比例*90%】</w:t>
      </w:r>
    </w:p>
    <w:p w14:paraId="0B0AE7C7">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③垃圾分类服务费的剩余款项作为考核费，萧山区年度排名结果发布后一个月内，根据月度和年度排名情况扣减相应费用后支付。</w:t>
      </w:r>
    </w:p>
    <w:p w14:paraId="2DEBAFD5">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 4 \* GB3 \* MERGEFORMAT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④</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如合同履约过程中，有新增小区垃圾分类服务工作，按合同单价结算。如新增小区每月实际结算户数不足该小区总户的50%，按该小区总户数的50%结算。</w:t>
      </w:r>
    </w:p>
    <w:p w14:paraId="6AAB4965">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2.生活垃圾积分兑换费：</w:t>
      </w:r>
    </w:p>
    <w:p w14:paraId="3A9375D3">
      <w:pPr>
        <w:spacing w:line="440" w:lineRule="exact"/>
        <w:ind w:firstLine="480" w:firstLineChars="200"/>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①服务期结束时，居民</w:t>
      </w:r>
      <w:r>
        <w:rPr>
          <w:rFonts w:hint="eastAsia" w:ascii="仿宋" w:hAnsi="仿宋" w:eastAsia="仿宋" w:cs="仿宋"/>
          <w:color w:val="auto"/>
          <w:sz w:val="24"/>
          <w:szCs w:val="24"/>
          <w:highlight w:val="none"/>
          <w:lang w:val="en-US"/>
        </w:rPr>
        <w:t>账户中所有</w:t>
      </w:r>
      <w:r>
        <w:rPr>
          <w:rFonts w:hint="eastAsia" w:ascii="仿宋" w:hAnsi="仿宋" w:eastAsia="仿宋" w:cs="仿宋"/>
          <w:color w:val="auto"/>
          <w:sz w:val="24"/>
          <w:szCs w:val="24"/>
          <w:highlight w:val="none"/>
        </w:rPr>
        <w:t>未兑换的积分（</w:t>
      </w:r>
      <w:r>
        <w:rPr>
          <w:rFonts w:hint="eastAsia" w:ascii="仿宋" w:hAnsi="仿宋" w:eastAsia="仿宋" w:cs="仿宋"/>
          <w:color w:val="auto"/>
          <w:sz w:val="24"/>
          <w:szCs w:val="24"/>
          <w:highlight w:val="none"/>
          <w:lang w:val="en-US"/>
        </w:rPr>
        <w:t>包括再生资源积分和生活垃圾积分</w:t>
      </w:r>
      <w:r>
        <w:rPr>
          <w:rFonts w:hint="eastAsia" w:ascii="仿宋" w:hAnsi="仿宋" w:eastAsia="仿宋" w:cs="仿宋"/>
          <w:color w:val="auto"/>
          <w:sz w:val="24"/>
          <w:szCs w:val="24"/>
          <w:highlight w:val="none"/>
        </w:rPr>
        <w:t>）由社区一次性兑换成奖品（由社区发放）</w:t>
      </w:r>
      <w:r>
        <w:rPr>
          <w:rFonts w:hint="eastAsia" w:ascii="仿宋" w:hAnsi="仿宋" w:eastAsia="仿宋" w:cs="仿宋"/>
          <w:color w:val="auto"/>
          <w:sz w:val="24"/>
          <w:szCs w:val="24"/>
          <w:highlight w:val="none"/>
          <w:lang w:eastAsia="zh-CN"/>
        </w:rPr>
        <w:t>。</w:t>
      </w:r>
    </w:p>
    <w:p w14:paraId="2E9EAB1F">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rPr>
        <w:t>3.联合体各成员的分工、费用收取、发票开具等事项：联合体各成员分工承担的工作内容以联合体协议书为准，若联合体协议书分工存在不明确事项的，则签订本合同</w:t>
      </w:r>
      <w:r>
        <w:rPr>
          <w:rFonts w:hint="eastAsia" w:ascii="仿宋" w:hAnsi="仿宋" w:eastAsia="仿宋" w:cs="仿宋"/>
          <w:color w:val="auto"/>
          <w:sz w:val="24"/>
          <w:szCs w:val="24"/>
          <w:highlight w:val="none"/>
        </w:rPr>
        <w:t>前予以明确。联合体协议书中未明确合同价款联合体成员分别和甲方结算支付的，则甲方支付给联合体牵头人，即发票由牵头人开具。</w:t>
      </w:r>
    </w:p>
    <w:p w14:paraId="731AED6A">
      <w:pPr>
        <w:spacing w:line="440" w:lineRule="exact"/>
        <w:ind w:firstLine="480" w:firstLineChars="200"/>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4.甲方每次付款前，乙方应先开具等额正规增值税发票，否则甲方有权暂缓付款且不承担违约责任。</w:t>
      </w:r>
    </w:p>
    <w:p w14:paraId="014ECC67">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五、履约担保</w:t>
      </w:r>
    </w:p>
    <w:p w14:paraId="18BE26F7">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1.收取履约保证金为合同金额1%。</w:t>
      </w:r>
    </w:p>
    <w:p w14:paraId="1C12FF43">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2.形式：以支票、汇票、本票或者金融机构、担保机构出具的保函等非现金形式提交。</w:t>
      </w:r>
    </w:p>
    <w:p w14:paraId="69AAF4C9">
      <w:pPr>
        <w:spacing w:line="44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3.时间：合同签订时提交。若联合体成交的，则牵头人提交。</w:t>
      </w:r>
    </w:p>
    <w:p w14:paraId="4135FCC5">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4.履约保证金在合同约定期间内不予退还或者应完全有效，待服务期满后，无质量、服务问题，由甲方向乙方无息退还。</w:t>
      </w:r>
    </w:p>
    <w:p w14:paraId="049AA8AE">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六、甲方的权利义务  </w:t>
      </w:r>
    </w:p>
    <w:p w14:paraId="32E8C627">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1.提供垃圾分类作业规范及考核办法。</w:t>
      </w:r>
    </w:p>
    <w:p w14:paraId="5A91DE4B">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2.如遇突发事件，协调乙方在作业过程中同其他部门的关系。</w:t>
      </w:r>
    </w:p>
    <w:p w14:paraId="7F58DB18">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甲方在督查过程中发现影响垃圾分类问题的，乙方必须无条件服从甲方指挥，立即落实整改。如发现一次不整改的，进行口头警告,二次以上不整改的，将按照考核要求扣除相应的考核分，最终成绩纳入年底考核。</w:t>
      </w:r>
    </w:p>
    <w:p w14:paraId="6B272CD4">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七、乙方的权利义务  </w:t>
      </w:r>
    </w:p>
    <w:p w14:paraId="2DDABD18">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1.根据甲方服务管理要求开展垃圾分类工作</w:t>
      </w:r>
    </w:p>
    <w:p w14:paraId="5EEFA4E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设施管理：小区内无杂色桶；投放点位设置四分类桶，每日定时定点进行投放收集，要求实现对各类垃圾的称重计量；垃圾分类设施干净整洁无破损(包括小区内所有垃圾桶)。小区产生的易腐垃圾质量应当符合餐厨垃圾处置企业的收运标准，包括实现垃圾破袋投放。在本服务项目中提供的设施、设备一律不得播放商业广告。播放的公益广告仅限与垃圾分类有关的内容，且须由甲方审核同意后方可投入播放宣传。</w:t>
      </w:r>
    </w:p>
    <w:p w14:paraId="7A1EBABC">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（2）工作管理：积极调解因投放点位问题产生的矛盾。小区内未经甲方认可的原投放点做到彻底撤桶。</w:t>
      </w:r>
    </w:p>
    <w:p w14:paraId="52259B7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（3）分类质量：易腐垃圾、其他垃圾、可回收物和有害垃圾分类投放，无混装、错投等情况。如合同履约过程中，萧山区有最新更高要求的，按最新高要求执行。</w:t>
      </w:r>
    </w:p>
    <w:p w14:paraId="324D84F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（4）宣传氛围：对现有的垃圾分类设备设施进行统一的视觉形象设计，包括且不限于对集置点/垃圾桶、宣传栏、宣传海报进行优化和科学布局。</w:t>
      </w:r>
    </w:p>
    <w:p w14:paraId="73E3E87C">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汇报总结：需服从甲方的管理，所有工作方面汇报对象最高级别为甲方单位负责人，不得越级汇报；每季度就本项目开展情况，向甲方进行汇报，并提交书面汇报材料；未经甲方许可不得将涉及本项目商务、技术信息资料对甲方以外的单位或个人公开。</w:t>
      </w:r>
    </w:p>
    <w:p w14:paraId="5B6D532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（6）调研接待：完成甲方布置的各项应急保障和接待调研来访工作。</w:t>
      </w:r>
    </w:p>
    <w:p w14:paraId="021613D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（7）工作响应：提供24小时电话客服服务，发现问题</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分钟内到达现场，简单问题现场解决、复杂问题</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小时解决，小型设备无法在</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小时内解决的，需替换维修；大型设备无法在</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个自然日维修完毕的，需提供替代设备。服务单位应在服务辖区内设置固定办公场所（面积</w:t>
      </w:r>
      <w:r>
        <w:rPr>
          <w:rFonts w:hint="eastAsia" w:ascii="仿宋" w:hAnsi="仿宋" w:eastAsia="仿宋" w:cs="仿宋"/>
          <w:color w:val="auto"/>
          <w:sz w:val="24"/>
          <w:szCs w:val="24"/>
          <w:highlight w:val="none"/>
          <w:lang w:val="en-US" w:eastAsia="zh-CN"/>
        </w:rPr>
        <w:t>不少于60</w:t>
      </w:r>
      <w:r>
        <w:rPr>
          <w:rFonts w:hint="eastAsia" w:ascii="仿宋" w:hAnsi="仿宋" w:eastAsia="仿宋" w:cs="仿宋"/>
          <w:color w:val="auto"/>
          <w:sz w:val="24"/>
          <w:szCs w:val="24"/>
          <w:highlight w:val="none"/>
        </w:rPr>
        <w:t>个平方米）和停放作业器具的仓库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根据服务内容配备相应交通工具以保障日常巡查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设备应急维修、服务响应的及时性。</w:t>
      </w:r>
    </w:p>
    <w:p w14:paraId="2726BB4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垃圾分类服务工作实时在线记录：乙方提供APP或小程序，实现数字化实时线上服务工作记录，包括但不限于人员到位考勤记录上下岗、策划活动记录、入户宣传记录、巡检记录等内容，并提供顶级管理员账号，便于甲方检查和考核。APP或小程序需实现的功能；</w:t>
      </w:r>
    </w:p>
    <w:p w14:paraId="343391B2">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所有工作人员信息；</w:t>
      </w:r>
    </w:p>
    <w:p w14:paraId="2A8BF76B">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所有人员上下岗打卡；</w:t>
      </w:r>
    </w:p>
    <w:p w14:paraId="72557BEB">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管理员入户宣传打卡，一个定位一张照片一个工作评价；</w:t>
      </w:r>
    </w:p>
    <w:p w14:paraId="12CEA9D4">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策划活动记录，一个定位一张照片一个工作评价；</w:t>
      </w:r>
    </w:p>
    <w:p w14:paraId="39B251F1">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巡检、培训、指导记录，一个定位一张照片一个工作评价；</w:t>
      </w:r>
    </w:p>
    <w:p w14:paraId="1FD10A03">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投放点、再生资源回收点每日工作开始结束记录，一定位一照片。</w:t>
      </w:r>
    </w:p>
    <w:p w14:paraId="188C1648">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（9）标准化管理：</w:t>
      </w:r>
    </w:p>
    <w:p w14:paraId="6E2B29A3">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乙方应具有比较完善的组织架构，具有清晰的主要管理流程、权责分配、运作流程图、监督机制、自我约束机制、信息反馈渠道及处理机制。</w:t>
      </w:r>
    </w:p>
    <w:p w14:paraId="07918E87">
      <w:pPr>
        <w:spacing w:line="440"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乙方应具有完善的、切实有效的企业管理制度（包括但不限于绩效管理制度、台账管理制度及台账模板、员工考勤制度、员工日常行为规范管理制度、廉洁管理制度、资产管理制度、档案管理制度等相关规章制度）和规范化的垃圾分类服务质量控制标准。 </w:t>
      </w:r>
    </w:p>
    <w:p w14:paraId="45306D2F">
      <w:pPr>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八、考核</w:t>
      </w:r>
    </w:p>
    <w:p w14:paraId="558733F4">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街道月度考核按附件《北干街道小区第三方服务月度考核评分细则（试行）》执行，考核得分大于90分的全额支付服务费；考核得分80（不含）-90（含）分的，支付服务费的90%；考核得分70（不含）-80（含）分的，支付服务费的80%；考核得分≤70分的，支付服务费的（得分数值）%；考核得分＜60分，为考核不合格，支付服务费的50%。</w:t>
      </w:r>
    </w:p>
    <w:p w14:paraId="230960C2">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2.市(包括市级及以上)、区、街道将分别进行三级考核，专项检查中或被媒体曝光通报批评的，由街道分管领导签发通告，每次通告扣款5万元，合同期内累计通告达5次的，甲方有权终止合同。</w:t>
      </w:r>
    </w:p>
    <w:p w14:paraId="2BA394A9">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根据北干街道在萧山区垃圾分类工作月度和年度考核排名情况，每月考核排名在前三名的不扣款，第四名及以下的，每下降1名扣除考核费的0.5%；年度考核排名在前三名的不扣款，第四名及以下的，每下降1名扣除考核费的5%。</w:t>
      </w:r>
    </w:p>
    <w:p w14:paraId="0AB7EB88">
      <w:pPr>
        <w:widowControl/>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九、其他约定</w:t>
      </w:r>
    </w:p>
    <w:p w14:paraId="347739F3">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依法合法用工。全日制正式员工须缴纳社会保险、签订劳动合同、保障劳动者休息休假等合法权益，并诚信依照法律和合同约定履行对外合同，如出现第三方向乙方主张权利，且该主张得到劳动仲裁委、法院等机关确认的情况下，甲方有权按照生效的法律文书和相关机关的协助请求，从应付乙方的服务费用中扣除相关款项直接支付给第三方，视为对乙方支付相应金额的服务费用，乙方对此不持异议。</w:t>
      </w:r>
    </w:p>
    <w:p w14:paraId="7E0BEB54">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若乙方未遵守劳动法规、安全法规等国家法律法规，导致第三方向乙方主张权利的或招致国家机关处罚的，乙方应妥善解决。同时，甲方可暂扣部分费用，第三方主张得到有关机关确认属实的或处罚决定生效，且乙方未在法律文书等规定的时间内履行的，甲方可依据相关法律文书直接将暂扣费用支付给第三方或有关机关，该费用视为已支付乙方。</w:t>
      </w:r>
    </w:p>
    <w:p w14:paraId="4FD4C3B5">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3.规范管理、文明作业，自觉接受甲方及上级各部门领导的检查和社会监督，对发现的问题要及时整改。</w:t>
      </w:r>
    </w:p>
    <w:p w14:paraId="203981F3">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4.作业时应严格遵守劳动纪律，遵守安全操作规程，确保安全，发生各种意外事故由乙方自行依照法律法规妥善处理，并由乙方承担全部赔偿责任。</w:t>
      </w:r>
    </w:p>
    <w:p w14:paraId="1B56D01C">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5.本项目内所涉及的人员住房和作业工具、服装等均由乙方自行负责解决；自行负责服务过程所需的各类要件（包括但不限于设备设施、器材、耗材、软件、系统、通信、网络、水电等）。</w:t>
      </w:r>
    </w:p>
    <w:p w14:paraId="1D58690A">
      <w:pPr>
        <w:widowControl/>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6.员工劳动保障：</w:t>
      </w:r>
    </w:p>
    <w:p w14:paraId="5AD9D20A">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（1）必须与员工签订书面劳动合同（或劳务合同），人员在主管部门备案。</w:t>
      </w:r>
    </w:p>
    <w:p w14:paraId="40B764F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（2）执行《劳动法》、《劳动合同法》等有关员工保障的其他规定，由劳动部门查实的，根据查实情况处罚。</w:t>
      </w:r>
    </w:p>
    <w:p w14:paraId="3580B1DD">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（3）按照以人为本原则关心职工，严格遵守有关劳动法规，保障职工合法权益，如因违法、违规行为造成不良影响者，其责任由乙方自负。</w:t>
      </w:r>
    </w:p>
    <w:p w14:paraId="7B82506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（4）用工年龄、临时用工按照国家相关法律法规规定执行。</w:t>
      </w:r>
    </w:p>
    <w:p w14:paraId="63259B11">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项目组人员每月工资应按时发放，福利政策按投标文件承诺发放。如发现未按月发放工资、或未及时发放工资、或未按投标文件承诺的最低实发工资发放、或未按承诺发放福利政策的，乙方向甲方支付违约赔偿金，金额为合同签约价的5%，同时甲方有权据此认定乙方年度考核不合格或直接单方面终止合同。因存在劳动争议而未发放的工资情况除外。</w:t>
      </w:r>
    </w:p>
    <w:p w14:paraId="70260428">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7.严格遵守有关法律、法规，开展文明作业，作业时出现意外事故或涉及其他法律问题和责任的，由乙方自行承担并负责解决，必要时甲方可予以配合。</w:t>
      </w:r>
    </w:p>
    <w:p w14:paraId="267D4008">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8.组织管理机构、人员素质、每班作业人数应按投标文件落实到位。</w:t>
      </w:r>
    </w:p>
    <w:p w14:paraId="297744FA">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9.遇到突发事件、自然灾害或天气影响，必须服从甲方指挥和安排，做到组织到位、人员到位、设备到位、处理及时。</w:t>
      </w:r>
    </w:p>
    <w:p w14:paraId="20CE5836">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10.做好各类迎检的应急保障工作；甲方交办的各类任务，包括各类突击性任务。</w:t>
      </w:r>
    </w:p>
    <w:p w14:paraId="01A218BE">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11.协助甲方调查、并根据甲方要求及时处理解决市民来信来访及投诉问题，认真做好检查中发生的各类问题。</w:t>
      </w:r>
    </w:p>
    <w:p w14:paraId="6E86F44C">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12.为维护公众、业主、使用人的切身利益，在不可预见情况下，如发生煤气泄漏、漏电、火灾、水管破裂、救助人命、协助公安机关执行任务等突发事件，</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在收到</w:t>
      </w: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rPr>
        <w:t>通知后应积极配合</w:t>
      </w: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rPr>
        <w:t>对上述灾害发生是所采取的紧急避险措施。</w:t>
      </w:r>
    </w:p>
    <w:p w14:paraId="440CF48F">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13.如有小区物业经甲方同意后自行开展生活垃圾源头分类工作的，乙方应无条件同意终止该小区的垃圾分类工作，并做好相关的交接工作和签订补充合同，不予任何补偿，结算截止日期以甲方书面通知日期为准。</w:t>
      </w:r>
    </w:p>
    <w:p w14:paraId="288D1BAC">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14.合同到期或小区物业自行开展生活垃圾源头分类工作的， 乙方需在一周内将设施设备全部撤清，否则甲方有权采取强制措施撤除设施设备。</w:t>
      </w:r>
    </w:p>
    <w:p w14:paraId="63806E02">
      <w:pPr>
        <w:pStyle w:val="2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15.合同到期或即将到期，乙方做好下家服务单位的交接工作。若交接过程不配合，甲方有权按违约处理扣除当月服务费用。</w:t>
      </w:r>
    </w:p>
    <w:p w14:paraId="2DAC94F5">
      <w:pPr>
        <w:pStyle w:val="2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16.乙方擅自更换项目经理的违约责任：支付违约金20000元/次，同时甲方有权立即解除合同，并向乙方追究由此给甲方带来的一切损失。</w:t>
      </w:r>
    </w:p>
    <w:p w14:paraId="7067EC13">
      <w:pPr>
        <w:pStyle w:val="2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项目经理不合格的，甲方有权要求乙方更换，乙方无正当理由拒绝更换项目经理的违约责任: 支付违约金20000元/次 ，同时甲方有权立即解除合同，并向乙方追究由此给甲方带来的一切损失。</w:t>
      </w:r>
    </w:p>
    <w:p w14:paraId="7B617ACF">
      <w:pPr>
        <w:pStyle w:val="2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17.乙方擅自更换管理员、工程师的违约责任：支付违约金10000元/人/次，同时甲方有权立即解除合同，并向乙方追究由此给甲方带来的一切损失。</w:t>
      </w:r>
    </w:p>
    <w:p w14:paraId="50F5B57F">
      <w:pPr>
        <w:pStyle w:val="23"/>
        <w:spacing w:line="440" w:lineRule="exact"/>
        <w:ind w:firstLine="480" w:firstLineChars="20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 xml:space="preserve">管理员、工程师不合格的，甲方有权要求乙方更换，乙方无正当理由拒绝更换管理员、工程师的违约责任: 支付违约金10000元/人/次，同时甲方有权立即解除合同，并向乙方追究由此给甲方带来的一切损失。 </w:t>
      </w:r>
    </w:p>
    <w:p w14:paraId="09CCE544">
      <w:pPr>
        <w:pStyle w:val="23"/>
        <w:ind w:firstLine="480" w:firstLineChars="20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18.如省、市、区垃圾分类办或城管部门要求进行分类模式调整，在服务期间乙方应无条件按照</w:t>
      </w: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lang w:val="en-US"/>
        </w:rPr>
        <w:t>要求及时进行模式调整，新增或更换相应设施设备产生的费用需由乙方承担，甲方不再另行支付 。</w:t>
      </w:r>
    </w:p>
    <w:p w14:paraId="4FB13D76">
      <w:pPr>
        <w:widowControl/>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十、违约责任</w:t>
      </w:r>
    </w:p>
    <w:p w14:paraId="4C91E335">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1.乙方违反本合同考核目标，甲方有权要求乙方限期整改以达到合同约定目标。逾期未整改的，或整改仍不符合合同约定的，甲方有权终止合同。因此给甲方造成经济损失的， 乙方应给予甲方经济赔偿；</w:t>
      </w:r>
    </w:p>
    <w:p w14:paraId="02B33364">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2.甲乙双方任何一方无正当理由提前终止合同的，应向对方支付合同价的 30%违约金，给对方造成的经济损失的，还应给予经济赔偿；</w:t>
      </w:r>
    </w:p>
    <w:p w14:paraId="6B8D4E60">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3.因乙方管理不善或操作不当等原因造成重大事故的，由乙方承担责任并负责善后处理。</w:t>
      </w:r>
    </w:p>
    <w:p w14:paraId="374FC3D2">
      <w:pPr>
        <w:widowControl/>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十一、附则：</w:t>
      </w:r>
    </w:p>
    <w:p w14:paraId="3C450E21">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1.甲乙双方可对本合同的条款进行补充，并以书面形式签订补充协议，补充协议与本合同具有同等效力；</w:t>
      </w:r>
    </w:p>
    <w:p w14:paraId="507A1A29">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2.本合同一式六份，自双方签字并加盖单位公章之日起生效，甲乙双方各执三份，每份均具有同等法律效力；</w:t>
      </w:r>
    </w:p>
    <w:p w14:paraId="5185BD0F">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3.本合同中未规定的事宜，均遵照中华人民共和国有关法律、法规和规章执行。合同执行期间如遇不可抗力，致使合同无法履行时，双方应按有关法律规定及时协商处理；</w:t>
      </w:r>
    </w:p>
    <w:p w14:paraId="1789EE7A">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4.本合同在履行中如发生争议，双方应协商解决，协商不成的，双方同意：依法向甲方所在地人民法院起诉；</w:t>
      </w:r>
    </w:p>
    <w:p w14:paraId="6FD48F55">
      <w:pPr>
        <w:widowControl/>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5.合同期满，本合同自然终止。</w:t>
      </w: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本页无正文。</w:t>
      </w:r>
    </w:p>
    <w:tbl>
      <w:tblPr>
        <w:tblStyle w:val="62"/>
        <w:tblW w:w="9107" w:type="dxa"/>
        <w:jc w:val="center"/>
        <w:tblLayout w:type="fixed"/>
        <w:tblCellMar>
          <w:top w:w="0" w:type="dxa"/>
          <w:left w:w="108" w:type="dxa"/>
          <w:bottom w:w="0" w:type="dxa"/>
          <w:right w:w="108" w:type="dxa"/>
        </w:tblCellMar>
      </w:tblPr>
      <w:tblGrid>
        <w:gridCol w:w="2145"/>
        <w:gridCol w:w="2426"/>
        <w:gridCol w:w="1926"/>
        <w:gridCol w:w="2610"/>
      </w:tblGrid>
      <w:tr w14:paraId="183CFDC7">
        <w:tblPrEx>
          <w:tblCellMar>
            <w:top w:w="0" w:type="dxa"/>
            <w:left w:w="108" w:type="dxa"/>
            <w:bottom w:w="0" w:type="dxa"/>
            <w:right w:w="108" w:type="dxa"/>
          </w:tblCellMar>
        </w:tblPrEx>
        <w:trPr>
          <w:trHeight w:val="567" w:hRule="atLeast"/>
          <w:jc w:val="center"/>
        </w:trPr>
        <w:tc>
          <w:tcPr>
            <w:tcW w:w="2145" w:type="dxa"/>
            <w:noWrap w:val="0"/>
            <w:vAlign w:val="center"/>
          </w:tcPr>
          <w:p w14:paraId="0BC45893">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w:t>
            </w:r>
          </w:p>
        </w:tc>
        <w:tc>
          <w:tcPr>
            <w:tcW w:w="2426" w:type="dxa"/>
            <w:noWrap w:val="0"/>
            <w:vAlign w:val="center"/>
          </w:tcPr>
          <w:p w14:paraId="146C9B23">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（盖章）</w:t>
            </w:r>
          </w:p>
        </w:tc>
        <w:tc>
          <w:tcPr>
            <w:tcW w:w="1926" w:type="dxa"/>
            <w:noWrap w:val="0"/>
            <w:vAlign w:val="center"/>
          </w:tcPr>
          <w:p w14:paraId="2254D642">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p>
        </w:tc>
        <w:tc>
          <w:tcPr>
            <w:tcW w:w="2610" w:type="dxa"/>
            <w:noWrap w:val="0"/>
            <w:vAlign w:val="center"/>
          </w:tcPr>
          <w:p w14:paraId="38FDB8C5">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（盖章）</w:t>
            </w:r>
          </w:p>
        </w:tc>
      </w:tr>
      <w:tr w14:paraId="04BCE56C">
        <w:tblPrEx>
          <w:tblCellMar>
            <w:top w:w="0" w:type="dxa"/>
            <w:left w:w="108" w:type="dxa"/>
            <w:bottom w:w="0" w:type="dxa"/>
            <w:right w:w="108" w:type="dxa"/>
          </w:tblCellMar>
        </w:tblPrEx>
        <w:trPr>
          <w:trHeight w:val="567" w:hRule="atLeast"/>
          <w:jc w:val="center"/>
        </w:trPr>
        <w:tc>
          <w:tcPr>
            <w:tcW w:w="2145" w:type="dxa"/>
            <w:noWrap w:val="0"/>
            <w:vAlign w:val="center"/>
          </w:tcPr>
          <w:p w14:paraId="78297D51">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41CEE22E">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或授权代表：</w:t>
            </w:r>
          </w:p>
        </w:tc>
        <w:tc>
          <w:tcPr>
            <w:tcW w:w="2426" w:type="dxa"/>
            <w:noWrap w:val="0"/>
            <w:vAlign w:val="center"/>
          </w:tcPr>
          <w:p w14:paraId="205B69B2">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（签字或盖章）</w:t>
            </w:r>
          </w:p>
        </w:tc>
        <w:tc>
          <w:tcPr>
            <w:tcW w:w="1926" w:type="dxa"/>
            <w:noWrap w:val="0"/>
            <w:vAlign w:val="center"/>
          </w:tcPr>
          <w:p w14:paraId="2EC92FAD">
            <w:pPr>
              <w:widowControl/>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5385BDD9">
            <w:pPr>
              <w:widowControl/>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或授权代表：</w:t>
            </w:r>
          </w:p>
        </w:tc>
        <w:tc>
          <w:tcPr>
            <w:tcW w:w="2610" w:type="dxa"/>
            <w:noWrap w:val="0"/>
            <w:vAlign w:val="center"/>
          </w:tcPr>
          <w:p w14:paraId="1B96A4B9">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（签字或盖章）</w:t>
            </w:r>
          </w:p>
        </w:tc>
      </w:tr>
      <w:tr w14:paraId="37E88883">
        <w:tblPrEx>
          <w:tblCellMar>
            <w:top w:w="0" w:type="dxa"/>
            <w:left w:w="108" w:type="dxa"/>
            <w:bottom w:w="0" w:type="dxa"/>
            <w:right w:w="108" w:type="dxa"/>
          </w:tblCellMar>
        </w:tblPrEx>
        <w:trPr>
          <w:trHeight w:val="567" w:hRule="atLeast"/>
          <w:jc w:val="center"/>
        </w:trPr>
        <w:tc>
          <w:tcPr>
            <w:tcW w:w="2145" w:type="dxa"/>
            <w:noWrap w:val="0"/>
            <w:vAlign w:val="center"/>
          </w:tcPr>
          <w:p w14:paraId="385C1B92">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426" w:type="dxa"/>
            <w:noWrap w:val="0"/>
            <w:vAlign w:val="center"/>
          </w:tcPr>
          <w:p w14:paraId="23A6ED9F">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740C31D7">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610" w:type="dxa"/>
            <w:noWrap w:val="0"/>
            <w:vAlign w:val="center"/>
          </w:tcPr>
          <w:p w14:paraId="54659E64">
            <w:pPr>
              <w:widowControl/>
              <w:spacing w:line="440" w:lineRule="exact"/>
              <w:ind w:firstLine="480" w:firstLineChars="200"/>
              <w:rPr>
                <w:rFonts w:hint="eastAsia" w:ascii="仿宋" w:hAnsi="仿宋" w:eastAsia="仿宋" w:cs="仿宋"/>
                <w:color w:val="auto"/>
                <w:sz w:val="24"/>
                <w:szCs w:val="24"/>
                <w:highlight w:val="none"/>
              </w:rPr>
            </w:pPr>
          </w:p>
        </w:tc>
      </w:tr>
      <w:tr w14:paraId="64BAD53E">
        <w:tblPrEx>
          <w:tblCellMar>
            <w:top w:w="0" w:type="dxa"/>
            <w:left w:w="108" w:type="dxa"/>
            <w:bottom w:w="0" w:type="dxa"/>
            <w:right w:w="108" w:type="dxa"/>
          </w:tblCellMar>
        </w:tblPrEx>
        <w:trPr>
          <w:trHeight w:val="567" w:hRule="atLeast"/>
          <w:jc w:val="center"/>
        </w:trPr>
        <w:tc>
          <w:tcPr>
            <w:tcW w:w="2145" w:type="dxa"/>
            <w:noWrap w:val="0"/>
            <w:vAlign w:val="center"/>
          </w:tcPr>
          <w:p w14:paraId="22A55DD9">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2426" w:type="dxa"/>
            <w:noWrap w:val="0"/>
            <w:vAlign w:val="center"/>
          </w:tcPr>
          <w:p w14:paraId="0FB3DE10">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1615341A">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2610" w:type="dxa"/>
            <w:noWrap w:val="0"/>
            <w:vAlign w:val="center"/>
          </w:tcPr>
          <w:p w14:paraId="0489926F">
            <w:pPr>
              <w:widowControl/>
              <w:spacing w:line="440" w:lineRule="exact"/>
              <w:ind w:firstLine="480" w:firstLineChars="200"/>
              <w:rPr>
                <w:rFonts w:hint="eastAsia" w:ascii="仿宋" w:hAnsi="仿宋" w:eastAsia="仿宋" w:cs="仿宋"/>
                <w:color w:val="auto"/>
                <w:sz w:val="24"/>
                <w:szCs w:val="24"/>
                <w:highlight w:val="none"/>
              </w:rPr>
            </w:pPr>
          </w:p>
        </w:tc>
      </w:tr>
      <w:tr w14:paraId="478630FB">
        <w:tblPrEx>
          <w:tblCellMar>
            <w:top w:w="0" w:type="dxa"/>
            <w:left w:w="108" w:type="dxa"/>
            <w:bottom w:w="0" w:type="dxa"/>
            <w:right w:w="108" w:type="dxa"/>
          </w:tblCellMar>
        </w:tblPrEx>
        <w:trPr>
          <w:trHeight w:val="567" w:hRule="atLeast"/>
          <w:jc w:val="center"/>
        </w:trPr>
        <w:tc>
          <w:tcPr>
            <w:tcW w:w="2145" w:type="dxa"/>
            <w:noWrap w:val="0"/>
            <w:vAlign w:val="center"/>
          </w:tcPr>
          <w:p w14:paraId="64892AD9">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426" w:type="dxa"/>
            <w:noWrap w:val="0"/>
            <w:vAlign w:val="center"/>
          </w:tcPr>
          <w:p w14:paraId="292BA7EB">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79E7D00C">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610" w:type="dxa"/>
            <w:noWrap w:val="0"/>
            <w:vAlign w:val="center"/>
          </w:tcPr>
          <w:p w14:paraId="3A05247A">
            <w:pPr>
              <w:widowControl/>
              <w:spacing w:line="440" w:lineRule="exact"/>
              <w:ind w:firstLine="480" w:firstLineChars="200"/>
              <w:rPr>
                <w:rFonts w:hint="eastAsia" w:ascii="仿宋" w:hAnsi="仿宋" w:eastAsia="仿宋" w:cs="仿宋"/>
                <w:color w:val="auto"/>
                <w:sz w:val="24"/>
                <w:szCs w:val="24"/>
                <w:highlight w:val="none"/>
              </w:rPr>
            </w:pPr>
          </w:p>
        </w:tc>
      </w:tr>
      <w:tr w14:paraId="16E7F2CB">
        <w:tblPrEx>
          <w:tblCellMar>
            <w:top w:w="0" w:type="dxa"/>
            <w:left w:w="108" w:type="dxa"/>
            <w:bottom w:w="0" w:type="dxa"/>
            <w:right w:w="108" w:type="dxa"/>
          </w:tblCellMar>
        </w:tblPrEx>
        <w:trPr>
          <w:trHeight w:val="567" w:hRule="atLeast"/>
          <w:jc w:val="center"/>
        </w:trPr>
        <w:tc>
          <w:tcPr>
            <w:tcW w:w="2145" w:type="dxa"/>
            <w:noWrap w:val="0"/>
            <w:vAlign w:val="center"/>
          </w:tcPr>
          <w:p w14:paraId="50DBFB2E">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p>
        </w:tc>
        <w:tc>
          <w:tcPr>
            <w:tcW w:w="2426" w:type="dxa"/>
            <w:noWrap w:val="0"/>
            <w:vAlign w:val="center"/>
          </w:tcPr>
          <w:p w14:paraId="0574B6BF">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7FFD3490">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p>
        </w:tc>
        <w:tc>
          <w:tcPr>
            <w:tcW w:w="2610" w:type="dxa"/>
            <w:noWrap w:val="0"/>
            <w:vAlign w:val="center"/>
          </w:tcPr>
          <w:p w14:paraId="4A2454C1">
            <w:pPr>
              <w:widowControl/>
              <w:spacing w:line="440" w:lineRule="exact"/>
              <w:ind w:firstLine="480" w:firstLineChars="200"/>
              <w:rPr>
                <w:rFonts w:hint="eastAsia" w:ascii="仿宋" w:hAnsi="仿宋" w:eastAsia="仿宋" w:cs="仿宋"/>
                <w:color w:val="auto"/>
                <w:sz w:val="24"/>
                <w:szCs w:val="24"/>
                <w:highlight w:val="none"/>
              </w:rPr>
            </w:pPr>
          </w:p>
        </w:tc>
      </w:tr>
      <w:tr w14:paraId="5CF1DA05">
        <w:tblPrEx>
          <w:tblCellMar>
            <w:top w:w="0" w:type="dxa"/>
            <w:left w:w="108" w:type="dxa"/>
            <w:bottom w:w="0" w:type="dxa"/>
            <w:right w:w="108" w:type="dxa"/>
          </w:tblCellMar>
        </w:tblPrEx>
        <w:trPr>
          <w:trHeight w:val="567" w:hRule="atLeast"/>
          <w:jc w:val="center"/>
        </w:trPr>
        <w:tc>
          <w:tcPr>
            <w:tcW w:w="2145" w:type="dxa"/>
            <w:noWrap w:val="0"/>
            <w:vAlign w:val="center"/>
          </w:tcPr>
          <w:p w14:paraId="55BA6BE3">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426" w:type="dxa"/>
            <w:noWrap w:val="0"/>
            <w:vAlign w:val="center"/>
          </w:tcPr>
          <w:p w14:paraId="3934AD35">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0544D3E4">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610" w:type="dxa"/>
            <w:noWrap w:val="0"/>
            <w:vAlign w:val="center"/>
          </w:tcPr>
          <w:p w14:paraId="2EAEA425">
            <w:pPr>
              <w:widowControl/>
              <w:spacing w:line="440" w:lineRule="exact"/>
              <w:ind w:firstLine="480" w:firstLineChars="200"/>
              <w:rPr>
                <w:rFonts w:hint="eastAsia" w:ascii="仿宋" w:hAnsi="仿宋" w:eastAsia="仿宋" w:cs="仿宋"/>
                <w:color w:val="auto"/>
                <w:sz w:val="24"/>
                <w:szCs w:val="24"/>
                <w:highlight w:val="none"/>
              </w:rPr>
            </w:pPr>
          </w:p>
        </w:tc>
      </w:tr>
      <w:tr w14:paraId="593B1575">
        <w:tblPrEx>
          <w:tblCellMar>
            <w:top w:w="0" w:type="dxa"/>
            <w:left w:w="108" w:type="dxa"/>
            <w:bottom w:w="0" w:type="dxa"/>
            <w:right w:w="108" w:type="dxa"/>
          </w:tblCellMar>
        </w:tblPrEx>
        <w:trPr>
          <w:trHeight w:val="567" w:hRule="atLeast"/>
          <w:jc w:val="center"/>
        </w:trPr>
        <w:tc>
          <w:tcPr>
            <w:tcW w:w="2145" w:type="dxa"/>
            <w:noWrap w:val="0"/>
            <w:vAlign w:val="center"/>
          </w:tcPr>
          <w:p w14:paraId="7B7CC83F">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帐号：</w:t>
            </w:r>
          </w:p>
        </w:tc>
        <w:tc>
          <w:tcPr>
            <w:tcW w:w="2426" w:type="dxa"/>
            <w:noWrap w:val="0"/>
            <w:vAlign w:val="center"/>
          </w:tcPr>
          <w:p w14:paraId="5980DCFF">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247EAD20">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帐号：</w:t>
            </w:r>
          </w:p>
        </w:tc>
        <w:tc>
          <w:tcPr>
            <w:tcW w:w="2610" w:type="dxa"/>
            <w:noWrap w:val="0"/>
            <w:vAlign w:val="center"/>
          </w:tcPr>
          <w:p w14:paraId="05BB1EA8">
            <w:pPr>
              <w:widowControl/>
              <w:spacing w:line="440" w:lineRule="exact"/>
              <w:ind w:firstLine="480" w:firstLineChars="200"/>
              <w:rPr>
                <w:rFonts w:hint="eastAsia" w:ascii="仿宋" w:hAnsi="仿宋" w:eastAsia="仿宋" w:cs="仿宋"/>
                <w:color w:val="auto"/>
                <w:sz w:val="24"/>
                <w:szCs w:val="24"/>
                <w:highlight w:val="none"/>
              </w:rPr>
            </w:pPr>
          </w:p>
        </w:tc>
      </w:tr>
    </w:tbl>
    <w:p w14:paraId="674C9966">
      <w:pPr>
        <w:spacing w:line="440" w:lineRule="exact"/>
        <w:rPr>
          <w:rFonts w:hint="eastAsia" w:ascii="仿宋" w:hAnsi="仿宋" w:eastAsia="仿宋" w:cs="仿宋"/>
          <w:color w:val="auto"/>
          <w:sz w:val="24"/>
          <w:szCs w:val="24"/>
          <w:highlight w:val="none"/>
        </w:rPr>
      </w:pPr>
    </w:p>
    <w:p w14:paraId="581976F5">
      <w:pPr>
        <w:spacing w:line="440" w:lineRule="exact"/>
        <w:rPr>
          <w:rFonts w:hint="eastAsia" w:ascii="仿宋" w:hAnsi="仿宋" w:eastAsia="仿宋" w:cs="仿宋"/>
          <w:color w:val="auto"/>
          <w:sz w:val="24"/>
          <w:szCs w:val="24"/>
          <w:highlight w:val="none"/>
        </w:rPr>
      </w:pPr>
    </w:p>
    <w:p w14:paraId="52B31963">
      <w:pPr>
        <w:spacing w:line="440" w:lineRule="exac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附件一：北干街道小区第三方服务月度考核评分细则（试行）</w:t>
      </w:r>
    </w:p>
    <w:p w14:paraId="733C6F73">
      <w:pPr>
        <w:spacing w:line="440" w:lineRule="exact"/>
        <w:outlineLvl w:val="0"/>
        <w:rPr>
          <w:rFonts w:hint="eastAsia" w:ascii="仿宋" w:hAnsi="仿宋" w:eastAsia="仿宋" w:cs="仿宋"/>
          <w:b/>
          <w:color w:val="auto"/>
          <w:sz w:val="36"/>
          <w:szCs w:val="20"/>
          <w:highlight w:val="none"/>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sz w:val="24"/>
          <w:szCs w:val="24"/>
          <w:highlight w:val="none"/>
        </w:rPr>
        <w:t>附件二：机具、设施设备、车辆配备情况一览表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项目组配备情况一览表、垃圾分类其他服务人员配备情况一览表</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841"/>
        <w:gridCol w:w="669"/>
        <w:gridCol w:w="1323"/>
        <w:gridCol w:w="5107"/>
        <w:gridCol w:w="5247"/>
        <w:gridCol w:w="888"/>
      </w:tblGrid>
      <w:tr w14:paraId="4703B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7"/>
            <w:noWrap w:val="0"/>
            <w:vAlign w:val="center"/>
          </w:tcPr>
          <w:p w14:paraId="2222909E">
            <w:pPr>
              <w:keepNext w:val="0"/>
              <w:keepLines w:val="0"/>
              <w:pageBreakBefore w:val="0"/>
              <w:widowControl w:val="0"/>
              <w:tabs>
                <w:tab w:val="left" w:pos="3894"/>
              </w:tabs>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附件一：北干街道小区第三方服务月度考核评分细则（试行）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社区占分60%，街道占分40%</w:t>
            </w:r>
            <w:r>
              <w:rPr>
                <w:rFonts w:hint="eastAsia" w:ascii="仿宋" w:hAnsi="仿宋" w:eastAsia="仿宋" w:cs="仿宋"/>
                <w:color w:val="auto"/>
                <w:sz w:val="24"/>
                <w:szCs w:val="24"/>
                <w:highlight w:val="none"/>
                <w:lang w:eastAsia="zh-CN"/>
              </w:rPr>
              <w:t>）</w:t>
            </w:r>
          </w:p>
        </w:tc>
      </w:tr>
      <w:tr w14:paraId="009D9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07F973A6">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90" w:type="pct"/>
            <w:noWrap w:val="0"/>
            <w:vAlign w:val="center"/>
          </w:tcPr>
          <w:p w14:paraId="44A83F44">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考核内容</w:t>
            </w:r>
          </w:p>
        </w:tc>
        <w:tc>
          <w:tcPr>
            <w:tcW w:w="231" w:type="pct"/>
            <w:noWrap w:val="0"/>
            <w:vAlign w:val="center"/>
          </w:tcPr>
          <w:p w14:paraId="32AC44E1">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456" w:type="pct"/>
            <w:noWrap w:val="0"/>
            <w:vAlign w:val="center"/>
          </w:tcPr>
          <w:p w14:paraId="5EC30488">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p>
        </w:tc>
        <w:tc>
          <w:tcPr>
            <w:tcW w:w="1758" w:type="pct"/>
            <w:noWrap w:val="0"/>
            <w:vAlign w:val="center"/>
          </w:tcPr>
          <w:p w14:paraId="6A5A34E5">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目标要求</w:t>
            </w:r>
          </w:p>
        </w:tc>
        <w:tc>
          <w:tcPr>
            <w:tcW w:w="1806" w:type="pct"/>
            <w:noWrap w:val="0"/>
            <w:vAlign w:val="center"/>
          </w:tcPr>
          <w:p w14:paraId="6897018A">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p>
        </w:tc>
        <w:tc>
          <w:tcPr>
            <w:tcW w:w="306" w:type="pct"/>
            <w:noWrap w:val="0"/>
            <w:vAlign w:val="center"/>
          </w:tcPr>
          <w:p w14:paraId="53E3E888">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得分</w:t>
            </w:r>
          </w:p>
        </w:tc>
      </w:tr>
      <w:tr w14:paraId="0FD96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53" w:type="pct"/>
            <w:vMerge w:val="restart"/>
            <w:noWrap w:val="0"/>
            <w:vAlign w:val="center"/>
          </w:tcPr>
          <w:p w14:paraId="048D39A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0" w:type="pct"/>
            <w:vMerge w:val="restart"/>
            <w:noWrap w:val="0"/>
            <w:vAlign w:val="center"/>
          </w:tcPr>
          <w:p w14:paraId="35BADDD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72FF759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3172908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7DC790D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工 </w:t>
            </w:r>
          </w:p>
          <w:p w14:paraId="2D35DC1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w:t>
            </w:r>
          </w:p>
          <w:p w14:paraId="5AEF3D1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w:t>
            </w:r>
          </w:p>
          <w:p w14:paraId="7F1DDD5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制</w:t>
            </w:r>
          </w:p>
          <w:p w14:paraId="3288732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AD105B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2BC4942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DD5C35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6744773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63A8DBF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F77792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34D051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60B2BD0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73DF51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B21F59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67071B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工 </w:t>
            </w:r>
          </w:p>
          <w:p w14:paraId="674ADC7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w:t>
            </w:r>
          </w:p>
          <w:p w14:paraId="575FEBC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w:t>
            </w:r>
          </w:p>
          <w:p w14:paraId="3EB4E02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制</w:t>
            </w:r>
          </w:p>
        </w:tc>
        <w:tc>
          <w:tcPr>
            <w:tcW w:w="231" w:type="pct"/>
            <w:vMerge w:val="restart"/>
            <w:noWrap w:val="0"/>
            <w:vAlign w:val="top"/>
          </w:tcPr>
          <w:p w14:paraId="6F8D21D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p>
        </w:tc>
        <w:tc>
          <w:tcPr>
            <w:tcW w:w="456" w:type="pct"/>
            <w:vMerge w:val="restart"/>
            <w:noWrap w:val="0"/>
            <w:vAlign w:val="top"/>
          </w:tcPr>
          <w:p w14:paraId="3BEBB2B5">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建立健全组织架构</w:t>
            </w:r>
          </w:p>
        </w:tc>
        <w:tc>
          <w:tcPr>
            <w:tcW w:w="1758" w:type="pct"/>
            <w:noWrap w:val="0"/>
            <w:vAlign w:val="top"/>
          </w:tcPr>
          <w:p w14:paraId="449C0E9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完善的服务团队，按照招标文件及投标文件承诺书要求配备垃圾分类服务人员，并提供完整的组织架构表（包括且不限于人员、身份证号码、社保信息、劳动合同、学历证书等）及台账，各个标项之间人员不得重复（10分）。</w:t>
            </w:r>
          </w:p>
        </w:tc>
        <w:tc>
          <w:tcPr>
            <w:tcW w:w="1806" w:type="pct"/>
            <w:noWrap w:val="0"/>
            <w:vAlign w:val="top"/>
          </w:tcPr>
          <w:p w14:paraId="4B157DA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团队不完整，或不提供组织架构清单的，该项不得分；人员不符合招标文件设立标准或素质要求的，按照每人次项目经理扣8分，策划员扣6分，驻点工程师扣4分，管理员/回收员人员扣2分；更换人员未及时在三天内通知所服务社区的，单次扣2分。</w:t>
            </w:r>
          </w:p>
        </w:tc>
        <w:tc>
          <w:tcPr>
            <w:tcW w:w="306" w:type="pct"/>
            <w:vMerge w:val="restart"/>
            <w:noWrap w:val="0"/>
            <w:vAlign w:val="top"/>
          </w:tcPr>
          <w:p w14:paraId="2967CC3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1DA34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153" w:type="pct"/>
            <w:vMerge w:val="continue"/>
            <w:noWrap w:val="0"/>
            <w:vAlign w:val="center"/>
          </w:tcPr>
          <w:p w14:paraId="612EF50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90" w:type="pct"/>
            <w:vMerge w:val="continue"/>
            <w:noWrap w:val="0"/>
            <w:vAlign w:val="center"/>
          </w:tcPr>
          <w:p w14:paraId="01B3A83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vMerge w:val="continue"/>
            <w:noWrap w:val="0"/>
            <w:vAlign w:val="top"/>
          </w:tcPr>
          <w:p w14:paraId="7955FB8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456" w:type="pct"/>
            <w:vMerge w:val="continue"/>
            <w:noWrap w:val="0"/>
            <w:vAlign w:val="top"/>
          </w:tcPr>
          <w:p w14:paraId="2C363A6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1758" w:type="pct"/>
            <w:noWrap w:val="0"/>
            <w:vAlign w:val="top"/>
          </w:tcPr>
          <w:p w14:paraId="0B2CD70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第三方服务人员完成正常履职，配合街道垃圾分类各项工作，按要求及时报送数据、总结、宣传等材料信息（10分）。</w:t>
            </w:r>
          </w:p>
        </w:tc>
        <w:tc>
          <w:tcPr>
            <w:tcW w:w="1806" w:type="pct"/>
            <w:noWrap w:val="0"/>
            <w:vAlign w:val="top"/>
          </w:tcPr>
          <w:p w14:paraId="0E5F594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未完成招标文件中人员工作内容或履职不到位的，视情扣1-10分，扣6分以上情况需书面汇报街道职能科室；不及时报送材料信息的，每次扣1分。</w:t>
            </w:r>
          </w:p>
        </w:tc>
        <w:tc>
          <w:tcPr>
            <w:tcW w:w="306" w:type="pct"/>
            <w:vMerge w:val="continue"/>
            <w:noWrap w:val="0"/>
            <w:vAlign w:val="top"/>
          </w:tcPr>
          <w:p w14:paraId="7A8BE3C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4313A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13B0C48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90" w:type="pct"/>
            <w:vMerge w:val="continue"/>
            <w:noWrap w:val="0"/>
            <w:vAlign w:val="center"/>
          </w:tcPr>
          <w:p w14:paraId="13BC46C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2E7A752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60DA4DE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建立健全内部考核监督机制</w:t>
            </w:r>
          </w:p>
        </w:tc>
        <w:tc>
          <w:tcPr>
            <w:tcW w:w="1758" w:type="pct"/>
            <w:noWrap w:val="0"/>
            <w:vAlign w:val="top"/>
          </w:tcPr>
          <w:p w14:paraId="68A6F0B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w:t>
            </w:r>
            <w:r>
              <w:rPr>
                <w:rFonts w:hint="eastAsia" w:ascii="仿宋" w:hAnsi="仿宋" w:eastAsia="仿宋" w:cs="仿宋"/>
                <w:b/>
                <w:bCs/>
                <w:color w:val="auto"/>
                <w:sz w:val="24"/>
                <w:szCs w:val="24"/>
                <w:highlight w:val="none"/>
              </w:rPr>
              <w:t>垃圾分类服务工作实时在线记录</w:t>
            </w:r>
            <w:r>
              <w:rPr>
                <w:rFonts w:hint="eastAsia" w:ascii="仿宋" w:hAnsi="仿宋" w:eastAsia="仿宋" w:cs="仿宋"/>
                <w:color w:val="auto"/>
                <w:sz w:val="24"/>
                <w:szCs w:val="24"/>
                <w:highlight w:val="none"/>
              </w:rPr>
              <w:t>系统，能进行人员到位考勤记录上下岗、策划活动记录、入户宣传记录、巡检记录等内容，并实现招标文件要求和投标文件承诺的功能的 （5分）；</w:t>
            </w:r>
          </w:p>
          <w:p w14:paraId="6D0CDE2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建立健全人员管理制度，有专门部门落实巡检，考勤和考核绩效，并按社区每周报送（5分）；</w:t>
            </w:r>
          </w:p>
        </w:tc>
        <w:tc>
          <w:tcPr>
            <w:tcW w:w="1806" w:type="pct"/>
            <w:noWrap w:val="0"/>
            <w:vAlign w:val="top"/>
          </w:tcPr>
          <w:p w14:paraId="4A0546F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无人员监管系统的扣4分，未使用或者不提供账号的，每次扣2分；人员上下岗无打卡信息的，每次扣0.5分；无专职部门落实绩效的，扣3分；考核清单、台账不符合要求或无的，扣3分。</w:t>
            </w:r>
          </w:p>
        </w:tc>
        <w:tc>
          <w:tcPr>
            <w:tcW w:w="306" w:type="pct"/>
            <w:noWrap w:val="0"/>
            <w:vAlign w:val="top"/>
          </w:tcPr>
          <w:p w14:paraId="1A43A9E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1D2F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 w:type="pct"/>
            <w:noWrap w:val="0"/>
            <w:vAlign w:val="center"/>
          </w:tcPr>
          <w:p w14:paraId="121062D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90" w:type="pct"/>
            <w:vMerge w:val="continue"/>
            <w:noWrap w:val="0"/>
            <w:vAlign w:val="center"/>
          </w:tcPr>
          <w:p w14:paraId="63534C6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0CBADF0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4DFF6C1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建立健全运行机制-定时定点点位管理到位</w:t>
            </w:r>
          </w:p>
        </w:tc>
        <w:tc>
          <w:tcPr>
            <w:tcW w:w="1758" w:type="pct"/>
            <w:noWrap w:val="0"/>
            <w:vAlign w:val="top"/>
          </w:tcPr>
          <w:p w14:paraId="2214EB9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定时定点投放点运行期间，点位的秩序管理和环境卫生均由服务方负责。点位上的垃圾桶需要由第三方拖运至社区指定的集置点。每个定时定点投放点位，固定配备一人（分类专管员）、一秤（智能四分类封装秤）、一垃圾分类亭（固定遮雨棚,因非乙方原因无法设立的除外），一套四色桶；由第三方负责点位的管理和卫生保洁，一次一清洗；投放生活垃圾每日最多积一分；再生资源以不低于市场价格进行积分（价格每月对比3家同类型回收企业）；有害垃圾应收尽收。</w:t>
            </w:r>
          </w:p>
        </w:tc>
        <w:tc>
          <w:tcPr>
            <w:tcW w:w="1806" w:type="pct"/>
            <w:noWrap w:val="0"/>
            <w:vAlign w:val="top"/>
          </w:tcPr>
          <w:p w14:paraId="68B47ED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环境卫生或秩序较差的，每次扣1分；点位设施不到位的，每种每天扣1分；再生资源未正常回收，视情每次扣1-3分；未撤桶的，每次扣5分；有害垃圾未交由有资质的企业处置的或未及时清运的，发现一起扣5分。</w:t>
            </w:r>
          </w:p>
        </w:tc>
        <w:tc>
          <w:tcPr>
            <w:tcW w:w="306" w:type="pct"/>
            <w:noWrap w:val="0"/>
            <w:vAlign w:val="top"/>
          </w:tcPr>
          <w:p w14:paraId="29FCB53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03ECF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6AEE296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290" w:type="pct"/>
            <w:vMerge w:val="continue"/>
            <w:noWrap w:val="0"/>
            <w:vAlign w:val="center"/>
          </w:tcPr>
          <w:p w14:paraId="77A4F2E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264410A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3249795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建立健全运行机制-设施设备配置到位</w:t>
            </w:r>
          </w:p>
        </w:tc>
        <w:tc>
          <w:tcPr>
            <w:tcW w:w="1758" w:type="pct"/>
            <w:noWrap w:val="0"/>
            <w:vAlign w:val="top"/>
          </w:tcPr>
          <w:p w14:paraId="6B5F78B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按照招标文件，每个小区设施设备配置到位；</w:t>
            </w:r>
          </w:p>
        </w:tc>
        <w:tc>
          <w:tcPr>
            <w:tcW w:w="1806" w:type="pct"/>
            <w:noWrap w:val="0"/>
            <w:vAlign w:val="top"/>
          </w:tcPr>
          <w:p w14:paraId="6072830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每个未配置到位的小区，扣4分；</w:t>
            </w:r>
          </w:p>
        </w:tc>
        <w:tc>
          <w:tcPr>
            <w:tcW w:w="306" w:type="pct"/>
            <w:noWrap w:val="0"/>
            <w:vAlign w:val="top"/>
          </w:tcPr>
          <w:p w14:paraId="18DAA5B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7687F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5258F78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290" w:type="pct"/>
            <w:vMerge w:val="restart"/>
            <w:noWrap w:val="0"/>
            <w:vAlign w:val="center"/>
          </w:tcPr>
          <w:p w14:paraId="731ABE5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025F5D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BDE6D9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137FC96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DC6209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2A10CC5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71F18D6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16C32E2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CBC162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6CE394E">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w:t>
            </w:r>
          </w:p>
          <w:p w14:paraId="5FE44160">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w:t>
            </w:r>
          </w:p>
          <w:p w14:paraId="78C43B35">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w:t>
            </w:r>
          </w:p>
          <w:p w14:paraId="2E72A344">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绩</w:t>
            </w:r>
          </w:p>
        </w:tc>
        <w:tc>
          <w:tcPr>
            <w:tcW w:w="231" w:type="pct"/>
            <w:noWrap w:val="0"/>
            <w:vAlign w:val="top"/>
          </w:tcPr>
          <w:p w14:paraId="03147FD3">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456" w:type="pct"/>
            <w:noWrap w:val="0"/>
            <w:vAlign w:val="top"/>
          </w:tcPr>
          <w:p w14:paraId="43FE5DB3">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完善再生资源回收体系</w:t>
            </w:r>
          </w:p>
        </w:tc>
        <w:tc>
          <w:tcPr>
            <w:tcW w:w="1758" w:type="pct"/>
            <w:noWrap w:val="0"/>
            <w:vAlign w:val="top"/>
          </w:tcPr>
          <w:p w14:paraId="1BDA539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建立并完善再生资源回收体系，再生资源回收网点和积分兑换点设立满足招标文件要求；再生资源回收人员按照要求开展工作的（5分）；定时定点回收点按照应积尽积主动为居民开展前端回收和积分（10分）。</w:t>
            </w:r>
          </w:p>
        </w:tc>
        <w:tc>
          <w:tcPr>
            <w:tcW w:w="1806" w:type="pct"/>
            <w:noWrap w:val="0"/>
            <w:vAlign w:val="top"/>
          </w:tcPr>
          <w:p w14:paraId="70DB7CB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未建立起再生资源回收体系的，扣5分；再生资源回收网点和积分兑换点未按要求设立，或人员未按要求开展工作的，每人每次扣2分；分类督导人员不普及宣传可回收物积分，将可回收物归为个人所有的扣10分。</w:t>
            </w:r>
          </w:p>
        </w:tc>
        <w:tc>
          <w:tcPr>
            <w:tcW w:w="306" w:type="pct"/>
            <w:noWrap w:val="0"/>
            <w:vAlign w:val="top"/>
          </w:tcPr>
          <w:p w14:paraId="21E973B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18BF5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1A6D55A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290" w:type="pct"/>
            <w:vMerge w:val="continue"/>
            <w:noWrap w:val="0"/>
            <w:vAlign w:val="center"/>
          </w:tcPr>
          <w:p w14:paraId="15271F4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095D833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456" w:type="pct"/>
            <w:noWrap w:val="0"/>
            <w:vAlign w:val="top"/>
          </w:tcPr>
          <w:p w14:paraId="36DC34A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居民参与率</w:t>
            </w:r>
          </w:p>
        </w:tc>
        <w:tc>
          <w:tcPr>
            <w:tcW w:w="1758" w:type="pct"/>
            <w:noWrap w:val="0"/>
            <w:vAlign w:val="top"/>
          </w:tcPr>
          <w:p w14:paraId="3ABB640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数据本底：协助小区、社区、街道做好本地资料的入库和更新，包括空户、党员户和出租户（5分）；</w:t>
            </w:r>
          </w:p>
          <w:p w14:paraId="750C07A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数据上传：符合街道及区对数据的考核要求，数据真实、及时、准确，所有小区实现数字化接入（5分）；</w:t>
            </w:r>
          </w:p>
          <w:p w14:paraId="4593110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“北干惠分类”平台使用率达到50%以上</w:t>
            </w:r>
            <w:r>
              <w:rPr>
                <w:rFonts w:hint="eastAsia" w:ascii="仿宋" w:hAnsi="仿宋" w:eastAsia="仿宋" w:cs="仿宋"/>
                <w:color w:val="auto"/>
                <w:sz w:val="24"/>
                <w:szCs w:val="24"/>
                <w:highlight w:val="none"/>
              </w:rPr>
              <w:t>（5分）；</w:t>
            </w:r>
          </w:p>
        </w:tc>
        <w:tc>
          <w:tcPr>
            <w:tcW w:w="1806" w:type="pct"/>
            <w:noWrap w:val="0"/>
            <w:vAlign w:val="top"/>
          </w:tcPr>
          <w:p w14:paraId="2F8C0B03">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每发生一起摸排本底资料不配合或者5%以上空户实际住人的，扣1分；被区通报数据问题的，此项不得分；</w:t>
            </w:r>
            <w:r>
              <w:rPr>
                <w:rFonts w:hint="eastAsia" w:ascii="仿宋" w:hAnsi="仿宋" w:eastAsia="仿宋" w:cs="仿宋"/>
                <w:color w:val="auto"/>
                <w:sz w:val="24"/>
                <w:szCs w:val="24"/>
                <w:highlight w:val="none"/>
                <w:lang w:val="en-US" w:eastAsia="zh-CN"/>
              </w:rPr>
              <w:t>“北干惠分类”平台使用率不达标</w:t>
            </w:r>
            <w:r>
              <w:rPr>
                <w:rFonts w:hint="eastAsia" w:ascii="仿宋" w:hAnsi="仿宋" w:eastAsia="仿宋" w:cs="仿宋"/>
                <w:color w:val="auto"/>
                <w:sz w:val="24"/>
                <w:szCs w:val="24"/>
                <w:highlight w:val="none"/>
              </w:rPr>
              <w:t>的，每降低5%扣2分。</w:t>
            </w:r>
          </w:p>
        </w:tc>
        <w:tc>
          <w:tcPr>
            <w:tcW w:w="306" w:type="pct"/>
            <w:noWrap w:val="0"/>
            <w:vAlign w:val="top"/>
          </w:tcPr>
          <w:p w14:paraId="7AC7471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51027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0E023AA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290" w:type="pct"/>
            <w:vMerge w:val="continue"/>
            <w:noWrap w:val="0"/>
            <w:vAlign w:val="center"/>
          </w:tcPr>
          <w:p w14:paraId="3CDBA6C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4CDE376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308F11E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分类服务管理到位</w:t>
            </w:r>
          </w:p>
        </w:tc>
        <w:tc>
          <w:tcPr>
            <w:tcW w:w="1758" w:type="pct"/>
            <w:noWrap w:val="0"/>
            <w:vAlign w:val="top"/>
          </w:tcPr>
          <w:p w14:paraId="0E5074D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居民</w:t>
            </w:r>
            <w:r>
              <w:rPr>
                <w:rFonts w:hint="eastAsia" w:ascii="仿宋" w:hAnsi="仿宋" w:eastAsia="仿宋" w:cs="仿宋"/>
                <w:color w:val="auto"/>
                <w:sz w:val="24"/>
                <w:szCs w:val="24"/>
                <w:highlight w:val="none"/>
              </w:rPr>
              <w:t>分类准确，一图一表设立到位，及时更新（5分）；</w:t>
            </w:r>
          </w:p>
          <w:p w14:paraId="79B4323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设施管理、工作管理、分类质量、宣传氛围、汇报总结、调研接待、工作响应相关要求实施到位，接受市区两级日常检查（5分）。</w:t>
            </w:r>
          </w:p>
        </w:tc>
        <w:tc>
          <w:tcPr>
            <w:tcW w:w="1806" w:type="pct"/>
            <w:noWrap w:val="0"/>
            <w:vAlign w:val="top"/>
          </w:tcPr>
          <w:p w14:paraId="77C4281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类准确率检查单次不达标的，每次扣1分；单个容器不合格的，每次扣0.5分；一图一表应设未设或更新不及时的，每次扣1分；服务管理不到位的，每次扣2-5分；日常检查，市级检查低于85分的小区每次扣3分，区级检查低于85分的小区每次扣2分。</w:t>
            </w:r>
          </w:p>
        </w:tc>
        <w:tc>
          <w:tcPr>
            <w:tcW w:w="306" w:type="pct"/>
            <w:noWrap w:val="0"/>
            <w:vAlign w:val="top"/>
          </w:tcPr>
          <w:p w14:paraId="2A27BCA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20C4C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1B2643E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290" w:type="pct"/>
            <w:vMerge w:val="continue"/>
            <w:noWrap w:val="0"/>
            <w:vAlign w:val="center"/>
          </w:tcPr>
          <w:p w14:paraId="70000E8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7FABD57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331C4B8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居民满意率</w:t>
            </w:r>
          </w:p>
        </w:tc>
        <w:tc>
          <w:tcPr>
            <w:tcW w:w="1758" w:type="pct"/>
            <w:noWrap w:val="0"/>
            <w:vAlign w:val="top"/>
          </w:tcPr>
          <w:p w14:paraId="3241D45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居民满意率</w:t>
            </w:r>
            <w:r>
              <w:rPr>
                <w:rFonts w:hint="eastAsia" w:ascii="仿宋" w:hAnsi="仿宋" w:eastAsia="仿宋" w:cs="仿宋"/>
                <w:color w:val="auto"/>
                <w:sz w:val="24"/>
                <w:szCs w:val="24"/>
                <w:highlight w:val="none"/>
                <w:lang w:val="en-US" w:eastAsia="zh-CN"/>
              </w:rPr>
              <w:t>达标</w:t>
            </w:r>
            <w:r>
              <w:rPr>
                <w:rFonts w:hint="eastAsia" w:ascii="仿宋" w:hAnsi="仿宋" w:eastAsia="仿宋" w:cs="仿宋"/>
                <w:color w:val="auto"/>
                <w:sz w:val="24"/>
                <w:szCs w:val="24"/>
                <w:highlight w:val="none"/>
              </w:rPr>
              <w:t>。</w:t>
            </w:r>
          </w:p>
        </w:tc>
        <w:tc>
          <w:tcPr>
            <w:tcW w:w="1806" w:type="pct"/>
            <w:noWrap w:val="0"/>
            <w:vAlign w:val="top"/>
          </w:tcPr>
          <w:p w14:paraId="06DB008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w:t>
            </w:r>
            <w:r>
              <w:rPr>
                <w:rFonts w:hint="eastAsia" w:ascii="仿宋" w:hAnsi="仿宋" w:eastAsia="仿宋" w:cs="仿宋"/>
                <w:color w:val="auto"/>
                <w:sz w:val="24"/>
                <w:szCs w:val="24"/>
                <w:highlight w:val="none"/>
                <w:lang w:val="en-US" w:eastAsia="zh-CN"/>
              </w:rPr>
              <w:t>发生一起</w:t>
            </w:r>
            <w:r>
              <w:rPr>
                <w:rFonts w:hint="eastAsia" w:ascii="仿宋" w:hAnsi="仿宋" w:eastAsia="仿宋" w:cs="仿宋"/>
                <w:color w:val="auto"/>
                <w:sz w:val="24"/>
                <w:szCs w:val="24"/>
                <w:highlight w:val="none"/>
              </w:rPr>
              <w:t>居民</w:t>
            </w:r>
            <w:r>
              <w:rPr>
                <w:rFonts w:hint="eastAsia" w:ascii="仿宋" w:hAnsi="仿宋" w:eastAsia="仿宋" w:cs="仿宋"/>
                <w:color w:val="auto"/>
                <w:sz w:val="24"/>
                <w:szCs w:val="24"/>
                <w:highlight w:val="none"/>
                <w:lang w:val="en-US" w:eastAsia="zh-CN"/>
              </w:rPr>
              <w:t>不满意投诉，且承担主要责任的，没发生一起</w:t>
            </w:r>
            <w:r>
              <w:rPr>
                <w:rFonts w:hint="eastAsia" w:ascii="仿宋" w:hAnsi="仿宋" w:eastAsia="仿宋" w:cs="仿宋"/>
                <w:color w:val="auto"/>
                <w:sz w:val="24"/>
                <w:szCs w:val="24"/>
                <w:highlight w:val="none"/>
              </w:rPr>
              <w:t>扣2分。</w:t>
            </w:r>
          </w:p>
        </w:tc>
        <w:tc>
          <w:tcPr>
            <w:tcW w:w="306" w:type="pct"/>
            <w:noWrap w:val="0"/>
            <w:vAlign w:val="top"/>
          </w:tcPr>
          <w:p w14:paraId="6B49116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6F5D2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0AF8D36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290" w:type="pct"/>
            <w:noWrap w:val="0"/>
            <w:vAlign w:val="center"/>
          </w:tcPr>
          <w:p w14:paraId="274ABF2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w:t>
            </w:r>
          </w:p>
          <w:p w14:paraId="7E22349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他</w:t>
            </w:r>
          </w:p>
        </w:tc>
        <w:tc>
          <w:tcPr>
            <w:tcW w:w="231" w:type="pct"/>
            <w:noWrap w:val="0"/>
            <w:vAlign w:val="top"/>
          </w:tcPr>
          <w:p w14:paraId="637DFC9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456" w:type="pct"/>
            <w:noWrap w:val="0"/>
            <w:vAlign w:val="top"/>
          </w:tcPr>
          <w:p w14:paraId="48ACFDF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其他责任</w:t>
            </w:r>
          </w:p>
        </w:tc>
        <w:tc>
          <w:tcPr>
            <w:tcW w:w="1758" w:type="pct"/>
            <w:noWrap w:val="0"/>
            <w:vAlign w:val="top"/>
          </w:tcPr>
          <w:p w14:paraId="53841AD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不配合甲方工作，与社区发生纠纷或被区级以上部门抄告且负有重大责任的。（社区原因引起纠纷的，甲方另行对社区进行考核问责，但不免除乙方相应责任。）</w:t>
            </w:r>
          </w:p>
        </w:tc>
        <w:tc>
          <w:tcPr>
            <w:tcW w:w="1806" w:type="pct"/>
            <w:noWrap w:val="0"/>
            <w:vAlign w:val="top"/>
          </w:tcPr>
          <w:p w14:paraId="34D90B6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每发生一次扣20分。</w:t>
            </w:r>
          </w:p>
        </w:tc>
        <w:tc>
          <w:tcPr>
            <w:tcW w:w="306" w:type="pct"/>
            <w:noWrap w:val="0"/>
            <w:vAlign w:val="top"/>
          </w:tcPr>
          <w:p w14:paraId="5952931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bl>
    <w:p w14:paraId="44FCF652">
      <w:pPr>
        <w:bidi w:val="0"/>
        <w:rPr>
          <w:rFonts w:hint="eastAsia" w:ascii="仿宋" w:hAnsi="仿宋" w:eastAsia="仿宋" w:cs="仿宋"/>
          <w:color w:val="auto"/>
          <w:sz w:val="24"/>
          <w:szCs w:val="24"/>
          <w:highlight w:val="none"/>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color w:val="auto"/>
          <w:sz w:val="24"/>
          <w:szCs w:val="24"/>
          <w:highlight w:val="none"/>
          <w:lang w:val="en-US" w:eastAsia="zh-CN"/>
        </w:rPr>
        <w:t>注：具体以合同签订时采购人确认为准。</w:t>
      </w:r>
    </w:p>
    <w:p w14:paraId="3A1BBB2B">
      <w:pPr>
        <w:pStyle w:val="3"/>
        <w:ind w:left="0" w:lef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附件二：机具、设施设备、车辆配备情况一览表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项目组配备情况一览表、垃圾分类其他服务人员配备情况一览表</w:t>
      </w:r>
    </w:p>
    <w:p w14:paraId="2E3D80D7">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027D46E1">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403"/>
      <w:r>
        <w:rPr>
          <w:rFonts w:hint="eastAsia" w:ascii="仿宋" w:hAnsi="仿宋" w:eastAsia="仿宋" w:cs="仿宋"/>
          <w:b/>
          <w:color w:val="auto"/>
          <w:sz w:val="36"/>
          <w:szCs w:val="20"/>
          <w:highlight w:val="none"/>
        </w:rPr>
        <w:t xml:space="preserve"> </w:t>
      </w:r>
      <w:bookmarkEnd w:id="404"/>
      <w:r>
        <w:rPr>
          <w:rFonts w:hint="eastAsia" w:ascii="仿宋" w:hAnsi="仿宋" w:eastAsia="仿宋" w:cs="仿宋"/>
          <w:b/>
          <w:color w:val="auto"/>
          <w:sz w:val="36"/>
          <w:szCs w:val="20"/>
          <w:highlight w:val="none"/>
        </w:rPr>
        <w:t>应提交的有关格式范例</w:t>
      </w:r>
    </w:p>
    <w:p w14:paraId="0A70344C">
      <w:pPr>
        <w:spacing w:line="360" w:lineRule="auto"/>
        <w:jc w:val="center"/>
        <w:outlineLvl w:val="0"/>
        <w:rPr>
          <w:rFonts w:hint="eastAsia" w:ascii="仿宋" w:hAnsi="仿宋" w:eastAsia="仿宋" w:cs="仿宋"/>
          <w:b/>
          <w:color w:val="auto"/>
          <w:kern w:val="0"/>
          <w:sz w:val="36"/>
          <w:szCs w:val="36"/>
          <w:highlight w:val="none"/>
        </w:rPr>
      </w:pPr>
    </w:p>
    <w:p w14:paraId="27D83AE6">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24D98B7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43A846D">
      <w:pPr>
        <w:spacing w:line="360" w:lineRule="auto"/>
        <w:jc w:val="center"/>
        <w:outlineLvl w:val="0"/>
        <w:rPr>
          <w:rFonts w:hint="eastAsia" w:ascii="仿宋" w:hAnsi="仿宋" w:eastAsia="仿宋" w:cs="仿宋"/>
          <w:b/>
          <w:color w:val="auto"/>
          <w:kern w:val="0"/>
          <w:sz w:val="36"/>
          <w:szCs w:val="36"/>
          <w:highlight w:val="none"/>
        </w:rPr>
      </w:pPr>
    </w:p>
    <w:p w14:paraId="48131DD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6925470A">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0015BC7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5128B2D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12904D33">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0D46EA7">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一、 符合参加政府采购活动应当具备的一般条件的承诺函</w:t>
      </w:r>
    </w:p>
    <w:p w14:paraId="1E8EE28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1CDC4A3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4E261A32">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2292F0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6ADCF7D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6100897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12CD10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08F8DD5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F319A0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4C1C086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70C0175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52F7DB9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55E75EB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6D6310E5">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06828461">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9C8594E">
      <w:pPr>
        <w:snapToGrid w:val="0"/>
        <w:spacing w:line="360" w:lineRule="auto"/>
        <w:ind w:right="480" w:firstLine="559" w:firstLineChars="233"/>
        <w:jc w:val="left"/>
        <w:rPr>
          <w:rFonts w:hint="eastAsia" w:ascii="仿宋" w:hAnsi="仿宋" w:eastAsia="仿宋" w:cs="仿宋"/>
          <w:color w:val="auto"/>
          <w:highlight w:val="none"/>
        </w:rPr>
      </w:pPr>
      <w:r>
        <w:rPr>
          <w:rFonts w:hint="eastAsia" w:ascii="仿宋" w:hAnsi="仿宋" w:eastAsia="仿宋" w:cs="仿宋"/>
          <w:color w:val="auto"/>
          <w:sz w:val="24"/>
          <w:highlight w:val="none"/>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仿宋" w:hAnsi="仿宋" w:eastAsia="仿宋" w:cs="仿宋"/>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5DB45BF5">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5B1E9A2">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14F7CD30">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3C493A03">
      <w:pPr>
        <w:snapToGrid w:val="0"/>
        <w:spacing w:line="360" w:lineRule="auto"/>
        <w:ind w:right="480"/>
        <w:jc w:val="center"/>
        <w:rPr>
          <w:rFonts w:hint="eastAsia" w:ascii="仿宋" w:hAnsi="仿宋" w:eastAsia="仿宋" w:cs="仿宋"/>
          <w:b/>
          <w:color w:val="auto"/>
          <w:kern w:val="0"/>
          <w:sz w:val="32"/>
          <w:szCs w:val="32"/>
          <w:highlight w:val="none"/>
        </w:rPr>
      </w:pPr>
    </w:p>
    <w:p w14:paraId="283DD83C">
      <w:pPr>
        <w:snapToGrid w:val="0"/>
        <w:spacing w:line="360" w:lineRule="auto"/>
        <w:ind w:right="480"/>
        <w:jc w:val="center"/>
        <w:rPr>
          <w:rFonts w:hint="eastAsia" w:ascii="仿宋" w:hAnsi="仿宋" w:eastAsia="仿宋" w:cs="仿宋"/>
          <w:b/>
          <w:color w:val="auto"/>
          <w:kern w:val="0"/>
          <w:sz w:val="32"/>
          <w:szCs w:val="32"/>
          <w:highlight w:val="none"/>
        </w:rPr>
      </w:pPr>
    </w:p>
    <w:p w14:paraId="3D9D5E7B">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449A17A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35A61DF6">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6774A58B">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3681A92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359DB6B4">
      <w:pPr>
        <w:widowControl/>
        <w:spacing w:line="360" w:lineRule="auto"/>
        <w:ind w:left="150"/>
        <w:jc w:val="center"/>
        <w:rPr>
          <w:rFonts w:hint="eastAsia" w:ascii="仿宋" w:hAnsi="仿宋" w:eastAsia="仿宋" w:cs="仿宋"/>
          <w:b/>
          <w:color w:val="auto"/>
          <w:kern w:val="0"/>
          <w:sz w:val="32"/>
          <w:szCs w:val="32"/>
          <w:highlight w:val="none"/>
        </w:rPr>
      </w:pPr>
    </w:p>
    <w:p w14:paraId="7BE83791">
      <w:pPr>
        <w:widowControl/>
        <w:spacing w:line="360" w:lineRule="auto"/>
        <w:ind w:left="150"/>
        <w:jc w:val="center"/>
        <w:rPr>
          <w:rFonts w:hint="eastAsia" w:ascii="仿宋" w:hAnsi="仿宋" w:eastAsia="仿宋" w:cs="仿宋"/>
          <w:b/>
          <w:color w:val="auto"/>
          <w:kern w:val="0"/>
          <w:sz w:val="32"/>
          <w:szCs w:val="32"/>
          <w:highlight w:val="none"/>
        </w:rPr>
      </w:pPr>
    </w:p>
    <w:p w14:paraId="079121CE">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6419CFD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33502A1">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27D238D4">
      <w:pPr>
        <w:spacing w:line="360" w:lineRule="auto"/>
        <w:ind w:right="42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03E74CB">
      <w:pPr>
        <w:spacing w:line="360" w:lineRule="auto"/>
        <w:jc w:val="center"/>
        <w:outlineLvl w:val="0"/>
        <w:rPr>
          <w:rFonts w:hint="eastAsia" w:ascii="仿宋" w:hAnsi="仿宋" w:eastAsia="仿宋" w:cs="仿宋"/>
          <w:b/>
          <w:color w:val="auto"/>
          <w:kern w:val="0"/>
          <w:sz w:val="24"/>
          <w:highlight w:val="none"/>
        </w:rPr>
      </w:pPr>
    </w:p>
    <w:p w14:paraId="4E76716B">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4726215">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01F08809">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733168A1">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7371EC11">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3F983C68">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231E2BFC">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0D48A86">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C88864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1B19F98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5AF4330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1017189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004E274F">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22B8369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19CF2C7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405" w:name="_Hlk101257010"/>
      <w:r>
        <w:rPr>
          <w:rFonts w:hint="eastAsia" w:ascii="仿宋" w:hAnsi="仿宋" w:eastAsia="仿宋" w:cs="仿宋"/>
          <w:color w:val="auto"/>
          <w:sz w:val="24"/>
          <w:highlight w:val="none"/>
        </w:rPr>
        <w:t>（如果有)</w:t>
      </w:r>
      <w:bookmarkEnd w:id="405"/>
      <w:r>
        <w:rPr>
          <w:rFonts w:hint="eastAsia" w:ascii="仿宋" w:hAnsi="仿宋" w:eastAsia="仿宋" w:cs="仿宋"/>
          <w:snapToGrid w:val="0"/>
          <w:color w:val="auto"/>
          <w:kern w:val="28"/>
          <w:sz w:val="24"/>
          <w:szCs w:val="20"/>
          <w:highlight w:val="none"/>
        </w:rPr>
        <w:t>；</w:t>
      </w:r>
    </w:p>
    <w:p w14:paraId="53BEA5B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7A54F5B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63D9839D">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0C305BC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132A11B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746BED0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3A77D31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2AACC27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5B5EE3A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56D5EC3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5082C109">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24952265">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5090B54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2F67BF8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489C37C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14:paraId="4FF4037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24C99B05">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09C9CCD7">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66B7C2C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0B51359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66AC2301">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1BA2212">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16033D4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F5B0E83">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1175949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9D97F59">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180D068F">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00A0CDB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444EDFDB">
      <w:pPr>
        <w:rPr>
          <w:rFonts w:hint="eastAsia" w:ascii="仿宋" w:hAnsi="仿宋" w:eastAsia="仿宋" w:cs="仿宋"/>
          <w:b/>
          <w:color w:val="auto"/>
          <w:kern w:val="0"/>
          <w:sz w:val="32"/>
          <w:szCs w:val="32"/>
          <w:highlight w:val="none"/>
          <w:lang w:val="zh-CN"/>
        </w:rPr>
      </w:pPr>
    </w:p>
    <w:p w14:paraId="17CD35E9">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00A27AA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52FA137">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F68AFA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5B5CD8A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4102DE22">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6C1AEA2B">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2DCEBBDF">
      <w:pPr>
        <w:snapToGrid w:val="0"/>
        <w:spacing w:line="360" w:lineRule="auto"/>
        <w:rPr>
          <w:rFonts w:hint="eastAsia" w:ascii="仿宋" w:hAnsi="仿宋" w:eastAsia="仿宋" w:cs="仿宋"/>
          <w:color w:val="auto"/>
          <w:kern w:val="0"/>
          <w:sz w:val="24"/>
          <w:highlight w:val="none"/>
          <w:lang w:val="zh-CN"/>
        </w:rPr>
      </w:pPr>
    </w:p>
    <w:p w14:paraId="23059740">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1B0951A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84393EC">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258CC43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075CE94C">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657E915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645DE41">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ADCE05F">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5C2CCF8">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DD2EE3B">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7125784">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70BD9161">
      <w:pPr>
        <w:pStyle w:val="148"/>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B7F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BE9A7F5">
            <w:pPr>
              <w:pStyle w:val="148"/>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7F7F676E">
            <w:pPr>
              <w:pStyle w:val="148"/>
              <w:adjustRightInd w:val="0"/>
              <w:spacing w:line="360" w:lineRule="auto"/>
              <w:rPr>
                <w:rFonts w:hint="eastAsia" w:ascii="仿宋" w:hAnsi="仿宋" w:eastAsia="仿宋" w:cs="仿宋"/>
                <w:bCs/>
                <w:color w:val="auto"/>
                <w:sz w:val="24"/>
                <w:highlight w:val="none"/>
              </w:rPr>
            </w:pPr>
          </w:p>
        </w:tc>
      </w:tr>
    </w:tbl>
    <w:p w14:paraId="249DF7D5">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4C998A56">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6C199256">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7CD97D4">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A10310B">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058E23E6">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36DC30B0">
      <w:pPr>
        <w:snapToGrid w:val="0"/>
        <w:spacing w:line="360" w:lineRule="auto"/>
        <w:rPr>
          <w:rFonts w:hint="eastAsia" w:ascii="仿宋" w:hAnsi="仿宋" w:eastAsia="仿宋" w:cs="仿宋"/>
          <w:color w:val="auto"/>
          <w:kern w:val="0"/>
          <w:sz w:val="24"/>
          <w:highlight w:val="none"/>
        </w:rPr>
      </w:pPr>
    </w:p>
    <w:p w14:paraId="52287E5F">
      <w:pPr>
        <w:jc w:val="center"/>
        <w:rPr>
          <w:rFonts w:hint="eastAsia" w:ascii="仿宋" w:hAnsi="仿宋" w:eastAsia="仿宋" w:cs="仿宋"/>
          <w:b/>
          <w:color w:val="auto"/>
          <w:kern w:val="0"/>
          <w:sz w:val="32"/>
          <w:szCs w:val="32"/>
          <w:highlight w:val="none"/>
        </w:rPr>
      </w:pPr>
    </w:p>
    <w:p w14:paraId="242BB2CE">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4EC368B2">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13D2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F07B0D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D940AA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1C8453EF">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20FFB2A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29981B2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030E3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4E94A7B">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1250C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3D54793A">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2E7D224C">
            <w:pPr>
              <w:rPr>
                <w:rFonts w:hint="eastAsia" w:ascii="仿宋" w:hAnsi="仿宋" w:eastAsia="仿宋" w:cs="仿宋"/>
                <w:color w:val="auto"/>
                <w:sz w:val="24"/>
                <w:highlight w:val="none"/>
              </w:rPr>
            </w:pPr>
          </w:p>
          <w:p w14:paraId="1A70B561">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C478EB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43297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7E3AB6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4BA06BA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3D5C68F7">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5B202B1E">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6D41A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016A8B">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14:paraId="1C658D5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79AD1E6F">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3F740F72">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685AD4F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AB951F1">
      <w:pPr>
        <w:jc w:val="center"/>
        <w:rPr>
          <w:rFonts w:hint="eastAsia" w:ascii="仿宋" w:hAnsi="仿宋" w:eastAsia="仿宋" w:cs="仿宋"/>
          <w:b/>
          <w:color w:val="auto"/>
          <w:kern w:val="0"/>
          <w:sz w:val="32"/>
          <w:szCs w:val="32"/>
          <w:highlight w:val="none"/>
        </w:rPr>
      </w:pPr>
    </w:p>
    <w:p w14:paraId="13E62460">
      <w:pPr>
        <w:jc w:val="center"/>
        <w:rPr>
          <w:rFonts w:hint="eastAsia" w:ascii="仿宋" w:hAnsi="仿宋" w:eastAsia="仿宋" w:cs="仿宋"/>
          <w:b/>
          <w:color w:val="auto"/>
          <w:kern w:val="0"/>
          <w:sz w:val="32"/>
          <w:szCs w:val="32"/>
          <w:highlight w:val="none"/>
        </w:rPr>
      </w:pPr>
    </w:p>
    <w:p w14:paraId="786C723D">
      <w:pPr>
        <w:jc w:val="center"/>
        <w:rPr>
          <w:rFonts w:hint="eastAsia" w:ascii="仿宋" w:hAnsi="仿宋" w:eastAsia="仿宋" w:cs="仿宋"/>
          <w:b/>
          <w:color w:val="auto"/>
          <w:kern w:val="0"/>
          <w:sz w:val="32"/>
          <w:szCs w:val="32"/>
          <w:highlight w:val="none"/>
        </w:rPr>
      </w:pPr>
    </w:p>
    <w:p w14:paraId="35318475">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606B149D">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6B23D735">
      <w:pPr>
        <w:rPr>
          <w:rFonts w:hint="eastAsia" w:ascii="仿宋" w:hAnsi="仿宋" w:eastAsia="仿宋" w:cs="仿宋"/>
          <w:b/>
          <w:color w:val="auto"/>
          <w:sz w:val="32"/>
          <w:szCs w:val="32"/>
          <w:highlight w:val="none"/>
          <w:lang w:eastAsia="zh-CN"/>
        </w:rPr>
      </w:pPr>
      <w:r>
        <w:rPr>
          <w:rFonts w:hint="eastAsia" w:ascii="仿宋" w:hAnsi="仿宋" w:eastAsia="仿宋" w:cs="仿宋"/>
          <w:b/>
          <w:color w:val="auto"/>
          <w:kern w:val="0"/>
          <w:sz w:val="32"/>
          <w:szCs w:val="32"/>
          <w:highlight w:val="none"/>
        </w:rPr>
        <w:br w:type="page"/>
      </w:r>
      <w:r>
        <w:rPr>
          <w:rFonts w:hint="eastAsia" w:ascii="仿宋" w:hAnsi="仿宋" w:eastAsia="仿宋" w:cs="仿宋"/>
          <w:b/>
          <w:color w:val="auto"/>
          <w:sz w:val="32"/>
          <w:szCs w:val="32"/>
          <w:highlight w:val="none"/>
        </w:rPr>
        <w:t>有关格式范例</w:t>
      </w:r>
      <w:r>
        <w:rPr>
          <w:rFonts w:hint="eastAsia" w:ascii="仿宋" w:hAnsi="仿宋" w:eastAsia="仿宋" w:cs="仿宋"/>
          <w:b/>
          <w:color w:val="auto"/>
          <w:sz w:val="32"/>
          <w:szCs w:val="32"/>
          <w:highlight w:val="none"/>
          <w:lang w:eastAsia="zh-CN"/>
        </w:rPr>
        <w:t>：</w:t>
      </w:r>
    </w:p>
    <w:p w14:paraId="22638B05">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机具、设施设备、车辆配备情况一览表</w:t>
      </w:r>
    </w:p>
    <w:p w14:paraId="32252844">
      <w:pPr>
        <w:pStyle w:val="3"/>
        <w:spacing w:line="440" w:lineRule="exact"/>
        <w:jc w:val="both"/>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rPr>
        <w:t>标项：</w:t>
      </w:r>
      <w:r>
        <w:rPr>
          <w:rFonts w:hint="eastAsia" w:ascii="仿宋" w:hAnsi="仿宋" w:eastAsia="仿宋" w:cs="仿宋"/>
          <w:b w:val="0"/>
          <w:bCs/>
          <w:color w:val="auto"/>
          <w:sz w:val="24"/>
          <w:szCs w:val="24"/>
          <w:highlight w:val="none"/>
          <w:u w:val="single"/>
          <w:lang w:val="en-US" w:eastAsia="zh-CN"/>
        </w:rPr>
        <w:t xml:space="preserve">     </w:t>
      </w:r>
      <w:r>
        <w:rPr>
          <w:rFonts w:hint="eastAsia" w:ascii="仿宋" w:hAnsi="仿宋" w:eastAsia="仿宋" w:cs="仿宋"/>
          <w:b w:val="0"/>
          <w:bCs/>
          <w:color w:val="auto"/>
          <w:sz w:val="24"/>
          <w:szCs w:val="24"/>
          <w:highlight w:val="none"/>
          <w:lang w:val="en-US"/>
        </w:rPr>
        <w:t xml:space="preserve">    </w:t>
      </w:r>
      <w:r>
        <w:rPr>
          <w:rFonts w:hint="eastAsia" w:ascii="仿宋" w:hAnsi="仿宋" w:eastAsia="仿宋" w:cs="仿宋"/>
          <w:color w:val="auto"/>
          <w:sz w:val="24"/>
          <w:szCs w:val="24"/>
          <w:highlight w:val="none"/>
          <w:lang w:val="en-US"/>
        </w:rPr>
        <w:t xml:space="preserve">                                                      </w:t>
      </w:r>
    </w:p>
    <w:tbl>
      <w:tblPr>
        <w:tblStyle w:val="62"/>
        <w:tblW w:w="90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
      <w:tblGrid>
        <w:gridCol w:w="898"/>
        <w:gridCol w:w="3071"/>
        <w:gridCol w:w="860"/>
        <w:gridCol w:w="911"/>
        <w:gridCol w:w="743"/>
        <w:gridCol w:w="1763"/>
        <w:gridCol w:w="851"/>
      </w:tblGrid>
      <w:tr w14:paraId="6CA32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686" w:hRule="atLeast"/>
          <w:jc w:val="center"/>
        </w:trPr>
        <w:tc>
          <w:tcPr>
            <w:tcW w:w="898" w:type="dxa"/>
            <w:noWrap w:val="0"/>
            <w:vAlign w:val="center"/>
          </w:tcPr>
          <w:p w14:paraId="155A94B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71" w:type="dxa"/>
            <w:noWrap w:val="0"/>
            <w:vAlign w:val="center"/>
          </w:tcPr>
          <w:p w14:paraId="2DF59AD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860" w:type="dxa"/>
            <w:noWrap w:val="0"/>
            <w:vAlign w:val="center"/>
          </w:tcPr>
          <w:p w14:paraId="1D9E85C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品牌</w:t>
            </w:r>
          </w:p>
        </w:tc>
        <w:tc>
          <w:tcPr>
            <w:tcW w:w="911" w:type="dxa"/>
            <w:noWrap w:val="0"/>
            <w:vAlign w:val="center"/>
          </w:tcPr>
          <w:p w14:paraId="195807B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型号</w:t>
            </w:r>
          </w:p>
        </w:tc>
        <w:tc>
          <w:tcPr>
            <w:tcW w:w="743" w:type="dxa"/>
            <w:noWrap w:val="0"/>
            <w:vAlign w:val="center"/>
          </w:tcPr>
          <w:p w14:paraId="2FF048AD">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763" w:type="dxa"/>
            <w:noWrap w:val="0"/>
            <w:vAlign w:val="center"/>
          </w:tcPr>
          <w:p w14:paraId="056F88C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注明已具备或过渡期内具备</w:t>
            </w:r>
          </w:p>
        </w:tc>
        <w:tc>
          <w:tcPr>
            <w:tcW w:w="851" w:type="dxa"/>
            <w:noWrap w:val="0"/>
            <w:vAlign w:val="center"/>
          </w:tcPr>
          <w:p w14:paraId="07C7D4A4">
            <w:pPr>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备注</w:t>
            </w:r>
          </w:p>
        </w:tc>
      </w:tr>
      <w:tr w14:paraId="75758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57" w:hRule="atLeast"/>
          <w:jc w:val="center"/>
        </w:trPr>
        <w:tc>
          <w:tcPr>
            <w:tcW w:w="9097" w:type="dxa"/>
            <w:gridSpan w:val="7"/>
            <w:noWrap w:val="0"/>
            <w:vAlign w:val="center"/>
          </w:tcPr>
          <w:p w14:paraId="4D279E5C">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一、垃圾分类设施设备</w:t>
            </w:r>
          </w:p>
        </w:tc>
      </w:tr>
      <w:tr w14:paraId="38900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70E3CD79">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3071" w:type="dxa"/>
            <w:noWrap w:val="0"/>
            <w:vAlign w:val="center"/>
          </w:tcPr>
          <w:p w14:paraId="3DD586AB">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53980AED">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5CDA10B1">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16F5C8D2">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9DBF663">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ED66EE7">
            <w:pPr>
              <w:spacing w:line="240" w:lineRule="auto"/>
              <w:jc w:val="left"/>
              <w:rPr>
                <w:rFonts w:hint="eastAsia" w:ascii="仿宋" w:hAnsi="仿宋" w:eastAsia="仿宋" w:cs="仿宋"/>
                <w:color w:val="auto"/>
                <w:sz w:val="24"/>
                <w:szCs w:val="24"/>
                <w:highlight w:val="none"/>
              </w:rPr>
            </w:pPr>
          </w:p>
        </w:tc>
      </w:tr>
      <w:tr w14:paraId="53843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3E3CCDB4">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3071" w:type="dxa"/>
            <w:noWrap w:val="0"/>
            <w:vAlign w:val="center"/>
          </w:tcPr>
          <w:p w14:paraId="7946E029">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03FEC233">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0654E457">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23F65B8">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33117D0C">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77EFE564">
            <w:pPr>
              <w:spacing w:line="240" w:lineRule="auto"/>
              <w:jc w:val="left"/>
              <w:rPr>
                <w:rFonts w:hint="eastAsia" w:ascii="仿宋" w:hAnsi="仿宋" w:eastAsia="仿宋" w:cs="仿宋"/>
                <w:color w:val="auto"/>
                <w:sz w:val="24"/>
                <w:szCs w:val="24"/>
                <w:highlight w:val="none"/>
              </w:rPr>
            </w:pPr>
          </w:p>
        </w:tc>
      </w:tr>
      <w:tr w14:paraId="609A5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2689EAD1">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222E4A6C">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4D8E3A70">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33DAF07B">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071CD29">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A698A95">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50C01B39">
            <w:pPr>
              <w:spacing w:line="240" w:lineRule="auto"/>
              <w:jc w:val="left"/>
              <w:rPr>
                <w:rFonts w:hint="eastAsia" w:ascii="仿宋" w:hAnsi="仿宋" w:eastAsia="仿宋" w:cs="仿宋"/>
                <w:color w:val="auto"/>
                <w:sz w:val="24"/>
                <w:szCs w:val="24"/>
                <w:highlight w:val="none"/>
              </w:rPr>
            </w:pPr>
          </w:p>
        </w:tc>
      </w:tr>
      <w:tr w14:paraId="30C0A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9097" w:type="dxa"/>
            <w:gridSpan w:val="7"/>
            <w:noWrap w:val="0"/>
            <w:vAlign w:val="center"/>
          </w:tcPr>
          <w:p w14:paraId="2329BC92">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二、作业工具</w:t>
            </w:r>
          </w:p>
        </w:tc>
      </w:tr>
      <w:tr w14:paraId="2D5D8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45687AB2">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3071" w:type="dxa"/>
            <w:noWrap w:val="0"/>
            <w:vAlign w:val="center"/>
          </w:tcPr>
          <w:p w14:paraId="3A2D9774">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4A750AA6">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778A733B">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0B8176FE">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8BF5C33">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7BC3C2E">
            <w:pPr>
              <w:spacing w:line="240" w:lineRule="auto"/>
              <w:jc w:val="left"/>
              <w:rPr>
                <w:rFonts w:hint="eastAsia" w:ascii="仿宋" w:hAnsi="仿宋" w:eastAsia="仿宋" w:cs="仿宋"/>
                <w:color w:val="auto"/>
                <w:sz w:val="24"/>
                <w:szCs w:val="24"/>
                <w:highlight w:val="none"/>
              </w:rPr>
            </w:pPr>
          </w:p>
        </w:tc>
      </w:tr>
      <w:tr w14:paraId="43009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0A4BA5D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3071" w:type="dxa"/>
            <w:noWrap w:val="0"/>
            <w:vAlign w:val="center"/>
          </w:tcPr>
          <w:p w14:paraId="1D052A6A">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5775A540">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3FDE0D63">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E05E79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7B438573">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BF5BEDC">
            <w:pPr>
              <w:spacing w:line="240" w:lineRule="auto"/>
              <w:jc w:val="left"/>
              <w:rPr>
                <w:rFonts w:hint="eastAsia" w:ascii="仿宋" w:hAnsi="仿宋" w:eastAsia="仿宋" w:cs="仿宋"/>
                <w:color w:val="auto"/>
                <w:sz w:val="24"/>
                <w:szCs w:val="24"/>
                <w:highlight w:val="none"/>
              </w:rPr>
            </w:pPr>
          </w:p>
        </w:tc>
      </w:tr>
      <w:tr w14:paraId="29BAD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2173ECBD">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722B1836">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606BC730">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3388EA19">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2332A8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7343C8FF">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AF69C6D">
            <w:pPr>
              <w:spacing w:line="240" w:lineRule="auto"/>
              <w:jc w:val="left"/>
              <w:rPr>
                <w:rFonts w:hint="eastAsia" w:ascii="仿宋" w:hAnsi="仿宋" w:eastAsia="仿宋" w:cs="仿宋"/>
                <w:color w:val="auto"/>
                <w:sz w:val="24"/>
                <w:szCs w:val="24"/>
                <w:highlight w:val="none"/>
              </w:rPr>
            </w:pPr>
          </w:p>
        </w:tc>
      </w:tr>
      <w:tr w14:paraId="72D5A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9097" w:type="dxa"/>
            <w:gridSpan w:val="7"/>
            <w:noWrap w:val="0"/>
            <w:vAlign w:val="center"/>
          </w:tcPr>
          <w:p w14:paraId="61FE32F5">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三、车辆 </w:t>
            </w:r>
          </w:p>
        </w:tc>
      </w:tr>
      <w:tr w14:paraId="28330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514EC9FD">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w:t>
            </w:r>
          </w:p>
        </w:tc>
        <w:tc>
          <w:tcPr>
            <w:tcW w:w="3071" w:type="dxa"/>
            <w:noWrap w:val="0"/>
            <w:vAlign w:val="center"/>
          </w:tcPr>
          <w:p w14:paraId="71AC0571">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592DF523">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1DC8B0AA">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50093578">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50553F04">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777FC34B">
            <w:pPr>
              <w:spacing w:line="240" w:lineRule="auto"/>
              <w:jc w:val="left"/>
              <w:rPr>
                <w:rFonts w:hint="eastAsia" w:ascii="仿宋" w:hAnsi="仿宋" w:eastAsia="仿宋" w:cs="仿宋"/>
                <w:color w:val="auto"/>
                <w:sz w:val="24"/>
                <w:szCs w:val="24"/>
                <w:highlight w:val="none"/>
              </w:rPr>
            </w:pPr>
          </w:p>
        </w:tc>
      </w:tr>
      <w:tr w14:paraId="7B311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71EAB6B3">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w:t>
            </w:r>
          </w:p>
        </w:tc>
        <w:tc>
          <w:tcPr>
            <w:tcW w:w="3071" w:type="dxa"/>
            <w:noWrap w:val="0"/>
            <w:vAlign w:val="center"/>
          </w:tcPr>
          <w:p w14:paraId="2FE3AF16">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1A20034E">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678066BF">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064A328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0E92BCFC">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79AB66DA">
            <w:pPr>
              <w:spacing w:line="240" w:lineRule="auto"/>
              <w:jc w:val="left"/>
              <w:rPr>
                <w:rFonts w:hint="eastAsia" w:ascii="仿宋" w:hAnsi="仿宋" w:eastAsia="仿宋" w:cs="仿宋"/>
                <w:color w:val="auto"/>
                <w:sz w:val="24"/>
                <w:szCs w:val="24"/>
                <w:highlight w:val="none"/>
              </w:rPr>
            </w:pPr>
          </w:p>
        </w:tc>
      </w:tr>
      <w:tr w14:paraId="7AC07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5F3BA8CF">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6B44110B">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1A414A8C">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7B6079CB">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1C4B5090">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418A44D2">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6D4463D3">
            <w:pPr>
              <w:spacing w:line="240" w:lineRule="auto"/>
              <w:jc w:val="left"/>
              <w:rPr>
                <w:rFonts w:hint="eastAsia" w:ascii="仿宋" w:hAnsi="仿宋" w:eastAsia="仿宋" w:cs="仿宋"/>
                <w:color w:val="auto"/>
                <w:sz w:val="24"/>
                <w:szCs w:val="24"/>
                <w:highlight w:val="none"/>
              </w:rPr>
            </w:pPr>
          </w:p>
        </w:tc>
      </w:tr>
      <w:tr w14:paraId="5805A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9097" w:type="dxa"/>
            <w:gridSpan w:val="7"/>
            <w:noWrap w:val="0"/>
            <w:vAlign w:val="center"/>
          </w:tcPr>
          <w:p w14:paraId="1671F4F8">
            <w:pPr>
              <w:spacing w:line="240" w:lineRule="auto"/>
              <w:jc w:val="left"/>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四、其它</w:t>
            </w:r>
          </w:p>
        </w:tc>
      </w:tr>
      <w:tr w14:paraId="63D63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3123FD4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60004D17">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40C47637">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01B889B5">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5855E66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85841BC">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33F952F4">
            <w:pPr>
              <w:spacing w:line="240" w:lineRule="auto"/>
              <w:jc w:val="left"/>
              <w:rPr>
                <w:rFonts w:hint="eastAsia" w:ascii="仿宋" w:hAnsi="仿宋" w:eastAsia="仿宋" w:cs="仿宋"/>
                <w:color w:val="auto"/>
                <w:sz w:val="24"/>
                <w:szCs w:val="24"/>
                <w:highlight w:val="none"/>
              </w:rPr>
            </w:pPr>
          </w:p>
        </w:tc>
      </w:tr>
      <w:tr w14:paraId="48592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885" w:hRule="atLeast"/>
          <w:jc w:val="center"/>
        </w:trPr>
        <w:tc>
          <w:tcPr>
            <w:tcW w:w="9097" w:type="dxa"/>
            <w:gridSpan w:val="7"/>
            <w:noWrap w:val="0"/>
            <w:vAlign w:val="center"/>
          </w:tcPr>
          <w:p w14:paraId="1160C5C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我公司承诺以上机具、设施设备、车辆仅用于本项目本标项。</w:t>
            </w:r>
          </w:p>
          <w:p w14:paraId="4AFC9A60">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我公司承诺表中注明过渡期内具备的机具、设施设备、车辆全部在过渡期内配备到位</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若</w:t>
            </w:r>
            <w:r>
              <w:rPr>
                <w:rFonts w:hint="eastAsia" w:ascii="仿宋" w:hAnsi="仿宋" w:eastAsia="仿宋" w:cs="仿宋"/>
                <w:color w:val="auto"/>
                <w:sz w:val="24"/>
                <w:szCs w:val="24"/>
                <w:highlight w:val="none"/>
                <w:lang w:val="en-US" w:eastAsia="zh-CN"/>
              </w:rPr>
              <w:t>我单位</w:t>
            </w:r>
            <w:r>
              <w:rPr>
                <w:rFonts w:hint="eastAsia" w:ascii="仿宋" w:hAnsi="仿宋" w:eastAsia="仿宋" w:cs="仿宋"/>
                <w:color w:val="auto"/>
                <w:sz w:val="24"/>
                <w:szCs w:val="24"/>
                <w:highlight w:val="none"/>
              </w:rPr>
              <w:t>未按承诺的过渡时间内完成</w:t>
            </w:r>
            <w:r>
              <w:rPr>
                <w:rFonts w:hint="eastAsia" w:ascii="仿宋" w:hAnsi="仿宋" w:eastAsia="仿宋" w:cs="仿宋"/>
                <w:color w:val="auto"/>
                <w:sz w:val="24"/>
                <w:szCs w:val="24"/>
                <w:highlight w:val="none"/>
                <w:lang w:val="en-US" w:eastAsia="zh-CN"/>
              </w:rPr>
              <w:t>配备</w:t>
            </w:r>
            <w:r>
              <w:rPr>
                <w:rFonts w:hint="eastAsia" w:ascii="仿宋" w:hAnsi="仿宋" w:eastAsia="仿宋" w:cs="仿宋"/>
                <w:color w:val="auto"/>
                <w:sz w:val="24"/>
                <w:szCs w:val="24"/>
                <w:highlight w:val="none"/>
              </w:rPr>
              <w:t>，则视为</w:t>
            </w:r>
            <w:r>
              <w:rPr>
                <w:rFonts w:hint="eastAsia" w:ascii="仿宋" w:hAnsi="仿宋" w:eastAsia="仿宋" w:cs="仿宋"/>
                <w:color w:val="auto"/>
                <w:sz w:val="24"/>
                <w:szCs w:val="24"/>
                <w:highlight w:val="none"/>
                <w:lang w:val="en-US" w:eastAsia="zh-CN"/>
              </w:rPr>
              <w:t>主动放弃中标</w:t>
            </w:r>
            <w:r>
              <w:rPr>
                <w:rFonts w:hint="eastAsia" w:ascii="仿宋" w:hAnsi="仿宋" w:eastAsia="仿宋" w:cs="仿宋"/>
                <w:color w:val="auto"/>
                <w:sz w:val="24"/>
                <w:szCs w:val="24"/>
                <w:highlight w:val="none"/>
              </w:rPr>
              <w:t>。</w:t>
            </w:r>
          </w:p>
        </w:tc>
      </w:tr>
    </w:tbl>
    <w:p w14:paraId="3B6AA5AA">
      <w:pPr>
        <w:spacing w:line="440" w:lineRule="exac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备注：供应商可按上述的格式自行编制，</w:t>
      </w:r>
      <w:r>
        <w:rPr>
          <w:rFonts w:hint="eastAsia" w:ascii="仿宋" w:hAnsi="仿宋" w:eastAsia="仿宋" w:cs="仿宋"/>
          <w:b w:val="0"/>
          <w:bCs w:val="0"/>
          <w:color w:val="auto"/>
          <w:sz w:val="24"/>
          <w:szCs w:val="24"/>
          <w:highlight w:val="none"/>
          <w:lang w:val="en-US" w:eastAsia="zh-CN"/>
        </w:rPr>
        <w:t>并提供相应材料。</w:t>
      </w:r>
    </w:p>
    <w:p w14:paraId="23C6276F">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432123ED">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6600E3A2">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14:paraId="232A98FC">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项目组配备情况一览表</w:t>
      </w:r>
    </w:p>
    <w:p w14:paraId="4941B3B7">
      <w:pPr>
        <w:spacing w:line="360" w:lineRule="auto"/>
        <w:jc w:val="both"/>
        <w:rPr>
          <w:rFonts w:hint="eastAsia" w:ascii="仿宋" w:hAnsi="仿宋" w:eastAsia="仿宋" w:cs="仿宋"/>
          <w:b/>
          <w:bCs/>
          <w:color w:val="auto"/>
          <w:sz w:val="32"/>
          <w:szCs w:val="32"/>
          <w:highlight w:val="none"/>
        </w:rPr>
      </w:pPr>
      <w:r>
        <w:rPr>
          <w:rFonts w:hint="eastAsia" w:ascii="仿宋" w:hAnsi="仿宋" w:eastAsia="仿宋" w:cs="仿宋"/>
          <w:color w:val="auto"/>
          <w:sz w:val="24"/>
          <w:szCs w:val="24"/>
          <w:highlight w:val="none"/>
          <w:lang w:val="en-US"/>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rPr>
        <w:t xml:space="preserve">  </w:t>
      </w:r>
    </w:p>
    <w:tbl>
      <w:tblPr>
        <w:tblStyle w:val="62"/>
        <w:tblW w:w="87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
      <w:tblGrid>
        <w:gridCol w:w="680"/>
        <w:gridCol w:w="1905"/>
        <w:gridCol w:w="678"/>
        <w:gridCol w:w="655"/>
        <w:gridCol w:w="1556"/>
        <w:gridCol w:w="1580"/>
        <w:gridCol w:w="856"/>
        <w:gridCol w:w="867"/>
      </w:tblGrid>
      <w:tr w14:paraId="14740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748" w:hRule="atLeast"/>
          <w:jc w:val="center"/>
        </w:trPr>
        <w:tc>
          <w:tcPr>
            <w:tcW w:w="680" w:type="dxa"/>
            <w:noWrap w:val="0"/>
            <w:vAlign w:val="center"/>
          </w:tcPr>
          <w:p w14:paraId="7B37D09D">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05" w:type="dxa"/>
            <w:noWrap w:val="0"/>
            <w:vAlign w:val="center"/>
          </w:tcPr>
          <w:p w14:paraId="3366CAC1">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p>
        </w:tc>
        <w:tc>
          <w:tcPr>
            <w:tcW w:w="678" w:type="dxa"/>
            <w:noWrap w:val="0"/>
            <w:vAlign w:val="center"/>
          </w:tcPr>
          <w:p w14:paraId="36B4E010">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w:t>
            </w:r>
          </w:p>
        </w:tc>
        <w:tc>
          <w:tcPr>
            <w:tcW w:w="655" w:type="dxa"/>
            <w:noWrap w:val="0"/>
            <w:vAlign w:val="center"/>
          </w:tcPr>
          <w:p w14:paraId="46774713">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学历  </w:t>
            </w:r>
          </w:p>
        </w:tc>
        <w:tc>
          <w:tcPr>
            <w:tcW w:w="1556" w:type="dxa"/>
            <w:noWrap w:val="0"/>
            <w:vAlign w:val="center"/>
          </w:tcPr>
          <w:p w14:paraId="738F5616">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资格证、培训证获得情况</w:t>
            </w:r>
          </w:p>
        </w:tc>
        <w:tc>
          <w:tcPr>
            <w:tcW w:w="1580" w:type="dxa"/>
            <w:noWrap w:val="0"/>
            <w:vAlign w:val="center"/>
          </w:tcPr>
          <w:p w14:paraId="56612274">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从事行业</w:t>
            </w:r>
          </w:p>
          <w:p w14:paraId="25528C5A">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工作年限</w:t>
            </w:r>
          </w:p>
        </w:tc>
        <w:tc>
          <w:tcPr>
            <w:tcW w:w="856" w:type="dxa"/>
            <w:noWrap w:val="0"/>
            <w:vAlign w:val="center"/>
          </w:tcPr>
          <w:p w14:paraId="61DBAF97">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从事</w:t>
            </w:r>
          </w:p>
          <w:p w14:paraId="440EBFB5">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专业</w:t>
            </w:r>
          </w:p>
        </w:tc>
        <w:tc>
          <w:tcPr>
            <w:tcW w:w="867" w:type="dxa"/>
            <w:noWrap w:val="0"/>
            <w:vAlign w:val="center"/>
          </w:tcPr>
          <w:p w14:paraId="20F1F4E9">
            <w:pPr>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备注</w:t>
            </w:r>
          </w:p>
        </w:tc>
      </w:tr>
      <w:tr w14:paraId="7CF20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5D59238E">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1905" w:type="dxa"/>
            <w:noWrap w:val="0"/>
            <w:vAlign w:val="center"/>
          </w:tcPr>
          <w:p w14:paraId="69F281A9">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项目经理</w:t>
            </w:r>
          </w:p>
        </w:tc>
        <w:tc>
          <w:tcPr>
            <w:tcW w:w="678" w:type="dxa"/>
            <w:noWrap w:val="0"/>
            <w:vAlign w:val="center"/>
          </w:tcPr>
          <w:p w14:paraId="51A887C3">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2D4C9971">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47CE2BEC">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63CFB0AA">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00F3DF82">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2A14D364">
            <w:pPr>
              <w:spacing w:line="240" w:lineRule="auto"/>
              <w:jc w:val="left"/>
              <w:rPr>
                <w:rFonts w:hint="eastAsia" w:ascii="仿宋" w:hAnsi="仿宋" w:eastAsia="仿宋" w:cs="仿宋"/>
                <w:color w:val="auto"/>
                <w:sz w:val="24"/>
                <w:szCs w:val="24"/>
                <w:highlight w:val="none"/>
              </w:rPr>
            </w:pPr>
          </w:p>
        </w:tc>
      </w:tr>
      <w:tr w14:paraId="17A0B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0A06D318">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795B19A3">
            <w:pPr>
              <w:spacing w:line="240" w:lineRule="auto"/>
              <w:rPr>
                <w:rFonts w:hint="eastAsia" w:ascii="仿宋" w:hAnsi="仿宋" w:eastAsia="仿宋" w:cs="仿宋"/>
                <w:color w:val="auto"/>
                <w:sz w:val="24"/>
                <w:szCs w:val="24"/>
                <w:highlight w:val="none"/>
              </w:rPr>
            </w:pPr>
          </w:p>
        </w:tc>
        <w:tc>
          <w:tcPr>
            <w:tcW w:w="678" w:type="dxa"/>
            <w:noWrap w:val="0"/>
            <w:vAlign w:val="center"/>
          </w:tcPr>
          <w:p w14:paraId="62D54737">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2AAFDA87">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1D0CCD3F">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3A5BBEF0">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51FF58F">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75332F56">
            <w:pPr>
              <w:spacing w:line="240" w:lineRule="auto"/>
              <w:jc w:val="left"/>
              <w:rPr>
                <w:rFonts w:hint="eastAsia" w:ascii="仿宋" w:hAnsi="仿宋" w:eastAsia="仿宋" w:cs="仿宋"/>
                <w:color w:val="auto"/>
                <w:sz w:val="24"/>
                <w:szCs w:val="24"/>
                <w:highlight w:val="none"/>
              </w:rPr>
            </w:pPr>
          </w:p>
        </w:tc>
      </w:tr>
      <w:tr w14:paraId="10726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33A3E812">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1905" w:type="dxa"/>
            <w:noWrap w:val="0"/>
            <w:vAlign w:val="center"/>
          </w:tcPr>
          <w:p w14:paraId="3A85705B">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管理</w:t>
            </w:r>
            <w:r>
              <w:rPr>
                <w:rFonts w:hint="eastAsia" w:ascii="仿宋" w:hAnsi="仿宋" w:eastAsia="仿宋" w:cs="仿宋"/>
                <w:color w:val="auto"/>
                <w:sz w:val="24"/>
                <w:szCs w:val="24"/>
                <w:highlight w:val="none"/>
              </w:rPr>
              <w:t>策划组</w:t>
            </w:r>
          </w:p>
        </w:tc>
        <w:tc>
          <w:tcPr>
            <w:tcW w:w="678" w:type="dxa"/>
            <w:noWrap w:val="0"/>
            <w:vAlign w:val="center"/>
          </w:tcPr>
          <w:p w14:paraId="7E0209B1">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3F282792">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23DEBF25">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7F582570">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0B5A97CF">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6103FE91">
            <w:pPr>
              <w:spacing w:line="240" w:lineRule="auto"/>
              <w:jc w:val="left"/>
              <w:rPr>
                <w:rFonts w:hint="eastAsia" w:ascii="仿宋" w:hAnsi="仿宋" w:eastAsia="仿宋" w:cs="仿宋"/>
                <w:color w:val="auto"/>
                <w:sz w:val="24"/>
                <w:szCs w:val="24"/>
                <w:highlight w:val="none"/>
              </w:rPr>
            </w:pPr>
          </w:p>
        </w:tc>
      </w:tr>
      <w:tr w14:paraId="5DF03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71D43D42">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366B149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78" w:type="dxa"/>
            <w:noWrap w:val="0"/>
            <w:vAlign w:val="center"/>
          </w:tcPr>
          <w:p w14:paraId="3D5384FA">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1E5BF0D7">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55D99F0E">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77D16DCF">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712DC72">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303651F2">
            <w:pPr>
              <w:spacing w:line="240" w:lineRule="auto"/>
              <w:jc w:val="left"/>
              <w:rPr>
                <w:rFonts w:hint="eastAsia" w:ascii="仿宋" w:hAnsi="仿宋" w:eastAsia="仿宋" w:cs="仿宋"/>
                <w:color w:val="auto"/>
                <w:sz w:val="24"/>
                <w:szCs w:val="24"/>
                <w:highlight w:val="none"/>
              </w:rPr>
            </w:pPr>
          </w:p>
        </w:tc>
      </w:tr>
      <w:tr w14:paraId="66566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4BA98630">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05A1A2C1">
            <w:pPr>
              <w:spacing w:line="240" w:lineRule="auto"/>
              <w:jc w:val="left"/>
              <w:rPr>
                <w:rFonts w:hint="eastAsia" w:ascii="仿宋" w:hAnsi="仿宋" w:eastAsia="仿宋" w:cs="仿宋"/>
                <w:color w:val="auto"/>
                <w:sz w:val="24"/>
                <w:szCs w:val="24"/>
                <w:highlight w:val="none"/>
              </w:rPr>
            </w:pPr>
          </w:p>
        </w:tc>
        <w:tc>
          <w:tcPr>
            <w:tcW w:w="678" w:type="dxa"/>
            <w:noWrap w:val="0"/>
            <w:vAlign w:val="center"/>
          </w:tcPr>
          <w:p w14:paraId="39EDA038">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738465C6">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5E884438">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962361B">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515D1B2A">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5657ECFD">
            <w:pPr>
              <w:spacing w:line="240" w:lineRule="auto"/>
              <w:jc w:val="left"/>
              <w:rPr>
                <w:rFonts w:hint="eastAsia" w:ascii="仿宋" w:hAnsi="仿宋" w:eastAsia="仿宋" w:cs="仿宋"/>
                <w:color w:val="auto"/>
                <w:sz w:val="24"/>
                <w:szCs w:val="24"/>
                <w:highlight w:val="none"/>
              </w:rPr>
            </w:pPr>
          </w:p>
        </w:tc>
      </w:tr>
      <w:tr w14:paraId="3F2D4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1275675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1905" w:type="dxa"/>
            <w:noWrap w:val="0"/>
            <w:vAlign w:val="center"/>
          </w:tcPr>
          <w:p w14:paraId="7358E5BD">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平台对接</w:t>
            </w:r>
            <w:r>
              <w:rPr>
                <w:rFonts w:hint="eastAsia" w:ascii="仿宋" w:hAnsi="仿宋" w:eastAsia="仿宋" w:cs="仿宋"/>
                <w:color w:val="auto"/>
                <w:sz w:val="24"/>
                <w:szCs w:val="24"/>
                <w:highlight w:val="none"/>
              </w:rPr>
              <w:t>组</w:t>
            </w:r>
          </w:p>
        </w:tc>
        <w:tc>
          <w:tcPr>
            <w:tcW w:w="678" w:type="dxa"/>
            <w:noWrap w:val="0"/>
            <w:vAlign w:val="center"/>
          </w:tcPr>
          <w:p w14:paraId="3F820D58">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66E60A93">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790E54D1">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29741F52">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04CC797B">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4EBB8CDE">
            <w:pPr>
              <w:spacing w:line="240" w:lineRule="auto"/>
              <w:jc w:val="left"/>
              <w:rPr>
                <w:rFonts w:hint="eastAsia" w:ascii="仿宋" w:hAnsi="仿宋" w:eastAsia="仿宋" w:cs="仿宋"/>
                <w:color w:val="auto"/>
                <w:sz w:val="24"/>
                <w:szCs w:val="24"/>
                <w:highlight w:val="none"/>
              </w:rPr>
            </w:pPr>
          </w:p>
        </w:tc>
      </w:tr>
      <w:tr w14:paraId="3F610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7967EDBB">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1AF31FFF">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78" w:type="dxa"/>
            <w:noWrap w:val="0"/>
            <w:vAlign w:val="center"/>
          </w:tcPr>
          <w:p w14:paraId="3BBDA4F3">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5EBB0B5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286FDA17">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3749B9FB">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731CB85E">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5FB01C79">
            <w:pPr>
              <w:spacing w:line="240" w:lineRule="auto"/>
              <w:jc w:val="left"/>
              <w:rPr>
                <w:rFonts w:hint="eastAsia" w:ascii="仿宋" w:hAnsi="仿宋" w:eastAsia="仿宋" w:cs="仿宋"/>
                <w:color w:val="auto"/>
                <w:sz w:val="24"/>
                <w:szCs w:val="24"/>
                <w:highlight w:val="none"/>
              </w:rPr>
            </w:pPr>
          </w:p>
        </w:tc>
      </w:tr>
      <w:tr w14:paraId="2F4D3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7663CD7F">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280FFCD8">
            <w:pPr>
              <w:spacing w:line="240" w:lineRule="auto"/>
              <w:jc w:val="left"/>
              <w:rPr>
                <w:rFonts w:hint="eastAsia" w:ascii="仿宋" w:hAnsi="仿宋" w:eastAsia="仿宋" w:cs="仿宋"/>
                <w:color w:val="auto"/>
                <w:sz w:val="24"/>
                <w:szCs w:val="24"/>
                <w:highlight w:val="none"/>
              </w:rPr>
            </w:pPr>
          </w:p>
        </w:tc>
        <w:tc>
          <w:tcPr>
            <w:tcW w:w="678" w:type="dxa"/>
            <w:noWrap w:val="0"/>
            <w:vAlign w:val="center"/>
          </w:tcPr>
          <w:p w14:paraId="12EACBF8">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7D1F5CB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2B51745B">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28BBCB74">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35AA16F">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7DD09EC4">
            <w:pPr>
              <w:spacing w:line="240" w:lineRule="auto"/>
              <w:jc w:val="left"/>
              <w:rPr>
                <w:rFonts w:hint="eastAsia" w:ascii="仿宋" w:hAnsi="仿宋" w:eastAsia="仿宋" w:cs="仿宋"/>
                <w:color w:val="auto"/>
                <w:sz w:val="24"/>
                <w:szCs w:val="24"/>
                <w:highlight w:val="none"/>
              </w:rPr>
            </w:pPr>
          </w:p>
        </w:tc>
      </w:tr>
      <w:tr w14:paraId="3FC4E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40519D40">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p>
        </w:tc>
        <w:tc>
          <w:tcPr>
            <w:tcW w:w="1905" w:type="dxa"/>
            <w:noWrap w:val="0"/>
            <w:vAlign w:val="center"/>
          </w:tcPr>
          <w:p w14:paraId="573D79D9">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再生资源回收组</w:t>
            </w:r>
          </w:p>
        </w:tc>
        <w:tc>
          <w:tcPr>
            <w:tcW w:w="678" w:type="dxa"/>
            <w:noWrap w:val="0"/>
            <w:vAlign w:val="center"/>
          </w:tcPr>
          <w:p w14:paraId="4A4D0DC0">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1AD400E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64D9C1AA">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33814B3">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76BF86FE">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15488DF8">
            <w:pPr>
              <w:spacing w:line="240" w:lineRule="auto"/>
              <w:jc w:val="left"/>
              <w:rPr>
                <w:rFonts w:hint="eastAsia" w:ascii="仿宋" w:hAnsi="仿宋" w:eastAsia="仿宋" w:cs="仿宋"/>
                <w:color w:val="auto"/>
                <w:sz w:val="24"/>
                <w:szCs w:val="24"/>
                <w:highlight w:val="none"/>
              </w:rPr>
            </w:pPr>
          </w:p>
        </w:tc>
      </w:tr>
      <w:tr w14:paraId="51D0C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480" w:hRule="atLeast"/>
          <w:jc w:val="center"/>
        </w:trPr>
        <w:tc>
          <w:tcPr>
            <w:tcW w:w="680" w:type="dxa"/>
            <w:noWrap w:val="0"/>
            <w:vAlign w:val="center"/>
          </w:tcPr>
          <w:p w14:paraId="4A422F7B">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24C81607">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78" w:type="dxa"/>
            <w:noWrap w:val="0"/>
            <w:vAlign w:val="center"/>
          </w:tcPr>
          <w:p w14:paraId="4770E6D4">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3FBE89D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4B2146BB">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DA17012">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CF4ADD4">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228BEAFE">
            <w:pPr>
              <w:spacing w:line="240" w:lineRule="auto"/>
              <w:jc w:val="left"/>
              <w:rPr>
                <w:rFonts w:hint="eastAsia" w:ascii="仿宋" w:hAnsi="仿宋" w:eastAsia="仿宋" w:cs="仿宋"/>
                <w:color w:val="auto"/>
                <w:sz w:val="24"/>
                <w:szCs w:val="24"/>
                <w:highlight w:val="none"/>
              </w:rPr>
            </w:pPr>
          </w:p>
        </w:tc>
      </w:tr>
      <w:tr w14:paraId="61A98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480" w:hRule="atLeast"/>
          <w:jc w:val="center"/>
        </w:trPr>
        <w:tc>
          <w:tcPr>
            <w:tcW w:w="680" w:type="dxa"/>
            <w:noWrap w:val="0"/>
            <w:vAlign w:val="center"/>
          </w:tcPr>
          <w:p w14:paraId="1F730743">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4B71C66A">
            <w:pPr>
              <w:spacing w:line="240" w:lineRule="auto"/>
              <w:jc w:val="left"/>
              <w:rPr>
                <w:rFonts w:hint="eastAsia" w:ascii="仿宋" w:hAnsi="仿宋" w:eastAsia="仿宋" w:cs="仿宋"/>
                <w:color w:val="auto"/>
                <w:sz w:val="24"/>
                <w:szCs w:val="24"/>
                <w:highlight w:val="none"/>
              </w:rPr>
            </w:pPr>
          </w:p>
        </w:tc>
        <w:tc>
          <w:tcPr>
            <w:tcW w:w="678" w:type="dxa"/>
            <w:noWrap w:val="0"/>
            <w:vAlign w:val="center"/>
          </w:tcPr>
          <w:p w14:paraId="386E08EF">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77F2B7E4">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48BE4DCD">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4D53B0B">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762F9222">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482ABDDE">
            <w:pPr>
              <w:spacing w:line="240" w:lineRule="auto"/>
              <w:jc w:val="left"/>
              <w:rPr>
                <w:rFonts w:hint="eastAsia" w:ascii="仿宋" w:hAnsi="仿宋" w:eastAsia="仿宋" w:cs="仿宋"/>
                <w:color w:val="auto"/>
                <w:sz w:val="24"/>
                <w:szCs w:val="24"/>
                <w:highlight w:val="none"/>
              </w:rPr>
            </w:pPr>
          </w:p>
        </w:tc>
      </w:tr>
      <w:tr w14:paraId="3681F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480" w:hRule="atLeast"/>
          <w:jc w:val="center"/>
        </w:trPr>
        <w:tc>
          <w:tcPr>
            <w:tcW w:w="8777" w:type="dxa"/>
            <w:gridSpan w:val="8"/>
            <w:noWrap w:val="0"/>
            <w:vAlign w:val="center"/>
          </w:tcPr>
          <w:p w14:paraId="0C2E9B34">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我公司承诺以上人员仅服务于本项目本标项。</w:t>
            </w:r>
          </w:p>
        </w:tc>
      </w:tr>
    </w:tbl>
    <w:p w14:paraId="0A9BEF0B">
      <w:pPr>
        <w:spacing w:line="440" w:lineRule="exact"/>
        <w:ind w:firstLine="240" w:firstLineChars="1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备注：供应商可按上述的格式自行编制，</w:t>
      </w:r>
      <w:r>
        <w:rPr>
          <w:rFonts w:hint="eastAsia" w:ascii="仿宋" w:hAnsi="仿宋" w:eastAsia="仿宋" w:cs="仿宋"/>
          <w:b w:val="0"/>
          <w:bCs w:val="0"/>
          <w:color w:val="auto"/>
          <w:sz w:val="24"/>
          <w:szCs w:val="24"/>
          <w:highlight w:val="none"/>
          <w:lang w:val="en-US" w:eastAsia="zh-CN"/>
        </w:rPr>
        <w:t>并提供相应材料。</w:t>
      </w:r>
    </w:p>
    <w:p w14:paraId="18127916">
      <w:pPr>
        <w:spacing w:line="440" w:lineRule="exact"/>
        <w:jc w:val="left"/>
        <w:rPr>
          <w:rFonts w:hint="eastAsia" w:ascii="仿宋" w:hAnsi="仿宋" w:eastAsia="仿宋" w:cs="仿宋"/>
          <w:color w:val="auto"/>
          <w:sz w:val="24"/>
          <w:szCs w:val="24"/>
          <w:highlight w:val="none"/>
        </w:rPr>
      </w:pPr>
    </w:p>
    <w:p w14:paraId="186917F1">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2B6B4C09">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6C477EDF">
      <w:pPr>
        <w:spacing w:line="440" w:lineRule="exact"/>
        <w:jc w:val="center"/>
        <w:rPr>
          <w:rFonts w:hint="eastAsia"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rPr>
        <w:br w:type="page"/>
      </w:r>
      <w:r>
        <w:rPr>
          <w:rFonts w:hint="eastAsia" w:ascii="仿宋" w:hAnsi="仿宋" w:eastAsia="仿宋" w:cs="仿宋"/>
          <w:b/>
          <w:bCs/>
          <w:color w:val="auto"/>
          <w:sz w:val="32"/>
          <w:szCs w:val="32"/>
          <w:highlight w:val="none"/>
        </w:rPr>
        <w:t>垃圾分类其他服务人员配备情况一览表</w:t>
      </w:r>
    </w:p>
    <w:p w14:paraId="5D480B74">
      <w:pPr>
        <w:spacing w:line="440" w:lineRule="exact"/>
        <w:jc w:val="both"/>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lang w:val="en-US"/>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rPr>
        <w:t xml:space="preserve">  </w:t>
      </w:r>
    </w:p>
    <w:tbl>
      <w:tblPr>
        <w:tblStyle w:val="6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
      <w:tblGrid>
        <w:gridCol w:w="698"/>
        <w:gridCol w:w="2878"/>
        <w:gridCol w:w="1271"/>
        <w:gridCol w:w="1251"/>
        <w:gridCol w:w="2239"/>
        <w:gridCol w:w="861"/>
      </w:tblGrid>
      <w:tr w14:paraId="628C9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812" w:hRule="atLeast"/>
          <w:jc w:val="center"/>
        </w:trPr>
        <w:tc>
          <w:tcPr>
            <w:tcW w:w="698" w:type="dxa"/>
            <w:noWrap w:val="0"/>
            <w:vAlign w:val="center"/>
          </w:tcPr>
          <w:p w14:paraId="6C9E11F6">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878" w:type="dxa"/>
            <w:noWrap w:val="0"/>
            <w:vAlign w:val="center"/>
          </w:tcPr>
          <w:p w14:paraId="1073476B">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p>
        </w:tc>
        <w:tc>
          <w:tcPr>
            <w:tcW w:w="1271" w:type="dxa"/>
            <w:noWrap w:val="0"/>
            <w:vAlign w:val="center"/>
          </w:tcPr>
          <w:p w14:paraId="426644CA">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w:t>
            </w:r>
          </w:p>
        </w:tc>
        <w:tc>
          <w:tcPr>
            <w:tcW w:w="1251" w:type="dxa"/>
            <w:noWrap w:val="0"/>
            <w:vAlign w:val="center"/>
          </w:tcPr>
          <w:p w14:paraId="46340BD5">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2239" w:type="dxa"/>
            <w:noWrap w:val="0"/>
            <w:vAlign w:val="center"/>
          </w:tcPr>
          <w:p w14:paraId="732CDB51">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注明已具备或过渡期内具备</w:t>
            </w:r>
          </w:p>
        </w:tc>
        <w:tc>
          <w:tcPr>
            <w:tcW w:w="861" w:type="dxa"/>
            <w:noWrap w:val="0"/>
            <w:vAlign w:val="center"/>
          </w:tcPr>
          <w:p w14:paraId="2D5E6529">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61885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944" w:hRule="atLeast"/>
          <w:jc w:val="center"/>
        </w:trPr>
        <w:tc>
          <w:tcPr>
            <w:tcW w:w="698" w:type="dxa"/>
            <w:noWrap w:val="0"/>
            <w:vAlign w:val="center"/>
          </w:tcPr>
          <w:p w14:paraId="0F2A3161">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一 </w:t>
            </w:r>
          </w:p>
        </w:tc>
        <w:tc>
          <w:tcPr>
            <w:tcW w:w="2878" w:type="dxa"/>
            <w:noWrap w:val="0"/>
            <w:vAlign w:val="center"/>
          </w:tcPr>
          <w:p w14:paraId="2EC64ACF">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定时定点分类员 </w:t>
            </w:r>
          </w:p>
        </w:tc>
        <w:tc>
          <w:tcPr>
            <w:tcW w:w="1271" w:type="dxa"/>
            <w:noWrap w:val="0"/>
            <w:vAlign w:val="center"/>
          </w:tcPr>
          <w:p w14:paraId="32EAC174">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42C5762D">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7E4F9295">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6D883904">
            <w:pPr>
              <w:spacing w:line="240" w:lineRule="auto"/>
              <w:jc w:val="left"/>
              <w:rPr>
                <w:rFonts w:hint="eastAsia" w:ascii="仿宋" w:hAnsi="仿宋" w:eastAsia="仿宋" w:cs="仿宋"/>
                <w:color w:val="auto"/>
                <w:sz w:val="24"/>
                <w:szCs w:val="24"/>
                <w:highlight w:val="none"/>
              </w:rPr>
            </w:pPr>
          </w:p>
        </w:tc>
      </w:tr>
      <w:tr w14:paraId="312B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2304D9ED">
            <w:pPr>
              <w:widowControl/>
              <w:spacing w:line="240" w:lineRule="auto"/>
              <w:jc w:val="center"/>
              <w:rPr>
                <w:rFonts w:hint="eastAsia" w:ascii="仿宋" w:hAnsi="仿宋" w:eastAsia="仿宋" w:cs="仿宋"/>
                <w:color w:val="auto"/>
                <w:sz w:val="24"/>
                <w:szCs w:val="24"/>
                <w:highlight w:val="none"/>
              </w:rPr>
            </w:pPr>
          </w:p>
        </w:tc>
        <w:tc>
          <w:tcPr>
            <w:tcW w:w="2878" w:type="dxa"/>
            <w:noWrap w:val="0"/>
            <w:vAlign w:val="center"/>
          </w:tcPr>
          <w:p w14:paraId="60AF5B5F">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329F314A">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75CF034A">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1452E089">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2CC3408A">
            <w:pPr>
              <w:spacing w:line="240" w:lineRule="auto"/>
              <w:jc w:val="left"/>
              <w:rPr>
                <w:rFonts w:hint="eastAsia" w:ascii="仿宋" w:hAnsi="仿宋" w:eastAsia="仿宋" w:cs="仿宋"/>
                <w:color w:val="auto"/>
                <w:sz w:val="24"/>
                <w:szCs w:val="24"/>
                <w:highlight w:val="none"/>
              </w:rPr>
            </w:pPr>
          </w:p>
        </w:tc>
      </w:tr>
      <w:tr w14:paraId="6088D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4195C574">
            <w:pPr>
              <w:widowControl/>
              <w:spacing w:line="240" w:lineRule="auto"/>
              <w:jc w:val="center"/>
              <w:rPr>
                <w:rFonts w:hint="eastAsia" w:ascii="仿宋" w:hAnsi="仿宋" w:eastAsia="仿宋" w:cs="仿宋"/>
                <w:color w:val="auto"/>
                <w:sz w:val="24"/>
                <w:szCs w:val="24"/>
                <w:highlight w:val="none"/>
              </w:rPr>
            </w:pPr>
          </w:p>
        </w:tc>
        <w:tc>
          <w:tcPr>
            <w:tcW w:w="2878" w:type="dxa"/>
            <w:noWrap w:val="0"/>
            <w:vAlign w:val="center"/>
          </w:tcPr>
          <w:p w14:paraId="40C7FDC3">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0AE2A45A">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6F9F53E9">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005BDC31">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43126865">
            <w:pPr>
              <w:spacing w:line="240" w:lineRule="auto"/>
              <w:jc w:val="left"/>
              <w:rPr>
                <w:rFonts w:hint="eastAsia" w:ascii="仿宋" w:hAnsi="仿宋" w:eastAsia="仿宋" w:cs="仿宋"/>
                <w:color w:val="auto"/>
                <w:sz w:val="24"/>
                <w:szCs w:val="24"/>
                <w:highlight w:val="none"/>
              </w:rPr>
            </w:pPr>
          </w:p>
        </w:tc>
      </w:tr>
      <w:tr w14:paraId="77B36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2AA98148">
            <w:pPr>
              <w:widowControl/>
              <w:spacing w:line="24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w:t>
            </w:r>
          </w:p>
        </w:tc>
        <w:tc>
          <w:tcPr>
            <w:tcW w:w="2878" w:type="dxa"/>
            <w:noWrap w:val="0"/>
            <w:vAlign w:val="center"/>
          </w:tcPr>
          <w:p w14:paraId="228725D2">
            <w:pPr>
              <w:widowControl/>
              <w:spacing w:line="24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巡检员 </w:t>
            </w:r>
          </w:p>
        </w:tc>
        <w:tc>
          <w:tcPr>
            <w:tcW w:w="1271" w:type="dxa"/>
            <w:noWrap w:val="0"/>
            <w:vAlign w:val="center"/>
          </w:tcPr>
          <w:p w14:paraId="77806EBB">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006063B7">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5C6B97C4">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5619862B">
            <w:pPr>
              <w:spacing w:line="240" w:lineRule="auto"/>
              <w:jc w:val="left"/>
              <w:rPr>
                <w:rFonts w:hint="eastAsia" w:ascii="仿宋" w:hAnsi="仿宋" w:eastAsia="仿宋" w:cs="仿宋"/>
                <w:color w:val="auto"/>
                <w:sz w:val="24"/>
                <w:szCs w:val="24"/>
                <w:highlight w:val="none"/>
              </w:rPr>
            </w:pPr>
          </w:p>
        </w:tc>
      </w:tr>
      <w:tr w14:paraId="24A22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7CF1AAEB">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2878" w:type="dxa"/>
            <w:noWrap w:val="0"/>
            <w:vAlign w:val="center"/>
          </w:tcPr>
          <w:p w14:paraId="61EB9357">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00B576E1">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5565A4E7">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69C289B2">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24480F34">
            <w:pPr>
              <w:spacing w:line="240" w:lineRule="auto"/>
              <w:jc w:val="left"/>
              <w:rPr>
                <w:rFonts w:hint="eastAsia" w:ascii="仿宋" w:hAnsi="仿宋" w:eastAsia="仿宋" w:cs="仿宋"/>
                <w:color w:val="auto"/>
                <w:sz w:val="24"/>
                <w:szCs w:val="24"/>
                <w:highlight w:val="none"/>
              </w:rPr>
            </w:pPr>
          </w:p>
        </w:tc>
      </w:tr>
      <w:tr w14:paraId="75959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1A08C97B">
            <w:pPr>
              <w:widowControl/>
              <w:spacing w:line="240" w:lineRule="auto"/>
              <w:jc w:val="center"/>
              <w:rPr>
                <w:rFonts w:hint="eastAsia" w:ascii="仿宋" w:hAnsi="仿宋" w:eastAsia="仿宋" w:cs="仿宋"/>
                <w:color w:val="auto"/>
                <w:kern w:val="0"/>
                <w:sz w:val="24"/>
                <w:szCs w:val="24"/>
                <w:highlight w:val="none"/>
              </w:rPr>
            </w:pPr>
          </w:p>
        </w:tc>
        <w:tc>
          <w:tcPr>
            <w:tcW w:w="2878" w:type="dxa"/>
            <w:noWrap w:val="0"/>
            <w:vAlign w:val="center"/>
          </w:tcPr>
          <w:p w14:paraId="313C3E9C">
            <w:pPr>
              <w:widowControl/>
              <w:spacing w:line="240" w:lineRule="auto"/>
              <w:jc w:val="center"/>
              <w:rPr>
                <w:rFonts w:hint="eastAsia" w:ascii="仿宋" w:hAnsi="仿宋" w:eastAsia="仿宋" w:cs="仿宋"/>
                <w:color w:val="auto"/>
                <w:kern w:val="0"/>
                <w:sz w:val="24"/>
                <w:szCs w:val="24"/>
                <w:highlight w:val="none"/>
              </w:rPr>
            </w:pPr>
          </w:p>
        </w:tc>
        <w:tc>
          <w:tcPr>
            <w:tcW w:w="1271" w:type="dxa"/>
            <w:noWrap w:val="0"/>
            <w:vAlign w:val="center"/>
          </w:tcPr>
          <w:p w14:paraId="2D0B10C7">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3DDB6DDB">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07C5919D">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4686EAF2">
            <w:pPr>
              <w:spacing w:line="240" w:lineRule="auto"/>
              <w:jc w:val="left"/>
              <w:rPr>
                <w:rFonts w:hint="eastAsia" w:ascii="仿宋" w:hAnsi="仿宋" w:eastAsia="仿宋" w:cs="仿宋"/>
                <w:color w:val="auto"/>
                <w:sz w:val="24"/>
                <w:szCs w:val="24"/>
                <w:highlight w:val="none"/>
              </w:rPr>
            </w:pPr>
          </w:p>
        </w:tc>
      </w:tr>
      <w:tr w14:paraId="34D43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5A32A069">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2878" w:type="dxa"/>
            <w:noWrap w:val="0"/>
            <w:vAlign w:val="center"/>
          </w:tcPr>
          <w:p w14:paraId="7F577285">
            <w:pPr>
              <w:widowControl/>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集置点管理员</w:t>
            </w:r>
          </w:p>
        </w:tc>
        <w:tc>
          <w:tcPr>
            <w:tcW w:w="1271" w:type="dxa"/>
            <w:noWrap w:val="0"/>
            <w:vAlign w:val="center"/>
          </w:tcPr>
          <w:p w14:paraId="0910DA8E">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674E6B32">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40A26FE7">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50AD62E5">
            <w:pPr>
              <w:spacing w:line="240" w:lineRule="auto"/>
              <w:jc w:val="left"/>
              <w:rPr>
                <w:rFonts w:hint="eastAsia" w:ascii="仿宋" w:hAnsi="仿宋" w:eastAsia="仿宋" w:cs="仿宋"/>
                <w:color w:val="auto"/>
                <w:sz w:val="24"/>
                <w:szCs w:val="24"/>
                <w:highlight w:val="none"/>
              </w:rPr>
            </w:pPr>
          </w:p>
        </w:tc>
      </w:tr>
      <w:tr w14:paraId="721AB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2BD45CAD">
            <w:pPr>
              <w:widowControl/>
              <w:spacing w:line="240" w:lineRule="auto"/>
              <w:jc w:val="center"/>
              <w:rPr>
                <w:rFonts w:hint="eastAsia" w:ascii="仿宋" w:hAnsi="仿宋" w:eastAsia="仿宋" w:cs="仿宋"/>
                <w:color w:val="auto"/>
                <w:kern w:val="0"/>
                <w:sz w:val="24"/>
                <w:szCs w:val="24"/>
                <w:highlight w:val="none"/>
              </w:rPr>
            </w:pPr>
          </w:p>
        </w:tc>
        <w:tc>
          <w:tcPr>
            <w:tcW w:w="2878" w:type="dxa"/>
            <w:noWrap w:val="0"/>
            <w:vAlign w:val="center"/>
          </w:tcPr>
          <w:p w14:paraId="489376CD">
            <w:pPr>
              <w:widowControl/>
              <w:spacing w:line="240" w:lineRule="auto"/>
              <w:jc w:val="center"/>
              <w:rPr>
                <w:rFonts w:hint="eastAsia" w:ascii="仿宋" w:hAnsi="仿宋" w:eastAsia="仿宋" w:cs="仿宋"/>
                <w:color w:val="auto"/>
                <w:kern w:val="0"/>
                <w:sz w:val="24"/>
                <w:szCs w:val="24"/>
                <w:highlight w:val="none"/>
              </w:rPr>
            </w:pPr>
          </w:p>
        </w:tc>
        <w:tc>
          <w:tcPr>
            <w:tcW w:w="1271" w:type="dxa"/>
            <w:noWrap w:val="0"/>
            <w:vAlign w:val="center"/>
          </w:tcPr>
          <w:p w14:paraId="03DD5F3B">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5F0B4D6D">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0B735CA8">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46DB08AF">
            <w:pPr>
              <w:spacing w:line="240" w:lineRule="auto"/>
              <w:jc w:val="left"/>
              <w:rPr>
                <w:rFonts w:hint="eastAsia" w:ascii="仿宋" w:hAnsi="仿宋" w:eastAsia="仿宋" w:cs="仿宋"/>
                <w:color w:val="auto"/>
                <w:sz w:val="24"/>
                <w:szCs w:val="24"/>
                <w:highlight w:val="none"/>
              </w:rPr>
            </w:pPr>
          </w:p>
        </w:tc>
      </w:tr>
      <w:tr w14:paraId="54656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42" w:hRule="atLeast"/>
          <w:jc w:val="center"/>
        </w:trPr>
        <w:tc>
          <w:tcPr>
            <w:tcW w:w="698" w:type="dxa"/>
            <w:noWrap w:val="0"/>
            <w:vAlign w:val="center"/>
          </w:tcPr>
          <w:p w14:paraId="3E3E221C">
            <w:pPr>
              <w:widowControl/>
              <w:spacing w:line="240" w:lineRule="auto"/>
              <w:jc w:val="center"/>
              <w:rPr>
                <w:rFonts w:hint="eastAsia" w:ascii="仿宋" w:hAnsi="仿宋" w:eastAsia="仿宋" w:cs="仿宋"/>
                <w:color w:val="auto"/>
                <w:sz w:val="24"/>
                <w:szCs w:val="24"/>
                <w:highlight w:val="none"/>
              </w:rPr>
            </w:pPr>
          </w:p>
        </w:tc>
        <w:tc>
          <w:tcPr>
            <w:tcW w:w="2878" w:type="dxa"/>
            <w:noWrap w:val="0"/>
            <w:vAlign w:val="center"/>
          </w:tcPr>
          <w:p w14:paraId="48C2535F">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64269C7D">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1DC17771">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32D34F35">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545E4EF5">
            <w:pPr>
              <w:spacing w:line="240" w:lineRule="auto"/>
              <w:jc w:val="left"/>
              <w:rPr>
                <w:rFonts w:hint="eastAsia" w:ascii="仿宋" w:hAnsi="仿宋" w:eastAsia="仿宋" w:cs="仿宋"/>
                <w:color w:val="auto"/>
                <w:sz w:val="24"/>
                <w:szCs w:val="24"/>
                <w:highlight w:val="none"/>
              </w:rPr>
            </w:pPr>
          </w:p>
        </w:tc>
      </w:tr>
      <w:tr w14:paraId="68215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42" w:hRule="atLeast"/>
          <w:jc w:val="center"/>
        </w:trPr>
        <w:tc>
          <w:tcPr>
            <w:tcW w:w="9198" w:type="dxa"/>
            <w:gridSpan w:val="6"/>
            <w:noWrap w:val="0"/>
            <w:vAlign w:val="center"/>
          </w:tcPr>
          <w:p w14:paraId="3EC7D979">
            <w:pPr>
              <w:spacing w:line="240" w:lineRule="auto"/>
              <w:jc w:val="left"/>
              <w:rPr>
                <w:rFonts w:hint="eastAsia" w:ascii="仿宋" w:hAnsi="仿宋" w:eastAsia="仿宋" w:cs="仿宋"/>
                <w:b w:val="0"/>
                <w:bCs w:val="0"/>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过渡期内具备的</w:t>
            </w:r>
            <w:r>
              <w:rPr>
                <w:rFonts w:hint="eastAsia" w:ascii="仿宋" w:hAnsi="仿宋" w:eastAsia="仿宋" w:cs="仿宋"/>
                <w:color w:val="auto"/>
                <w:sz w:val="24"/>
                <w:szCs w:val="24"/>
                <w:highlight w:val="none"/>
                <w:lang w:val="en-US" w:eastAsia="zh-CN"/>
              </w:rPr>
              <w:t>人员</w:t>
            </w:r>
            <w:r>
              <w:rPr>
                <w:rFonts w:hint="eastAsia" w:ascii="仿宋" w:hAnsi="仿宋" w:eastAsia="仿宋" w:cs="仿宋"/>
                <w:b w:val="0"/>
                <w:bCs w:val="0"/>
                <w:color w:val="auto"/>
                <w:sz w:val="24"/>
                <w:szCs w:val="24"/>
                <w:highlight w:val="none"/>
              </w:rPr>
              <w:t>表中人员姓名以阿拉伯数字代替。</w:t>
            </w:r>
          </w:p>
          <w:p w14:paraId="732C5675">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我公司承诺表中注明过渡期内具备的</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全部在过渡期内配备到位</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若</w:t>
            </w:r>
            <w:r>
              <w:rPr>
                <w:rFonts w:hint="eastAsia" w:ascii="仿宋" w:hAnsi="仿宋" w:eastAsia="仿宋" w:cs="仿宋"/>
                <w:color w:val="auto"/>
                <w:sz w:val="24"/>
                <w:szCs w:val="24"/>
                <w:highlight w:val="none"/>
                <w:lang w:val="en-US" w:eastAsia="zh-CN"/>
              </w:rPr>
              <w:t>我单位</w:t>
            </w:r>
            <w:r>
              <w:rPr>
                <w:rFonts w:hint="eastAsia" w:ascii="仿宋" w:hAnsi="仿宋" w:eastAsia="仿宋" w:cs="仿宋"/>
                <w:color w:val="auto"/>
                <w:sz w:val="24"/>
                <w:szCs w:val="24"/>
                <w:highlight w:val="none"/>
              </w:rPr>
              <w:t>未按承诺的过渡时间内完成</w:t>
            </w:r>
            <w:r>
              <w:rPr>
                <w:rFonts w:hint="eastAsia" w:ascii="仿宋" w:hAnsi="仿宋" w:eastAsia="仿宋" w:cs="仿宋"/>
                <w:color w:val="auto"/>
                <w:sz w:val="24"/>
                <w:szCs w:val="24"/>
                <w:highlight w:val="none"/>
                <w:lang w:val="en-US" w:eastAsia="zh-CN"/>
              </w:rPr>
              <w:t>配备</w:t>
            </w:r>
            <w:r>
              <w:rPr>
                <w:rFonts w:hint="eastAsia" w:ascii="仿宋" w:hAnsi="仿宋" w:eastAsia="仿宋" w:cs="仿宋"/>
                <w:color w:val="auto"/>
                <w:sz w:val="24"/>
                <w:szCs w:val="24"/>
                <w:highlight w:val="none"/>
              </w:rPr>
              <w:t>，则视为</w:t>
            </w:r>
            <w:r>
              <w:rPr>
                <w:rFonts w:hint="eastAsia" w:ascii="仿宋" w:hAnsi="仿宋" w:eastAsia="仿宋" w:cs="仿宋"/>
                <w:color w:val="auto"/>
                <w:sz w:val="24"/>
                <w:szCs w:val="24"/>
                <w:highlight w:val="none"/>
                <w:lang w:val="en-US" w:eastAsia="zh-CN"/>
              </w:rPr>
              <w:t>主动放弃中标</w:t>
            </w:r>
            <w:r>
              <w:rPr>
                <w:rFonts w:hint="eastAsia" w:ascii="仿宋" w:hAnsi="仿宋" w:eastAsia="仿宋" w:cs="仿宋"/>
                <w:color w:val="auto"/>
                <w:sz w:val="24"/>
                <w:szCs w:val="24"/>
                <w:highlight w:val="none"/>
              </w:rPr>
              <w:t>。</w:t>
            </w:r>
          </w:p>
        </w:tc>
      </w:tr>
    </w:tbl>
    <w:p w14:paraId="7AB28098">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备注：供应商可按上述的格式自行编制，</w:t>
      </w:r>
      <w:r>
        <w:rPr>
          <w:rFonts w:hint="eastAsia" w:ascii="仿宋" w:hAnsi="仿宋" w:eastAsia="仿宋" w:cs="仿宋"/>
          <w:b w:val="0"/>
          <w:bCs w:val="0"/>
          <w:color w:val="auto"/>
          <w:sz w:val="24"/>
          <w:szCs w:val="24"/>
          <w:highlight w:val="none"/>
          <w:lang w:val="en-US" w:eastAsia="zh-CN"/>
        </w:rPr>
        <w:t>并提供相应材料。</w:t>
      </w:r>
    </w:p>
    <w:p w14:paraId="4CBE4515">
      <w:pPr>
        <w:spacing w:line="360" w:lineRule="auto"/>
        <w:jc w:val="right"/>
        <w:rPr>
          <w:rFonts w:hint="eastAsia" w:ascii="仿宋" w:hAnsi="仿宋" w:eastAsia="仿宋" w:cs="仿宋"/>
          <w:color w:val="auto"/>
          <w:highlight w:val="none"/>
          <w:lang w:val="zh-CN"/>
        </w:rPr>
      </w:pPr>
    </w:p>
    <w:p w14:paraId="7B0E5775">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1A87E661">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6D2696C1">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14:paraId="0F68C36D">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薪资发放承诺书</w:t>
      </w:r>
    </w:p>
    <w:p w14:paraId="52C9C25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highlight w:val="none"/>
        </w:rPr>
        <w:t>（采购人）、（采购代理机构）：</w:t>
      </w:r>
    </w:p>
    <w:p w14:paraId="2671251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我单位</w:t>
      </w:r>
      <w:r>
        <w:rPr>
          <w:rFonts w:hint="eastAsia" w:ascii="仿宋" w:hAnsi="仿宋" w:eastAsia="仿宋" w:cs="仿宋"/>
          <w:color w:val="auto"/>
          <w:sz w:val="24"/>
          <w:szCs w:val="24"/>
          <w:highlight w:val="none"/>
        </w:rPr>
        <w:t>承诺服务人员实发工资按招标文件要求执行，如中标，将按投标承诺签署合同，并在整个合同履行期间严格执行：</w:t>
      </w:r>
    </w:p>
    <w:p w14:paraId="213B93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我单位承诺按实发工资金额不少于最低金额足额发放到每一位服务人员，并于每月</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日发放□下月□当月□上月工资，工资发放形式：发员工银行卡。</w:t>
      </w:r>
    </w:p>
    <w:p w14:paraId="2E0A648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倘若发现我方未按投标承诺执行的，我方自愿承诺：贵单位可据此按我方合同违约处理，我方应向贵单位支付年度合同总价的5%作为违约赔偿金，同时贵单位有权据此认定我方年度考核不合格或单方直接终止合同。</w:t>
      </w:r>
    </w:p>
    <w:p w14:paraId="66454500">
      <w:pPr>
        <w:spacing w:line="360" w:lineRule="auto"/>
        <w:ind w:firstLine="480" w:firstLineChars="200"/>
        <w:rPr>
          <w:rFonts w:hint="eastAsia" w:ascii="仿宋" w:hAnsi="仿宋" w:eastAsia="仿宋" w:cs="仿宋"/>
          <w:color w:val="auto"/>
          <w:sz w:val="24"/>
          <w:szCs w:val="24"/>
          <w:highlight w:val="none"/>
        </w:rPr>
      </w:pPr>
    </w:p>
    <w:p w14:paraId="5EBFE01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特此承诺！</w:t>
      </w:r>
    </w:p>
    <w:p w14:paraId="63D7BD19">
      <w:pPr>
        <w:spacing w:line="360" w:lineRule="auto"/>
        <w:jc w:val="right"/>
        <w:rPr>
          <w:rFonts w:hint="eastAsia" w:ascii="仿宋" w:hAnsi="仿宋" w:eastAsia="仿宋" w:cs="仿宋"/>
          <w:color w:val="auto"/>
          <w:highlight w:val="none"/>
          <w:lang w:val="zh-CN"/>
        </w:rPr>
      </w:pPr>
    </w:p>
    <w:p w14:paraId="71560DC2">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47CE8D01">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03A238C4">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14:paraId="53B51061">
      <w:pPr>
        <w:spacing w:line="360" w:lineRule="auto"/>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有关“员工薪酬及权益保障方面的投诉或群体性事件”被劳动部门处罚且被环卫行政主管部门通报批评的声明书</w:t>
      </w:r>
    </w:p>
    <w:p w14:paraId="6E61F101">
      <w:pPr>
        <w:pStyle w:val="32"/>
        <w:spacing w:line="360" w:lineRule="auto"/>
        <w:ind w:firstLine="480" w:firstLineChars="200"/>
        <w:rPr>
          <w:rFonts w:hint="eastAsia" w:ascii="仿宋" w:hAnsi="仿宋" w:eastAsia="仿宋" w:cs="仿宋"/>
          <w:color w:val="auto"/>
          <w:sz w:val="24"/>
          <w:szCs w:val="24"/>
          <w:highlight w:val="none"/>
        </w:rPr>
      </w:pPr>
    </w:p>
    <w:p w14:paraId="77FA0BF3">
      <w:pPr>
        <w:pStyle w:val="32"/>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p>
    <w:p w14:paraId="7DEDDE7D">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rPr>
        <w:t>的采购活动，现声明如下：</w:t>
      </w:r>
    </w:p>
    <w:p w14:paraId="2C64380E">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（1）我公司</w:t>
      </w:r>
      <w:r>
        <w:rPr>
          <w:rFonts w:hint="eastAsia" w:ascii="仿宋" w:hAnsi="仿宋" w:eastAsia="仿宋" w:cs="仿宋"/>
          <w:color w:val="auto"/>
          <w:sz w:val="24"/>
          <w:szCs w:val="24"/>
          <w:highlight w:val="none"/>
          <w:lang w:val="en-US" w:eastAsia="zh-CN"/>
        </w:rPr>
        <w:t>2020</w:t>
      </w:r>
      <w:r>
        <w:rPr>
          <w:rFonts w:hint="eastAsia" w:ascii="仿宋" w:hAnsi="仿宋" w:eastAsia="仿宋" w:cs="仿宋"/>
          <w:color w:val="auto"/>
          <w:sz w:val="24"/>
          <w:szCs w:val="24"/>
          <w:highlight w:val="none"/>
        </w:rPr>
        <w:t>年1月1日至今（以公告发布之日或通报文件生效之日为准），□有□无发生过有关“员工薪酬及权益保障方面的投诉或群体性事件”被劳动部门处罚且被环卫行政主管部门通报批评；如有，共</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次，具体为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2AFD83DF">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（2）其它：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414C8B4">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本单位对上述声明的真实性负责。如有虚假，将依法承担相应责任。</w:t>
      </w:r>
    </w:p>
    <w:p w14:paraId="02765BC7">
      <w:pPr>
        <w:pStyle w:val="32"/>
        <w:spacing w:line="360" w:lineRule="auto"/>
        <w:ind w:firstLine="480" w:firstLineChars="200"/>
        <w:rPr>
          <w:rFonts w:hint="eastAsia" w:ascii="仿宋" w:hAnsi="仿宋" w:eastAsia="仿宋" w:cs="仿宋"/>
          <w:color w:val="auto"/>
          <w:sz w:val="24"/>
          <w:szCs w:val="24"/>
          <w:highlight w:val="none"/>
        </w:rPr>
      </w:pPr>
    </w:p>
    <w:p w14:paraId="55C064A6">
      <w:pPr>
        <w:spacing w:line="360" w:lineRule="auto"/>
        <w:rPr>
          <w:rFonts w:hint="eastAsia" w:ascii="仿宋" w:hAnsi="仿宋" w:eastAsia="仿宋" w:cs="仿宋"/>
          <w:color w:val="auto"/>
          <w:sz w:val="24"/>
          <w:szCs w:val="24"/>
          <w:highlight w:val="none"/>
        </w:rPr>
      </w:pPr>
    </w:p>
    <w:p w14:paraId="1A0550B2">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426013DB">
      <w:pPr>
        <w:spacing w:line="360" w:lineRule="auto"/>
        <w:jc w:val="right"/>
        <w:rPr>
          <w:rFonts w:hint="eastAsia" w:ascii="仿宋" w:hAnsi="仿宋" w:eastAsia="仿宋" w:cs="仿宋"/>
          <w:b/>
          <w:color w:val="auto"/>
          <w:sz w:val="24"/>
          <w:highlight w:val="none"/>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7160FE61">
      <w:pPr>
        <w:spacing w:line="360" w:lineRule="auto"/>
        <w:jc w:val="right"/>
        <w:rPr>
          <w:rFonts w:hint="eastAsia" w:ascii="仿宋" w:hAnsi="仿宋" w:eastAsia="仿宋" w:cs="仿宋"/>
          <w:color w:val="auto"/>
          <w:highlight w:val="none"/>
          <w:lang w:val="zh-CN"/>
        </w:rPr>
      </w:pPr>
    </w:p>
    <w:p w14:paraId="7A5F56D6">
      <w:pPr>
        <w:spacing w:line="360" w:lineRule="auto"/>
        <w:jc w:val="right"/>
        <w:rPr>
          <w:rFonts w:hint="eastAsia" w:ascii="仿宋" w:hAnsi="仿宋" w:eastAsia="仿宋" w:cs="仿宋"/>
          <w:color w:val="auto"/>
          <w:highlight w:val="none"/>
          <w:lang w:val="zh-CN"/>
        </w:rPr>
      </w:pPr>
    </w:p>
    <w:p w14:paraId="1EDF6EA5">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756DA62">
      <w:pPr>
        <w:rPr>
          <w:rFonts w:hint="eastAsia" w:ascii="仿宋" w:hAnsi="仿宋" w:eastAsia="仿宋" w:cs="仿宋"/>
          <w:b/>
          <w:color w:val="auto"/>
          <w:kern w:val="0"/>
          <w:sz w:val="32"/>
          <w:szCs w:val="32"/>
          <w:highlight w:val="none"/>
        </w:rPr>
      </w:pPr>
    </w:p>
    <w:p w14:paraId="5DC6B4FB">
      <w:pPr>
        <w:rPr>
          <w:rFonts w:hint="eastAsia" w:ascii="仿宋" w:hAnsi="仿宋" w:eastAsia="仿宋" w:cs="仿宋"/>
          <w:b/>
          <w:color w:val="auto"/>
          <w:kern w:val="0"/>
          <w:sz w:val="32"/>
          <w:szCs w:val="32"/>
          <w:highlight w:val="none"/>
        </w:rPr>
      </w:pPr>
    </w:p>
    <w:p w14:paraId="45FEA3AE">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66CF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136D18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2A4434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7E7ED40">
            <w:pPr>
              <w:spacing w:line="360" w:lineRule="auto"/>
              <w:jc w:val="center"/>
              <w:rPr>
                <w:rFonts w:hint="eastAsia" w:ascii="仿宋" w:hAnsi="仿宋" w:eastAsia="仿宋" w:cs="仿宋"/>
                <w:b/>
                <w:color w:val="auto"/>
                <w:sz w:val="24"/>
                <w:highlight w:val="none"/>
              </w:rPr>
            </w:pPr>
          </w:p>
          <w:p w14:paraId="43A3AFF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870E0C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5BFC26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4E5955E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3F43476">
            <w:pPr>
              <w:spacing w:line="360" w:lineRule="auto"/>
              <w:jc w:val="center"/>
              <w:rPr>
                <w:rFonts w:hint="eastAsia" w:ascii="仿宋" w:hAnsi="仿宋" w:eastAsia="仿宋" w:cs="仿宋"/>
                <w:b/>
                <w:color w:val="auto"/>
                <w:sz w:val="24"/>
                <w:highlight w:val="none"/>
              </w:rPr>
            </w:pPr>
          </w:p>
          <w:p w14:paraId="6E12F65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1EF4E858">
            <w:pPr>
              <w:spacing w:line="360" w:lineRule="auto"/>
              <w:jc w:val="center"/>
              <w:rPr>
                <w:rFonts w:hint="eastAsia" w:ascii="仿宋" w:hAnsi="仿宋" w:eastAsia="仿宋" w:cs="仿宋"/>
                <w:b/>
                <w:color w:val="auto"/>
                <w:sz w:val="24"/>
                <w:highlight w:val="none"/>
              </w:rPr>
            </w:pPr>
          </w:p>
        </w:tc>
      </w:tr>
      <w:tr w14:paraId="5A4B1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9E5A0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38CADFC2">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89E5866">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BEFC039">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D848B86">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17789CC">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C567BFB">
            <w:pPr>
              <w:spacing w:line="360" w:lineRule="auto"/>
              <w:jc w:val="center"/>
              <w:rPr>
                <w:rFonts w:hint="eastAsia" w:ascii="仿宋" w:hAnsi="仿宋" w:eastAsia="仿宋" w:cs="仿宋"/>
                <w:color w:val="auto"/>
                <w:sz w:val="24"/>
                <w:highlight w:val="none"/>
              </w:rPr>
            </w:pPr>
          </w:p>
        </w:tc>
      </w:tr>
      <w:tr w14:paraId="1E0BF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324FD6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3353AE9">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08C4035">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18DC657">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99C6CA9">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A406414">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DD20D60">
            <w:pPr>
              <w:spacing w:line="360" w:lineRule="auto"/>
              <w:jc w:val="center"/>
              <w:rPr>
                <w:rFonts w:hint="eastAsia" w:ascii="仿宋" w:hAnsi="仿宋" w:eastAsia="仿宋" w:cs="仿宋"/>
                <w:color w:val="auto"/>
                <w:sz w:val="24"/>
                <w:highlight w:val="none"/>
              </w:rPr>
            </w:pPr>
          </w:p>
        </w:tc>
      </w:tr>
      <w:tr w14:paraId="1439E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4AE4A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75D3DC7">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ABEDC40">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6F72446">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4AF90C6">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9B9AAB7">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7867D08D">
            <w:pPr>
              <w:spacing w:line="360" w:lineRule="auto"/>
              <w:jc w:val="center"/>
              <w:rPr>
                <w:rFonts w:hint="eastAsia" w:ascii="仿宋" w:hAnsi="仿宋" w:eastAsia="仿宋" w:cs="仿宋"/>
                <w:color w:val="auto"/>
                <w:sz w:val="24"/>
                <w:highlight w:val="none"/>
              </w:rPr>
            </w:pPr>
          </w:p>
        </w:tc>
      </w:tr>
    </w:tbl>
    <w:p w14:paraId="2244182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3CDC161">
      <w:pPr>
        <w:jc w:val="center"/>
        <w:rPr>
          <w:rFonts w:hint="eastAsia" w:ascii="仿宋" w:hAnsi="仿宋" w:eastAsia="仿宋" w:cs="仿宋"/>
          <w:b/>
          <w:color w:val="auto"/>
          <w:kern w:val="0"/>
          <w:sz w:val="32"/>
          <w:szCs w:val="32"/>
          <w:highlight w:val="none"/>
        </w:rPr>
      </w:pPr>
    </w:p>
    <w:p w14:paraId="2EFE1BBF">
      <w:pPr>
        <w:jc w:val="center"/>
        <w:rPr>
          <w:rFonts w:hint="eastAsia" w:ascii="仿宋" w:hAnsi="仿宋" w:eastAsia="仿宋" w:cs="仿宋"/>
          <w:b/>
          <w:color w:val="auto"/>
          <w:kern w:val="0"/>
          <w:sz w:val="32"/>
          <w:szCs w:val="32"/>
          <w:highlight w:val="none"/>
        </w:rPr>
      </w:pPr>
    </w:p>
    <w:p w14:paraId="0A440609">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86CC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CD1AD4C">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6724A508">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4712686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1CAE538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29905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23F17CA">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6BB7D73A">
            <w:pPr>
              <w:jc w:val="center"/>
              <w:rPr>
                <w:rFonts w:hint="eastAsia" w:ascii="仿宋" w:hAnsi="仿宋" w:eastAsia="仿宋" w:cs="仿宋"/>
                <w:b/>
                <w:color w:val="auto"/>
                <w:kern w:val="0"/>
                <w:sz w:val="32"/>
                <w:szCs w:val="32"/>
                <w:highlight w:val="none"/>
              </w:rPr>
            </w:pPr>
          </w:p>
        </w:tc>
        <w:tc>
          <w:tcPr>
            <w:tcW w:w="3546" w:type="dxa"/>
          </w:tcPr>
          <w:p w14:paraId="7D65A526">
            <w:pPr>
              <w:jc w:val="center"/>
              <w:rPr>
                <w:rFonts w:hint="eastAsia" w:ascii="仿宋" w:hAnsi="仿宋" w:eastAsia="仿宋" w:cs="仿宋"/>
                <w:b/>
                <w:color w:val="auto"/>
                <w:kern w:val="0"/>
                <w:sz w:val="32"/>
                <w:szCs w:val="32"/>
                <w:highlight w:val="none"/>
              </w:rPr>
            </w:pPr>
          </w:p>
        </w:tc>
        <w:tc>
          <w:tcPr>
            <w:tcW w:w="1276" w:type="dxa"/>
          </w:tcPr>
          <w:p w14:paraId="71AB8327">
            <w:pPr>
              <w:jc w:val="center"/>
              <w:rPr>
                <w:rFonts w:hint="eastAsia" w:ascii="仿宋" w:hAnsi="仿宋" w:eastAsia="仿宋" w:cs="仿宋"/>
                <w:b/>
                <w:color w:val="auto"/>
                <w:kern w:val="0"/>
                <w:sz w:val="32"/>
                <w:szCs w:val="32"/>
                <w:highlight w:val="none"/>
              </w:rPr>
            </w:pPr>
          </w:p>
        </w:tc>
      </w:tr>
      <w:tr w14:paraId="57E89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BFAFBA2">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646AD08D">
            <w:pPr>
              <w:jc w:val="center"/>
              <w:rPr>
                <w:rFonts w:hint="eastAsia" w:ascii="仿宋" w:hAnsi="仿宋" w:eastAsia="仿宋" w:cs="仿宋"/>
                <w:b/>
                <w:color w:val="auto"/>
                <w:kern w:val="0"/>
                <w:sz w:val="32"/>
                <w:szCs w:val="32"/>
                <w:highlight w:val="none"/>
              </w:rPr>
            </w:pPr>
          </w:p>
        </w:tc>
        <w:tc>
          <w:tcPr>
            <w:tcW w:w="3546" w:type="dxa"/>
          </w:tcPr>
          <w:p w14:paraId="72F7FF11">
            <w:pPr>
              <w:jc w:val="center"/>
              <w:rPr>
                <w:rFonts w:hint="eastAsia" w:ascii="仿宋" w:hAnsi="仿宋" w:eastAsia="仿宋" w:cs="仿宋"/>
                <w:b/>
                <w:color w:val="auto"/>
                <w:kern w:val="0"/>
                <w:sz w:val="32"/>
                <w:szCs w:val="32"/>
                <w:highlight w:val="none"/>
              </w:rPr>
            </w:pPr>
          </w:p>
        </w:tc>
        <w:tc>
          <w:tcPr>
            <w:tcW w:w="1276" w:type="dxa"/>
          </w:tcPr>
          <w:p w14:paraId="7CA1D32E">
            <w:pPr>
              <w:jc w:val="center"/>
              <w:rPr>
                <w:rFonts w:hint="eastAsia" w:ascii="仿宋" w:hAnsi="仿宋" w:eastAsia="仿宋" w:cs="仿宋"/>
                <w:b/>
                <w:color w:val="auto"/>
                <w:kern w:val="0"/>
                <w:sz w:val="32"/>
                <w:szCs w:val="32"/>
                <w:highlight w:val="none"/>
              </w:rPr>
            </w:pPr>
          </w:p>
        </w:tc>
      </w:tr>
      <w:tr w14:paraId="3EE21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06D7F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28FFB235">
            <w:pPr>
              <w:jc w:val="center"/>
              <w:rPr>
                <w:rFonts w:hint="eastAsia" w:ascii="仿宋" w:hAnsi="仿宋" w:eastAsia="仿宋" w:cs="仿宋"/>
                <w:b/>
                <w:color w:val="auto"/>
                <w:kern w:val="0"/>
                <w:sz w:val="32"/>
                <w:szCs w:val="32"/>
                <w:highlight w:val="none"/>
              </w:rPr>
            </w:pPr>
          </w:p>
        </w:tc>
        <w:tc>
          <w:tcPr>
            <w:tcW w:w="3546" w:type="dxa"/>
          </w:tcPr>
          <w:p w14:paraId="33A52622">
            <w:pPr>
              <w:jc w:val="center"/>
              <w:rPr>
                <w:rFonts w:hint="eastAsia" w:ascii="仿宋" w:hAnsi="仿宋" w:eastAsia="仿宋" w:cs="仿宋"/>
                <w:b/>
                <w:color w:val="auto"/>
                <w:kern w:val="0"/>
                <w:sz w:val="32"/>
                <w:szCs w:val="32"/>
                <w:highlight w:val="none"/>
              </w:rPr>
            </w:pPr>
          </w:p>
        </w:tc>
        <w:tc>
          <w:tcPr>
            <w:tcW w:w="1276" w:type="dxa"/>
          </w:tcPr>
          <w:p w14:paraId="5CE02F3E">
            <w:pPr>
              <w:jc w:val="center"/>
              <w:rPr>
                <w:rFonts w:hint="eastAsia" w:ascii="仿宋" w:hAnsi="仿宋" w:eastAsia="仿宋" w:cs="仿宋"/>
                <w:b/>
                <w:color w:val="auto"/>
                <w:kern w:val="0"/>
                <w:sz w:val="32"/>
                <w:szCs w:val="32"/>
                <w:highlight w:val="none"/>
              </w:rPr>
            </w:pPr>
          </w:p>
        </w:tc>
      </w:tr>
    </w:tbl>
    <w:p w14:paraId="723649A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D8BA532">
      <w:pPr>
        <w:jc w:val="center"/>
        <w:rPr>
          <w:rFonts w:hint="eastAsia" w:ascii="仿宋" w:hAnsi="仿宋" w:eastAsia="仿宋" w:cs="仿宋"/>
          <w:b/>
          <w:color w:val="auto"/>
          <w:kern w:val="0"/>
          <w:sz w:val="32"/>
          <w:szCs w:val="32"/>
          <w:highlight w:val="none"/>
        </w:rPr>
      </w:pPr>
    </w:p>
    <w:p w14:paraId="1A9DF15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D632AA0">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76C8950D">
      <w:pPr>
        <w:widowControl/>
        <w:adjustRightInd/>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78DAED3C">
      <w:pPr>
        <w:snapToGrid w:val="0"/>
        <w:spacing w:line="360" w:lineRule="auto"/>
        <w:rPr>
          <w:rFonts w:hint="eastAsia" w:ascii="仿宋" w:hAnsi="仿宋" w:eastAsia="仿宋" w:cs="仿宋"/>
          <w:color w:val="auto"/>
          <w:sz w:val="24"/>
          <w:highlight w:val="none"/>
        </w:rPr>
      </w:pPr>
    </w:p>
    <w:p w14:paraId="66A1B57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75CC69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6E35AE3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3047D2EE">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5901CCC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3E90615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44CC1ACA">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DA9FC93">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538064F8">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2B869E06">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63E39D61">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56EEFFCA">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76E3EDC0">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BBA70D7">
      <w:pPr>
        <w:spacing w:line="360" w:lineRule="auto"/>
        <w:jc w:val="center"/>
        <w:rPr>
          <w:rFonts w:hint="eastAsia" w:ascii="仿宋" w:hAnsi="仿宋" w:eastAsia="仿宋" w:cs="仿宋"/>
          <w:b/>
          <w:bCs/>
          <w:color w:val="auto"/>
          <w:sz w:val="24"/>
          <w:highlight w:val="none"/>
        </w:rPr>
      </w:pPr>
    </w:p>
    <w:p w14:paraId="58ED046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6EADCB9">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5258340D">
      <w:pPr>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541AFC01">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7C489B2">
      <w:pPr>
        <w:spacing w:line="360" w:lineRule="auto"/>
        <w:jc w:val="center"/>
        <w:outlineLvl w:val="0"/>
        <w:rPr>
          <w:rFonts w:hint="eastAsia" w:ascii="仿宋" w:hAnsi="仿宋" w:eastAsia="仿宋" w:cs="仿宋"/>
          <w:b/>
          <w:color w:val="auto"/>
          <w:kern w:val="0"/>
          <w:sz w:val="36"/>
          <w:szCs w:val="36"/>
          <w:highlight w:val="none"/>
        </w:rPr>
      </w:pPr>
    </w:p>
    <w:p w14:paraId="2A418ED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724ED20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7BD8F603">
      <w:pPr>
        <w:pStyle w:val="2"/>
        <w:ind w:left="0" w:leftChars="0" w:firstLine="0" w:firstLineChars="0"/>
        <w:rPr>
          <w:rFonts w:hint="eastAsia" w:ascii="仿宋" w:hAnsi="仿宋" w:eastAsia="仿宋" w:cs="仿宋"/>
          <w:b/>
          <w:bCs/>
          <w:color w:val="auto"/>
          <w:sz w:val="52"/>
          <w:szCs w:val="52"/>
          <w:highlight w:val="none"/>
        </w:rPr>
      </w:pPr>
    </w:p>
    <w:p w14:paraId="180899C4">
      <w:pPr>
        <w:pStyle w:val="2"/>
        <w:ind w:left="0" w:leftChars="0" w:firstLine="0" w:firstLineChars="0"/>
        <w:rPr>
          <w:rFonts w:hint="eastAsia" w:ascii="仿宋" w:hAnsi="仿宋" w:eastAsia="仿宋" w:cs="仿宋"/>
          <w:color w:val="auto"/>
          <w:kern w:val="2"/>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r>
        <w:rPr>
          <w:rFonts w:hint="eastAsia" w:ascii="仿宋" w:hAnsi="仿宋" w:eastAsia="仿宋" w:cs="仿宋"/>
          <w:b/>
          <w:bCs/>
          <w:color w:val="auto"/>
          <w:sz w:val="52"/>
          <w:szCs w:val="52"/>
          <w:highlight w:val="none"/>
        </w:rPr>
        <w:t>注：</w:t>
      </w:r>
      <w:r>
        <w:rPr>
          <w:rFonts w:hint="eastAsia" w:ascii="仿宋" w:hAnsi="仿宋" w:eastAsia="仿宋" w:cs="仿宋"/>
          <w:b/>
          <w:bCs/>
          <w:color w:val="auto"/>
          <w:sz w:val="52"/>
          <w:szCs w:val="52"/>
          <w:highlight w:val="none"/>
          <w:lang w:val="en-US" w:eastAsia="zh-CN"/>
        </w:rPr>
        <w:t>若多个标项响应投标时，</w:t>
      </w:r>
      <w:r>
        <w:rPr>
          <w:rFonts w:hint="eastAsia" w:ascii="仿宋" w:hAnsi="仿宋" w:eastAsia="仿宋" w:cs="仿宋"/>
          <w:b/>
          <w:bCs/>
          <w:color w:val="auto"/>
          <w:sz w:val="52"/>
          <w:szCs w:val="52"/>
          <w:highlight w:val="none"/>
        </w:rPr>
        <w:t>各标项报价文件</w:t>
      </w:r>
      <w:r>
        <w:rPr>
          <w:rFonts w:hint="eastAsia" w:ascii="仿宋" w:hAnsi="仿宋" w:eastAsia="仿宋" w:cs="仿宋"/>
          <w:b/>
          <w:bCs/>
          <w:color w:val="auto"/>
          <w:sz w:val="52"/>
          <w:szCs w:val="52"/>
          <w:highlight w:val="none"/>
          <w:lang w:val="en-US" w:eastAsia="zh-CN"/>
        </w:rPr>
        <w:t>须</w:t>
      </w:r>
      <w:r>
        <w:rPr>
          <w:rFonts w:hint="eastAsia" w:ascii="仿宋" w:hAnsi="仿宋" w:eastAsia="仿宋" w:cs="仿宋"/>
          <w:b/>
          <w:bCs/>
          <w:color w:val="auto"/>
          <w:sz w:val="52"/>
          <w:szCs w:val="52"/>
          <w:highlight w:val="none"/>
        </w:rPr>
        <w:t>单独制作，单独上传。</w:t>
      </w:r>
      <w:r>
        <w:rPr>
          <w:rFonts w:hint="eastAsia" w:ascii="仿宋" w:hAnsi="仿宋" w:eastAsia="仿宋" w:cs="仿宋"/>
          <w:color w:val="auto"/>
          <w:kern w:val="2"/>
          <w:sz w:val="32"/>
          <w:szCs w:val="32"/>
          <w:highlight w:val="none"/>
        </w:rPr>
        <w:br w:type="page"/>
      </w:r>
    </w:p>
    <w:p w14:paraId="703E3D08">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eastAsia="zh-CN"/>
        </w:rPr>
      </w:pPr>
      <w:r>
        <w:rPr>
          <w:rFonts w:hint="eastAsia" w:ascii="仿宋" w:hAnsi="仿宋" w:eastAsia="仿宋" w:cs="仿宋"/>
          <w:color w:val="auto"/>
          <w:kern w:val="2"/>
          <w:sz w:val="32"/>
          <w:szCs w:val="32"/>
          <w:highlight w:val="none"/>
        </w:rPr>
        <w:t>一、开标一览表（报价表）</w:t>
      </w:r>
      <w:r>
        <w:rPr>
          <w:rFonts w:hint="eastAsia" w:ascii="仿宋" w:hAnsi="仿宋" w:eastAsia="仿宋" w:cs="仿宋"/>
          <w:color w:val="auto"/>
          <w:kern w:val="2"/>
          <w:sz w:val="32"/>
          <w:szCs w:val="32"/>
          <w:highlight w:val="none"/>
          <w:lang w:eastAsia="zh-CN"/>
        </w:rPr>
        <w:t>（</w:t>
      </w:r>
      <w:r>
        <w:rPr>
          <w:rFonts w:hint="eastAsia" w:ascii="仿宋" w:hAnsi="仿宋" w:eastAsia="仿宋" w:cs="仿宋"/>
          <w:color w:val="auto"/>
          <w:kern w:val="2"/>
          <w:sz w:val="32"/>
          <w:szCs w:val="32"/>
          <w:highlight w:val="none"/>
          <w:lang w:val="en-US" w:eastAsia="zh-CN"/>
        </w:rPr>
        <w:t>标项1：2025年度垃圾分类第三方服务-标项1</w:t>
      </w:r>
      <w:r>
        <w:rPr>
          <w:rFonts w:hint="eastAsia" w:ascii="仿宋" w:hAnsi="仿宋" w:eastAsia="仿宋" w:cs="仿宋"/>
          <w:color w:val="auto"/>
          <w:kern w:val="2"/>
          <w:sz w:val="32"/>
          <w:szCs w:val="32"/>
          <w:highlight w:val="none"/>
          <w:lang w:eastAsia="zh-CN"/>
        </w:rPr>
        <w:t>）</w:t>
      </w:r>
    </w:p>
    <w:p w14:paraId="2446783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C506609">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2139813F">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1283"/>
        <w:gridCol w:w="1462"/>
        <w:gridCol w:w="3634"/>
      </w:tblGrid>
      <w:tr w14:paraId="76653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1C044C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487B0BE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7F29391C">
            <w:pPr>
              <w:spacing w:line="360" w:lineRule="auto"/>
              <w:jc w:val="center"/>
              <w:rPr>
                <w:rFonts w:hint="eastAsia" w:ascii="仿宋" w:hAnsi="仿宋" w:eastAsia="仿宋" w:cs="仿宋"/>
                <w:b/>
                <w:color w:val="auto"/>
                <w:sz w:val="24"/>
                <w:highlight w:val="none"/>
              </w:rPr>
            </w:pPr>
          </w:p>
          <w:p w14:paraId="79700DB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0C77C90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3A5C4A3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1283" w:type="dxa"/>
            <w:vAlign w:val="center"/>
          </w:tcPr>
          <w:p w14:paraId="66AB5A99">
            <w:pPr>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单价</w:t>
            </w:r>
          </w:p>
        </w:tc>
        <w:tc>
          <w:tcPr>
            <w:tcW w:w="1462" w:type="dxa"/>
          </w:tcPr>
          <w:p w14:paraId="2CA9DEF9">
            <w:pPr>
              <w:spacing w:line="360" w:lineRule="auto"/>
              <w:jc w:val="center"/>
              <w:rPr>
                <w:rFonts w:hint="eastAsia" w:ascii="仿宋" w:hAnsi="仿宋" w:eastAsia="仿宋" w:cs="仿宋"/>
                <w:b/>
                <w:color w:val="auto"/>
                <w:sz w:val="24"/>
                <w:highlight w:val="none"/>
              </w:rPr>
            </w:pPr>
          </w:p>
          <w:p w14:paraId="2D5AA193">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总价</w:t>
            </w:r>
          </w:p>
        </w:tc>
        <w:tc>
          <w:tcPr>
            <w:tcW w:w="3634" w:type="dxa"/>
            <w:vAlign w:val="center"/>
          </w:tcPr>
          <w:p w14:paraId="4BE064F2">
            <w:pPr>
              <w:spacing w:line="360" w:lineRule="auto"/>
              <w:jc w:val="center"/>
              <w:rPr>
                <w:rFonts w:hint="eastAsia" w:ascii="仿宋" w:hAnsi="仿宋" w:eastAsia="仿宋" w:cs="仿宋"/>
                <w:b/>
                <w:color w:val="auto"/>
                <w:sz w:val="24"/>
                <w:highlight w:val="none"/>
              </w:rPr>
            </w:pPr>
          </w:p>
          <w:p w14:paraId="11738AF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0033D5AC">
            <w:pPr>
              <w:spacing w:line="360" w:lineRule="auto"/>
              <w:jc w:val="center"/>
              <w:rPr>
                <w:rFonts w:hint="eastAsia" w:ascii="仿宋" w:hAnsi="仿宋" w:eastAsia="仿宋" w:cs="仿宋"/>
                <w:b/>
                <w:color w:val="auto"/>
                <w:sz w:val="24"/>
                <w:highlight w:val="none"/>
              </w:rPr>
            </w:pPr>
          </w:p>
        </w:tc>
      </w:tr>
      <w:tr w14:paraId="3135E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9CF4B4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029C77B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681C31A7">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B4CEAFB">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00507FD0">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5D4CD64">
            <w:pPr>
              <w:spacing w:line="360" w:lineRule="auto"/>
              <w:jc w:val="center"/>
              <w:rPr>
                <w:rFonts w:hint="eastAsia" w:ascii="仿宋" w:hAnsi="仿宋" w:eastAsia="仿宋" w:cs="仿宋"/>
                <w:color w:val="auto"/>
                <w:sz w:val="24"/>
                <w:highlight w:val="none"/>
              </w:rPr>
            </w:pPr>
          </w:p>
        </w:tc>
        <w:tc>
          <w:tcPr>
            <w:tcW w:w="1462" w:type="dxa"/>
          </w:tcPr>
          <w:p w14:paraId="53D067CE">
            <w:pPr>
              <w:spacing w:line="360" w:lineRule="auto"/>
              <w:jc w:val="center"/>
              <w:rPr>
                <w:rFonts w:hint="eastAsia" w:ascii="仿宋" w:hAnsi="仿宋" w:eastAsia="仿宋" w:cs="仿宋"/>
                <w:color w:val="auto"/>
                <w:sz w:val="24"/>
                <w:highlight w:val="none"/>
              </w:rPr>
            </w:pPr>
          </w:p>
        </w:tc>
        <w:tc>
          <w:tcPr>
            <w:tcW w:w="3634" w:type="dxa"/>
            <w:vMerge w:val="restart"/>
            <w:vAlign w:val="center"/>
          </w:tcPr>
          <w:p w14:paraId="667AF3CB">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多层小区单价：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p w14:paraId="4EA4226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高层小区单价：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tc>
      </w:tr>
      <w:tr w14:paraId="001CC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33254F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79ED0AE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4426B355">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683FFF4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A601E60">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A64DE1D">
            <w:pPr>
              <w:spacing w:line="360" w:lineRule="auto"/>
              <w:jc w:val="center"/>
              <w:rPr>
                <w:rFonts w:hint="eastAsia" w:ascii="仿宋" w:hAnsi="仿宋" w:eastAsia="仿宋" w:cs="仿宋"/>
                <w:color w:val="auto"/>
                <w:sz w:val="24"/>
                <w:highlight w:val="none"/>
              </w:rPr>
            </w:pPr>
          </w:p>
        </w:tc>
        <w:tc>
          <w:tcPr>
            <w:tcW w:w="1462" w:type="dxa"/>
          </w:tcPr>
          <w:p w14:paraId="0B1AB252">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3FADEB77">
            <w:pPr>
              <w:spacing w:line="360" w:lineRule="auto"/>
              <w:jc w:val="center"/>
              <w:rPr>
                <w:rFonts w:hint="eastAsia" w:ascii="仿宋" w:hAnsi="仿宋" w:eastAsia="仿宋" w:cs="仿宋"/>
                <w:color w:val="auto"/>
                <w:sz w:val="24"/>
                <w:highlight w:val="none"/>
              </w:rPr>
            </w:pPr>
          </w:p>
        </w:tc>
      </w:tr>
      <w:tr w14:paraId="4AD03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854412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5B3B4A2A">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0FFEDB5">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7D8D563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44B262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7B3F550B">
            <w:pPr>
              <w:spacing w:line="360" w:lineRule="auto"/>
              <w:jc w:val="center"/>
              <w:rPr>
                <w:rFonts w:hint="eastAsia" w:ascii="仿宋" w:hAnsi="仿宋" w:eastAsia="仿宋" w:cs="仿宋"/>
                <w:color w:val="auto"/>
                <w:sz w:val="24"/>
                <w:highlight w:val="none"/>
              </w:rPr>
            </w:pPr>
          </w:p>
        </w:tc>
        <w:tc>
          <w:tcPr>
            <w:tcW w:w="1462" w:type="dxa"/>
          </w:tcPr>
          <w:p w14:paraId="421001FB">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16A2E274">
            <w:pPr>
              <w:spacing w:line="360" w:lineRule="auto"/>
              <w:jc w:val="center"/>
              <w:rPr>
                <w:rFonts w:hint="eastAsia" w:ascii="仿宋" w:hAnsi="仿宋" w:eastAsia="仿宋" w:cs="仿宋"/>
                <w:color w:val="auto"/>
                <w:sz w:val="24"/>
                <w:highlight w:val="none"/>
              </w:rPr>
            </w:pPr>
          </w:p>
        </w:tc>
      </w:tr>
      <w:tr w14:paraId="16530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4178AE3">
            <w:pPr>
              <w:spacing w:line="360" w:lineRule="auto"/>
              <w:jc w:val="center"/>
              <w:rPr>
                <w:rFonts w:hint="eastAsia" w:ascii="仿宋" w:hAnsi="仿宋" w:eastAsia="仿宋" w:cs="仿宋"/>
                <w:color w:val="auto"/>
                <w:sz w:val="24"/>
                <w:highlight w:val="none"/>
              </w:rPr>
            </w:pPr>
          </w:p>
        </w:tc>
        <w:tc>
          <w:tcPr>
            <w:tcW w:w="992" w:type="dxa"/>
            <w:vAlign w:val="center"/>
          </w:tcPr>
          <w:p w14:paraId="0DD4BC1F">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7C0537A">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2D03A6D">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33000777">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612F772">
            <w:pPr>
              <w:spacing w:line="360" w:lineRule="auto"/>
              <w:jc w:val="center"/>
              <w:rPr>
                <w:rFonts w:hint="eastAsia" w:ascii="仿宋" w:hAnsi="仿宋" w:eastAsia="仿宋" w:cs="仿宋"/>
                <w:color w:val="auto"/>
                <w:sz w:val="24"/>
                <w:highlight w:val="none"/>
              </w:rPr>
            </w:pPr>
          </w:p>
        </w:tc>
        <w:tc>
          <w:tcPr>
            <w:tcW w:w="1462" w:type="dxa"/>
          </w:tcPr>
          <w:p w14:paraId="6D708137">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473C9385">
            <w:pPr>
              <w:spacing w:line="360" w:lineRule="auto"/>
              <w:jc w:val="center"/>
              <w:rPr>
                <w:rFonts w:hint="eastAsia" w:ascii="仿宋" w:hAnsi="仿宋" w:eastAsia="仿宋" w:cs="仿宋"/>
                <w:color w:val="auto"/>
                <w:sz w:val="24"/>
                <w:highlight w:val="none"/>
              </w:rPr>
            </w:pPr>
          </w:p>
        </w:tc>
      </w:tr>
      <w:tr w14:paraId="34C0B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0E4D01D">
            <w:pPr>
              <w:spacing w:line="360" w:lineRule="auto"/>
              <w:jc w:val="center"/>
              <w:rPr>
                <w:rFonts w:hint="eastAsia" w:ascii="仿宋" w:hAnsi="仿宋" w:eastAsia="仿宋" w:cs="仿宋"/>
                <w:color w:val="auto"/>
                <w:sz w:val="24"/>
                <w:highlight w:val="none"/>
              </w:rPr>
            </w:pPr>
          </w:p>
        </w:tc>
        <w:tc>
          <w:tcPr>
            <w:tcW w:w="992" w:type="dxa"/>
            <w:vAlign w:val="center"/>
          </w:tcPr>
          <w:p w14:paraId="4E22B4B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FC06A03">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52E193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8EE7AE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2D6B3D30">
            <w:pPr>
              <w:spacing w:line="360" w:lineRule="auto"/>
              <w:jc w:val="center"/>
              <w:rPr>
                <w:rFonts w:hint="eastAsia" w:ascii="仿宋" w:hAnsi="仿宋" w:eastAsia="仿宋" w:cs="仿宋"/>
                <w:color w:val="auto"/>
                <w:sz w:val="24"/>
                <w:highlight w:val="none"/>
              </w:rPr>
            </w:pPr>
          </w:p>
        </w:tc>
        <w:tc>
          <w:tcPr>
            <w:tcW w:w="1462" w:type="dxa"/>
          </w:tcPr>
          <w:p w14:paraId="2CF7126F">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2C4517B1">
            <w:pPr>
              <w:spacing w:line="360" w:lineRule="auto"/>
              <w:jc w:val="center"/>
              <w:rPr>
                <w:rFonts w:hint="eastAsia" w:ascii="仿宋" w:hAnsi="仿宋" w:eastAsia="仿宋" w:cs="仿宋"/>
                <w:color w:val="auto"/>
                <w:sz w:val="24"/>
                <w:highlight w:val="none"/>
              </w:rPr>
            </w:pPr>
          </w:p>
        </w:tc>
      </w:tr>
      <w:tr w14:paraId="63C24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50C8F4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6383AA89">
            <w:pPr>
              <w:spacing w:line="360" w:lineRule="auto"/>
              <w:jc w:val="center"/>
              <w:rPr>
                <w:rFonts w:hint="eastAsia" w:ascii="仿宋" w:hAnsi="仿宋" w:eastAsia="仿宋" w:cs="仿宋"/>
                <w:color w:val="auto"/>
                <w:sz w:val="24"/>
                <w:highlight w:val="none"/>
              </w:rPr>
            </w:pPr>
          </w:p>
        </w:tc>
      </w:tr>
      <w:tr w14:paraId="68738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09AD9A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10E7A6BF">
            <w:pPr>
              <w:spacing w:line="360" w:lineRule="auto"/>
              <w:jc w:val="center"/>
              <w:rPr>
                <w:rFonts w:hint="eastAsia" w:ascii="仿宋" w:hAnsi="仿宋" w:eastAsia="仿宋" w:cs="仿宋"/>
                <w:color w:val="auto"/>
                <w:sz w:val="24"/>
                <w:highlight w:val="none"/>
              </w:rPr>
            </w:pPr>
          </w:p>
        </w:tc>
      </w:tr>
    </w:tbl>
    <w:p w14:paraId="36D99621">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0E42D208">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3665A311">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0E12675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373E8C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18936C7">
      <w:pPr>
        <w:spacing w:line="360" w:lineRule="auto"/>
        <w:ind w:firstLine="482" w:firstLineChars="200"/>
        <w:rPr>
          <w:rFonts w:hint="eastAsia" w:ascii="仿宋" w:hAnsi="仿宋" w:eastAsia="仿宋" w:cs="仿宋"/>
          <w:b/>
          <w:color w:val="auto"/>
          <w:sz w:val="24"/>
          <w:highlight w:val="none"/>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b/>
          <w:color w:val="auto"/>
          <w:sz w:val="24"/>
          <w:highlight w:val="none"/>
        </w:rPr>
        <w:t>5、特别说明：▲供应商报价低于项目预算50%的，应当在报价文件中详细阐述不影响产品质量或者诚信履约的具体原因，未做阐述说明的，投标无效。</w:t>
      </w:r>
    </w:p>
    <w:p w14:paraId="3CDD1E90">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eastAsia="zh-CN"/>
        </w:rPr>
      </w:pPr>
      <w:r>
        <w:rPr>
          <w:rFonts w:hint="eastAsia" w:ascii="仿宋" w:hAnsi="仿宋" w:eastAsia="仿宋" w:cs="仿宋"/>
          <w:color w:val="auto"/>
          <w:kern w:val="2"/>
          <w:sz w:val="32"/>
          <w:szCs w:val="32"/>
          <w:highlight w:val="none"/>
        </w:rPr>
        <w:t>一、开标一览表（报价表）</w:t>
      </w:r>
      <w:r>
        <w:rPr>
          <w:rFonts w:hint="eastAsia" w:ascii="仿宋" w:hAnsi="仿宋" w:eastAsia="仿宋" w:cs="仿宋"/>
          <w:color w:val="auto"/>
          <w:kern w:val="2"/>
          <w:sz w:val="32"/>
          <w:szCs w:val="32"/>
          <w:highlight w:val="none"/>
          <w:lang w:eastAsia="zh-CN"/>
        </w:rPr>
        <w:t>（</w:t>
      </w:r>
      <w:r>
        <w:rPr>
          <w:rFonts w:hint="eastAsia" w:ascii="仿宋" w:hAnsi="仿宋" w:eastAsia="仿宋" w:cs="仿宋"/>
          <w:color w:val="auto"/>
          <w:kern w:val="2"/>
          <w:sz w:val="32"/>
          <w:szCs w:val="32"/>
          <w:highlight w:val="none"/>
          <w:lang w:val="en-US" w:eastAsia="zh-CN"/>
        </w:rPr>
        <w:t>标项2：2025年度垃圾分类第三方服务-标项2</w:t>
      </w:r>
      <w:r>
        <w:rPr>
          <w:rFonts w:hint="eastAsia" w:ascii="仿宋" w:hAnsi="仿宋" w:eastAsia="仿宋" w:cs="仿宋"/>
          <w:color w:val="auto"/>
          <w:kern w:val="2"/>
          <w:sz w:val="32"/>
          <w:szCs w:val="32"/>
          <w:highlight w:val="none"/>
          <w:lang w:eastAsia="zh-CN"/>
        </w:rPr>
        <w:t>）</w:t>
      </w:r>
    </w:p>
    <w:p w14:paraId="14C971B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AD8EAE6">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6450830A">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1283"/>
        <w:gridCol w:w="1462"/>
        <w:gridCol w:w="3634"/>
      </w:tblGrid>
      <w:tr w14:paraId="02CE9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DE1387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75FF596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4851C228">
            <w:pPr>
              <w:spacing w:line="360" w:lineRule="auto"/>
              <w:jc w:val="center"/>
              <w:rPr>
                <w:rFonts w:hint="eastAsia" w:ascii="仿宋" w:hAnsi="仿宋" w:eastAsia="仿宋" w:cs="仿宋"/>
                <w:b/>
                <w:color w:val="auto"/>
                <w:sz w:val="24"/>
                <w:highlight w:val="none"/>
              </w:rPr>
            </w:pPr>
          </w:p>
          <w:p w14:paraId="18A50EB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4FC8666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2BAB958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1283" w:type="dxa"/>
            <w:vAlign w:val="center"/>
          </w:tcPr>
          <w:p w14:paraId="249EC945">
            <w:pPr>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单价</w:t>
            </w:r>
          </w:p>
        </w:tc>
        <w:tc>
          <w:tcPr>
            <w:tcW w:w="1462" w:type="dxa"/>
          </w:tcPr>
          <w:p w14:paraId="25BBB9B9">
            <w:pPr>
              <w:spacing w:line="360" w:lineRule="auto"/>
              <w:jc w:val="center"/>
              <w:rPr>
                <w:rFonts w:hint="eastAsia" w:ascii="仿宋" w:hAnsi="仿宋" w:eastAsia="仿宋" w:cs="仿宋"/>
                <w:b/>
                <w:color w:val="auto"/>
                <w:sz w:val="24"/>
                <w:highlight w:val="none"/>
              </w:rPr>
            </w:pPr>
          </w:p>
          <w:p w14:paraId="48FD7295">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总价</w:t>
            </w:r>
          </w:p>
        </w:tc>
        <w:tc>
          <w:tcPr>
            <w:tcW w:w="3634" w:type="dxa"/>
            <w:vAlign w:val="center"/>
          </w:tcPr>
          <w:p w14:paraId="20AFF05A">
            <w:pPr>
              <w:spacing w:line="360" w:lineRule="auto"/>
              <w:jc w:val="center"/>
              <w:rPr>
                <w:rFonts w:hint="eastAsia" w:ascii="仿宋" w:hAnsi="仿宋" w:eastAsia="仿宋" w:cs="仿宋"/>
                <w:b/>
                <w:color w:val="auto"/>
                <w:sz w:val="24"/>
                <w:highlight w:val="none"/>
              </w:rPr>
            </w:pPr>
          </w:p>
          <w:p w14:paraId="077AFF6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424BF5B7">
            <w:pPr>
              <w:spacing w:line="360" w:lineRule="auto"/>
              <w:jc w:val="center"/>
              <w:rPr>
                <w:rFonts w:hint="eastAsia" w:ascii="仿宋" w:hAnsi="仿宋" w:eastAsia="仿宋" w:cs="仿宋"/>
                <w:b/>
                <w:color w:val="auto"/>
                <w:sz w:val="24"/>
                <w:highlight w:val="none"/>
              </w:rPr>
            </w:pPr>
          </w:p>
        </w:tc>
      </w:tr>
      <w:tr w14:paraId="6EB6E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55C1319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1CF1ABB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56154E38">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C299CB3">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BA2DD3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657E0D94">
            <w:pPr>
              <w:spacing w:line="360" w:lineRule="auto"/>
              <w:jc w:val="center"/>
              <w:rPr>
                <w:rFonts w:hint="eastAsia" w:ascii="仿宋" w:hAnsi="仿宋" w:eastAsia="仿宋" w:cs="仿宋"/>
                <w:color w:val="auto"/>
                <w:sz w:val="24"/>
                <w:highlight w:val="none"/>
              </w:rPr>
            </w:pPr>
          </w:p>
        </w:tc>
        <w:tc>
          <w:tcPr>
            <w:tcW w:w="1462" w:type="dxa"/>
          </w:tcPr>
          <w:p w14:paraId="557EF220">
            <w:pPr>
              <w:spacing w:line="360" w:lineRule="auto"/>
              <w:jc w:val="center"/>
              <w:rPr>
                <w:rFonts w:hint="eastAsia" w:ascii="仿宋" w:hAnsi="仿宋" w:eastAsia="仿宋" w:cs="仿宋"/>
                <w:color w:val="auto"/>
                <w:sz w:val="24"/>
                <w:highlight w:val="none"/>
              </w:rPr>
            </w:pPr>
          </w:p>
        </w:tc>
        <w:tc>
          <w:tcPr>
            <w:tcW w:w="3634" w:type="dxa"/>
            <w:vMerge w:val="restart"/>
            <w:vAlign w:val="center"/>
          </w:tcPr>
          <w:p w14:paraId="34CE6515">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多层小区单价：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p w14:paraId="724E438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高层小区单价：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tc>
      </w:tr>
      <w:tr w14:paraId="2E521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65663A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3187374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74E36461">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6C45FF75">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4BA526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CBE35DF">
            <w:pPr>
              <w:spacing w:line="360" w:lineRule="auto"/>
              <w:jc w:val="center"/>
              <w:rPr>
                <w:rFonts w:hint="eastAsia" w:ascii="仿宋" w:hAnsi="仿宋" w:eastAsia="仿宋" w:cs="仿宋"/>
                <w:color w:val="auto"/>
                <w:sz w:val="24"/>
                <w:highlight w:val="none"/>
              </w:rPr>
            </w:pPr>
          </w:p>
        </w:tc>
        <w:tc>
          <w:tcPr>
            <w:tcW w:w="1462" w:type="dxa"/>
          </w:tcPr>
          <w:p w14:paraId="36F65E7C">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0773A720">
            <w:pPr>
              <w:spacing w:line="360" w:lineRule="auto"/>
              <w:jc w:val="center"/>
              <w:rPr>
                <w:rFonts w:hint="eastAsia" w:ascii="仿宋" w:hAnsi="仿宋" w:eastAsia="仿宋" w:cs="仿宋"/>
                <w:color w:val="auto"/>
                <w:sz w:val="24"/>
                <w:highlight w:val="none"/>
              </w:rPr>
            </w:pPr>
          </w:p>
        </w:tc>
      </w:tr>
      <w:tr w14:paraId="63ECF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130426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2E3EC76C">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2EA9323">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2C2E6821">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8619572">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7D208D4D">
            <w:pPr>
              <w:spacing w:line="360" w:lineRule="auto"/>
              <w:jc w:val="center"/>
              <w:rPr>
                <w:rFonts w:hint="eastAsia" w:ascii="仿宋" w:hAnsi="仿宋" w:eastAsia="仿宋" w:cs="仿宋"/>
                <w:color w:val="auto"/>
                <w:sz w:val="24"/>
                <w:highlight w:val="none"/>
              </w:rPr>
            </w:pPr>
          </w:p>
        </w:tc>
        <w:tc>
          <w:tcPr>
            <w:tcW w:w="1462" w:type="dxa"/>
          </w:tcPr>
          <w:p w14:paraId="6CD98375">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122AE47F">
            <w:pPr>
              <w:spacing w:line="360" w:lineRule="auto"/>
              <w:jc w:val="center"/>
              <w:rPr>
                <w:rFonts w:hint="eastAsia" w:ascii="仿宋" w:hAnsi="仿宋" w:eastAsia="仿宋" w:cs="仿宋"/>
                <w:color w:val="auto"/>
                <w:sz w:val="24"/>
                <w:highlight w:val="none"/>
              </w:rPr>
            </w:pPr>
          </w:p>
        </w:tc>
      </w:tr>
      <w:tr w14:paraId="6D334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C508E53">
            <w:pPr>
              <w:spacing w:line="360" w:lineRule="auto"/>
              <w:jc w:val="center"/>
              <w:rPr>
                <w:rFonts w:hint="eastAsia" w:ascii="仿宋" w:hAnsi="仿宋" w:eastAsia="仿宋" w:cs="仿宋"/>
                <w:color w:val="auto"/>
                <w:sz w:val="24"/>
                <w:highlight w:val="none"/>
              </w:rPr>
            </w:pPr>
          </w:p>
        </w:tc>
        <w:tc>
          <w:tcPr>
            <w:tcW w:w="992" w:type="dxa"/>
            <w:vAlign w:val="center"/>
          </w:tcPr>
          <w:p w14:paraId="2A7B1730">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365EF4F">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7AC4A0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6881092">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4FBDDFE0">
            <w:pPr>
              <w:spacing w:line="360" w:lineRule="auto"/>
              <w:jc w:val="center"/>
              <w:rPr>
                <w:rFonts w:hint="eastAsia" w:ascii="仿宋" w:hAnsi="仿宋" w:eastAsia="仿宋" w:cs="仿宋"/>
                <w:color w:val="auto"/>
                <w:sz w:val="24"/>
                <w:highlight w:val="none"/>
              </w:rPr>
            </w:pPr>
          </w:p>
        </w:tc>
        <w:tc>
          <w:tcPr>
            <w:tcW w:w="1462" w:type="dxa"/>
          </w:tcPr>
          <w:p w14:paraId="38AD2546">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44E76C8">
            <w:pPr>
              <w:spacing w:line="360" w:lineRule="auto"/>
              <w:jc w:val="center"/>
              <w:rPr>
                <w:rFonts w:hint="eastAsia" w:ascii="仿宋" w:hAnsi="仿宋" w:eastAsia="仿宋" w:cs="仿宋"/>
                <w:color w:val="auto"/>
                <w:sz w:val="24"/>
                <w:highlight w:val="none"/>
              </w:rPr>
            </w:pPr>
          </w:p>
        </w:tc>
      </w:tr>
      <w:tr w14:paraId="2DADE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1A5D4C0">
            <w:pPr>
              <w:spacing w:line="360" w:lineRule="auto"/>
              <w:jc w:val="center"/>
              <w:rPr>
                <w:rFonts w:hint="eastAsia" w:ascii="仿宋" w:hAnsi="仿宋" w:eastAsia="仿宋" w:cs="仿宋"/>
                <w:color w:val="auto"/>
                <w:sz w:val="24"/>
                <w:highlight w:val="none"/>
              </w:rPr>
            </w:pPr>
          </w:p>
        </w:tc>
        <w:tc>
          <w:tcPr>
            <w:tcW w:w="992" w:type="dxa"/>
            <w:vAlign w:val="center"/>
          </w:tcPr>
          <w:p w14:paraId="7F0DF529">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22C4EB6">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66DF7C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99617F8">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799CD7AA">
            <w:pPr>
              <w:spacing w:line="360" w:lineRule="auto"/>
              <w:jc w:val="center"/>
              <w:rPr>
                <w:rFonts w:hint="eastAsia" w:ascii="仿宋" w:hAnsi="仿宋" w:eastAsia="仿宋" w:cs="仿宋"/>
                <w:color w:val="auto"/>
                <w:sz w:val="24"/>
                <w:highlight w:val="none"/>
              </w:rPr>
            </w:pPr>
          </w:p>
        </w:tc>
        <w:tc>
          <w:tcPr>
            <w:tcW w:w="1462" w:type="dxa"/>
          </w:tcPr>
          <w:p w14:paraId="18610CE5">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4F373EA">
            <w:pPr>
              <w:spacing w:line="360" w:lineRule="auto"/>
              <w:jc w:val="center"/>
              <w:rPr>
                <w:rFonts w:hint="eastAsia" w:ascii="仿宋" w:hAnsi="仿宋" w:eastAsia="仿宋" w:cs="仿宋"/>
                <w:color w:val="auto"/>
                <w:sz w:val="24"/>
                <w:highlight w:val="none"/>
              </w:rPr>
            </w:pPr>
          </w:p>
        </w:tc>
      </w:tr>
      <w:tr w14:paraId="38406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DEE492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3ECC3219">
            <w:pPr>
              <w:spacing w:line="360" w:lineRule="auto"/>
              <w:jc w:val="center"/>
              <w:rPr>
                <w:rFonts w:hint="eastAsia" w:ascii="仿宋" w:hAnsi="仿宋" w:eastAsia="仿宋" w:cs="仿宋"/>
                <w:color w:val="auto"/>
                <w:sz w:val="24"/>
                <w:highlight w:val="none"/>
              </w:rPr>
            </w:pPr>
          </w:p>
        </w:tc>
      </w:tr>
      <w:tr w14:paraId="4F75D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34C3A3E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37B9E602">
            <w:pPr>
              <w:spacing w:line="360" w:lineRule="auto"/>
              <w:jc w:val="center"/>
              <w:rPr>
                <w:rFonts w:hint="eastAsia" w:ascii="仿宋" w:hAnsi="仿宋" w:eastAsia="仿宋" w:cs="仿宋"/>
                <w:color w:val="auto"/>
                <w:sz w:val="24"/>
                <w:highlight w:val="none"/>
              </w:rPr>
            </w:pPr>
          </w:p>
        </w:tc>
      </w:tr>
    </w:tbl>
    <w:p w14:paraId="2671142B">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5F0E3792">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7D94CBB0">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628BE772">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3D7E955">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55C696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5、特别说明：▲供应商报价低于项目预算50%的，应当在报价文件中详细阐述不影响产品质量或者诚信履约的具体原因，未做阐述说明的，投标无效。</w:t>
      </w:r>
    </w:p>
    <w:p w14:paraId="54458A21">
      <w:pPr>
        <w:spacing w:line="360" w:lineRule="auto"/>
        <w:ind w:firstLine="482" w:firstLineChars="200"/>
        <w:rPr>
          <w:rFonts w:hint="eastAsia" w:ascii="仿宋" w:hAnsi="仿宋" w:eastAsia="仿宋" w:cs="仿宋"/>
          <w:b/>
          <w:color w:val="auto"/>
          <w:sz w:val="24"/>
          <w:highlight w:val="none"/>
        </w:rPr>
        <w:sectPr>
          <w:pgSz w:w="16838" w:h="11906" w:orient="landscape"/>
          <w:pgMar w:top="1418" w:right="1276" w:bottom="1418" w:left="1247" w:header="851" w:footer="992" w:gutter="0"/>
          <w:cols w:space="720" w:num="1"/>
          <w:titlePg/>
          <w:docGrid w:linePitch="312" w:charSpace="0"/>
        </w:sectPr>
      </w:pPr>
    </w:p>
    <w:p w14:paraId="421DB402">
      <w:pPr>
        <w:spacing w:line="360" w:lineRule="auto"/>
        <w:ind w:firstLine="482" w:firstLineChars="200"/>
        <w:rPr>
          <w:rFonts w:hint="eastAsia" w:ascii="仿宋" w:hAnsi="仿宋" w:eastAsia="仿宋" w:cs="仿宋"/>
          <w:b/>
          <w:color w:val="auto"/>
          <w:sz w:val="24"/>
          <w:highlight w:val="none"/>
        </w:rPr>
      </w:pPr>
    </w:p>
    <w:p w14:paraId="2C399309">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eastAsia="zh-CN"/>
        </w:rPr>
      </w:pPr>
      <w:r>
        <w:rPr>
          <w:rFonts w:hint="eastAsia" w:ascii="仿宋" w:hAnsi="仿宋" w:eastAsia="仿宋" w:cs="仿宋"/>
          <w:color w:val="auto"/>
          <w:kern w:val="2"/>
          <w:sz w:val="32"/>
          <w:szCs w:val="32"/>
          <w:highlight w:val="none"/>
        </w:rPr>
        <w:t>一、开标一览表（报价表）</w:t>
      </w:r>
      <w:r>
        <w:rPr>
          <w:rFonts w:hint="eastAsia" w:ascii="仿宋" w:hAnsi="仿宋" w:eastAsia="仿宋" w:cs="仿宋"/>
          <w:color w:val="auto"/>
          <w:kern w:val="2"/>
          <w:sz w:val="32"/>
          <w:szCs w:val="32"/>
          <w:highlight w:val="none"/>
          <w:lang w:eastAsia="zh-CN"/>
        </w:rPr>
        <w:t>（</w:t>
      </w:r>
      <w:r>
        <w:rPr>
          <w:rFonts w:hint="eastAsia" w:ascii="仿宋" w:hAnsi="仿宋" w:eastAsia="仿宋" w:cs="仿宋"/>
          <w:color w:val="auto"/>
          <w:kern w:val="2"/>
          <w:sz w:val="32"/>
          <w:szCs w:val="32"/>
          <w:highlight w:val="none"/>
          <w:lang w:val="en-US" w:eastAsia="zh-CN"/>
        </w:rPr>
        <w:t>标项3：2025年度垃圾分类第三方服务-标项3</w:t>
      </w:r>
      <w:r>
        <w:rPr>
          <w:rFonts w:hint="eastAsia" w:ascii="仿宋" w:hAnsi="仿宋" w:eastAsia="仿宋" w:cs="仿宋"/>
          <w:color w:val="auto"/>
          <w:kern w:val="2"/>
          <w:sz w:val="32"/>
          <w:szCs w:val="32"/>
          <w:highlight w:val="none"/>
          <w:lang w:eastAsia="zh-CN"/>
        </w:rPr>
        <w:t>）</w:t>
      </w:r>
    </w:p>
    <w:p w14:paraId="0DEC6E4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2AAFC3C">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33E8F813">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1283"/>
        <w:gridCol w:w="1462"/>
        <w:gridCol w:w="3634"/>
      </w:tblGrid>
      <w:tr w14:paraId="24DD5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5E7BC8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161472F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51219C17">
            <w:pPr>
              <w:spacing w:line="360" w:lineRule="auto"/>
              <w:jc w:val="center"/>
              <w:rPr>
                <w:rFonts w:hint="eastAsia" w:ascii="仿宋" w:hAnsi="仿宋" w:eastAsia="仿宋" w:cs="仿宋"/>
                <w:b/>
                <w:color w:val="auto"/>
                <w:sz w:val="24"/>
                <w:highlight w:val="none"/>
              </w:rPr>
            </w:pPr>
          </w:p>
          <w:p w14:paraId="63E695E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77E7B6C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2382320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1283" w:type="dxa"/>
            <w:vAlign w:val="center"/>
          </w:tcPr>
          <w:p w14:paraId="5EA481BA">
            <w:pPr>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单价</w:t>
            </w:r>
          </w:p>
        </w:tc>
        <w:tc>
          <w:tcPr>
            <w:tcW w:w="1462" w:type="dxa"/>
          </w:tcPr>
          <w:p w14:paraId="7D9572AB">
            <w:pPr>
              <w:spacing w:line="360" w:lineRule="auto"/>
              <w:jc w:val="center"/>
              <w:rPr>
                <w:rFonts w:hint="eastAsia" w:ascii="仿宋" w:hAnsi="仿宋" w:eastAsia="仿宋" w:cs="仿宋"/>
                <w:b/>
                <w:color w:val="auto"/>
                <w:sz w:val="24"/>
                <w:highlight w:val="none"/>
              </w:rPr>
            </w:pPr>
          </w:p>
          <w:p w14:paraId="1619EB12">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总价</w:t>
            </w:r>
          </w:p>
        </w:tc>
        <w:tc>
          <w:tcPr>
            <w:tcW w:w="3634" w:type="dxa"/>
            <w:vAlign w:val="center"/>
          </w:tcPr>
          <w:p w14:paraId="3859DC50">
            <w:pPr>
              <w:spacing w:line="360" w:lineRule="auto"/>
              <w:jc w:val="center"/>
              <w:rPr>
                <w:rFonts w:hint="eastAsia" w:ascii="仿宋" w:hAnsi="仿宋" w:eastAsia="仿宋" w:cs="仿宋"/>
                <w:b/>
                <w:color w:val="auto"/>
                <w:sz w:val="24"/>
                <w:highlight w:val="none"/>
              </w:rPr>
            </w:pPr>
          </w:p>
          <w:p w14:paraId="56CBF6B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7D78FCAB">
            <w:pPr>
              <w:spacing w:line="360" w:lineRule="auto"/>
              <w:jc w:val="center"/>
              <w:rPr>
                <w:rFonts w:hint="eastAsia" w:ascii="仿宋" w:hAnsi="仿宋" w:eastAsia="仿宋" w:cs="仿宋"/>
                <w:b/>
                <w:color w:val="auto"/>
                <w:sz w:val="24"/>
                <w:highlight w:val="none"/>
              </w:rPr>
            </w:pPr>
          </w:p>
        </w:tc>
      </w:tr>
      <w:tr w14:paraId="571D5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7E34C0E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2B11CC2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450D0A56">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2C7B66B">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CE29DF9">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2B23853B">
            <w:pPr>
              <w:spacing w:line="360" w:lineRule="auto"/>
              <w:jc w:val="center"/>
              <w:rPr>
                <w:rFonts w:hint="eastAsia" w:ascii="仿宋" w:hAnsi="仿宋" w:eastAsia="仿宋" w:cs="仿宋"/>
                <w:color w:val="auto"/>
                <w:sz w:val="24"/>
                <w:highlight w:val="none"/>
              </w:rPr>
            </w:pPr>
          </w:p>
        </w:tc>
        <w:tc>
          <w:tcPr>
            <w:tcW w:w="1462" w:type="dxa"/>
          </w:tcPr>
          <w:p w14:paraId="1763B9D4">
            <w:pPr>
              <w:spacing w:line="360" w:lineRule="auto"/>
              <w:jc w:val="center"/>
              <w:rPr>
                <w:rFonts w:hint="eastAsia" w:ascii="仿宋" w:hAnsi="仿宋" w:eastAsia="仿宋" w:cs="仿宋"/>
                <w:color w:val="auto"/>
                <w:sz w:val="24"/>
                <w:highlight w:val="none"/>
              </w:rPr>
            </w:pPr>
          </w:p>
        </w:tc>
        <w:tc>
          <w:tcPr>
            <w:tcW w:w="3634" w:type="dxa"/>
            <w:vMerge w:val="restart"/>
            <w:vAlign w:val="center"/>
          </w:tcPr>
          <w:p w14:paraId="70D889D8">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多层小区单价：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p w14:paraId="01C584F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高层小区单价：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tc>
      </w:tr>
      <w:tr w14:paraId="09E11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064FCC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2ECF476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1CE89B8B">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1A1592C1">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378BF18">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3202ECB8">
            <w:pPr>
              <w:spacing w:line="360" w:lineRule="auto"/>
              <w:jc w:val="center"/>
              <w:rPr>
                <w:rFonts w:hint="eastAsia" w:ascii="仿宋" w:hAnsi="仿宋" w:eastAsia="仿宋" w:cs="仿宋"/>
                <w:color w:val="auto"/>
                <w:sz w:val="24"/>
                <w:highlight w:val="none"/>
              </w:rPr>
            </w:pPr>
          </w:p>
        </w:tc>
        <w:tc>
          <w:tcPr>
            <w:tcW w:w="1462" w:type="dxa"/>
          </w:tcPr>
          <w:p w14:paraId="3788F57F">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56DE133">
            <w:pPr>
              <w:spacing w:line="360" w:lineRule="auto"/>
              <w:jc w:val="center"/>
              <w:rPr>
                <w:rFonts w:hint="eastAsia" w:ascii="仿宋" w:hAnsi="仿宋" w:eastAsia="仿宋" w:cs="仿宋"/>
                <w:color w:val="auto"/>
                <w:sz w:val="24"/>
                <w:highlight w:val="none"/>
              </w:rPr>
            </w:pPr>
          </w:p>
        </w:tc>
      </w:tr>
      <w:tr w14:paraId="5E5CE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AF77A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08592F13">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A9D4066">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4ABD72F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D2B91CA">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6DF6D3C6">
            <w:pPr>
              <w:spacing w:line="360" w:lineRule="auto"/>
              <w:jc w:val="center"/>
              <w:rPr>
                <w:rFonts w:hint="eastAsia" w:ascii="仿宋" w:hAnsi="仿宋" w:eastAsia="仿宋" w:cs="仿宋"/>
                <w:color w:val="auto"/>
                <w:sz w:val="24"/>
                <w:highlight w:val="none"/>
              </w:rPr>
            </w:pPr>
          </w:p>
        </w:tc>
        <w:tc>
          <w:tcPr>
            <w:tcW w:w="1462" w:type="dxa"/>
          </w:tcPr>
          <w:p w14:paraId="4763C5FE">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5AC184E9">
            <w:pPr>
              <w:spacing w:line="360" w:lineRule="auto"/>
              <w:jc w:val="center"/>
              <w:rPr>
                <w:rFonts w:hint="eastAsia" w:ascii="仿宋" w:hAnsi="仿宋" w:eastAsia="仿宋" w:cs="仿宋"/>
                <w:color w:val="auto"/>
                <w:sz w:val="24"/>
                <w:highlight w:val="none"/>
              </w:rPr>
            </w:pPr>
          </w:p>
        </w:tc>
      </w:tr>
      <w:tr w14:paraId="22DBF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3A2F39F">
            <w:pPr>
              <w:spacing w:line="360" w:lineRule="auto"/>
              <w:jc w:val="center"/>
              <w:rPr>
                <w:rFonts w:hint="eastAsia" w:ascii="仿宋" w:hAnsi="仿宋" w:eastAsia="仿宋" w:cs="仿宋"/>
                <w:color w:val="auto"/>
                <w:sz w:val="24"/>
                <w:highlight w:val="none"/>
              </w:rPr>
            </w:pPr>
          </w:p>
        </w:tc>
        <w:tc>
          <w:tcPr>
            <w:tcW w:w="992" w:type="dxa"/>
            <w:vAlign w:val="center"/>
          </w:tcPr>
          <w:p w14:paraId="5AC44FAB">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BC60637">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232B7F1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BD4B0AE">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21C8F00D">
            <w:pPr>
              <w:spacing w:line="360" w:lineRule="auto"/>
              <w:jc w:val="center"/>
              <w:rPr>
                <w:rFonts w:hint="eastAsia" w:ascii="仿宋" w:hAnsi="仿宋" w:eastAsia="仿宋" w:cs="仿宋"/>
                <w:color w:val="auto"/>
                <w:sz w:val="24"/>
                <w:highlight w:val="none"/>
              </w:rPr>
            </w:pPr>
          </w:p>
        </w:tc>
        <w:tc>
          <w:tcPr>
            <w:tcW w:w="1462" w:type="dxa"/>
          </w:tcPr>
          <w:p w14:paraId="120B5E1C">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3EA7DD1">
            <w:pPr>
              <w:spacing w:line="360" w:lineRule="auto"/>
              <w:jc w:val="center"/>
              <w:rPr>
                <w:rFonts w:hint="eastAsia" w:ascii="仿宋" w:hAnsi="仿宋" w:eastAsia="仿宋" w:cs="仿宋"/>
                <w:color w:val="auto"/>
                <w:sz w:val="24"/>
                <w:highlight w:val="none"/>
              </w:rPr>
            </w:pPr>
          </w:p>
        </w:tc>
      </w:tr>
      <w:tr w14:paraId="6D559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2D88526">
            <w:pPr>
              <w:spacing w:line="360" w:lineRule="auto"/>
              <w:jc w:val="center"/>
              <w:rPr>
                <w:rFonts w:hint="eastAsia" w:ascii="仿宋" w:hAnsi="仿宋" w:eastAsia="仿宋" w:cs="仿宋"/>
                <w:color w:val="auto"/>
                <w:sz w:val="24"/>
                <w:highlight w:val="none"/>
              </w:rPr>
            </w:pPr>
          </w:p>
        </w:tc>
        <w:tc>
          <w:tcPr>
            <w:tcW w:w="992" w:type="dxa"/>
            <w:vAlign w:val="center"/>
          </w:tcPr>
          <w:p w14:paraId="21CF6527">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EE332D9">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BF312C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0E41EEC0">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6F02C2EB">
            <w:pPr>
              <w:spacing w:line="360" w:lineRule="auto"/>
              <w:jc w:val="center"/>
              <w:rPr>
                <w:rFonts w:hint="eastAsia" w:ascii="仿宋" w:hAnsi="仿宋" w:eastAsia="仿宋" w:cs="仿宋"/>
                <w:color w:val="auto"/>
                <w:sz w:val="24"/>
                <w:highlight w:val="none"/>
              </w:rPr>
            </w:pPr>
          </w:p>
        </w:tc>
        <w:tc>
          <w:tcPr>
            <w:tcW w:w="1462" w:type="dxa"/>
          </w:tcPr>
          <w:p w14:paraId="0F2F8A79">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0D974C7F">
            <w:pPr>
              <w:spacing w:line="360" w:lineRule="auto"/>
              <w:jc w:val="center"/>
              <w:rPr>
                <w:rFonts w:hint="eastAsia" w:ascii="仿宋" w:hAnsi="仿宋" w:eastAsia="仿宋" w:cs="仿宋"/>
                <w:color w:val="auto"/>
                <w:sz w:val="24"/>
                <w:highlight w:val="none"/>
              </w:rPr>
            </w:pPr>
          </w:p>
        </w:tc>
      </w:tr>
      <w:tr w14:paraId="779F5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E28312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27EE93A8">
            <w:pPr>
              <w:spacing w:line="360" w:lineRule="auto"/>
              <w:jc w:val="center"/>
              <w:rPr>
                <w:rFonts w:hint="eastAsia" w:ascii="仿宋" w:hAnsi="仿宋" w:eastAsia="仿宋" w:cs="仿宋"/>
                <w:color w:val="auto"/>
                <w:sz w:val="24"/>
                <w:highlight w:val="none"/>
              </w:rPr>
            </w:pPr>
          </w:p>
        </w:tc>
      </w:tr>
      <w:tr w14:paraId="78950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EACC89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17788373">
            <w:pPr>
              <w:spacing w:line="360" w:lineRule="auto"/>
              <w:jc w:val="center"/>
              <w:rPr>
                <w:rFonts w:hint="eastAsia" w:ascii="仿宋" w:hAnsi="仿宋" w:eastAsia="仿宋" w:cs="仿宋"/>
                <w:color w:val="auto"/>
                <w:sz w:val="24"/>
                <w:highlight w:val="none"/>
              </w:rPr>
            </w:pPr>
          </w:p>
        </w:tc>
      </w:tr>
    </w:tbl>
    <w:p w14:paraId="6DAA0575">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4915A391">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4535D435">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75AE661A">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34F5701">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BC6330A">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5、特别说明：▲供应商报价低于项目预算50%的，应当在报价文件中详细阐述不影响产品质量或者诚信履约的具体原因，未做阐述说明的，投标无效。</w:t>
      </w:r>
    </w:p>
    <w:p w14:paraId="211273EF">
      <w:pPr>
        <w:rPr>
          <w:rFonts w:hint="eastAsia" w:ascii="仿宋" w:hAnsi="仿宋" w:eastAsia="仿宋" w:cs="仿宋"/>
          <w:color w:val="auto"/>
          <w:kern w:val="2"/>
          <w:sz w:val="32"/>
          <w:szCs w:val="32"/>
          <w:highlight w:val="none"/>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color w:val="auto"/>
          <w:kern w:val="2"/>
          <w:sz w:val="32"/>
          <w:szCs w:val="32"/>
          <w:highlight w:val="none"/>
        </w:rPr>
        <w:br w:type="page"/>
      </w:r>
    </w:p>
    <w:p w14:paraId="43C4B320">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中小企业声明函（如果有）</w:t>
      </w:r>
    </w:p>
    <w:p w14:paraId="36A7FED9">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FE61C6F">
      <w:pPr>
        <w:rPr>
          <w:rFonts w:hint="eastAsia" w:ascii="仿宋" w:hAnsi="仿宋" w:eastAsia="仿宋" w:cs="仿宋"/>
          <w:color w:val="auto"/>
          <w:highlight w:val="none"/>
        </w:rPr>
      </w:pPr>
      <w:r>
        <w:rPr>
          <w:rFonts w:hint="eastAsia" w:ascii="仿宋" w:hAnsi="仿宋" w:eastAsia="仿宋" w:cs="仿宋"/>
          <w:b/>
          <w:color w:val="auto"/>
          <w:sz w:val="24"/>
          <w:highlight w:val="none"/>
        </w:rPr>
        <w:br w:type="page"/>
      </w:r>
    </w:p>
    <w:p w14:paraId="0FB42B0B">
      <w:pPr>
        <w:pStyle w:val="2"/>
        <w:keepNext w:val="0"/>
        <w:keepLines w:val="0"/>
        <w:pageBreakBefore/>
        <w:widowControl/>
        <w:spacing w:before="100" w:beforeAutospacing="1" w:after="100" w:afterAutospacing="1" w:line="360" w:lineRule="auto"/>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附件</w:t>
      </w:r>
    </w:p>
    <w:p w14:paraId="2B598598">
      <w:pPr>
        <w:spacing w:line="360" w:lineRule="auto"/>
        <w:jc w:val="both"/>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7FB9F3FF">
      <w:pPr>
        <w:spacing w:line="360" w:lineRule="auto"/>
        <w:jc w:val="center"/>
        <w:rPr>
          <w:rFonts w:hint="eastAsia" w:ascii="仿宋" w:hAnsi="仿宋" w:eastAsia="仿宋" w:cs="仿宋"/>
          <w:b/>
          <w:color w:val="auto"/>
          <w:spacing w:val="6"/>
          <w:sz w:val="32"/>
          <w:szCs w:val="32"/>
          <w:highlight w:val="none"/>
        </w:rPr>
      </w:pPr>
      <w:bookmarkStart w:id="406" w:name="OLE_LINK14"/>
      <w:bookmarkStart w:id="407" w:name="OLE_LINK13"/>
      <w:r>
        <w:rPr>
          <w:rFonts w:hint="eastAsia" w:ascii="仿宋" w:hAnsi="仿宋" w:eastAsia="仿宋" w:cs="仿宋"/>
          <w:b/>
          <w:color w:val="auto"/>
          <w:spacing w:val="6"/>
          <w:sz w:val="32"/>
          <w:szCs w:val="32"/>
          <w:highlight w:val="none"/>
        </w:rPr>
        <w:t>残疾人福利性单位声明函</w:t>
      </w:r>
    </w:p>
    <w:bookmarkEnd w:id="406"/>
    <w:bookmarkEnd w:id="407"/>
    <w:p w14:paraId="4952D797">
      <w:pPr>
        <w:spacing w:line="360" w:lineRule="auto"/>
        <w:rPr>
          <w:rFonts w:hint="eastAsia" w:ascii="仿宋" w:hAnsi="仿宋" w:eastAsia="仿宋" w:cs="仿宋"/>
          <w:b/>
          <w:color w:val="auto"/>
          <w:spacing w:val="6"/>
          <w:sz w:val="30"/>
          <w:szCs w:val="30"/>
          <w:highlight w:val="none"/>
        </w:rPr>
      </w:pPr>
    </w:p>
    <w:p w14:paraId="173A51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85DF71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845AB56">
      <w:pPr>
        <w:spacing w:line="360" w:lineRule="auto"/>
        <w:ind w:firstLine="480" w:firstLineChars="200"/>
        <w:rPr>
          <w:rFonts w:hint="eastAsia" w:ascii="仿宋" w:hAnsi="仿宋" w:eastAsia="仿宋" w:cs="仿宋"/>
          <w:color w:val="auto"/>
          <w:sz w:val="24"/>
          <w:highlight w:val="none"/>
        </w:rPr>
      </w:pPr>
    </w:p>
    <w:p w14:paraId="4BE82529">
      <w:pPr>
        <w:spacing w:line="360" w:lineRule="auto"/>
        <w:ind w:firstLine="480" w:firstLineChars="200"/>
        <w:rPr>
          <w:rFonts w:hint="eastAsia" w:ascii="仿宋" w:hAnsi="仿宋" w:eastAsia="仿宋" w:cs="仿宋"/>
          <w:color w:val="auto"/>
          <w:sz w:val="24"/>
          <w:highlight w:val="none"/>
        </w:rPr>
      </w:pPr>
    </w:p>
    <w:p w14:paraId="14248A40">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50838A33">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2D137FED">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60F63C37">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316C1C8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0EAA299F">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37F7FED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7CA3E7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8DD503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55CA39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B0D409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C6F072A">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CF809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2A23D3F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632980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3CB81B2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045DADF">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2F142C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196E7C5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E95792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045ACE9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8B1992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B359D6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87C79C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474AD1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BD9394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2540E7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DD81E6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C244A9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03348D4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1812AAF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5A68CD9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641E41A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78A1D08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72AF734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67B90C3F">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8DFBF66">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73CFD7B4">
      <w:pPr>
        <w:spacing w:line="360" w:lineRule="auto"/>
        <w:jc w:val="center"/>
        <w:rPr>
          <w:rFonts w:hint="eastAsia" w:ascii="仿宋" w:hAnsi="仿宋" w:eastAsia="仿宋" w:cs="仿宋"/>
          <w:b/>
          <w:color w:val="auto"/>
          <w:sz w:val="24"/>
          <w:highlight w:val="none"/>
        </w:rPr>
      </w:pPr>
    </w:p>
    <w:p w14:paraId="2A8DDC7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0C223D7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5EC916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598E8E6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9D81300">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3733C08">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335B76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544AF8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3308999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95E52A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8CC7CB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B8331E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6E237C1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A88D2B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EE8935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7A70B8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2C824E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268362A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7D6512A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16B8CD7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EE5E52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7DCB784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403738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009B7B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F166F4E">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6608F32D">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AF7D07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3326B6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3F9F56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241C29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999445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94E08A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C545B0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投诉事项2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p>
    <w:p w14:paraId="7EE8A8F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9E8F59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0557A2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23EDA83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A5C7B52">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日期：    </w:t>
      </w:r>
    </w:p>
    <w:p w14:paraId="5D030B5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0EFFBF2C">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54D64CD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362E4FB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E94838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5EC384B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4E7499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69FEB1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B4B7ADF">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3EBB9695">
      <w:pPr>
        <w:autoSpaceDE w:val="0"/>
        <w:autoSpaceDN w:val="0"/>
        <w:jc w:val="both"/>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7376E5AD">
      <w:pPr>
        <w:spacing w:line="360" w:lineRule="auto"/>
        <w:rPr>
          <w:rFonts w:hint="eastAsia" w:ascii="仿宋" w:hAnsi="仿宋" w:eastAsia="仿宋" w:cs="仿宋"/>
          <w:color w:val="auto"/>
          <w:sz w:val="24"/>
          <w:highlight w:val="none"/>
          <w:u w:val="single"/>
        </w:rPr>
      </w:pPr>
    </w:p>
    <w:p w14:paraId="48DF372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76D6CD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729701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A6976E4">
      <w:pPr>
        <w:spacing w:line="360" w:lineRule="auto"/>
        <w:ind w:firstLine="494"/>
        <w:rPr>
          <w:rFonts w:hint="eastAsia" w:ascii="仿宋" w:hAnsi="仿宋" w:eastAsia="仿宋" w:cs="仿宋"/>
          <w:color w:val="auto"/>
          <w:sz w:val="24"/>
          <w:highlight w:val="none"/>
        </w:rPr>
      </w:pPr>
    </w:p>
    <w:p w14:paraId="0E6A0849">
      <w:pPr>
        <w:spacing w:line="360" w:lineRule="auto"/>
        <w:ind w:firstLine="494"/>
        <w:rPr>
          <w:rFonts w:hint="eastAsia" w:ascii="仿宋" w:hAnsi="仿宋" w:eastAsia="仿宋" w:cs="仿宋"/>
          <w:color w:val="auto"/>
          <w:sz w:val="24"/>
          <w:highlight w:val="none"/>
        </w:rPr>
      </w:pPr>
    </w:p>
    <w:p w14:paraId="34D7817B">
      <w:pPr>
        <w:spacing w:line="360" w:lineRule="auto"/>
        <w:rPr>
          <w:rFonts w:hint="eastAsia" w:ascii="仿宋" w:hAnsi="仿宋" w:eastAsia="仿宋" w:cs="仿宋"/>
          <w:color w:val="auto"/>
          <w:sz w:val="24"/>
          <w:highlight w:val="none"/>
        </w:rPr>
      </w:pPr>
    </w:p>
    <w:p w14:paraId="7AFCF23D">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1F0B4D8">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971CAB8">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7BA79E0D">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51062C82">
      <w:pPr>
        <w:autoSpaceDE w:val="0"/>
        <w:autoSpaceDN w:val="0"/>
        <w:jc w:val="center"/>
        <w:rPr>
          <w:rFonts w:hint="eastAsia" w:ascii="仿宋" w:hAnsi="仿宋" w:eastAsia="仿宋" w:cs="仿宋"/>
          <w:b/>
          <w:color w:val="auto"/>
          <w:spacing w:val="6"/>
          <w:sz w:val="32"/>
          <w:szCs w:val="32"/>
          <w:highlight w:val="none"/>
        </w:rPr>
      </w:pPr>
    </w:p>
    <w:p w14:paraId="18E2E3CE">
      <w:pPr>
        <w:autoSpaceDE w:val="0"/>
        <w:autoSpaceDN w:val="0"/>
        <w:jc w:val="center"/>
        <w:rPr>
          <w:rFonts w:hint="eastAsia" w:ascii="仿宋" w:hAnsi="仿宋" w:eastAsia="仿宋" w:cs="仿宋"/>
          <w:b/>
          <w:color w:val="auto"/>
          <w:spacing w:val="6"/>
          <w:sz w:val="32"/>
          <w:szCs w:val="32"/>
          <w:highlight w:val="none"/>
        </w:rPr>
      </w:pPr>
    </w:p>
    <w:p w14:paraId="4C7FE08D">
      <w:pPr>
        <w:autoSpaceDE w:val="0"/>
        <w:autoSpaceDN w:val="0"/>
        <w:jc w:val="center"/>
        <w:rPr>
          <w:rFonts w:hint="eastAsia" w:ascii="仿宋" w:hAnsi="仿宋" w:eastAsia="仿宋" w:cs="仿宋"/>
          <w:b/>
          <w:color w:val="auto"/>
          <w:spacing w:val="6"/>
          <w:sz w:val="32"/>
          <w:szCs w:val="32"/>
          <w:highlight w:val="none"/>
        </w:rPr>
      </w:pPr>
    </w:p>
    <w:p w14:paraId="6EAFD4FA">
      <w:pPr>
        <w:autoSpaceDE w:val="0"/>
        <w:autoSpaceDN w:val="0"/>
        <w:jc w:val="center"/>
        <w:rPr>
          <w:rFonts w:hint="eastAsia" w:ascii="仿宋" w:hAnsi="仿宋" w:eastAsia="仿宋" w:cs="仿宋"/>
          <w:b/>
          <w:color w:val="auto"/>
          <w:spacing w:val="6"/>
          <w:sz w:val="32"/>
          <w:szCs w:val="32"/>
          <w:highlight w:val="none"/>
        </w:rPr>
      </w:pPr>
    </w:p>
    <w:p w14:paraId="58FE29F1">
      <w:pPr>
        <w:autoSpaceDE w:val="0"/>
        <w:autoSpaceDN w:val="0"/>
        <w:jc w:val="center"/>
        <w:rPr>
          <w:rFonts w:hint="eastAsia" w:ascii="仿宋" w:hAnsi="仿宋" w:eastAsia="仿宋" w:cs="仿宋"/>
          <w:b/>
          <w:color w:val="auto"/>
          <w:spacing w:val="6"/>
          <w:sz w:val="32"/>
          <w:szCs w:val="32"/>
          <w:highlight w:val="none"/>
        </w:rPr>
      </w:pPr>
    </w:p>
    <w:p w14:paraId="270D4593">
      <w:pPr>
        <w:autoSpaceDE w:val="0"/>
        <w:autoSpaceDN w:val="0"/>
        <w:jc w:val="center"/>
        <w:rPr>
          <w:rFonts w:hint="eastAsia" w:ascii="仿宋" w:hAnsi="仿宋" w:eastAsia="仿宋" w:cs="仿宋"/>
          <w:b/>
          <w:color w:val="auto"/>
          <w:spacing w:val="6"/>
          <w:sz w:val="32"/>
          <w:szCs w:val="32"/>
          <w:highlight w:val="none"/>
        </w:rPr>
      </w:pPr>
    </w:p>
    <w:p w14:paraId="0FB029EC">
      <w:pPr>
        <w:autoSpaceDE w:val="0"/>
        <w:autoSpaceDN w:val="0"/>
        <w:jc w:val="center"/>
        <w:rPr>
          <w:rFonts w:hint="eastAsia" w:ascii="仿宋" w:hAnsi="仿宋" w:eastAsia="仿宋" w:cs="仿宋"/>
          <w:b/>
          <w:color w:val="auto"/>
          <w:spacing w:val="6"/>
          <w:sz w:val="32"/>
          <w:szCs w:val="32"/>
          <w:highlight w:val="none"/>
        </w:rPr>
      </w:pPr>
    </w:p>
    <w:p w14:paraId="70F64A91">
      <w:pPr>
        <w:autoSpaceDE w:val="0"/>
        <w:autoSpaceDN w:val="0"/>
        <w:jc w:val="center"/>
        <w:rPr>
          <w:rFonts w:hint="eastAsia" w:ascii="仿宋" w:hAnsi="仿宋" w:eastAsia="仿宋" w:cs="仿宋"/>
          <w:b/>
          <w:color w:val="auto"/>
          <w:spacing w:val="6"/>
          <w:sz w:val="32"/>
          <w:szCs w:val="32"/>
          <w:highlight w:val="none"/>
        </w:rPr>
      </w:pPr>
    </w:p>
    <w:p w14:paraId="24A39BA0">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B051E17">
      <w:pPr>
        <w:autoSpaceDE w:val="0"/>
        <w:autoSpaceDN w:val="0"/>
        <w:jc w:val="both"/>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750DFCA2">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1FEDF32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21DD49C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3D4A0CF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7E8BE2F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50A0B38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3C2B9C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339F03D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4AA4C97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39DAAD63">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408" w:name="_Hlk101131882"/>
      <w:r>
        <w:rPr>
          <w:rFonts w:hint="eastAsia" w:ascii="仿宋" w:hAnsi="仿宋" w:eastAsia="仿宋" w:cs="仿宋"/>
          <w:color w:val="auto"/>
          <w:kern w:val="0"/>
          <w:sz w:val="24"/>
          <w:highlight w:val="none"/>
          <w:u w:val="single"/>
        </w:rPr>
        <w:t>联合体成员X,……</w:t>
      </w:r>
      <w:bookmarkEnd w:id="40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409" w:name="_Hlk101133598"/>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409"/>
      <w:r>
        <w:rPr>
          <w:rFonts w:hint="eastAsia" w:ascii="仿宋" w:hAnsi="仿宋" w:eastAsia="仿宋" w:cs="仿宋"/>
          <w:b/>
          <w:color w:val="auto"/>
          <w:kern w:val="0"/>
          <w:sz w:val="24"/>
          <w:highlight w:val="none"/>
          <w:lang w:val="zh-CN"/>
        </w:rPr>
        <w:t>）</w:t>
      </w:r>
    </w:p>
    <w:p w14:paraId="6B89340A">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41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410"/>
    </w:p>
    <w:p w14:paraId="5D7E236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7ED4561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098BA3E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479CFE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2BB58E5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E90829D">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049930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41D90C3">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FE50B41">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5A91DC1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3F50E5D">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F3A5F7F">
      <w:pPr>
        <w:snapToGrid w:val="0"/>
        <w:spacing w:line="360" w:lineRule="auto"/>
        <w:jc w:val="both"/>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27716859">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35BC914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06A6B1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4AD01B2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694FCE8">
      <w:pPr>
        <w:pStyle w:val="3"/>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1F744300">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0DC0292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704F9DB8">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0FB489A7">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63F4A45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7B19319A">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64D54CB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21CFCCF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7C8D07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39BD0EBB">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F6A6EBB">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1AA4DEE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BD5A73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1606BB4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2CC2EC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0E991D57">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16CF96B2">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0E813A0E">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E75745F">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1486D8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824F0FC">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65A325CA">
      <w:pPr>
        <w:spacing w:line="360" w:lineRule="auto"/>
        <w:jc w:val="left"/>
        <w:outlineLvl w:val="0"/>
        <w:rPr>
          <w:rFonts w:hint="eastAsia" w:ascii="仿宋" w:hAnsi="仿宋" w:eastAsia="仿宋" w:cs="仿宋"/>
          <w:b/>
          <w:color w:val="auto"/>
          <w:sz w:val="32"/>
          <w:szCs w:val="18"/>
          <w:highlight w:val="none"/>
        </w:rPr>
      </w:pPr>
      <w:r>
        <w:rPr>
          <w:rFonts w:hint="eastAsia" w:ascii="仿宋" w:hAnsi="仿宋" w:eastAsia="仿宋" w:cs="仿宋"/>
          <w:b/>
          <w:color w:val="auto"/>
          <w:sz w:val="32"/>
          <w:szCs w:val="18"/>
          <w:highlight w:val="none"/>
        </w:rPr>
        <w:t>附件7：中小企业声明函</w:t>
      </w:r>
    </w:p>
    <w:p w14:paraId="647F3D61">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3BD63BD4">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48AB85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AD9B77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1DEC1D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B7D79A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C53C88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035BFBF9">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5E1E18BD">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7C9F883E">
      <w:pPr>
        <w:spacing w:line="360" w:lineRule="auto"/>
        <w:jc w:val="left"/>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rPr>
        <w:t>从业人员、营业收入、资产总额填报上一年度数据</w:t>
      </w:r>
      <w:r>
        <w:rPr>
          <w:rFonts w:hint="eastAsia" w:ascii="仿宋" w:hAnsi="仿宋" w:eastAsia="仿宋" w:cs="仿宋"/>
          <w:color w:val="auto"/>
          <w:sz w:val="18"/>
          <w:szCs w:val="18"/>
          <w:highlight w:val="none"/>
          <w:lang w:eastAsia="zh-CN"/>
        </w:rPr>
        <w:t>。</w:t>
      </w:r>
    </w:p>
    <w:p w14:paraId="1BF082D9">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57D6C3BF">
      <w:pPr>
        <w:numPr>
          <w:ilvl w:val="0"/>
          <w:numId w:val="0"/>
        </w:numPr>
        <w:spacing w:line="360" w:lineRule="auto"/>
        <w:ind w:right="420" w:rightChars="0"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highlight w:val="none"/>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企业类型填写错误的，声明函无效</w:t>
      </w:r>
      <w:r>
        <w:rPr>
          <w:rFonts w:hint="eastAsia" w:ascii="仿宋" w:hAnsi="仿宋" w:eastAsia="仿宋" w:cs="仿宋"/>
          <w:color w:val="auto"/>
          <w:sz w:val="24"/>
          <w:highlight w:val="none"/>
          <w:lang w:eastAsia="zh-CN"/>
        </w:rPr>
        <w:t>。</w:t>
      </w:r>
    </w:p>
    <w:p w14:paraId="0D097C28">
      <w:pPr>
        <w:numPr>
          <w:ilvl w:val="0"/>
          <w:numId w:val="0"/>
        </w:numPr>
        <w:spacing w:line="360" w:lineRule="auto"/>
        <w:ind w:right="420" w:rightChars="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ascii="仿宋" w:hAnsi="仿宋" w:eastAsia="仿宋" w:cs="仿宋"/>
          <w:color w:val="auto"/>
          <w:highlight w:val="none"/>
        </w:rPr>
        <w:br w:type="page"/>
      </w:r>
    </w:p>
    <w:p w14:paraId="2FF1DE16">
      <w:pPr>
        <w:spacing w:line="360" w:lineRule="auto"/>
        <w:jc w:val="left"/>
        <w:outlineLvl w:val="0"/>
        <w:rPr>
          <w:rFonts w:hint="eastAsia" w:ascii="仿宋" w:hAnsi="仿宋" w:eastAsia="仿宋" w:cs="仿宋"/>
          <w:b/>
          <w:color w:val="auto"/>
          <w:sz w:val="32"/>
          <w:szCs w:val="18"/>
          <w:highlight w:val="none"/>
          <w:lang w:val="en-US" w:eastAsia="zh-CN"/>
        </w:rPr>
      </w:pPr>
      <w:r>
        <w:rPr>
          <w:rFonts w:hint="eastAsia" w:ascii="仿宋" w:hAnsi="仿宋" w:eastAsia="仿宋" w:cs="仿宋"/>
          <w:b/>
          <w:color w:val="auto"/>
          <w:sz w:val="32"/>
          <w:szCs w:val="18"/>
          <w:highlight w:val="none"/>
        </w:rPr>
        <w:t>附件</w:t>
      </w:r>
      <w:r>
        <w:rPr>
          <w:rFonts w:hint="eastAsia" w:ascii="仿宋" w:hAnsi="仿宋" w:eastAsia="仿宋" w:cs="仿宋"/>
          <w:b/>
          <w:color w:val="auto"/>
          <w:sz w:val="32"/>
          <w:szCs w:val="18"/>
          <w:highlight w:val="none"/>
          <w:lang w:val="en-US"/>
        </w:rPr>
        <w:t>8</w:t>
      </w:r>
      <w:r>
        <w:rPr>
          <w:rFonts w:hint="eastAsia" w:ascii="仿宋" w:hAnsi="仿宋" w:eastAsia="仿宋" w:cs="仿宋"/>
          <w:b/>
          <w:color w:val="auto"/>
          <w:sz w:val="32"/>
          <w:szCs w:val="18"/>
          <w:highlight w:val="none"/>
          <w:lang w:val="en-US" w:eastAsia="zh-CN"/>
        </w:rPr>
        <w:t xml:space="preserve">： </w:t>
      </w:r>
    </w:p>
    <w:p w14:paraId="7C6552B2">
      <w:pPr>
        <w:spacing w:line="360" w:lineRule="auto"/>
        <w:jc w:val="left"/>
        <w:outlineLvl w:val="0"/>
        <w:rPr>
          <w:rFonts w:hint="eastAsia" w:ascii="仿宋" w:hAnsi="仿宋" w:eastAsia="仿宋" w:cs="仿宋"/>
          <w:b/>
          <w:color w:val="auto"/>
          <w:sz w:val="32"/>
          <w:szCs w:val="18"/>
          <w:highlight w:val="none"/>
          <w:lang w:val="en-US" w:eastAsia="zh-CN"/>
        </w:rPr>
      </w:pPr>
    </w:p>
    <w:p w14:paraId="16A0FF2B">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lang w:val="en-US" w:eastAsia="zh-CN"/>
        </w:rPr>
        <w:t>软件演示</w:t>
      </w:r>
      <w:r>
        <w:rPr>
          <w:rFonts w:hint="eastAsia" w:ascii="仿宋" w:hAnsi="仿宋" w:eastAsia="仿宋" w:cs="仿宋"/>
          <w:color w:val="auto"/>
          <w:sz w:val="40"/>
          <w:highlight w:val="none"/>
        </w:rPr>
        <w:t>授权委托书</w:t>
      </w:r>
    </w:p>
    <w:p w14:paraId="54608121">
      <w:pPr>
        <w:jc w:val="center"/>
        <w:rPr>
          <w:rFonts w:hint="eastAsia" w:ascii="仿宋" w:hAnsi="仿宋" w:eastAsia="仿宋" w:cs="仿宋"/>
          <w:color w:val="auto"/>
          <w:sz w:val="40"/>
          <w:highlight w:val="none"/>
        </w:rPr>
      </w:pPr>
    </w:p>
    <w:p w14:paraId="369B67B7">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sz w:val="24"/>
          <w:szCs w:val="24"/>
          <w:highlight w:val="none"/>
          <w:lang w:val="zh-CN"/>
        </w:rPr>
        <w:t>：</w:t>
      </w:r>
    </w:p>
    <w:p w14:paraId="568CE510">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兹委派</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先生/女士，身份证号：</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none"/>
          <w:lang w:val="zh-CN"/>
        </w:rPr>
        <w:t>，</w:t>
      </w:r>
      <w:r>
        <w:rPr>
          <w:rFonts w:hint="eastAsia" w:ascii="仿宋" w:hAnsi="仿宋" w:eastAsia="仿宋" w:cs="仿宋"/>
          <w:color w:val="auto"/>
          <w:sz w:val="24"/>
          <w:szCs w:val="24"/>
          <w:highlight w:val="none"/>
          <w:lang w:val="zh-CN"/>
        </w:rPr>
        <w:t>手机：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，代表我公司前来</w:t>
      </w:r>
      <w:r>
        <w:rPr>
          <w:rFonts w:hint="eastAsia" w:ascii="仿宋" w:hAnsi="仿宋" w:eastAsia="仿宋" w:cs="仿宋"/>
          <w:color w:val="auto"/>
          <w:sz w:val="24"/>
          <w:szCs w:val="24"/>
          <w:highlight w:val="none"/>
          <w:lang w:val="en-US" w:eastAsia="zh-CN"/>
        </w:rPr>
        <w:t>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none"/>
          <w:lang w:val="en-US" w:eastAsia="zh-CN"/>
        </w:rPr>
        <w:t>软件演示资料的递交</w:t>
      </w:r>
      <w:r>
        <w:rPr>
          <w:rFonts w:hint="eastAsia" w:ascii="仿宋" w:hAnsi="仿宋" w:eastAsia="仿宋" w:cs="仿宋"/>
          <w:color w:val="auto"/>
          <w:sz w:val="24"/>
          <w:szCs w:val="24"/>
          <w:highlight w:val="none"/>
          <w:lang w:val="zh-CN"/>
        </w:rPr>
        <w:t>，并全权负责处理其他事宜。</w:t>
      </w:r>
    </w:p>
    <w:p w14:paraId="01327B0A">
      <w:pPr>
        <w:snapToGrid w:val="0"/>
        <w:spacing w:line="360" w:lineRule="auto"/>
        <w:rPr>
          <w:rFonts w:hint="eastAsia" w:ascii="仿宋" w:hAnsi="仿宋" w:eastAsia="仿宋" w:cs="仿宋"/>
          <w:color w:val="auto"/>
          <w:sz w:val="24"/>
          <w:szCs w:val="24"/>
          <w:highlight w:val="none"/>
          <w:lang w:val="zh-CN"/>
        </w:rPr>
      </w:pPr>
    </w:p>
    <w:p w14:paraId="502006AD">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特此告知。</w:t>
      </w:r>
    </w:p>
    <w:p w14:paraId="47BA8EFC">
      <w:pPr>
        <w:spacing w:line="360" w:lineRule="auto"/>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lang w:val="zh-CN"/>
        </w:rPr>
        <w:t xml:space="preserve">）： </w:t>
      </w:r>
    </w:p>
    <w:p w14:paraId="1BEE62E5">
      <w:pPr>
        <w:snapToGrid w:val="0"/>
        <w:spacing w:line="360" w:lineRule="auto"/>
        <w:ind w:right="24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日期：  年   月   日</w:t>
      </w:r>
    </w:p>
    <w:p w14:paraId="62FBF322">
      <w:pPr>
        <w:snapToGrid w:val="0"/>
        <w:spacing w:line="360" w:lineRule="auto"/>
        <w:ind w:right="240"/>
        <w:jc w:val="right"/>
        <w:rPr>
          <w:rFonts w:hint="eastAsia" w:ascii="仿宋" w:hAnsi="仿宋" w:eastAsia="仿宋" w:cs="仿宋"/>
          <w:color w:val="auto"/>
          <w:sz w:val="24"/>
          <w:szCs w:val="24"/>
          <w:highlight w:val="none"/>
          <w:lang w:val="zh-CN"/>
        </w:rPr>
      </w:pPr>
    </w:p>
    <w:p w14:paraId="16D6C6D3">
      <w:pPr>
        <w:snapToGrid w:val="0"/>
        <w:spacing w:line="360" w:lineRule="auto"/>
        <w:ind w:right="24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授权代表</w:t>
      </w:r>
      <w:r>
        <w:rPr>
          <w:rFonts w:hint="eastAsia" w:ascii="仿宋" w:hAnsi="仿宋" w:eastAsia="仿宋" w:cs="仿宋"/>
          <w:color w:val="auto"/>
          <w:sz w:val="24"/>
          <w:szCs w:val="24"/>
          <w:highlight w:val="none"/>
          <w:lang w:val="zh-CN"/>
        </w:rPr>
        <w:t>身份证复印件：</w:t>
      </w:r>
    </w:p>
    <w:p w14:paraId="4D7F95F2">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br w:type="page"/>
      </w:r>
    </w:p>
    <w:p w14:paraId="04E2FFD6">
      <w:pPr>
        <w:pStyle w:val="3"/>
        <w:jc w:val="left"/>
        <w:rPr>
          <w:rFonts w:hint="eastAsia" w:ascii="仿宋" w:hAnsi="仿宋" w:eastAsia="仿宋" w:cs="仿宋"/>
          <w:color w:val="auto"/>
          <w:sz w:val="24"/>
          <w:highlight w:val="none"/>
          <w:lang w:eastAsia="zh-CN"/>
        </w:rPr>
      </w:pPr>
      <w:r>
        <w:rPr>
          <w:rFonts w:hint="eastAsia" w:ascii="仿宋" w:hAnsi="仿宋" w:eastAsia="仿宋" w:cs="仿宋"/>
          <w:color w:val="auto"/>
          <w:highlight w:val="none"/>
        </w:rPr>
        <w:t>附件</w:t>
      </w:r>
      <w:r>
        <w:rPr>
          <w:rFonts w:hint="eastAsia" w:ascii="仿宋" w:hAnsi="仿宋" w:eastAsia="仿宋" w:cs="仿宋"/>
          <w:color w:val="auto"/>
          <w:highlight w:val="none"/>
          <w:lang w:val="en-US" w:eastAsia="zh-CN"/>
        </w:rPr>
        <w:t>9</w:t>
      </w:r>
    </w:p>
    <w:p w14:paraId="32B311EC">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lang w:val="en-US" w:eastAsia="zh-CN"/>
        </w:rPr>
        <w:t>样品提供、演示</w:t>
      </w:r>
      <w:r>
        <w:rPr>
          <w:rFonts w:hint="eastAsia" w:ascii="仿宋" w:hAnsi="仿宋" w:eastAsia="仿宋" w:cs="仿宋"/>
          <w:color w:val="auto"/>
          <w:sz w:val="40"/>
          <w:highlight w:val="none"/>
        </w:rPr>
        <w:t>授权委托书</w:t>
      </w:r>
    </w:p>
    <w:p w14:paraId="4D820BF0">
      <w:pPr>
        <w:jc w:val="center"/>
        <w:rPr>
          <w:rFonts w:hint="eastAsia" w:ascii="仿宋" w:hAnsi="仿宋" w:eastAsia="仿宋" w:cs="仿宋"/>
          <w:color w:val="auto"/>
          <w:sz w:val="40"/>
          <w:highlight w:val="none"/>
        </w:rPr>
      </w:pPr>
    </w:p>
    <w:p w14:paraId="5D9FC56F">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sz w:val="24"/>
          <w:szCs w:val="24"/>
          <w:highlight w:val="none"/>
          <w:lang w:val="zh-CN"/>
        </w:rPr>
        <w:t>：</w:t>
      </w:r>
    </w:p>
    <w:p w14:paraId="57D07C61">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兹委派</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先生/女士，身份证号：</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none"/>
          <w:lang w:val="zh-CN"/>
        </w:rPr>
        <w:t>，</w:t>
      </w:r>
      <w:r>
        <w:rPr>
          <w:rFonts w:hint="eastAsia" w:ascii="仿宋" w:hAnsi="仿宋" w:eastAsia="仿宋" w:cs="仿宋"/>
          <w:color w:val="auto"/>
          <w:sz w:val="24"/>
          <w:szCs w:val="24"/>
          <w:highlight w:val="none"/>
          <w:lang w:val="zh-CN"/>
        </w:rPr>
        <w:t>手机：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，代表我公司前来</w:t>
      </w:r>
      <w:r>
        <w:rPr>
          <w:rFonts w:hint="eastAsia" w:ascii="仿宋" w:hAnsi="仿宋" w:eastAsia="仿宋" w:cs="仿宋"/>
          <w:color w:val="auto"/>
          <w:sz w:val="24"/>
          <w:szCs w:val="24"/>
          <w:highlight w:val="none"/>
          <w:lang w:val="en-US" w:eastAsia="zh-CN"/>
        </w:rPr>
        <w:t>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none"/>
          <w:lang w:val="en-US" w:eastAsia="zh-CN"/>
        </w:rPr>
        <w:t>样品提供、演示</w:t>
      </w:r>
      <w:r>
        <w:rPr>
          <w:rFonts w:hint="eastAsia" w:ascii="仿宋" w:hAnsi="仿宋" w:eastAsia="仿宋" w:cs="仿宋"/>
          <w:color w:val="auto"/>
          <w:sz w:val="24"/>
          <w:szCs w:val="24"/>
          <w:highlight w:val="none"/>
          <w:lang w:val="zh-CN"/>
        </w:rPr>
        <w:t>，并全权负责处理其他事宜。</w:t>
      </w:r>
    </w:p>
    <w:p w14:paraId="009F51D5">
      <w:pPr>
        <w:snapToGrid w:val="0"/>
        <w:spacing w:line="360" w:lineRule="auto"/>
        <w:rPr>
          <w:rFonts w:hint="eastAsia" w:ascii="仿宋" w:hAnsi="仿宋" w:eastAsia="仿宋" w:cs="仿宋"/>
          <w:color w:val="auto"/>
          <w:sz w:val="24"/>
          <w:szCs w:val="24"/>
          <w:highlight w:val="none"/>
          <w:lang w:val="zh-CN"/>
        </w:rPr>
      </w:pPr>
    </w:p>
    <w:p w14:paraId="3DA3CCEB">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特此告知。</w:t>
      </w:r>
    </w:p>
    <w:p w14:paraId="2CB2BE22">
      <w:pPr>
        <w:spacing w:line="360" w:lineRule="auto"/>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lang w:val="zh-CN"/>
        </w:rPr>
        <w:t xml:space="preserve">）： </w:t>
      </w:r>
    </w:p>
    <w:p w14:paraId="5D3E5837">
      <w:pPr>
        <w:snapToGrid w:val="0"/>
        <w:spacing w:line="360" w:lineRule="auto"/>
        <w:ind w:right="24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日期：  年   月   日</w:t>
      </w:r>
    </w:p>
    <w:p w14:paraId="3FD8EB86">
      <w:pPr>
        <w:snapToGrid w:val="0"/>
        <w:spacing w:line="360" w:lineRule="auto"/>
        <w:ind w:right="240"/>
        <w:jc w:val="right"/>
        <w:rPr>
          <w:rFonts w:hint="eastAsia" w:ascii="仿宋" w:hAnsi="仿宋" w:eastAsia="仿宋" w:cs="仿宋"/>
          <w:color w:val="auto"/>
          <w:sz w:val="24"/>
          <w:szCs w:val="24"/>
          <w:highlight w:val="none"/>
          <w:lang w:val="zh-CN"/>
        </w:rPr>
      </w:pPr>
    </w:p>
    <w:p w14:paraId="74C77AC7">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授权代表</w:t>
      </w:r>
      <w:r>
        <w:rPr>
          <w:rFonts w:hint="eastAsia" w:ascii="仿宋" w:hAnsi="仿宋" w:eastAsia="仿宋" w:cs="仿宋"/>
          <w:color w:val="auto"/>
          <w:sz w:val="24"/>
          <w:szCs w:val="24"/>
          <w:highlight w:val="none"/>
          <w:lang w:val="zh-CN"/>
        </w:rPr>
        <w:t>身份证复印件：</w:t>
      </w:r>
    </w:p>
    <w:p w14:paraId="327EB025">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br w:type="page"/>
      </w:r>
    </w:p>
    <w:p w14:paraId="42820B53">
      <w:pPr>
        <w:pStyle w:val="3"/>
        <w:jc w:val="left"/>
        <w:rPr>
          <w:rFonts w:hint="eastAsia" w:ascii="仿宋" w:hAnsi="仿宋" w:eastAsia="仿宋" w:cs="仿宋"/>
          <w:color w:val="auto"/>
          <w:sz w:val="24"/>
          <w:highlight w:val="none"/>
          <w:lang w:val="en-US" w:eastAsia="zh-CN"/>
        </w:rPr>
      </w:pPr>
      <w:r>
        <w:rPr>
          <w:rFonts w:hint="eastAsia" w:ascii="仿宋" w:hAnsi="仿宋" w:eastAsia="仿宋" w:cs="仿宋"/>
          <w:color w:val="auto"/>
          <w:highlight w:val="none"/>
        </w:rPr>
        <w:t>附件</w:t>
      </w:r>
      <w:r>
        <w:rPr>
          <w:rFonts w:hint="eastAsia" w:ascii="仿宋" w:hAnsi="仿宋" w:eastAsia="仿宋" w:cs="仿宋"/>
          <w:color w:val="auto"/>
          <w:highlight w:val="none"/>
          <w:lang w:val="en-US" w:eastAsia="zh-CN"/>
        </w:rPr>
        <w:t>10</w:t>
      </w:r>
    </w:p>
    <w:p w14:paraId="3334B495">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lang w:val="en-US" w:eastAsia="zh-CN"/>
        </w:rPr>
        <w:t>项目经理服务方案讲解</w:t>
      </w:r>
      <w:r>
        <w:rPr>
          <w:rFonts w:hint="eastAsia" w:ascii="仿宋" w:hAnsi="仿宋" w:eastAsia="仿宋" w:cs="仿宋"/>
          <w:color w:val="auto"/>
          <w:sz w:val="40"/>
          <w:highlight w:val="none"/>
        </w:rPr>
        <w:t>授权委托书</w:t>
      </w:r>
    </w:p>
    <w:p w14:paraId="3C87556B">
      <w:pPr>
        <w:spacing w:line="360" w:lineRule="auto"/>
        <w:jc w:val="center"/>
        <w:rPr>
          <w:rFonts w:hint="eastAsia" w:ascii="仿宋" w:hAnsi="仿宋" w:eastAsia="仿宋" w:cs="仿宋"/>
          <w:color w:val="auto"/>
          <w:sz w:val="40"/>
          <w:highlight w:val="none"/>
        </w:rPr>
      </w:pPr>
    </w:p>
    <w:p w14:paraId="16F0C36D">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sz w:val="24"/>
          <w:szCs w:val="24"/>
          <w:highlight w:val="none"/>
          <w:lang w:val="zh-CN"/>
        </w:rPr>
        <w:t>：</w:t>
      </w:r>
    </w:p>
    <w:p w14:paraId="0A9D5C44">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兹委派</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先生/女士，身份证号：</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none"/>
          <w:lang w:val="zh-CN"/>
        </w:rPr>
        <w:t>，</w:t>
      </w:r>
      <w:r>
        <w:rPr>
          <w:rFonts w:hint="eastAsia" w:ascii="仿宋" w:hAnsi="仿宋" w:eastAsia="仿宋" w:cs="仿宋"/>
          <w:color w:val="auto"/>
          <w:sz w:val="24"/>
          <w:szCs w:val="24"/>
          <w:highlight w:val="none"/>
          <w:lang w:val="zh-CN"/>
        </w:rPr>
        <w:t>手机：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，代表我公司前来</w:t>
      </w:r>
      <w:r>
        <w:rPr>
          <w:rFonts w:hint="eastAsia" w:ascii="仿宋" w:hAnsi="仿宋" w:eastAsia="仿宋" w:cs="仿宋"/>
          <w:color w:val="auto"/>
          <w:sz w:val="24"/>
          <w:szCs w:val="24"/>
          <w:highlight w:val="none"/>
          <w:lang w:val="en-US" w:eastAsia="zh-CN"/>
        </w:rPr>
        <w:t>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none"/>
          <w:lang w:val="en-US" w:eastAsia="zh-CN"/>
        </w:rPr>
        <w:t>项目经理服务方案讲解资料的递交</w:t>
      </w:r>
      <w:r>
        <w:rPr>
          <w:rFonts w:hint="eastAsia" w:ascii="仿宋" w:hAnsi="仿宋" w:eastAsia="仿宋" w:cs="仿宋"/>
          <w:color w:val="auto"/>
          <w:sz w:val="24"/>
          <w:szCs w:val="24"/>
          <w:highlight w:val="none"/>
          <w:lang w:val="zh-CN"/>
        </w:rPr>
        <w:t>，并全权负责处理其他事宜。</w:t>
      </w:r>
    </w:p>
    <w:p w14:paraId="7C8F66B1">
      <w:pPr>
        <w:snapToGrid w:val="0"/>
        <w:spacing w:line="360" w:lineRule="auto"/>
        <w:rPr>
          <w:rFonts w:hint="eastAsia" w:ascii="仿宋" w:hAnsi="仿宋" w:eastAsia="仿宋" w:cs="仿宋"/>
          <w:color w:val="auto"/>
          <w:sz w:val="24"/>
          <w:szCs w:val="24"/>
          <w:highlight w:val="none"/>
          <w:lang w:val="zh-CN"/>
        </w:rPr>
      </w:pPr>
    </w:p>
    <w:p w14:paraId="5488C6B3">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特此告知。</w:t>
      </w:r>
    </w:p>
    <w:p w14:paraId="48B99C4C">
      <w:pPr>
        <w:spacing w:line="360" w:lineRule="auto"/>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lang w:val="zh-CN"/>
        </w:rPr>
        <w:t xml:space="preserve">）： </w:t>
      </w:r>
    </w:p>
    <w:p w14:paraId="0A139554">
      <w:pPr>
        <w:snapToGrid w:val="0"/>
        <w:spacing w:line="360" w:lineRule="auto"/>
        <w:ind w:right="24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日期：  年   月   日</w:t>
      </w:r>
    </w:p>
    <w:p w14:paraId="575D0F34">
      <w:pPr>
        <w:snapToGrid w:val="0"/>
        <w:spacing w:line="360" w:lineRule="auto"/>
        <w:ind w:right="240"/>
        <w:jc w:val="right"/>
        <w:rPr>
          <w:rFonts w:hint="eastAsia" w:ascii="仿宋" w:hAnsi="仿宋" w:eastAsia="仿宋" w:cs="仿宋"/>
          <w:color w:val="auto"/>
          <w:sz w:val="24"/>
          <w:szCs w:val="24"/>
          <w:highlight w:val="none"/>
          <w:lang w:val="zh-CN"/>
        </w:rPr>
      </w:pPr>
    </w:p>
    <w:p w14:paraId="0A9110C9">
      <w:pPr>
        <w:spacing w:line="360" w:lineRule="auto"/>
        <w:rPr>
          <w:rFonts w:hint="eastAsia" w:ascii="仿宋" w:hAnsi="仿宋" w:eastAsia="仿宋" w:cs="仿宋"/>
          <w:color w:val="auto"/>
          <w:sz w:val="24"/>
          <w:szCs w:val="24"/>
          <w:highlight w:val="none"/>
          <w:lang w:val="zh-CN"/>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sz w:val="24"/>
          <w:szCs w:val="24"/>
          <w:highlight w:val="none"/>
          <w:lang w:val="en-US" w:eastAsia="zh-CN"/>
        </w:rPr>
        <w:t>授权代表</w:t>
      </w:r>
      <w:r>
        <w:rPr>
          <w:rFonts w:hint="eastAsia" w:ascii="仿宋" w:hAnsi="仿宋" w:eastAsia="仿宋" w:cs="仿宋"/>
          <w:color w:val="auto"/>
          <w:sz w:val="24"/>
          <w:szCs w:val="24"/>
          <w:highlight w:val="none"/>
          <w:lang w:val="zh-CN"/>
        </w:rPr>
        <w:t>身份证复印件：</w:t>
      </w:r>
    </w:p>
    <w:p w14:paraId="51228E3D">
      <w:pPr>
        <w:pStyle w:val="3"/>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附件11：U盘外包装格式参考</w:t>
      </w:r>
    </w:p>
    <w:p w14:paraId="42DB2E80">
      <w:pPr>
        <w:spacing w:line="360" w:lineRule="auto"/>
        <w:rPr>
          <w:rFonts w:hint="eastAsia" w:ascii="仿宋" w:hAnsi="仿宋" w:eastAsia="仿宋" w:cs="仿宋"/>
          <w:color w:val="auto"/>
          <w:sz w:val="24"/>
          <w:szCs w:val="24"/>
          <w:highlight w:val="none"/>
          <w:lang w:val="en-US" w:eastAsia="zh-CN"/>
        </w:rPr>
      </w:pPr>
    </w:p>
    <w:p w14:paraId="0F8AB996">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b/>
          <w:color w:val="auto"/>
          <w:sz w:val="24"/>
          <w:highlight w:val="none"/>
          <w:lang w:val="en-US" w:eastAsia="zh-CN"/>
        </w:rPr>
        <w:t>软件演示-U盘</w:t>
      </w:r>
    </w:p>
    <w:p w14:paraId="4F96CA81">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11482288">
      <w:pPr>
        <w:spacing w:line="360" w:lineRule="auto"/>
        <w:ind w:left="0" w:leftChars="0" w:firstLine="2100" w:firstLineChars="875"/>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u w:val="single"/>
          <w:lang w:val="en-US" w:eastAsia="zh-CN"/>
        </w:rPr>
        <w:t xml:space="preserve">                                 </w:t>
      </w:r>
    </w:p>
    <w:p w14:paraId="48108E1B">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486A68B0">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投标人（盖章）：</w:t>
      </w:r>
      <w:r>
        <w:rPr>
          <w:rFonts w:hint="eastAsia" w:ascii="仿宋" w:hAnsi="仿宋" w:eastAsia="仿宋" w:cs="仿宋"/>
          <w:color w:val="auto"/>
          <w:sz w:val="24"/>
          <w:szCs w:val="24"/>
          <w:highlight w:val="none"/>
          <w:u w:val="single"/>
          <w:lang w:val="en-US" w:eastAsia="zh-CN"/>
        </w:rPr>
        <w:t xml:space="preserve">                           </w:t>
      </w:r>
    </w:p>
    <w:p w14:paraId="602CDE3B">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5249436F">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p>
    <w:p w14:paraId="0849EA37">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3C89F71E">
      <w:pPr>
        <w:spacing w:line="360" w:lineRule="auto"/>
        <w:ind w:left="0" w:leftChars="0" w:firstLine="2100" w:firstLineChars="875"/>
        <w:jc w:val="both"/>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lang w:val="en-US" w:eastAsia="zh-CN"/>
        </w:rPr>
        <w:t>日期：</w:t>
      </w:r>
      <w:r>
        <w:rPr>
          <w:rFonts w:hint="eastAsia" w:ascii="仿宋" w:hAnsi="仿宋" w:eastAsia="仿宋" w:cs="仿宋"/>
          <w:color w:val="auto"/>
          <w:sz w:val="24"/>
          <w:szCs w:val="24"/>
          <w:highlight w:val="none"/>
          <w:u w:val="single"/>
          <w:lang w:val="en-US" w:eastAsia="zh-CN"/>
        </w:rPr>
        <w:t xml:space="preserve">                                     </w:t>
      </w:r>
    </w:p>
    <w:p w14:paraId="6E692EF4">
      <w:pPr>
        <w:spacing w:line="360" w:lineRule="auto"/>
        <w:jc w:val="center"/>
        <w:rPr>
          <w:rFonts w:hint="eastAsia" w:ascii="仿宋" w:hAnsi="仿宋" w:eastAsia="仿宋" w:cs="仿宋"/>
          <w:b/>
          <w:color w:val="auto"/>
          <w:sz w:val="24"/>
          <w:highlight w:val="none"/>
          <w:lang w:val="en-US" w:eastAsia="zh-CN"/>
        </w:rPr>
      </w:pPr>
    </w:p>
    <w:p w14:paraId="2C4850C6">
      <w:pPr>
        <w:spacing w:line="360" w:lineRule="auto"/>
        <w:jc w:val="center"/>
        <w:rPr>
          <w:rFonts w:hint="eastAsia" w:ascii="仿宋" w:hAnsi="仿宋" w:eastAsia="仿宋" w:cs="仿宋"/>
          <w:b/>
          <w:color w:val="auto"/>
          <w:sz w:val="24"/>
          <w:highlight w:val="none"/>
          <w:lang w:val="en-US" w:eastAsia="zh-CN"/>
        </w:rPr>
      </w:pPr>
    </w:p>
    <w:p w14:paraId="03CC1053">
      <w:pPr>
        <w:spacing w:line="360" w:lineRule="auto"/>
        <w:jc w:val="center"/>
        <w:rPr>
          <w:rFonts w:hint="eastAsia" w:ascii="仿宋" w:hAnsi="仿宋" w:eastAsia="仿宋" w:cs="仿宋"/>
          <w:b/>
          <w:color w:val="auto"/>
          <w:sz w:val="24"/>
          <w:highlight w:val="none"/>
          <w:lang w:val="en-US" w:eastAsia="zh-CN"/>
        </w:rPr>
      </w:pPr>
    </w:p>
    <w:p w14:paraId="1504F3C6">
      <w:pPr>
        <w:spacing w:line="360" w:lineRule="auto"/>
        <w:jc w:val="center"/>
        <w:rPr>
          <w:rFonts w:hint="eastAsia" w:ascii="仿宋" w:hAnsi="仿宋" w:eastAsia="仿宋" w:cs="仿宋"/>
          <w:b/>
          <w:color w:val="auto"/>
          <w:sz w:val="24"/>
          <w:szCs w:val="24"/>
          <w:highlight w:val="none"/>
          <w:lang w:val="en-US" w:eastAsia="zh-CN"/>
        </w:rPr>
      </w:pPr>
    </w:p>
    <w:p w14:paraId="59EA13EB">
      <w:pPr>
        <w:spacing w:line="360" w:lineRule="auto"/>
        <w:jc w:val="center"/>
        <w:rPr>
          <w:rFonts w:hint="eastAsia" w:ascii="仿宋" w:hAnsi="仿宋" w:eastAsia="仿宋" w:cs="仿宋"/>
          <w:b/>
          <w:color w:val="auto"/>
          <w:sz w:val="24"/>
          <w:szCs w:val="24"/>
          <w:highlight w:val="none"/>
          <w:lang w:val="en-US" w:eastAsia="zh-CN"/>
        </w:rPr>
      </w:pPr>
    </w:p>
    <w:p w14:paraId="619352C5">
      <w:pPr>
        <w:spacing w:line="360" w:lineRule="auto"/>
        <w:jc w:val="center"/>
        <w:rPr>
          <w:rFonts w:hint="eastAsia" w:ascii="仿宋" w:hAnsi="仿宋" w:eastAsia="仿宋" w:cs="仿宋"/>
          <w:b/>
          <w:color w:val="auto"/>
          <w:sz w:val="24"/>
          <w:szCs w:val="24"/>
          <w:highlight w:val="none"/>
          <w:lang w:val="en-US" w:eastAsia="zh-CN"/>
        </w:rPr>
      </w:pPr>
    </w:p>
    <w:p w14:paraId="27A05CD5">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项目经理服务方案讲解</w:t>
      </w:r>
      <w:r>
        <w:rPr>
          <w:rFonts w:hint="eastAsia" w:ascii="仿宋" w:hAnsi="仿宋" w:eastAsia="仿宋" w:cs="仿宋"/>
          <w:b/>
          <w:color w:val="auto"/>
          <w:sz w:val="24"/>
          <w:highlight w:val="none"/>
          <w:lang w:val="en-US" w:eastAsia="zh-CN"/>
        </w:rPr>
        <w:t>-U盘</w:t>
      </w:r>
    </w:p>
    <w:p w14:paraId="365554D0">
      <w:pPr>
        <w:spacing w:line="360" w:lineRule="auto"/>
        <w:rPr>
          <w:rFonts w:hint="eastAsia" w:ascii="仿宋" w:hAnsi="仿宋" w:eastAsia="仿宋" w:cs="仿宋"/>
          <w:color w:val="auto"/>
          <w:sz w:val="24"/>
          <w:szCs w:val="24"/>
          <w:highlight w:val="none"/>
          <w:lang w:val="en-US" w:eastAsia="zh-CN"/>
        </w:rPr>
      </w:pPr>
    </w:p>
    <w:p w14:paraId="114A3B61">
      <w:pPr>
        <w:spacing w:line="360" w:lineRule="auto"/>
        <w:ind w:left="0" w:leftChars="0" w:firstLine="2100" w:firstLineChars="875"/>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u w:val="single"/>
          <w:lang w:val="en-US" w:eastAsia="zh-CN"/>
        </w:rPr>
        <w:t xml:space="preserve">                                 </w:t>
      </w:r>
    </w:p>
    <w:p w14:paraId="7C44A738">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745780A2">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投标人（盖章）：</w:t>
      </w:r>
      <w:r>
        <w:rPr>
          <w:rFonts w:hint="eastAsia" w:ascii="仿宋" w:hAnsi="仿宋" w:eastAsia="仿宋" w:cs="仿宋"/>
          <w:color w:val="auto"/>
          <w:sz w:val="24"/>
          <w:szCs w:val="24"/>
          <w:highlight w:val="none"/>
          <w:u w:val="single"/>
          <w:lang w:val="en-US" w:eastAsia="zh-CN"/>
        </w:rPr>
        <w:t xml:space="preserve">                           </w:t>
      </w:r>
    </w:p>
    <w:p w14:paraId="46CC77C8">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7F03356A">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p>
    <w:p w14:paraId="3531BA3D">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49B09D6E">
      <w:pPr>
        <w:spacing w:line="360" w:lineRule="auto"/>
        <w:ind w:left="0" w:leftChars="0" w:firstLine="2100" w:firstLineChars="875"/>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日期：</w:t>
      </w:r>
      <w:r>
        <w:rPr>
          <w:rFonts w:hint="eastAsia" w:ascii="仿宋" w:hAnsi="仿宋" w:eastAsia="仿宋" w:cs="仿宋"/>
          <w:color w:val="auto"/>
          <w:sz w:val="24"/>
          <w:szCs w:val="24"/>
          <w:highlight w:val="none"/>
          <w:u w:val="single"/>
          <w:lang w:val="en-US" w:eastAsia="zh-CN"/>
        </w:rPr>
        <w:t xml:space="preserve">                                    </w:t>
      </w:r>
    </w:p>
    <w:p w14:paraId="247451A6">
      <w:pPr>
        <w:snapToGrid w:val="0"/>
        <w:spacing w:line="360" w:lineRule="auto"/>
        <w:ind w:right="240"/>
        <w:rPr>
          <w:rFonts w:hint="eastAsia" w:ascii="仿宋" w:hAnsi="仿宋" w:eastAsia="仿宋" w:cs="仿宋"/>
          <w:color w:val="auto"/>
          <w:sz w:val="24"/>
          <w:szCs w:val="24"/>
          <w:highlight w:val="none"/>
          <w:lang w:val="zh-CN"/>
        </w:rPr>
      </w:pPr>
    </w:p>
    <w:p w14:paraId="3C714854">
      <w:pPr>
        <w:snapToGrid w:val="0"/>
        <w:spacing w:line="360" w:lineRule="auto"/>
        <w:ind w:right="240"/>
        <w:rPr>
          <w:rFonts w:hint="eastAsia" w:ascii="仿宋" w:hAnsi="仿宋" w:eastAsia="仿宋" w:cs="仿宋"/>
          <w:color w:val="auto"/>
          <w:sz w:val="24"/>
          <w:szCs w:val="24"/>
          <w:highlight w:val="none"/>
          <w:lang w:val="zh-CN"/>
        </w:rPr>
      </w:pPr>
    </w:p>
    <w:p w14:paraId="6CBB370B">
      <w:pPr>
        <w:spacing w:line="360" w:lineRule="auto"/>
        <w:rPr>
          <w:rFonts w:hint="eastAsia" w:ascii="仿宋" w:hAnsi="仿宋" w:eastAsia="仿宋" w:cs="仿宋"/>
          <w:bCs/>
          <w:color w:val="auto"/>
          <w:sz w:val="24"/>
          <w:highlight w:val="none"/>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方正公文小标宋"/>
    <w:panose1 w:val="00000000000000000000"/>
    <w:charset w:val="00"/>
    <w:family w:val="roma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方正公文小标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方正公文小标宋"/>
    <w:panose1 w:val="00000000000000000000"/>
    <w:charset w:val="00"/>
    <w:family w:val="modern"/>
    <w:pitch w:val="default"/>
    <w:sig w:usb0="00000000" w:usb1="00000000" w:usb2="00000000" w:usb3="00000000" w:csb0="00040001" w:csb1="00000000"/>
  </w:font>
  <w:font w:name="??">
    <w:altName w:val="宋体"/>
    <w:panose1 w:val="00000000000000000000"/>
    <w:charset w:val="86"/>
    <w:family w:val="roman"/>
    <w:pitch w:val="default"/>
    <w:sig w:usb0="00000000" w:usb1="00000000" w:usb2="00000000" w:usb3="00000000" w:csb0="00000000" w:csb1="00000000"/>
  </w:font>
  <w:font w:name="MS Gothic">
    <w:panose1 w:val="020B0609070205080204"/>
    <w:charset w:val="80"/>
    <w:family w:val="auto"/>
    <w:pitch w:val="default"/>
    <w:sig w:usb0="E00002FF" w:usb1="6AC7FDFB" w:usb2="08000012" w:usb3="00000000" w:csb0="4002009F" w:csb1="DFD7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F7DA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AAC57">
    <w:pPr>
      <w:pStyle w:val="39"/>
      <w:framePr w:wrap="around" w:vAnchor="text" w:hAnchor="margin" w:xAlign="right" w:y="1"/>
      <w:rPr>
        <w:rStyle w:val="72"/>
      </w:rPr>
    </w:pPr>
    <w:r>
      <w:fldChar w:fldCharType="begin"/>
    </w:r>
    <w:r>
      <w:rPr>
        <w:rStyle w:val="72"/>
      </w:rPr>
      <w:instrText xml:space="preserve">PAGE  </w:instrText>
    </w:r>
    <w:r>
      <w:fldChar w:fldCharType="end"/>
    </w:r>
  </w:p>
  <w:p w14:paraId="7040C9C5">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8B904">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411" w:name="_Toc131845147"/>
    <w:bookmarkStart w:id="412" w:name="_Toc91899912"/>
    <w:bookmarkStart w:id="413" w:name="_Toc164085800"/>
    <w:bookmarkStart w:id="414" w:name="_Toc36110187"/>
    <w:r>
      <w:rPr>
        <w:rFonts w:hint="eastAsia" w:ascii="仿宋_GB2312" w:eastAsia="仿宋_GB2312"/>
        <w:kern w:val="0"/>
        <w:szCs w:val="21"/>
      </w:rPr>
      <w:t xml:space="preserve"> 页</w:t>
    </w:r>
    <w:bookmarkEnd w:id="411"/>
    <w:bookmarkEnd w:id="412"/>
    <w:bookmarkEnd w:id="413"/>
    <w:bookmarkEnd w:id="414"/>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74577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E8A446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5E2C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1775489">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D6829">
    <w:pPr>
      <w:pStyle w:val="40"/>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1B35E">
    <w:pPr>
      <w:pStyle w:val="40"/>
      <w:jc w:val="right"/>
    </w:pPr>
    <w: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A3993">
    <w:pPr>
      <w:pStyle w:val="40"/>
      <w:jc w:val="right"/>
      <w:rPr>
        <w:rFonts w:ascii="仿宋_GB2312" w:eastAsia="仿宋_GB2312"/>
        <w:b/>
        <w:i/>
        <w:u w:val="single"/>
      </w:rPr>
    </w:pPr>
    <w:r>
      <w:rPr>
        <w:rFonts w:hint="eastAsia"/>
      </w:rPr>
      <w:t xml:space="preserve">                                  </w:t>
    </w:r>
    <w:r>
      <w:t>杭州市政府采购公开招标文件</w:t>
    </w:r>
  </w:p>
  <w:p w14:paraId="3CA95CF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19E3D">
    <w:pPr>
      <w:pStyle w:val="40"/>
      <w:jc w:val="right"/>
    </w:pP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CF4C88"/>
    <w:multiLevelType w:val="singleLevel"/>
    <w:tmpl w:val="99CF4C88"/>
    <w:lvl w:ilvl="0" w:tentative="0">
      <w:start w:val="1"/>
      <w:numFmt w:val="decimal"/>
      <w:suff w:val="nothing"/>
      <w:lvlText w:val="%1、"/>
      <w:lvlJc w:val="left"/>
    </w:lvl>
  </w:abstractNum>
  <w:abstractNum w:abstractNumId="1">
    <w:nsid w:val="ACAFA813"/>
    <w:multiLevelType w:val="singleLevel"/>
    <w:tmpl w:val="ACAFA813"/>
    <w:lvl w:ilvl="0" w:tentative="0">
      <w:start w:val="1"/>
      <w:numFmt w:val="decimal"/>
      <w:lvlText w:val="%1."/>
      <w:lvlJc w:val="left"/>
      <w:pPr>
        <w:tabs>
          <w:tab w:val="left" w:pos="312"/>
        </w:tabs>
      </w:pPr>
    </w:lvl>
  </w:abstractNum>
  <w:abstractNum w:abstractNumId="2">
    <w:nsid w:val="D57498BB"/>
    <w:multiLevelType w:val="singleLevel"/>
    <w:tmpl w:val="D57498BB"/>
    <w:lvl w:ilvl="0" w:tentative="0">
      <w:start w:val="2"/>
      <w:numFmt w:val="decimal"/>
      <w:suff w:val="space"/>
      <w:lvlText w:val="%1."/>
      <w:lvlJc w:val="left"/>
    </w:lvl>
  </w:abstractNum>
  <w:abstractNum w:abstractNumId="3">
    <w:nsid w:val="DF7B5DEF"/>
    <w:multiLevelType w:val="singleLevel"/>
    <w:tmpl w:val="DF7B5DEF"/>
    <w:lvl w:ilvl="0" w:tentative="0">
      <w:start w:val="5"/>
      <w:numFmt w:val="chineseCounting"/>
      <w:suff w:val="space"/>
      <w:lvlText w:val="第%1部分"/>
      <w:lvlJc w:val="left"/>
      <w:rPr>
        <w:rFonts w:hint="eastAsia"/>
      </w:rPr>
    </w:lvl>
  </w:abstractNum>
  <w:abstractNum w:abstractNumId="4">
    <w:nsid w:val="EFBE0E82"/>
    <w:multiLevelType w:val="singleLevel"/>
    <w:tmpl w:val="EFBE0E82"/>
    <w:lvl w:ilvl="0" w:tentative="0">
      <w:start w:val="16"/>
      <w:numFmt w:val="decimal"/>
      <w:suff w:val="space"/>
      <w:lvlText w:val="%1."/>
      <w:lvlJc w:val="left"/>
    </w:lvl>
  </w:abstractNum>
  <w:abstractNum w:abstractNumId="5">
    <w:nsid w:val="F79E0EA8"/>
    <w:multiLevelType w:val="singleLevel"/>
    <w:tmpl w:val="F79E0EA8"/>
    <w:lvl w:ilvl="0" w:tentative="0">
      <w:start w:val="13"/>
      <w:numFmt w:val="decimal"/>
      <w:suff w:val="space"/>
      <w:lvlText w:val="%1."/>
      <w:lvlJc w:val="left"/>
    </w:lvl>
  </w:abstractNum>
  <w:abstractNum w:abstractNumId="6">
    <w:nsid w:val="FBFE8AFF"/>
    <w:multiLevelType w:val="singleLevel"/>
    <w:tmpl w:val="FBFE8AFF"/>
    <w:lvl w:ilvl="0" w:tentative="0">
      <w:start w:val="8"/>
      <w:numFmt w:val="decimal"/>
      <w:suff w:val="space"/>
      <w:lvlText w:val="%1."/>
      <w:lvlJc w:val="left"/>
    </w:lvl>
  </w:abstractNum>
  <w:abstractNum w:abstractNumId="7">
    <w:nsid w:val="279A80E8"/>
    <w:multiLevelType w:val="singleLevel"/>
    <w:tmpl w:val="279A80E8"/>
    <w:lvl w:ilvl="0" w:tentative="0">
      <w:start w:val="1"/>
      <w:numFmt w:val="decimal"/>
      <w:lvlText w:val="%1."/>
      <w:lvlJc w:val="left"/>
      <w:pPr>
        <w:tabs>
          <w:tab w:val="left" w:pos="397"/>
        </w:tabs>
        <w:ind w:left="0" w:firstLine="0"/>
      </w:pPr>
      <w:rPr>
        <w:rFonts w:hint="default"/>
      </w:rPr>
    </w:lvl>
  </w:abstractNum>
  <w:abstractNum w:abstractNumId="8">
    <w:nsid w:val="5153533D"/>
    <w:multiLevelType w:val="singleLevel"/>
    <w:tmpl w:val="5153533D"/>
    <w:lvl w:ilvl="0" w:tentative="0">
      <w:start w:val="1"/>
      <w:numFmt w:val="decimal"/>
      <w:lvlText w:val="%1."/>
      <w:lvlJc w:val="left"/>
      <w:pPr>
        <w:tabs>
          <w:tab w:val="left" w:pos="312"/>
        </w:tabs>
      </w:pPr>
    </w:lvl>
  </w:abstractNum>
  <w:abstractNum w:abstractNumId="9">
    <w:nsid w:val="57FF7EC6"/>
    <w:multiLevelType w:val="singleLevel"/>
    <w:tmpl w:val="57FF7EC6"/>
    <w:lvl w:ilvl="0" w:tentative="0">
      <w:start w:val="15"/>
      <w:numFmt w:val="decimal"/>
      <w:suff w:val="space"/>
      <w:lvlText w:val="%1."/>
      <w:lvlJc w:val="left"/>
    </w:lvl>
  </w:abstractNum>
  <w:abstractNum w:abstractNumId="10">
    <w:nsid w:val="6106B33C"/>
    <w:multiLevelType w:val="singleLevel"/>
    <w:tmpl w:val="6106B33C"/>
    <w:lvl w:ilvl="0" w:tentative="0">
      <w:start w:val="1"/>
      <w:numFmt w:val="decimalEnclosedCircleChinese"/>
      <w:suff w:val="nothing"/>
      <w:lvlText w:val="%1　"/>
      <w:lvlJc w:val="left"/>
      <w:pPr>
        <w:ind w:left="0" w:firstLine="400"/>
      </w:pPr>
      <w:rPr>
        <w:rFonts w:hint="eastAsia"/>
      </w:rPr>
    </w:lvl>
  </w:abstractNum>
  <w:num w:numId="1">
    <w:abstractNumId w:val="2"/>
  </w:num>
  <w:num w:numId="2">
    <w:abstractNumId w:val="6"/>
  </w:num>
  <w:num w:numId="3">
    <w:abstractNumId w:val="5"/>
  </w:num>
  <w:num w:numId="4">
    <w:abstractNumId w:val="9"/>
  </w:num>
  <w:num w:numId="5">
    <w:abstractNumId w:val="4"/>
  </w:num>
  <w:num w:numId="6">
    <w:abstractNumId w:val="0"/>
  </w:num>
  <w:num w:numId="7">
    <w:abstractNumId w:val="1"/>
  </w:num>
  <w:num w:numId="8">
    <w:abstractNumId w:val="8"/>
  </w:num>
  <w:num w:numId="9">
    <w:abstractNumId w:val="7"/>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hNmFlNjJlM2U0YjA3NGI5YTA5MTE3N2YxY2I1MDg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44C23"/>
    <w:rsid w:val="015B7696"/>
    <w:rsid w:val="019F7441"/>
    <w:rsid w:val="01B37585"/>
    <w:rsid w:val="01D55165"/>
    <w:rsid w:val="01DF6BF8"/>
    <w:rsid w:val="01EC2C57"/>
    <w:rsid w:val="025F0711"/>
    <w:rsid w:val="026B2E25"/>
    <w:rsid w:val="02824D4D"/>
    <w:rsid w:val="029673F5"/>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321458"/>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A871D0"/>
    <w:rsid w:val="08AE727C"/>
    <w:rsid w:val="08D66AD6"/>
    <w:rsid w:val="08DA33A3"/>
    <w:rsid w:val="08E80F13"/>
    <w:rsid w:val="09003155"/>
    <w:rsid w:val="09335624"/>
    <w:rsid w:val="0944690F"/>
    <w:rsid w:val="09535675"/>
    <w:rsid w:val="095F057D"/>
    <w:rsid w:val="09642282"/>
    <w:rsid w:val="09733572"/>
    <w:rsid w:val="09772C16"/>
    <w:rsid w:val="098353B5"/>
    <w:rsid w:val="09A92330"/>
    <w:rsid w:val="09B06B87"/>
    <w:rsid w:val="09C13146"/>
    <w:rsid w:val="09E04166"/>
    <w:rsid w:val="09F559B3"/>
    <w:rsid w:val="0A1C0718"/>
    <w:rsid w:val="0A3E7710"/>
    <w:rsid w:val="0A5B7E63"/>
    <w:rsid w:val="0A7519D1"/>
    <w:rsid w:val="0AA374A5"/>
    <w:rsid w:val="0AAB7649"/>
    <w:rsid w:val="0ABC5606"/>
    <w:rsid w:val="0B30404E"/>
    <w:rsid w:val="0B377463"/>
    <w:rsid w:val="0B4C6C14"/>
    <w:rsid w:val="0B547599"/>
    <w:rsid w:val="0B631A88"/>
    <w:rsid w:val="0B683D45"/>
    <w:rsid w:val="0B7F3F11"/>
    <w:rsid w:val="0B884417"/>
    <w:rsid w:val="0BF6188C"/>
    <w:rsid w:val="0BF73C91"/>
    <w:rsid w:val="0C0A27A1"/>
    <w:rsid w:val="0C170175"/>
    <w:rsid w:val="0C571A41"/>
    <w:rsid w:val="0C5C1171"/>
    <w:rsid w:val="0C5E1CBC"/>
    <w:rsid w:val="0C615B50"/>
    <w:rsid w:val="0C8445DA"/>
    <w:rsid w:val="0C87121B"/>
    <w:rsid w:val="0CC007F7"/>
    <w:rsid w:val="0CC617AC"/>
    <w:rsid w:val="0CE618DF"/>
    <w:rsid w:val="0CFE631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126ACE"/>
    <w:rsid w:val="0E5604B2"/>
    <w:rsid w:val="0E6D5D79"/>
    <w:rsid w:val="0E9D0089"/>
    <w:rsid w:val="0EB803EE"/>
    <w:rsid w:val="0EC62323"/>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37FFB"/>
    <w:rsid w:val="12255233"/>
    <w:rsid w:val="12530213"/>
    <w:rsid w:val="127723A9"/>
    <w:rsid w:val="12862074"/>
    <w:rsid w:val="12883966"/>
    <w:rsid w:val="129E45B4"/>
    <w:rsid w:val="12D81596"/>
    <w:rsid w:val="13072A44"/>
    <w:rsid w:val="132F24A0"/>
    <w:rsid w:val="135F4BE2"/>
    <w:rsid w:val="139B1A0A"/>
    <w:rsid w:val="139D25C7"/>
    <w:rsid w:val="13BF3CE4"/>
    <w:rsid w:val="141008D8"/>
    <w:rsid w:val="14125FE6"/>
    <w:rsid w:val="143363D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BA1317"/>
    <w:rsid w:val="17D349C1"/>
    <w:rsid w:val="1830729E"/>
    <w:rsid w:val="1870062C"/>
    <w:rsid w:val="18721A3A"/>
    <w:rsid w:val="18817102"/>
    <w:rsid w:val="18830A15"/>
    <w:rsid w:val="18852B28"/>
    <w:rsid w:val="188B5321"/>
    <w:rsid w:val="189E35C3"/>
    <w:rsid w:val="19932372"/>
    <w:rsid w:val="19A20DD5"/>
    <w:rsid w:val="19AE03F1"/>
    <w:rsid w:val="19AE1576"/>
    <w:rsid w:val="1A071A03"/>
    <w:rsid w:val="1A1F16AE"/>
    <w:rsid w:val="1A3B5C77"/>
    <w:rsid w:val="1A654388"/>
    <w:rsid w:val="1A984BAD"/>
    <w:rsid w:val="1AB8220E"/>
    <w:rsid w:val="1AE4166C"/>
    <w:rsid w:val="1AF06CFB"/>
    <w:rsid w:val="1AF11B8D"/>
    <w:rsid w:val="1B11359C"/>
    <w:rsid w:val="1B205C55"/>
    <w:rsid w:val="1B2A271F"/>
    <w:rsid w:val="1B530544"/>
    <w:rsid w:val="1B713184"/>
    <w:rsid w:val="1B7F6BBA"/>
    <w:rsid w:val="1BA209CF"/>
    <w:rsid w:val="1BB4777D"/>
    <w:rsid w:val="1BD75AB8"/>
    <w:rsid w:val="1C0459C2"/>
    <w:rsid w:val="1C1B3B4A"/>
    <w:rsid w:val="1C88086E"/>
    <w:rsid w:val="1D266CE1"/>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2DF6472"/>
    <w:rsid w:val="233500BF"/>
    <w:rsid w:val="23377FF7"/>
    <w:rsid w:val="236B425F"/>
    <w:rsid w:val="23836192"/>
    <w:rsid w:val="23901F29"/>
    <w:rsid w:val="239C0061"/>
    <w:rsid w:val="239D3DBB"/>
    <w:rsid w:val="23B908A4"/>
    <w:rsid w:val="23E95BEF"/>
    <w:rsid w:val="23FD0064"/>
    <w:rsid w:val="24465B9C"/>
    <w:rsid w:val="245375B0"/>
    <w:rsid w:val="24642C0A"/>
    <w:rsid w:val="24B22173"/>
    <w:rsid w:val="24B35BB1"/>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794166"/>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F0A6B38"/>
    <w:rsid w:val="2F91042A"/>
    <w:rsid w:val="2F946CCB"/>
    <w:rsid w:val="2FD25781"/>
    <w:rsid w:val="2FDC745C"/>
    <w:rsid w:val="2FFD7934"/>
    <w:rsid w:val="30733ACD"/>
    <w:rsid w:val="308C3862"/>
    <w:rsid w:val="309379D8"/>
    <w:rsid w:val="30A270F7"/>
    <w:rsid w:val="30B04157"/>
    <w:rsid w:val="30DF1478"/>
    <w:rsid w:val="30EC586F"/>
    <w:rsid w:val="30F84996"/>
    <w:rsid w:val="314550B7"/>
    <w:rsid w:val="319C6071"/>
    <w:rsid w:val="31AC537E"/>
    <w:rsid w:val="31E3679B"/>
    <w:rsid w:val="31E732FD"/>
    <w:rsid w:val="32517576"/>
    <w:rsid w:val="32BE5C2C"/>
    <w:rsid w:val="32FB6478"/>
    <w:rsid w:val="33263B3F"/>
    <w:rsid w:val="336963EB"/>
    <w:rsid w:val="33816EEB"/>
    <w:rsid w:val="33877299"/>
    <w:rsid w:val="33EB55CD"/>
    <w:rsid w:val="33EC4C02"/>
    <w:rsid w:val="33F12F68"/>
    <w:rsid w:val="340D2360"/>
    <w:rsid w:val="3410665D"/>
    <w:rsid w:val="34211214"/>
    <w:rsid w:val="342E63AB"/>
    <w:rsid w:val="34950E68"/>
    <w:rsid w:val="34986E94"/>
    <w:rsid w:val="34AF62C9"/>
    <w:rsid w:val="34CB4388"/>
    <w:rsid w:val="34E22A77"/>
    <w:rsid w:val="34FA6E12"/>
    <w:rsid w:val="354D7158"/>
    <w:rsid w:val="358D5588"/>
    <w:rsid w:val="35EE6F2E"/>
    <w:rsid w:val="363A3B40"/>
    <w:rsid w:val="365302AE"/>
    <w:rsid w:val="36607A0A"/>
    <w:rsid w:val="366E227C"/>
    <w:rsid w:val="366F2E0D"/>
    <w:rsid w:val="367B6A5C"/>
    <w:rsid w:val="36A74ADA"/>
    <w:rsid w:val="36AD60D5"/>
    <w:rsid w:val="36B224F9"/>
    <w:rsid w:val="36EC0CC9"/>
    <w:rsid w:val="373F410B"/>
    <w:rsid w:val="37EE7094"/>
    <w:rsid w:val="38160A23"/>
    <w:rsid w:val="38296C89"/>
    <w:rsid w:val="383002EB"/>
    <w:rsid w:val="38586797"/>
    <w:rsid w:val="388E1254"/>
    <w:rsid w:val="38BC0149"/>
    <w:rsid w:val="38D87D1C"/>
    <w:rsid w:val="39416E46"/>
    <w:rsid w:val="39636459"/>
    <w:rsid w:val="396B7F6C"/>
    <w:rsid w:val="398E16B0"/>
    <w:rsid w:val="39A959E1"/>
    <w:rsid w:val="39B417A9"/>
    <w:rsid w:val="39FC5695"/>
    <w:rsid w:val="3A006D8E"/>
    <w:rsid w:val="3A3651E5"/>
    <w:rsid w:val="3A4C5A28"/>
    <w:rsid w:val="3A744481"/>
    <w:rsid w:val="3A8C7BEF"/>
    <w:rsid w:val="3A906246"/>
    <w:rsid w:val="3AB36E5A"/>
    <w:rsid w:val="3B2349B7"/>
    <w:rsid w:val="3B616CFF"/>
    <w:rsid w:val="3B6259F6"/>
    <w:rsid w:val="3B9072A1"/>
    <w:rsid w:val="3B976654"/>
    <w:rsid w:val="3BC01EFC"/>
    <w:rsid w:val="3BCA786A"/>
    <w:rsid w:val="3BD31E2F"/>
    <w:rsid w:val="3BF15831"/>
    <w:rsid w:val="3C105946"/>
    <w:rsid w:val="3C471448"/>
    <w:rsid w:val="3C5F759A"/>
    <w:rsid w:val="3C6C525A"/>
    <w:rsid w:val="3CCE23CB"/>
    <w:rsid w:val="3CD17D17"/>
    <w:rsid w:val="3D107AC3"/>
    <w:rsid w:val="3D3C7F39"/>
    <w:rsid w:val="3D440F09"/>
    <w:rsid w:val="3D4504A0"/>
    <w:rsid w:val="3D75717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569ED"/>
    <w:rsid w:val="44002FAD"/>
    <w:rsid w:val="449101DD"/>
    <w:rsid w:val="44DE0AA5"/>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F26CD6"/>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851982"/>
    <w:rsid w:val="49B64211"/>
    <w:rsid w:val="49E56AF9"/>
    <w:rsid w:val="49F6167F"/>
    <w:rsid w:val="4A064FA0"/>
    <w:rsid w:val="4A16615C"/>
    <w:rsid w:val="4A4424D7"/>
    <w:rsid w:val="4A4A65DD"/>
    <w:rsid w:val="4AB82D0F"/>
    <w:rsid w:val="4AEB7664"/>
    <w:rsid w:val="4AFD7C19"/>
    <w:rsid w:val="4B0567D1"/>
    <w:rsid w:val="4B236AAE"/>
    <w:rsid w:val="4B363761"/>
    <w:rsid w:val="4B5C3B8C"/>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5E4AAF"/>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676C69"/>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465DA"/>
    <w:rsid w:val="558931E1"/>
    <w:rsid w:val="55923347"/>
    <w:rsid w:val="55925180"/>
    <w:rsid w:val="55983B1B"/>
    <w:rsid w:val="55A8376B"/>
    <w:rsid w:val="55DC29B6"/>
    <w:rsid w:val="55DD4241"/>
    <w:rsid w:val="566B6D1E"/>
    <w:rsid w:val="57032A2C"/>
    <w:rsid w:val="570F5219"/>
    <w:rsid w:val="57517B92"/>
    <w:rsid w:val="575D12B5"/>
    <w:rsid w:val="57610A87"/>
    <w:rsid w:val="577B1140"/>
    <w:rsid w:val="577B7F21"/>
    <w:rsid w:val="577F181B"/>
    <w:rsid w:val="57921984"/>
    <w:rsid w:val="579737F0"/>
    <w:rsid w:val="57AB7B30"/>
    <w:rsid w:val="57AF5251"/>
    <w:rsid w:val="57B26373"/>
    <w:rsid w:val="57B63F04"/>
    <w:rsid w:val="57CD20C2"/>
    <w:rsid w:val="57D675AB"/>
    <w:rsid w:val="57D95FDD"/>
    <w:rsid w:val="58740D60"/>
    <w:rsid w:val="58917D2F"/>
    <w:rsid w:val="5894085C"/>
    <w:rsid w:val="58AE4F0C"/>
    <w:rsid w:val="58B85899"/>
    <w:rsid w:val="58E363A9"/>
    <w:rsid w:val="595E1678"/>
    <w:rsid w:val="596D5BD4"/>
    <w:rsid w:val="597E3DD8"/>
    <w:rsid w:val="59D92186"/>
    <w:rsid w:val="59F80043"/>
    <w:rsid w:val="59F828BA"/>
    <w:rsid w:val="5A09252F"/>
    <w:rsid w:val="5A0B2778"/>
    <w:rsid w:val="5A2A7C7B"/>
    <w:rsid w:val="5A3E2560"/>
    <w:rsid w:val="5A5D3B6E"/>
    <w:rsid w:val="5A637A76"/>
    <w:rsid w:val="5A6D33BA"/>
    <w:rsid w:val="5A792B1F"/>
    <w:rsid w:val="5A874767"/>
    <w:rsid w:val="5AA85BE2"/>
    <w:rsid w:val="5AAD6F28"/>
    <w:rsid w:val="5AD63A24"/>
    <w:rsid w:val="5B1C4013"/>
    <w:rsid w:val="5B2E1A1D"/>
    <w:rsid w:val="5B843A1C"/>
    <w:rsid w:val="5B873E3F"/>
    <w:rsid w:val="5C02690E"/>
    <w:rsid w:val="5C196DA7"/>
    <w:rsid w:val="5C2A048C"/>
    <w:rsid w:val="5C80234E"/>
    <w:rsid w:val="5C8A680C"/>
    <w:rsid w:val="5C9275CD"/>
    <w:rsid w:val="5CEA4519"/>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6F5DF4"/>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5667E8"/>
    <w:rsid w:val="648B6EEF"/>
    <w:rsid w:val="64C158BF"/>
    <w:rsid w:val="64CE2EAA"/>
    <w:rsid w:val="653C3090"/>
    <w:rsid w:val="65854376"/>
    <w:rsid w:val="658767BE"/>
    <w:rsid w:val="65892531"/>
    <w:rsid w:val="66195831"/>
    <w:rsid w:val="662E75B1"/>
    <w:rsid w:val="66342C2E"/>
    <w:rsid w:val="663E784C"/>
    <w:rsid w:val="668B6A45"/>
    <w:rsid w:val="67011F07"/>
    <w:rsid w:val="67057081"/>
    <w:rsid w:val="672F3F24"/>
    <w:rsid w:val="673E055F"/>
    <w:rsid w:val="67551CE3"/>
    <w:rsid w:val="67A22552"/>
    <w:rsid w:val="67B22DCC"/>
    <w:rsid w:val="67BE71AA"/>
    <w:rsid w:val="67D90273"/>
    <w:rsid w:val="67DE5875"/>
    <w:rsid w:val="67E55852"/>
    <w:rsid w:val="67EB1AB4"/>
    <w:rsid w:val="67FA1285"/>
    <w:rsid w:val="68551F4F"/>
    <w:rsid w:val="6869C340"/>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D167928"/>
    <w:rsid w:val="6D26299B"/>
    <w:rsid w:val="6D29231F"/>
    <w:rsid w:val="6D4772EC"/>
    <w:rsid w:val="6D9078AF"/>
    <w:rsid w:val="6DAA3FEF"/>
    <w:rsid w:val="6DC0172B"/>
    <w:rsid w:val="6DCB690C"/>
    <w:rsid w:val="6DD41A5B"/>
    <w:rsid w:val="6DF43C2E"/>
    <w:rsid w:val="6DF51CA3"/>
    <w:rsid w:val="6E55454F"/>
    <w:rsid w:val="6E8335BD"/>
    <w:rsid w:val="6E8E12EF"/>
    <w:rsid w:val="6E972936"/>
    <w:rsid w:val="6ED446C5"/>
    <w:rsid w:val="6F2A7D94"/>
    <w:rsid w:val="6F3428F5"/>
    <w:rsid w:val="6F8331F1"/>
    <w:rsid w:val="6FAE1A09"/>
    <w:rsid w:val="6FD75BF8"/>
    <w:rsid w:val="6FFFAD64"/>
    <w:rsid w:val="707723D0"/>
    <w:rsid w:val="70F5661B"/>
    <w:rsid w:val="71360107"/>
    <w:rsid w:val="713B688E"/>
    <w:rsid w:val="71516536"/>
    <w:rsid w:val="71D43752"/>
    <w:rsid w:val="71F1796A"/>
    <w:rsid w:val="72154626"/>
    <w:rsid w:val="72262B5D"/>
    <w:rsid w:val="72283FF7"/>
    <w:rsid w:val="722E7212"/>
    <w:rsid w:val="723A0474"/>
    <w:rsid w:val="72485A07"/>
    <w:rsid w:val="725923E4"/>
    <w:rsid w:val="72864BF7"/>
    <w:rsid w:val="729023FC"/>
    <w:rsid w:val="7325420C"/>
    <w:rsid w:val="73C0646E"/>
    <w:rsid w:val="742222F5"/>
    <w:rsid w:val="74476126"/>
    <w:rsid w:val="74706664"/>
    <w:rsid w:val="747F3682"/>
    <w:rsid w:val="749C4185"/>
    <w:rsid w:val="74BB211A"/>
    <w:rsid w:val="75067759"/>
    <w:rsid w:val="750758DC"/>
    <w:rsid w:val="752E6DCD"/>
    <w:rsid w:val="7551380D"/>
    <w:rsid w:val="75600BE5"/>
    <w:rsid w:val="7564475C"/>
    <w:rsid w:val="7583797F"/>
    <w:rsid w:val="75D20F1D"/>
    <w:rsid w:val="75DA2C18"/>
    <w:rsid w:val="75F54412"/>
    <w:rsid w:val="76060DB6"/>
    <w:rsid w:val="760F1D33"/>
    <w:rsid w:val="761D08E0"/>
    <w:rsid w:val="765D347C"/>
    <w:rsid w:val="76826699"/>
    <w:rsid w:val="76C87133"/>
    <w:rsid w:val="76CD08D5"/>
    <w:rsid w:val="76DB4B92"/>
    <w:rsid w:val="77052AA4"/>
    <w:rsid w:val="770FEEE6"/>
    <w:rsid w:val="77136511"/>
    <w:rsid w:val="77340A39"/>
    <w:rsid w:val="77351FD0"/>
    <w:rsid w:val="77472422"/>
    <w:rsid w:val="777F31F2"/>
    <w:rsid w:val="77C023C4"/>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984D55"/>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8E5EC0"/>
    <w:rsid w:val="7D955889"/>
    <w:rsid w:val="7DB57A34"/>
    <w:rsid w:val="7DE60973"/>
    <w:rsid w:val="7DEF0916"/>
    <w:rsid w:val="7E1E5218"/>
    <w:rsid w:val="7E6E71ED"/>
    <w:rsid w:val="7E9A4E1F"/>
    <w:rsid w:val="7EA7723A"/>
    <w:rsid w:val="7EEFE9D4"/>
    <w:rsid w:val="7EF56FBB"/>
    <w:rsid w:val="7F0768EB"/>
    <w:rsid w:val="7F143BEC"/>
    <w:rsid w:val="7F3759BC"/>
    <w:rsid w:val="7F715AF2"/>
    <w:rsid w:val="7F886E69"/>
    <w:rsid w:val="7F9FFA82"/>
    <w:rsid w:val="AFDF3D28"/>
    <w:rsid w:val="BB7FA927"/>
    <w:rsid w:val="BE0F2857"/>
    <w:rsid w:val="BF2FC185"/>
    <w:rsid w:val="C543CA59"/>
    <w:rsid w:val="DE8D2B72"/>
    <w:rsid w:val="ED772B5B"/>
    <w:rsid w:val="F1FFBFF6"/>
    <w:rsid w:val="F5FFD31F"/>
    <w:rsid w:val="FDA76847"/>
    <w:rsid w:val="FE7C51FA"/>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3"/>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5"/>
    <w:link w:val="124"/>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0"/>
    <w:qFormat/>
    <w:uiPriority w:val="0"/>
    <w:pPr>
      <w:ind w:left="100" w:leftChars="2500"/>
    </w:pPr>
    <w:rPr>
      <w:rFonts w:ascii="宋体"/>
      <w:sz w:val="24"/>
      <w:szCs w:val="21"/>
      <w:lang w:val="zh-CN"/>
    </w:rPr>
  </w:style>
  <w:style w:type="paragraph" w:styleId="36">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87"/>
    <w:qFormat/>
    <w:uiPriority w:val="0"/>
    <w:rPr>
      <w:sz w:val="18"/>
      <w:szCs w:val="18"/>
    </w:rPr>
  </w:style>
  <w:style w:type="paragraph" w:styleId="39">
    <w:name w:val="footer"/>
    <w:basedOn w:val="1"/>
    <w:link w:val="381"/>
    <w:qFormat/>
    <w:uiPriority w:val="99"/>
    <w:pPr>
      <w:tabs>
        <w:tab w:val="center" w:pos="4153"/>
        <w:tab w:val="right" w:pos="8306"/>
      </w:tabs>
      <w:snapToGrid w:val="0"/>
      <w:jc w:val="left"/>
    </w:pPr>
    <w:rPr>
      <w:sz w:val="18"/>
      <w:szCs w:val="18"/>
    </w:rPr>
  </w:style>
  <w:style w:type="paragraph" w:styleId="40">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8"/>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3"/>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0"/>
    <w:qFormat/>
    <w:uiPriority w:val="0"/>
    <w:pPr>
      <w:spacing w:after="120" w:line="480" w:lineRule="auto"/>
    </w:pPr>
  </w:style>
  <w:style w:type="paragraph" w:styleId="56">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5"/>
    <w:qFormat/>
    <w:uiPriority w:val="0"/>
    <w:rPr>
      <w:b/>
      <w:bCs/>
    </w:rPr>
  </w:style>
  <w:style w:type="paragraph" w:styleId="60">
    <w:name w:val="Body Text First Indent"/>
    <w:basedOn w:val="23"/>
    <w:link w:val="319"/>
    <w:qFormat/>
    <w:uiPriority w:val="0"/>
    <w:pPr>
      <w:ind w:firstLine="420"/>
    </w:pPr>
    <w:rPr>
      <w:rFonts w:hAnsi="Calibri" w:cs="Times New Roman"/>
      <w:snapToGrid/>
      <w:szCs w:val="20"/>
    </w:rPr>
  </w:style>
  <w:style w:type="paragraph" w:styleId="61">
    <w:name w:val="Body Text First Indent 2"/>
    <w:basedOn w:val="24"/>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Default"/>
    <w:next w:val="80"/>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0">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59"/>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字符"/>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6"/>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3"/>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5"/>
    <w:qFormat/>
    <w:uiPriority w:val="0"/>
    <w:rPr>
      <w:rFonts w:ascii="宋体"/>
      <w:kern w:val="2"/>
      <w:sz w:val="24"/>
      <w:szCs w:val="21"/>
      <w:lang w:val="zh-CN"/>
    </w:rPr>
  </w:style>
  <w:style w:type="character" w:customStyle="1" w:styleId="181">
    <w:name w:val="标题 9 字符"/>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8"/>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29"/>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79"/>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24"/>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2"/>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58"/>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0"/>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6"/>
    <w:qFormat/>
    <w:uiPriority w:val="0"/>
    <w:rPr>
      <w:rFonts w:ascii="黑体" w:hAnsi="Courier New" w:eastAsia="黑体"/>
    </w:rPr>
  </w:style>
  <w:style w:type="character" w:customStyle="1" w:styleId="300">
    <w:name w:val="正文文本 2 字符1"/>
    <w:link w:val="55"/>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9"/>
    <w:qFormat/>
    <w:uiPriority w:val="0"/>
    <w:rPr>
      <w:b/>
      <w:bCs/>
      <w:kern w:val="2"/>
      <w:sz w:val="24"/>
      <w:szCs w:val="24"/>
    </w:rPr>
  </w:style>
  <w:style w:type="character" w:customStyle="1" w:styleId="306">
    <w:name w:val="正文文本缩进 2 字符"/>
    <w:link w:val="36"/>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49"/>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字符"/>
    <w:link w:val="60"/>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19"/>
    <w:qFormat/>
    <w:uiPriority w:val="99"/>
    <w:rPr>
      <w:kern w:val="2"/>
      <w:sz w:val="21"/>
      <w:szCs w:val="24"/>
    </w:rPr>
  </w:style>
  <w:style w:type="character" w:customStyle="1" w:styleId="343">
    <w:name w:val="签名 字符"/>
    <w:link w:val="41"/>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2"/>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39"/>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0"/>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79"/>
    <w:next w:val="79"/>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79"/>
    <w:next w:val="79"/>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7"/>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3">
    <w:name w:val="不明显强调1"/>
    <w:qFormat/>
    <w:uiPriority w:val="19"/>
    <w:rPr>
      <w:i/>
      <w:iCs/>
    </w:rPr>
  </w:style>
  <w:style w:type="paragraph" w:customStyle="1" w:styleId="964">
    <w:name w:val="Body Text"/>
    <w:basedOn w:val="1"/>
    <w:qFormat/>
    <w:uiPriority w:val="0"/>
    <w:pPr>
      <w:spacing w:line="200" w:lineRule="exact"/>
      <w:ind w:firstLine="301"/>
    </w:pPr>
    <w:rPr>
      <w:rFonts w:ascii="??" w:hAnsi="??" w:eastAsia="??" w:cs="宋体"/>
      <w:spacing w:val="-4"/>
      <w:sz w:val="18"/>
      <w:szCs w:val="20"/>
    </w:rPr>
  </w:style>
  <w:style w:type="paragraph" w:customStyle="1" w:styleId="965">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103</Pages>
  <Words>4769</Words>
  <Characters>5308</Characters>
  <Lines>295</Lines>
  <Paragraphs>83</Paragraphs>
  <TotalTime>1</TotalTime>
  <ScaleCrop>false</ScaleCrop>
  <LinksUpToDate>false</LinksUpToDate>
  <CharactersWithSpaces>5409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2021-08-04T16:22:00Z</dcterms:created>
  <dc:creator>玥</dc:creator>
  <cp:lastModifiedBy>admin</cp:lastModifiedBy>
  <cp:lastPrinted>2025-03-12T01:25:00Z</cp:lastPrinted>
  <dcterms:modified xsi:type="dcterms:W3CDTF">2025-04-01T02:12:31Z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7CC3B7853223100FD2031667E0B452C8</vt:lpwstr>
  </property>
  <property fmtid="{D5CDD505-2E9C-101B-9397-08002B2CF9AE}" pid="5" name="KSOTemplateDocerSaveRecord">
    <vt:lpwstr>eyJoZGlkIjoiMTA1MWMxZmY0MTVkNzVlZGRmNTcxNGM1NmNkZjhjYzQiLCJ1c2VySWQiOiIzNjMyMzU2MzYifQ==</vt:lpwstr>
  </property>
</Properties>
</file>