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3CCB6B">
      <w:pPr>
        <w:spacing w:line="360" w:lineRule="atLeast"/>
        <w:rPr>
          <w:rFonts w:ascii="黑体" w:hAnsi="宋体" w:eastAsia="黑体" w:cs="Times New Roman"/>
          <w:sz w:val="42"/>
          <w:szCs w:val="42"/>
        </w:rPr>
      </w:pPr>
    </w:p>
    <w:p w14:paraId="7AC8D8AB">
      <w:pPr>
        <w:spacing w:line="360" w:lineRule="atLeast"/>
        <w:rPr>
          <w:rFonts w:ascii="黑体" w:hAnsi="宋体" w:eastAsia="黑体" w:cs="Times New Roman"/>
          <w:sz w:val="32"/>
          <w:szCs w:val="32"/>
        </w:rPr>
      </w:pPr>
    </w:p>
    <w:p w14:paraId="5FF145E6">
      <w:pPr>
        <w:snapToGrid w:val="0"/>
        <w:spacing w:before="156" w:beforeLines="50" w:line="360" w:lineRule="auto"/>
        <w:jc w:val="center"/>
        <w:rPr>
          <w:rFonts w:hint="eastAsia" w:ascii="宋体" w:hAnsi="宋体" w:cs="宋体"/>
          <w:b/>
          <w:bCs/>
          <w:sz w:val="44"/>
          <w:szCs w:val="44"/>
          <w:lang w:eastAsia="zh-CN"/>
        </w:rPr>
      </w:pPr>
      <w:r>
        <w:rPr>
          <w:rFonts w:hint="eastAsia" w:ascii="宋体" w:hAnsi="宋体" w:cs="宋体"/>
          <w:b/>
          <w:bCs/>
          <w:sz w:val="44"/>
          <w:szCs w:val="44"/>
          <w:lang w:eastAsia="zh-CN"/>
        </w:rPr>
        <w:t>大气颗粒物组分手工监测项目</w:t>
      </w:r>
    </w:p>
    <w:p w14:paraId="77D5B0FD">
      <w:pPr>
        <w:snapToGrid w:val="0"/>
        <w:spacing w:before="156" w:beforeLines="50" w:line="360" w:lineRule="auto"/>
        <w:jc w:val="center"/>
        <w:rPr>
          <w:rFonts w:hint="eastAsia" w:ascii="宋体" w:hAnsi="宋体" w:cs="宋体"/>
          <w:b/>
          <w:bCs/>
          <w:sz w:val="44"/>
          <w:szCs w:val="44"/>
          <w:lang w:eastAsia="zh-CN"/>
        </w:rPr>
      </w:pPr>
    </w:p>
    <w:p w14:paraId="4FD9661C">
      <w:pPr>
        <w:snapToGrid w:val="0"/>
        <w:spacing w:before="156" w:beforeLines="50" w:line="360" w:lineRule="auto"/>
        <w:jc w:val="center"/>
        <w:rPr>
          <w:rFonts w:ascii="宋体" w:hAnsi="Courier New" w:cs="宋体"/>
          <w:b/>
          <w:bCs/>
          <w:sz w:val="30"/>
          <w:szCs w:val="30"/>
        </w:rPr>
      </w:pPr>
      <w:r>
        <w:rPr>
          <w:rFonts w:hint="eastAsia" w:ascii="宋体" w:hAnsi="Courier New" w:cs="宋体"/>
          <w:b/>
          <w:bCs/>
          <w:sz w:val="30"/>
          <w:szCs w:val="30"/>
        </w:rPr>
        <w:t>财政审批编号：</w:t>
      </w:r>
      <w:r>
        <w:fldChar w:fldCharType="begin"/>
      </w:r>
      <w:r>
        <w:instrText xml:space="preserve"> HYPERLINK "https://pay.zcygov.cn/purchaseplan_front/" \l "/plan/list/detail?id=1000000000006606478&amp;encrypt=cac9017d61b102844266ad8622bb6864" \t "_blank" </w:instrText>
      </w:r>
      <w:r>
        <w:fldChar w:fldCharType="separate"/>
      </w:r>
      <w:r>
        <w:rPr>
          <w:rFonts w:hint="eastAsia" w:ascii="宋体" w:hAnsi="Courier New" w:cs="宋体"/>
          <w:b/>
          <w:bCs/>
          <w:sz w:val="30"/>
          <w:szCs w:val="30"/>
          <w:lang w:eastAsia="zh-CN"/>
        </w:rPr>
        <w:t>临[2024]18641号</w:t>
      </w:r>
      <w:r>
        <w:rPr>
          <w:rFonts w:hint="eastAsia" w:ascii="宋体" w:hAnsi="Courier New" w:cs="宋体"/>
          <w:b/>
          <w:bCs/>
          <w:sz w:val="30"/>
          <w:szCs w:val="30"/>
        </w:rPr>
        <w:fldChar w:fldCharType="end"/>
      </w:r>
    </w:p>
    <w:p w14:paraId="535B0E89">
      <w:pPr>
        <w:spacing w:line="800" w:lineRule="exact"/>
        <w:jc w:val="center"/>
        <w:rPr>
          <w:rFonts w:ascii="微软雅黑" w:hAnsi="微软雅黑" w:eastAsia="微软雅黑" w:cs="微软雅黑"/>
          <w:sz w:val="52"/>
          <w:szCs w:val="52"/>
        </w:rPr>
      </w:pPr>
    </w:p>
    <w:p w14:paraId="67716DEE">
      <w:pPr>
        <w:spacing w:line="800" w:lineRule="exact"/>
        <w:jc w:val="center"/>
        <w:rPr>
          <w:rFonts w:ascii="宋体" w:hAnsi="宋体" w:cs="宋体"/>
          <w:b/>
          <w:bCs/>
          <w:sz w:val="44"/>
          <w:szCs w:val="44"/>
        </w:rPr>
      </w:pPr>
      <w:r>
        <w:rPr>
          <w:rFonts w:hint="eastAsia" w:ascii="宋体" w:hAnsi="宋体" w:cs="宋体"/>
          <w:b/>
          <w:bCs/>
          <w:sz w:val="44"/>
          <w:szCs w:val="44"/>
        </w:rPr>
        <w:t>竞争性磋商文件</w:t>
      </w:r>
    </w:p>
    <w:p w14:paraId="60B3E896">
      <w:pPr>
        <w:spacing w:line="480" w:lineRule="exact"/>
        <w:jc w:val="left"/>
        <w:rPr>
          <w:rFonts w:ascii="宋体" w:cs="Times New Roman"/>
          <w:sz w:val="24"/>
          <w:szCs w:val="24"/>
        </w:rPr>
      </w:pPr>
    </w:p>
    <w:p w14:paraId="23AF2102">
      <w:pPr>
        <w:spacing w:line="480" w:lineRule="exact"/>
        <w:jc w:val="left"/>
        <w:rPr>
          <w:rFonts w:ascii="宋体" w:cs="Times New Roman"/>
          <w:sz w:val="24"/>
          <w:szCs w:val="24"/>
        </w:rPr>
      </w:pPr>
    </w:p>
    <w:p w14:paraId="1BEA3555">
      <w:pPr>
        <w:spacing w:line="480" w:lineRule="exact"/>
        <w:jc w:val="left"/>
        <w:rPr>
          <w:rFonts w:ascii="宋体" w:cs="Times New Roman"/>
          <w:sz w:val="24"/>
          <w:szCs w:val="24"/>
        </w:rPr>
      </w:pPr>
    </w:p>
    <w:p w14:paraId="61020775">
      <w:pPr>
        <w:pStyle w:val="34"/>
        <w:snapToGrid w:val="0"/>
        <w:spacing w:beforeLines="0" w:afterLines="0" w:line="360" w:lineRule="auto"/>
        <w:ind w:firstLine="298" w:firstLineChars="99"/>
        <w:rPr>
          <w:rFonts w:hint="eastAsia"/>
          <w:b/>
          <w:bCs/>
          <w:sz w:val="30"/>
          <w:szCs w:val="30"/>
        </w:rPr>
      </w:pPr>
      <w:r>
        <w:rPr>
          <w:rFonts w:hint="eastAsia"/>
          <w:b/>
          <w:bCs/>
          <w:sz w:val="30"/>
          <w:szCs w:val="30"/>
        </w:rPr>
        <w:t>项目编号：HYHZ2024-160</w:t>
      </w:r>
    </w:p>
    <w:p w14:paraId="5A08860B">
      <w:pPr>
        <w:pStyle w:val="34"/>
        <w:snapToGrid w:val="0"/>
        <w:spacing w:beforeLines="0" w:afterLines="0" w:line="360" w:lineRule="auto"/>
        <w:ind w:firstLine="298" w:firstLineChars="99"/>
        <w:rPr>
          <w:rFonts w:hint="eastAsia"/>
          <w:b/>
          <w:bCs/>
          <w:sz w:val="30"/>
          <w:szCs w:val="30"/>
          <w:lang w:eastAsia="zh-CN"/>
        </w:rPr>
      </w:pPr>
      <w:r>
        <w:rPr>
          <w:rFonts w:hint="eastAsia"/>
          <w:b/>
          <w:bCs/>
          <w:sz w:val="30"/>
          <w:szCs w:val="30"/>
        </w:rPr>
        <w:t>项目名称：</w:t>
      </w:r>
      <w:r>
        <w:rPr>
          <w:rFonts w:hint="eastAsia"/>
          <w:b/>
          <w:bCs/>
          <w:sz w:val="30"/>
          <w:szCs w:val="30"/>
          <w:lang w:eastAsia="zh-CN"/>
        </w:rPr>
        <w:t>大气颗粒物组分手工监测项目</w:t>
      </w:r>
    </w:p>
    <w:p w14:paraId="1204D61A">
      <w:pPr>
        <w:pStyle w:val="34"/>
        <w:snapToGrid w:val="0"/>
        <w:spacing w:beforeLines="0" w:afterLines="0" w:line="360" w:lineRule="auto"/>
        <w:ind w:firstLine="298" w:firstLineChars="99"/>
        <w:rPr>
          <w:rFonts w:hint="eastAsia"/>
          <w:b/>
          <w:bCs/>
          <w:sz w:val="30"/>
          <w:szCs w:val="30"/>
        </w:rPr>
      </w:pPr>
      <w:r>
        <w:rPr>
          <w:rFonts w:hint="eastAsia"/>
          <w:b/>
          <w:bCs/>
          <w:sz w:val="30"/>
          <w:szCs w:val="30"/>
        </w:rPr>
        <w:t>采购单位：浙江省湖州生态环境监测中心</w:t>
      </w:r>
    </w:p>
    <w:p w14:paraId="7EC3CAF8">
      <w:pPr>
        <w:pStyle w:val="34"/>
        <w:snapToGrid w:val="0"/>
        <w:spacing w:beforeLines="0" w:afterLines="0" w:line="360" w:lineRule="auto"/>
        <w:ind w:firstLine="298" w:firstLineChars="99"/>
        <w:rPr>
          <w:rFonts w:hint="eastAsia"/>
          <w:b/>
          <w:bCs/>
          <w:sz w:val="30"/>
          <w:szCs w:val="30"/>
        </w:rPr>
      </w:pPr>
      <w:r>
        <w:rPr>
          <w:rFonts w:hint="eastAsia"/>
          <w:b/>
          <w:bCs/>
          <w:sz w:val="30"/>
          <w:szCs w:val="30"/>
        </w:rPr>
        <w:t>代理机构：浙江华耀建设咨询有限公司</w:t>
      </w:r>
    </w:p>
    <w:p w14:paraId="6453912B">
      <w:pPr>
        <w:spacing w:line="360" w:lineRule="auto"/>
        <w:rPr>
          <w:rFonts w:ascii="宋体" w:cs="Times New Roman"/>
          <w:b/>
          <w:bCs/>
          <w:sz w:val="44"/>
          <w:szCs w:val="44"/>
        </w:rPr>
      </w:pPr>
    </w:p>
    <w:p w14:paraId="57161635">
      <w:pPr>
        <w:spacing w:line="360" w:lineRule="auto"/>
        <w:rPr>
          <w:rFonts w:ascii="宋体" w:cs="Times New Roman"/>
          <w:b/>
          <w:bCs/>
          <w:sz w:val="44"/>
          <w:szCs w:val="44"/>
        </w:rPr>
      </w:pPr>
    </w:p>
    <w:p w14:paraId="4C0FF3A7">
      <w:pPr>
        <w:snapToGrid w:val="0"/>
        <w:spacing w:before="156" w:beforeLines="50" w:line="360" w:lineRule="auto"/>
        <w:ind w:left="384" w:leftChars="183" w:firstLine="4599" w:firstLineChars="1607"/>
        <w:rPr>
          <w:rFonts w:ascii="宋体" w:cs="Times New Roman"/>
          <w:b/>
          <w:bCs/>
          <w:w w:val="95"/>
          <w:sz w:val="30"/>
          <w:szCs w:val="30"/>
        </w:rPr>
      </w:pPr>
      <w:r>
        <w:rPr>
          <w:rFonts w:ascii="宋体" w:hAnsi="宋体" w:cs="宋体"/>
          <w:b/>
          <w:bCs/>
          <w:w w:val="95"/>
          <w:sz w:val="30"/>
          <w:szCs w:val="30"/>
        </w:rPr>
        <w:t>2024年</w:t>
      </w:r>
      <w:r>
        <w:rPr>
          <w:rFonts w:hint="eastAsia" w:ascii="宋体" w:hAnsi="宋体" w:cs="宋体"/>
          <w:b/>
          <w:bCs/>
          <w:w w:val="95"/>
          <w:sz w:val="30"/>
          <w:szCs w:val="30"/>
        </w:rPr>
        <w:t xml:space="preserve"> 月 日</w:t>
      </w:r>
    </w:p>
    <w:p w14:paraId="0BC4DEE3">
      <w:pPr>
        <w:spacing w:line="360" w:lineRule="auto"/>
        <w:rPr>
          <w:rFonts w:ascii="宋体" w:cs="Times New Roman"/>
          <w:b/>
          <w:bCs/>
          <w:sz w:val="44"/>
          <w:szCs w:val="44"/>
        </w:rPr>
      </w:pPr>
      <w:r>
        <w:rPr>
          <w:rFonts w:hint="eastAsia" w:ascii="宋体" w:cs="Times New Roman"/>
          <w:b/>
          <w:bCs/>
          <w:sz w:val="44"/>
          <w:szCs w:val="44"/>
        </w:rPr>
        <w:t xml:space="preserve"> </w:t>
      </w:r>
    </w:p>
    <w:p w14:paraId="63D68267">
      <w:pPr>
        <w:spacing w:line="360" w:lineRule="auto"/>
        <w:rPr>
          <w:rFonts w:ascii="宋体" w:cs="Times New Roman"/>
          <w:b/>
          <w:bCs/>
          <w:sz w:val="44"/>
          <w:szCs w:val="44"/>
        </w:rPr>
      </w:pPr>
    </w:p>
    <w:p w14:paraId="5D38BF21">
      <w:pPr>
        <w:spacing w:line="360" w:lineRule="auto"/>
        <w:rPr>
          <w:rFonts w:ascii="宋体" w:cs="Times New Roman"/>
          <w:b/>
          <w:bCs/>
          <w:sz w:val="44"/>
          <w:szCs w:val="44"/>
        </w:rPr>
      </w:pPr>
    </w:p>
    <w:p w14:paraId="4B9CA3B9">
      <w:pPr>
        <w:spacing w:line="360" w:lineRule="auto"/>
        <w:jc w:val="center"/>
        <w:rPr>
          <w:rFonts w:ascii="宋体" w:hAnsi="宋体" w:cs="宋体"/>
          <w:b/>
          <w:bCs/>
          <w:sz w:val="44"/>
          <w:szCs w:val="44"/>
        </w:rPr>
      </w:pPr>
    </w:p>
    <w:p w14:paraId="21990DF0">
      <w:pPr>
        <w:spacing w:line="360" w:lineRule="auto"/>
        <w:jc w:val="center"/>
        <w:rPr>
          <w:rFonts w:ascii="宋体" w:hAnsi="宋体" w:cs="宋体"/>
          <w:b/>
          <w:bCs/>
          <w:sz w:val="44"/>
          <w:szCs w:val="44"/>
        </w:rPr>
      </w:pPr>
    </w:p>
    <w:p w14:paraId="2D057A3C">
      <w:pPr>
        <w:spacing w:line="360" w:lineRule="auto"/>
        <w:jc w:val="center"/>
        <w:rPr>
          <w:rFonts w:ascii="宋体" w:hAnsi="宋体" w:cs="宋体"/>
          <w:b/>
          <w:bCs/>
          <w:sz w:val="44"/>
          <w:szCs w:val="44"/>
        </w:rPr>
      </w:pPr>
    </w:p>
    <w:p w14:paraId="45A7E24A">
      <w:pPr>
        <w:spacing w:line="360" w:lineRule="auto"/>
        <w:jc w:val="center"/>
        <w:rPr>
          <w:rFonts w:ascii="宋体" w:cs="Times New Roman"/>
          <w:b/>
          <w:bCs/>
          <w:sz w:val="44"/>
          <w:szCs w:val="44"/>
        </w:rPr>
      </w:pPr>
      <w:r>
        <w:rPr>
          <w:rFonts w:hint="eastAsia" w:ascii="宋体" w:hAnsi="宋体" w:cs="宋体"/>
          <w:b/>
          <w:bCs/>
          <w:sz w:val="44"/>
          <w:szCs w:val="44"/>
        </w:rPr>
        <w:t>目  录</w:t>
      </w:r>
    </w:p>
    <w:p w14:paraId="672B4328">
      <w:pPr>
        <w:spacing w:line="360" w:lineRule="auto"/>
        <w:jc w:val="center"/>
        <w:rPr>
          <w:rFonts w:ascii="宋体" w:cs="Times New Roman"/>
          <w:b/>
          <w:bCs/>
          <w:sz w:val="44"/>
          <w:szCs w:val="44"/>
        </w:rPr>
      </w:pPr>
    </w:p>
    <w:p w14:paraId="7D94F1D2">
      <w:pPr>
        <w:spacing w:line="360" w:lineRule="auto"/>
        <w:jc w:val="center"/>
        <w:rPr>
          <w:rFonts w:ascii="宋体" w:cs="Times New Roman"/>
          <w:b/>
          <w:bCs/>
          <w:sz w:val="44"/>
          <w:szCs w:val="44"/>
        </w:rPr>
      </w:pPr>
    </w:p>
    <w:p w14:paraId="75F0DB4F">
      <w:pPr>
        <w:pStyle w:val="43"/>
        <w:rPr>
          <w:rFonts w:ascii="Calibri" w:hAnsi="Calibri"/>
          <w:sz w:val="21"/>
          <w:szCs w:val="22"/>
        </w:rPr>
      </w:pPr>
      <w:bookmarkStart w:id="0" w:name="_Toc113441585"/>
      <w:r>
        <w:rPr>
          <w:sz w:val="28"/>
          <w:szCs w:val="28"/>
        </w:rPr>
        <w:fldChar w:fldCharType="begin"/>
      </w:r>
      <w:r>
        <w:rPr>
          <w:sz w:val="28"/>
          <w:szCs w:val="28"/>
        </w:rPr>
        <w:instrText xml:space="preserve"> TOC \o "1-3" \h \z \u </w:instrText>
      </w:r>
      <w:r>
        <w:rPr>
          <w:sz w:val="28"/>
          <w:szCs w:val="28"/>
        </w:rPr>
        <w:fldChar w:fldCharType="separate"/>
      </w:r>
      <w:r>
        <w:fldChar w:fldCharType="begin"/>
      </w:r>
      <w:r>
        <w:instrText xml:space="preserve"> HYPERLINK \l "_Toc69913472" </w:instrText>
      </w:r>
      <w:r>
        <w:fldChar w:fldCharType="separate"/>
      </w:r>
      <w:r>
        <w:rPr>
          <w:rFonts w:hint="eastAsia"/>
        </w:rPr>
        <w:t>竞争性磋商公告</w:t>
      </w:r>
      <w:r>
        <w:tab/>
      </w:r>
      <w:r>
        <w:fldChar w:fldCharType="begin"/>
      </w:r>
      <w:r>
        <w:instrText xml:space="preserve"> PAGEREF _Toc69913472 \h </w:instrText>
      </w:r>
      <w:r>
        <w:fldChar w:fldCharType="separate"/>
      </w:r>
      <w:r>
        <w:t>3</w:t>
      </w:r>
      <w:r>
        <w:fldChar w:fldCharType="end"/>
      </w:r>
      <w:r>
        <w:fldChar w:fldCharType="end"/>
      </w:r>
    </w:p>
    <w:p w14:paraId="318A0432">
      <w:pPr>
        <w:pStyle w:val="43"/>
        <w:rPr>
          <w:rFonts w:ascii="Calibri" w:hAnsi="Calibri"/>
          <w:sz w:val="21"/>
          <w:szCs w:val="22"/>
        </w:rPr>
      </w:pPr>
      <w:r>
        <w:fldChar w:fldCharType="begin"/>
      </w:r>
      <w:r>
        <w:instrText xml:space="preserve"> HYPERLINK \l "_Toc69913473" </w:instrText>
      </w:r>
      <w:r>
        <w:fldChar w:fldCharType="separate"/>
      </w:r>
      <w:r>
        <w:rPr>
          <w:rFonts w:hint="eastAsia"/>
        </w:rPr>
        <w:t>第一章供应商须知</w:t>
      </w:r>
      <w:r>
        <w:tab/>
      </w:r>
      <w:r>
        <w:fldChar w:fldCharType="begin"/>
      </w:r>
      <w:r>
        <w:instrText xml:space="preserve"> PAGEREF _Toc69913473 \h </w:instrText>
      </w:r>
      <w:r>
        <w:fldChar w:fldCharType="separate"/>
      </w:r>
      <w:r>
        <w:t>7</w:t>
      </w:r>
      <w:r>
        <w:fldChar w:fldCharType="end"/>
      </w:r>
      <w:r>
        <w:fldChar w:fldCharType="end"/>
      </w:r>
    </w:p>
    <w:p w14:paraId="0760B03F">
      <w:pPr>
        <w:pStyle w:val="53"/>
        <w:rPr>
          <w:rFonts w:ascii="Calibri" w:hAnsi="Calibri"/>
          <w:sz w:val="21"/>
          <w:szCs w:val="22"/>
        </w:rPr>
      </w:pPr>
      <w:r>
        <w:fldChar w:fldCharType="begin"/>
      </w:r>
      <w:r>
        <w:instrText xml:space="preserve"> HYPERLINK \l "_Toc69913474" </w:instrText>
      </w:r>
      <w:r>
        <w:fldChar w:fldCharType="separate"/>
      </w:r>
      <w:r>
        <w:rPr>
          <w:rFonts w:hint="eastAsia" w:ascii="宋体" w:hAnsi="宋体" w:cs="宋体"/>
        </w:rPr>
        <w:t>前附表</w:t>
      </w:r>
      <w:r>
        <w:tab/>
      </w:r>
      <w:r>
        <w:fldChar w:fldCharType="begin"/>
      </w:r>
      <w:r>
        <w:instrText xml:space="preserve"> PAGEREF _Toc69913474 \h </w:instrText>
      </w:r>
      <w:r>
        <w:fldChar w:fldCharType="separate"/>
      </w:r>
      <w:r>
        <w:t>7</w:t>
      </w:r>
      <w:r>
        <w:fldChar w:fldCharType="end"/>
      </w:r>
      <w:r>
        <w:fldChar w:fldCharType="end"/>
      </w:r>
    </w:p>
    <w:p w14:paraId="59AF1A49">
      <w:pPr>
        <w:pStyle w:val="43"/>
        <w:rPr>
          <w:rFonts w:ascii="Calibri" w:hAnsi="Calibri"/>
          <w:sz w:val="21"/>
          <w:szCs w:val="22"/>
        </w:rPr>
      </w:pPr>
      <w:r>
        <w:fldChar w:fldCharType="begin"/>
      </w:r>
      <w:r>
        <w:instrText xml:space="preserve"> HYPERLINK \l "_Toc69913475" </w:instrText>
      </w:r>
      <w:r>
        <w:fldChar w:fldCharType="separate"/>
      </w:r>
      <w:r>
        <w:rPr>
          <w:rFonts w:hint="eastAsia"/>
        </w:rPr>
        <w:t>一、总则</w:t>
      </w:r>
      <w:r>
        <w:tab/>
      </w:r>
      <w:r>
        <w:fldChar w:fldCharType="begin"/>
      </w:r>
      <w:r>
        <w:instrText xml:space="preserve"> PAGEREF _Toc69913475 \h </w:instrText>
      </w:r>
      <w:r>
        <w:fldChar w:fldCharType="separate"/>
      </w:r>
      <w:r>
        <w:t>9</w:t>
      </w:r>
      <w:r>
        <w:fldChar w:fldCharType="end"/>
      </w:r>
      <w:r>
        <w:fldChar w:fldCharType="end"/>
      </w:r>
    </w:p>
    <w:p w14:paraId="6176858F">
      <w:pPr>
        <w:pStyle w:val="53"/>
        <w:rPr>
          <w:rFonts w:ascii="Calibri" w:hAnsi="Calibri"/>
          <w:sz w:val="21"/>
          <w:szCs w:val="22"/>
        </w:rPr>
      </w:pPr>
      <w:r>
        <w:fldChar w:fldCharType="begin"/>
      </w:r>
      <w:r>
        <w:instrText xml:space="preserve"> HYPERLINK \l "_Toc69913485" </w:instrText>
      </w:r>
      <w:r>
        <w:fldChar w:fldCharType="separate"/>
      </w:r>
      <w:r>
        <w:rPr>
          <w:rFonts w:hint="eastAsia" w:ascii="宋体" w:hAnsi="宋体" w:cs="宋体"/>
          <w:kern w:val="44"/>
        </w:rPr>
        <w:t>二、磋商文件的说明</w:t>
      </w:r>
      <w:r>
        <w:tab/>
      </w:r>
      <w:r>
        <w:fldChar w:fldCharType="begin"/>
      </w:r>
      <w:r>
        <w:instrText xml:space="preserve"> PAGEREF _Toc69913485 \h </w:instrText>
      </w:r>
      <w:r>
        <w:fldChar w:fldCharType="separate"/>
      </w:r>
      <w:r>
        <w:t>10</w:t>
      </w:r>
      <w:r>
        <w:fldChar w:fldCharType="end"/>
      </w:r>
      <w:r>
        <w:fldChar w:fldCharType="end"/>
      </w:r>
    </w:p>
    <w:p w14:paraId="2C4BD5AF">
      <w:pPr>
        <w:pStyle w:val="53"/>
        <w:rPr>
          <w:rFonts w:ascii="Calibri" w:hAnsi="Calibri"/>
          <w:sz w:val="21"/>
          <w:szCs w:val="22"/>
        </w:rPr>
      </w:pPr>
      <w:r>
        <w:fldChar w:fldCharType="begin"/>
      </w:r>
      <w:r>
        <w:instrText xml:space="preserve"> HYPERLINK \l "_Toc69913486" </w:instrText>
      </w:r>
      <w:r>
        <w:fldChar w:fldCharType="separate"/>
      </w:r>
      <w:r>
        <w:rPr>
          <w:rFonts w:hint="eastAsia" w:ascii="宋体" w:hAnsi="宋体" w:cs="宋体"/>
          <w:kern w:val="44"/>
        </w:rPr>
        <w:t>三、响应文件的编制和提交</w:t>
      </w:r>
      <w:r>
        <w:tab/>
      </w:r>
      <w:r>
        <w:fldChar w:fldCharType="begin"/>
      </w:r>
      <w:r>
        <w:instrText xml:space="preserve"> PAGEREF _Toc69913486 \h </w:instrText>
      </w:r>
      <w:r>
        <w:fldChar w:fldCharType="separate"/>
      </w:r>
      <w:r>
        <w:t>14</w:t>
      </w:r>
      <w:r>
        <w:fldChar w:fldCharType="end"/>
      </w:r>
      <w:r>
        <w:fldChar w:fldCharType="end"/>
      </w:r>
    </w:p>
    <w:p w14:paraId="2FEC3B1C">
      <w:pPr>
        <w:pStyle w:val="53"/>
        <w:rPr>
          <w:rFonts w:ascii="Calibri" w:hAnsi="Calibri"/>
          <w:sz w:val="21"/>
          <w:szCs w:val="22"/>
        </w:rPr>
      </w:pPr>
      <w:r>
        <w:fldChar w:fldCharType="begin"/>
      </w:r>
      <w:r>
        <w:instrText xml:space="preserve"> HYPERLINK \l "_Toc69913487" </w:instrText>
      </w:r>
      <w:r>
        <w:fldChar w:fldCharType="separate"/>
      </w:r>
      <w:r>
        <w:rPr>
          <w:rFonts w:hint="eastAsia" w:ascii="宋体" w:hAnsi="宋体" w:cs="宋体"/>
          <w:kern w:val="44"/>
        </w:rPr>
        <w:t>四、磋商规则、程序</w:t>
      </w:r>
      <w:r>
        <w:tab/>
      </w:r>
      <w:r>
        <w:fldChar w:fldCharType="begin"/>
      </w:r>
      <w:r>
        <w:instrText xml:space="preserve"> PAGEREF _Toc69913487 \h </w:instrText>
      </w:r>
      <w:r>
        <w:fldChar w:fldCharType="separate"/>
      </w:r>
      <w:r>
        <w:t>16</w:t>
      </w:r>
      <w:r>
        <w:fldChar w:fldCharType="end"/>
      </w:r>
      <w:r>
        <w:fldChar w:fldCharType="end"/>
      </w:r>
    </w:p>
    <w:p w14:paraId="2CD5157E">
      <w:pPr>
        <w:pStyle w:val="53"/>
        <w:rPr>
          <w:rFonts w:ascii="Calibri" w:hAnsi="Calibri"/>
          <w:sz w:val="21"/>
          <w:szCs w:val="22"/>
        </w:rPr>
      </w:pPr>
      <w:r>
        <w:fldChar w:fldCharType="begin"/>
      </w:r>
      <w:r>
        <w:instrText xml:space="preserve"> HYPERLINK \l "_Toc69913494" </w:instrText>
      </w:r>
      <w:r>
        <w:fldChar w:fldCharType="separate"/>
      </w:r>
      <w:r>
        <w:rPr>
          <w:rFonts w:hint="eastAsia" w:ascii="宋体" w:hAnsi="宋体" w:cs="宋体"/>
          <w:spacing w:val="14"/>
        </w:rPr>
        <w:t>五、授予合同</w:t>
      </w:r>
      <w:r>
        <w:tab/>
      </w:r>
      <w:r>
        <w:fldChar w:fldCharType="begin"/>
      </w:r>
      <w:r>
        <w:instrText xml:space="preserve"> PAGEREF _Toc69913494 \h </w:instrText>
      </w:r>
      <w:r>
        <w:fldChar w:fldCharType="separate"/>
      </w:r>
      <w:r>
        <w:t>20</w:t>
      </w:r>
      <w:r>
        <w:fldChar w:fldCharType="end"/>
      </w:r>
      <w:r>
        <w:fldChar w:fldCharType="end"/>
      </w:r>
    </w:p>
    <w:p w14:paraId="3B4BC495">
      <w:pPr>
        <w:pStyle w:val="43"/>
        <w:rPr>
          <w:rFonts w:ascii="Calibri" w:hAnsi="Calibri"/>
          <w:sz w:val="21"/>
          <w:szCs w:val="22"/>
        </w:rPr>
      </w:pPr>
      <w:r>
        <w:fldChar w:fldCharType="begin"/>
      </w:r>
      <w:r>
        <w:instrText xml:space="preserve"> HYPERLINK \l "_Toc69913495" </w:instrText>
      </w:r>
      <w:r>
        <w:fldChar w:fldCharType="separate"/>
      </w:r>
      <w:r>
        <w:rPr>
          <w:rFonts w:hint="eastAsia"/>
        </w:rPr>
        <w:t>第二章磋商项目范围及要求</w:t>
      </w:r>
      <w:r>
        <w:tab/>
      </w:r>
      <w:r>
        <w:fldChar w:fldCharType="begin"/>
      </w:r>
      <w:r>
        <w:instrText xml:space="preserve"> PAGEREF _Toc69913495 \h </w:instrText>
      </w:r>
      <w:r>
        <w:fldChar w:fldCharType="separate"/>
      </w:r>
      <w:r>
        <w:t>22</w:t>
      </w:r>
      <w:r>
        <w:fldChar w:fldCharType="end"/>
      </w:r>
      <w:r>
        <w:fldChar w:fldCharType="end"/>
      </w:r>
    </w:p>
    <w:p w14:paraId="691D1E7E">
      <w:pPr>
        <w:pStyle w:val="43"/>
        <w:rPr>
          <w:rFonts w:ascii="Calibri" w:hAnsi="Calibri"/>
          <w:sz w:val="21"/>
          <w:szCs w:val="22"/>
        </w:rPr>
      </w:pPr>
      <w:r>
        <w:fldChar w:fldCharType="begin"/>
      </w:r>
      <w:r>
        <w:instrText xml:space="preserve"> HYPERLINK \l "_Toc69913496" </w:instrText>
      </w:r>
      <w:r>
        <w:fldChar w:fldCharType="separate"/>
      </w:r>
      <w:r>
        <w:rPr>
          <w:rFonts w:hint="eastAsia"/>
        </w:rPr>
        <w:t>第三章合同主要条款</w:t>
      </w:r>
      <w:r>
        <w:tab/>
      </w:r>
      <w:r>
        <w:fldChar w:fldCharType="begin"/>
      </w:r>
      <w:r>
        <w:instrText xml:space="preserve"> PAGEREF _Toc69913496 \h </w:instrText>
      </w:r>
      <w:r>
        <w:fldChar w:fldCharType="separate"/>
      </w:r>
      <w:r>
        <w:t>26</w:t>
      </w:r>
      <w:r>
        <w:fldChar w:fldCharType="end"/>
      </w:r>
      <w:r>
        <w:fldChar w:fldCharType="end"/>
      </w:r>
    </w:p>
    <w:p w14:paraId="1994FD6C">
      <w:pPr>
        <w:pStyle w:val="43"/>
        <w:rPr>
          <w:rFonts w:ascii="Calibri" w:hAnsi="Calibri"/>
          <w:sz w:val="21"/>
          <w:szCs w:val="22"/>
        </w:rPr>
      </w:pPr>
      <w:r>
        <w:fldChar w:fldCharType="begin"/>
      </w:r>
      <w:r>
        <w:instrText xml:space="preserve"> HYPERLINK \l "_Toc69913497" </w:instrText>
      </w:r>
      <w:r>
        <w:fldChar w:fldCharType="separate"/>
      </w:r>
      <w:r>
        <w:rPr>
          <w:rFonts w:hint="eastAsia"/>
        </w:rPr>
        <w:t>第四章响应文件格式</w:t>
      </w:r>
      <w:r>
        <w:tab/>
      </w:r>
      <w:r>
        <w:fldChar w:fldCharType="begin"/>
      </w:r>
      <w:r>
        <w:instrText xml:space="preserve"> PAGEREF _Toc69913497 \h </w:instrText>
      </w:r>
      <w:r>
        <w:fldChar w:fldCharType="separate"/>
      </w:r>
      <w:r>
        <w:t>29</w:t>
      </w:r>
      <w:r>
        <w:fldChar w:fldCharType="end"/>
      </w:r>
      <w:r>
        <w:fldChar w:fldCharType="end"/>
      </w:r>
    </w:p>
    <w:p w14:paraId="19225480">
      <w:pPr>
        <w:pStyle w:val="43"/>
        <w:rPr>
          <w:rFonts w:ascii="Calibri" w:hAnsi="Calibri"/>
          <w:sz w:val="21"/>
          <w:szCs w:val="22"/>
        </w:rPr>
      </w:pPr>
      <w:r>
        <w:fldChar w:fldCharType="begin"/>
      </w:r>
      <w:r>
        <w:instrText xml:space="preserve"> HYPERLINK \l "_Toc69913499" </w:instrText>
      </w:r>
      <w:r>
        <w:fldChar w:fldCharType="separate"/>
      </w:r>
      <w:r>
        <w:rPr>
          <w:rFonts w:hint="eastAsia"/>
        </w:rPr>
        <w:t>第五章磋商办法及评分标准</w:t>
      </w:r>
      <w:r>
        <w:tab/>
      </w:r>
      <w:r>
        <w:fldChar w:fldCharType="begin"/>
      </w:r>
      <w:r>
        <w:instrText xml:space="preserve"> PAGEREF _Toc69913499 \h </w:instrText>
      </w:r>
      <w:r>
        <w:fldChar w:fldCharType="separate"/>
      </w:r>
      <w:r>
        <w:t>43</w:t>
      </w:r>
      <w:r>
        <w:fldChar w:fldCharType="end"/>
      </w:r>
      <w:r>
        <w:fldChar w:fldCharType="end"/>
      </w:r>
    </w:p>
    <w:p w14:paraId="1355FD84">
      <w:pPr>
        <w:pStyle w:val="34"/>
        <w:snapToGrid w:val="0"/>
        <w:spacing w:beforeLines="0" w:afterLines="0" w:line="360" w:lineRule="auto"/>
        <w:ind w:left="1389" w:hanging="1388" w:hangingChars="496"/>
        <w:jc w:val="center"/>
        <w:rPr>
          <w:rFonts w:hAnsi="宋体"/>
          <w:b/>
          <w:bCs/>
          <w:sz w:val="28"/>
          <w:szCs w:val="28"/>
        </w:rPr>
      </w:pPr>
      <w:r>
        <w:rPr>
          <w:sz w:val="28"/>
          <w:szCs w:val="28"/>
        </w:rPr>
        <w:fldChar w:fldCharType="end"/>
      </w:r>
      <w:bookmarkEnd w:id="0"/>
    </w:p>
    <w:p w14:paraId="53E16251">
      <w:pPr>
        <w:pStyle w:val="34"/>
        <w:snapToGrid w:val="0"/>
        <w:spacing w:beforeLines="0" w:afterLines="0" w:line="360" w:lineRule="auto"/>
        <w:ind w:left="1394" w:hanging="1394" w:hangingChars="496"/>
        <w:jc w:val="center"/>
        <w:rPr>
          <w:rFonts w:hAnsi="宋体"/>
          <w:b/>
          <w:bCs/>
          <w:sz w:val="28"/>
          <w:szCs w:val="28"/>
        </w:rPr>
      </w:pPr>
    </w:p>
    <w:p w14:paraId="4505DE86">
      <w:pPr>
        <w:pStyle w:val="34"/>
        <w:snapToGrid w:val="0"/>
        <w:spacing w:beforeLines="0" w:afterLines="0" w:line="360" w:lineRule="auto"/>
        <w:ind w:left="1394" w:hanging="1394" w:hangingChars="496"/>
        <w:jc w:val="center"/>
        <w:rPr>
          <w:rFonts w:hAnsi="宋体"/>
          <w:b/>
          <w:bCs/>
          <w:sz w:val="28"/>
          <w:szCs w:val="28"/>
        </w:rPr>
      </w:pPr>
    </w:p>
    <w:p w14:paraId="0A4AEFC9"/>
    <w:p w14:paraId="6E0A1C05">
      <w:pPr>
        <w:pStyle w:val="34"/>
        <w:snapToGrid w:val="0"/>
        <w:spacing w:beforeLines="0" w:afterLines="0" w:line="360" w:lineRule="auto"/>
        <w:ind w:left="1394" w:hanging="1394" w:hangingChars="496"/>
        <w:jc w:val="center"/>
        <w:rPr>
          <w:rFonts w:hAnsi="宋体"/>
          <w:b/>
          <w:bCs/>
          <w:sz w:val="28"/>
          <w:szCs w:val="28"/>
        </w:rPr>
      </w:pPr>
    </w:p>
    <w:p w14:paraId="1179E43D">
      <w:pPr>
        <w:pStyle w:val="34"/>
        <w:snapToGrid w:val="0"/>
        <w:spacing w:beforeLines="0" w:afterLines="0" w:line="360" w:lineRule="auto"/>
        <w:rPr>
          <w:rFonts w:hAnsi="宋体"/>
          <w:b/>
          <w:bCs/>
          <w:sz w:val="28"/>
          <w:szCs w:val="28"/>
        </w:rPr>
      </w:pPr>
    </w:p>
    <w:p w14:paraId="49286753">
      <w:pPr>
        <w:rPr>
          <w:rFonts w:hint="eastAsia" w:ascii="宋体" w:hAnsi="宋体" w:cs="宋体"/>
          <w:b/>
          <w:bCs/>
          <w:kern w:val="0"/>
          <w:sz w:val="32"/>
          <w:szCs w:val="32"/>
          <w:lang w:eastAsia="zh-CN"/>
        </w:rPr>
      </w:pPr>
      <w:bookmarkStart w:id="1" w:name="_Toc69913472"/>
      <w:r>
        <w:rPr>
          <w:rFonts w:hint="eastAsia" w:ascii="宋体" w:hAnsi="宋体" w:cs="宋体"/>
          <w:b/>
          <w:bCs/>
          <w:kern w:val="0"/>
          <w:sz w:val="32"/>
          <w:szCs w:val="32"/>
          <w:lang w:eastAsia="zh-CN"/>
        </w:rPr>
        <w:br w:type="page"/>
      </w:r>
    </w:p>
    <w:p w14:paraId="462F7067">
      <w:pPr>
        <w:snapToGrid w:val="0"/>
        <w:spacing w:line="460" w:lineRule="exact"/>
        <w:jc w:val="center"/>
        <w:rPr>
          <w:rFonts w:hint="eastAsia" w:ascii="宋体" w:hAnsi="宋体" w:cs="宋体" w:eastAsiaTheme="minorEastAsia"/>
          <w:b/>
          <w:bCs/>
          <w:kern w:val="0"/>
          <w:sz w:val="32"/>
          <w:szCs w:val="32"/>
          <w:lang w:eastAsia="zh-CN"/>
        </w:rPr>
      </w:pPr>
      <w:r>
        <w:rPr>
          <w:rFonts w:hint="eastAsia" w:ascii="宋体" w:hAnsi="宋体" w:cs="宋体"/>
          <w:b/>
          <w:bCs/>
          <w:kern w:val="0"/>
          <w:sz w:val="32"/>
          <w:szCs w:val="32"/>
          <w:lang w:eastAsia="zh-CN"/>
        </w:rPr>
        <w:t>大气颗粒物组分手工监测项目</w:t>
      </w:r>
    </w:p>
    <w:p w14:paraId="06CD9A04">
      <w:pPr>
        <w:pStyle w:val="2"/>
        <w:rPr>
          <w:sz w:val="32"/>
          <w:szCs w:val="32"/>
        </w:rPr>
      </w:pPr>
      <w:r>
        <w:rPr>
          <w:rFonts w:hint="eastAsia"/>
          <w:sz w:val="32"/>
          <w:szCs w:val="32"/>
        </w:rPr>
        <w:t>竞争性磋商公告</w:t>
      </w:r>
      <w:bookmarkEnd w:id="1"/>
    </w:p>
    <w:p w14:paraId="4A32C882">
      <w:pPr>
        <w:spacing w:line="560" w:lineRule="exact"/>
        <w:ind w:firstLine="480" w:firstLineChars="200"/>
        <w:rPr>
          <w:rFonts w:ascii="宋体" w:hAnsi="宋体" w:cs="宋体"/>
          <w:kern w:val="0"/>
          <w:sz w:val="24"/>
          <w:szCs w:val="24"/>
        </w:rPr>
      </w:pPr>
      <w:r>
        <w:rPr>
          <w:rFonts w:hint="eastAsia" w:ascii="宋体" w:hAnsi="宋体" w:cs="宋体"/>
          <w:kern w:val="0"/>
          <w:sz w:val="24"/>
          <w:szCs w:val="24"/>
        </w:rPr>
        <w:t xml:space="preserve">根据《政府采购竞争性磋商采购方式管理暂行办法》等有关规定，经湖州市财政局    </w:t>
      </w:r>
      <w:r>
        <w:fldChar w:fldCharType="begin"/>
      </w:r>
      <w:r>
        <w:instrText xml:space="preserve"> HYPERLINK "https://pay.zcygov.cn/purchaseplan_front/" \l "/order/_blank" \t "https://www.zcygov.cn/bidding-entrust/" </w:instrText>
      </w:r>
      <w:r>
        <w:fldChar w:fldCharType="separate"/>
      </w:r>
      <w:r>
        <w:rPr>
          <w:rFonts w:hint="eastAsia" w:ascii="宋体" w:hAnsi="宋体" w:cs="宋体"/>
          <w:kern w:val="0"/>
          <w:sz w:val="24"/>
          <w:szCs w:val="24"/>
          <w:lang w:eastAsia="zh-CN"/>
        </w:rPr>
        <w:t>临[2024]18641号</w:t>
      </w:r>
      <w:r>
        <w:rPr>
          <w:rFonts w:hint="eastAsia" w:ascii="宋体" w:hAnsi="宋体" w:cs="宋体"/>
          <w:kern w:val="0"/>
          <w:sz w:val="24"/>
          <w:szCs w:val="24"/>
        </w:rPr>
        <w:fldChar w:fldCharType="end"/>
      </w:r>
      <w:r>
        <w:rPr>
          <w:rFonts w:hint="eastAsia" w:ascii="宋体" w:hAnsi="宋体" w:cs="宋体"/>
          <w:kern w:val="0"/>
          <w:sz w:val="24"/>
          <w:szCs w:val="24"/>
        </w:rPr>
        <w:t>批准，浙江华耀建设咨询有限公司受浙江省湖州生态环境监测中心的委托，就</w:t>
      </w:r>
      <w:r>
        <w:rPr>
          <w:rFonts w:hint="eastAsia" w:ascii="宋体" w:hAnsi="宋体" w:cs="宋体"/>
          <w:kern w:val="0"/>
          <w:sz w:val="24"/>
          <w:szCs w:val="24"/>
          <w:lang w:eastAsia="zh-CN"/>
        </w:rPr>
        <w:t>大气颗粒物组分手工监测项目</w:t>
      </w:r>
      <w:r>
        <w:rPr>
          <w:rFonts w:hint="eastAsia" w:ascii="宋体" w:hAnsi="宋体" w:cs="宋体"/>
          <w:kern w:val="0"/>
          <w:sz w:val="24"/>
          <w:szCs w:val="24"/>
        </w:rPr>
        <w:t>进行竞争性磋商，欢迎国内合格的供应商前来磋商。</w:t>
      </w:r>
    </w:p>
    <w:p w14:paraId="135EEF20">
      <w:pPr>
        <w:snapToGrid w:val="0"/>
        <w:spacing w:line="460" w:lineRule="exact"/>
        <w:ind w:firstLine="472" w:firstLineChars="196"/>
        <w:rPr>
          <w:rFonts w:ascii="宋体" w:cs="Times New Roman"/>
          <w:sz w:val="24"/>
          <w:szCs w:val="24"/>
        </w:rPr>
      </w:pPr>
      <w:r>
        <w:rPr>
          <w:rFonts w:hint="eastAsia" w:ascii="宋体" w:hAnsi="宋体" w:cs="宋体"/>
          <w:b/>
          <w:bCs/>
          <w:kern w:val="0"/>
          <w:sz w:val="24"/>
          <w:szCs w:val="24"/>
        </w:rPr>
        <w:t>一、磋商项目编号：</w:t>
      </w:r>
      <w:r>
        <w:rPr>
          <w:rFonts w:ascii="宋体" w:hAnsi="宋体" w:cs="宋体"/>
          <w:kern w:val="0"/>
          <w:sz w:val="24"/>
          <w:szCs w:val="24"/>
        </w:rPr>
        <w:t xml:space="preserve"> </w:t>
      </w:r>
      <w:r>
        <w:rPr>
          <w:rFonts w:ascii="宋体" w:hAnsi="宋体" w:cs="宋体"/>
          <w:sz w:val="24"/>
          <w:szCs w:val="24"/>
        </w:rPr>
        <w:t>HYHZ2024-160</w:t>
      </w:r>
    </w:p>
    <w:p w14:paraId="12802B7B">
      <w:pPr>
        <w:snapToGrid w:val="0"/>
        <w:spacing w:line="460" w:lineRule="exact"/>
        <w:ind w:firstLine="472" w:firstLineChars="196"/>
        <w:rPr>
          <w:rFonts w:ascii="宋体" w:cs="Times New Roman"/>
          <w:b/>
          <w:bCs/>
          <w:sz w:val="24"/>
          <w:szCs w:val="24"/>
        </w:rPr>
      </w:pPr>
      <w:r>
        <w:rPr>
          <w:rFonts w:hint="eastAsia" w:ascii="宋体" w:hAnsi="宋体" w:cs="宋体"/>
          <w:b/>
          <w:bCs/>
          <w:kern w:val="0"/>
          <w:sz w:val="24"/>
          <w:szCs w:val="24"/>
        </w:rPr>
        <w:t>二、磋商项目概况</w:t>
      </w:r>
      <w:r>
        <w:rPr>
          <w:rFonts w:hint="eastAsia" w:ascii="宋体" w:hAnsi="宋体" w:cs="宋体"/>
          <w:kern w:val="0"/>
          <w:sz w:val="24"/>
          <w:szCs w:val="24"/>
        </w:rPr>
        <w:t xml:space="preserve">：             </w:t>
      </w:r>
    </w:p>
    <w:tbl>
      <w:tblPr>
        <w:tblStyle w:val="63"/>
        <w:tblW w:w="101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0"/>
        <w:gridCol w:w="5299"/>
        <w:gridCol w:w="1417"/>
        <w:gridCol w:w="1418"/>
        <w:gridCol w:w="1285"/>
      </w:tblGrid>
      <w:tr w14:paraId="419AA2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8" w:hRule="exact"/>
          <w:jc w:val="center"/>
        </w:trPr>
        <w:tc>
          <w:tcPr>
            <w:tcW w:w="700" w:type="dxa"/>
            <w:tcBorders>
              <w:top w:val="single" w:color="auto" w:sz="4" w:space="0"/>
              <w:bottom w:val="single" w:color="auto" w:sz="4" w:space="0"/>
              <w:right w:val="single" w:color="auto" w:sz="4" w:space="0"/>
            </w:tcBorders>
            <w:vAlign w:val="center"/>
          </w:tcPr>
          <w:p w14:paraId="54652BBE">
            <w:pPr>
              <w:snapToGrid w:val="0"/>
              <w:spacing w:line="360" w:lineRule="exact"/>
              <w:jc w:val="center"/>
              <w:rPr>
                <w:rFonts w:ascii="宋体" w:hAnsi="宋体" w:cs="宋体"/>
                <w:sz w:val="24"/>
                <w:szCs w:val="24"/>
              </w:rPr>
            </w:pPr>
            <w:r>
              <w:rPr>
                <w:rFonts w:hint="eastAsia" w:ascii="宋体" w:hAnsi="宋体" w:cs="宋体"/>
                <w:sz w:val="24"/>
                <w:szCs w:val="24"/>
              </w:rPr>
              <w:t>序号</w:t>
            </w:r>
          </w:p>
        </w:tc>
        <w:tc>
          <w:tcPr>
            <w:tcW w:w="5299" w:type="dxa"/>
            <w:tcBorders>
              <w:top w:val="single" w:color="auto" w:sz="4" w:space="0"/>
              <w:left w:val="single" w:color="auto" w:sz="4" w:space="0"/>
              <w:bottom w:val="single" w:color="auto" w:sz="4" w:space="0"/>
              <w:right w:val="single" w:color="auto" w:sz="4" w:space="0"/>
            </w:tcBorders>
            <w:vAlign w:val="center"/>
          </w:tcPr>
          <w:p w14:paraId="055FA012">
            <w:pPr>
              <w:snapToGrid w:val="0"/>
              <w:spacing w:line="360" w:lineRule="exact"/>
              <w:jc w:val="center"/>
              <w:rPr>
                <w:rFonts w:ascii="宋体" w:hAnsi="宋体" w:cs="宋体"/>
                <w:sz w:val="24"/>
                <w:szCs w:val="24"/>
              </w:rPr>
            </w:pPr>
            <w:r>
              <w:rPr>
                <w:rFonts w:hint="eastAsia" w:ascii="宋体" w:hAnsi="宋体" w:cs="宋体"/>
                <w:sz w:val="24"/>
                <w:szCs w:val="24"/>
              </w:rPr>
              <w:t>采购内容</w:t>
            </w:r>
          </w:p>
        </w:tc>
        <w:tc>
          <w:tcPr>
            <w:tcW w:w="1417" w:type="dxa"/>
            <w:tcBorders>
              <w:top w:val="single" w:color="auto" w:sz="4" w:space="0"/>
              <w:left w:val="single" w:color="auto" w:sz="4" w:space="0"/>
              <w:bottom w:val="single" w:color="auto" w:sz="4" w:space="0"/>
              <w:right w:val="single" w:color="auto" w:sz="4" w:space="0"/>
            </w:tcBorders>
            <w:vAlign w:val="center"/>
          </w:tcPr>
          <w:p w14:paraId="12C7239F">
            <w:pPr>
              <w:snapToGrid w:val="0"/>
              <w:spacing w:line="360" w:lineRule="exact"/>
              <w:jc w:val="center"/>
              <w:rPr>
                <w:rFonts w:ascii="宋体" w:hAnsi="宋体" w:cs="宋体"/>
                <w:sz w:val="24"/>
                <w:szCs w:val="24"/>
              </w:rPr>
            </w:pPr>
            <w:r>
              <w:rPr>
                <w:rFonts w:hint="eastAsia" w:ascii="宋体" w:hAnsi="宋体" w:cs="宋体"/>
                <w:sz w:val="24"/>
                <w:szCs w:val="24"/>
              </w:rPr>
              <w:t>单位及数量</w:t>
            </w:r>
          </w:p>
        </w:tc>
        <w:tc>
          <w:tcPr>
            <w:tcW w:w="1418" w:type="dxa"/>
            <w:tcBorders>
              <w:top w:val="single" w:color="auto" w:sz="4" w:space="0"/>
              <w:left w:val="single" w:color="auto" w:sz="4" w:space="0"/>
              <w:bottom w:val="single" w:color="auto" w:sz="4" w:space="0"/>
              <w:right w:val="single" w:color="auto" w:sz="4" w:space="0"/>
            </w:tcBorders>
            <w:vAlign w:val="center"/>
          </w:tcPr>
          <w:p w14:paraId="2D72DC90">
            <w:pPr>
              <w:snapToGrid w:val="0"/>
              <w:spacing w:line="360" w:lineRule="exact"/>
              <w:rPr>
                <w:rFonts w:ascii="宋体" w:hAnsi="宋体" w:cs="宋体"/>
                <w:sz w:val="24"/>
                <w:szCs w:val="24"/>
              </w:rPr>
            </w:pPr>
            <w:r>
              <w:rPr>
                <w:rFonts w:hint="eastAsia" w:ascii="宋体" w:hAnsi="宋体" w:cs="宋体"/>
                <w:sz w:val="24"/>
                <w:szCs w:val="24"/>
              </w:rPr>
              <w:t>采购预算</w:t>
            </w:r>
          </w:p>
        </w:tc>
        <w:tc>
          <w:tcPr>
            <w:tcW w:w="1285" w:type="dxa"/>
            <w:tcBorders>
              <w:top w:val="single" w:color="auto" w:sz="4" w:space="0"/>
              <w:left w:val="single" w:color="auto" w:sz="4" w:space="0"/>
              <w:bottom w:val="single" w:color="auto" w:sz="4" w:space="0"/>
              <w:right w:val="single" w:color="auto" w:sz="4" w:space="0"/>
            </w:tcBorders>
            <w:vAlign w:val="center"/>
          </w:tcPr>
          <w:p w14:paraId="360C7965">
            <w:pPr>
              <w:snapToGrid w:val="0"/>
              <w:spacing w:line="360" w:lineRule="exact"/>
              <w:rPr>
                <w:rFonts w:ascii="宋体" w:hAnsi="宋体" w:cs="宋体"/>
                <w:sz w:val="24"/>
                <w:szCs w:val="24"/>
              </w:rPr>
            </w:pPr>
            <w:r>
              <w:rPr>
                <w:rFonts w:hint="eastAsia" w:ascii="宋体" w:hAnsi="宋体" w:cs="宋体"/>
                <w:sz w:val="24"/>
                <w:szCs w:val="24"/>
              </w:rPr>
              <w:t>最高限价</w:t>
            </w:r>
          </w:p>
        </w:tc>
      </w:tr>
      <w:tr w14:paraId="56A6A5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8" w:hRule="exact"/>
          <w:jc w:val="center"/>
        </w:trPr>
        <w:tc>
          <w:tcPr>
            <w:tcW w:w="700" w:type="dxa"/>
            <w:tcBorders>
              <w:top w:val="single" w:color="auto" w:sz="4" w:space="0"/>
              <w:bottom w:val="single" w:color="auto" w:sz="4" w:space="0"/>
              <w:right w:val="single" w:color="auto" w:sz="4" w:space="0"/>
            </w:tcBorders>
            <w:vAlign w:val="center"/>
          </w:tcPr>
          <w:p w14:paraId="4B2A11EA">
            <w:pPr>
              <w:widowControl/>
              <w:snapToGrid w:val="0"/>
              <w:spacing w:after="156" w:afterLines="50" w:line="360" w:lineRule="exact"/>
              <w:jc w:val="center"/>
              <w:rPr>
                <w:rFonts w:ascii="宋体" w:hAnsi="宋体" w:cs="宋体"/>
                <w:sz w:val="24"/>
                <w:szCs w:val="24"/>
              </w:rPr>
            </w:pPr>
            <w:r>
              <w:rPr>
                <w:rFonts w:ascii="宋体" w:hAnsi="宋体" w:cs="宋体"/>
                <w:sz w:val="24"/>
                <w:szCs w:val="24"/>
              </w:rPr>
              <w:t>1</w:t>
            </w:r>
          </w:p>
        </w:tc>
        <w:tc>
          <w:tcPr>
            <w:tcW w:w="5299" w:type="dxa"/>
            <w:tcBorders>
              <w:top w:val="single" w:color="auto" w:sz="4" w:space="0"/>
              <w:left w:val="single" w:color="auto" w:sz="4" w:space="0"/>
              <w:bottom w:val="single" w:color="auto" w:sz="4" w:space="0"/>
              <w:right w:val="single" w:color="auto" w:sz="4" w:space="0"/>
            </w:tcBorders>
            <w:vAlign w:val="center"/>
          </w:tcPr>
          <w:p w14:paraId="7E6A12D7">
            <w:pPr>
              <w:widowControl/>
              <w:snapToGrid w:val="0"/>
              <w:spacing w:after="156" w:afterLines="50" w:line="360" w:lineRule="exact"/>
              <w:jc w:val="center"/>
              <w:rPr>
                <w:rFonts w:hint="eastAsia" w:ascii="宋体" w:hAnsi="宋体" w:cs="宋体" w:eastAsiaTheme="minorEastAsia"/>
                <w:sz w:val="24"/>
                <w:szCs w:val="24"/>
                <w:lang w:eastAsia="zh-CN"/>
              </w:rPr>
            </w:pPr>
            <w:r>
              <w:rPr>
                <w:rFonts w:hint="eastAsia" w:ascii="宋体" w:hAnsi="宋体" w:cs="宋体"/>
                <w:sz w:val="24"/>
                <w:szCs w:val="24"/>
                <w:lang w:eastAsia="zh-CN"/>
              </w:rPr>
              <w:t>大气颗粒物组分手工监测项目</w:t>
            </w:r>
          </w:p>
          <w:p w14:paraId="16A07D9F">
            <w:pPr>
              <w:widowControl/>
              <w:snapToGrid w:val="0"/>
              <w:spacing w:after="156" w:afterLines="50" w:line="360" w:lineRule="exact"/>
              <w:jc w:val="center"/>
              <w:rPr>
                <w:rFonts w:ascii="宋体" w:hAnsi="宋体" w:cs="宋体"/>
                <w:sz w:val="24"/>
                <w:szCs w:val="24"/>
              </w:rPr>
            </w:pPr>
          </w:p>
        </w:tc>
        <w:tc>
          <w:tcPr>
            <w:tcW w:w="1417" w:type="dxa"/>
            <w:tcBorders>
              <w:top w:val="single" w:color="auto" w:sz="4" w:space="0"/>
              <w:left w:val="single" w:color="auto" w:sz="4" w:space="0"/>
              <w:bottom w:val="single" w:color="auto" w:sz="4" w:space="0"/>
              <w:right w:val="single" w:color="auto" w:sz="4" w:space="0"/>
            </w:tcBorders>
            <w:vAlign w:val="center"/>
          </w:tcPr>
          <w:p w14:paraId="420A4370">
            <w:pPr>
              <w:snapToGrid w:val="0"/>
              <w:spacing w:line="360" w:lineRule="exact"/>
              <w:ind w:firstLine="120" w:firstLineChars="50"/>
              <w:jc w:val="center"/>
              <w:rPr>
                <w:rFonts w:ascii="宋体" w:hAnsi="宋体" w:cs="宋体"/>
                <w:sz w:val="24"/>
                <w:szCs w:val="24"/>
              </w:rPr>
            </w:pPr>
            <w:r>
              <w:rPr>
                <w:rFonts w:hint="eastAsia" w:ascii="宋体" w:hAnsi="宋体" w:cs="宋体"/>
                <w:sz w:val="24"/>
                <w:szCs w:val="24"/>
              </w:rPr>
              <w:t>1项</w:t>
            </w:r>
          </w:p>
        </w:tc>
        <w:tc>
          <w:tcPr>
            <w:tcW w:w="1418" w:type="dxa"/>
            <w:tcBorders>
              <w:top w:val="single" w:color="auto" w:sz="4" w:space="0"/>
              <w:left w:val="single" w:color="auto" w:sz="4" w:space="0"/>
              <w:bottom w:val="single" w:color="auto" w:sz="4" w:space="0"/>
              <w:right w:val="single" w:color="auto" w:sz="4" w:space="0"/>
            </w:tcBorders>
            <w:vAlign w:val="center"/>
          </w:tcPr>
          <w:p w14:paraId="06418AA1">
            <w:pPr>
              <w:snapToGrid w:val="0"/>
              <w:spacing w:line="360" w:lineRule="exact"/>
              <w:jc w:val="center"/>
              <w:rPr>
                <w:rFonts w:ascii="宋体" w:hAnsi="宋体" w:cs="宋体"/>
                <w:sz w:val="24"/>
                <w:szCs w:val="24"/>
              </w:rPr>
            </w:pPr>
            <w:r>
              <w:rPr>
                <w:rFonts w:hint="eastAsia" w:ascii="宋体" w:hAnsi="宋体" w:cs="宋体"/>
                <w:sz w:val="24"/>
                <w:szCs w:val="24"/>
              </w:rPr>
              <w:t>57.8万元</w:t>
            </w:r>
          </w:p>
        </w:tc>
        <w:tc>
          <w:tcPr>
            <w:tcW w:w="1285" w:type="dxa"/>
            <w:tcBorders>
              <w:top w:val="single" w:color="auto" w:sz="4" w:space="0"/>
              <w:left w:val="single" w:color="auto" w:sz="4" w:space="0"/>
              <w:bottom w:val="single" w:color="auto" w:sz="4" w:space="0"/>
              <w:right w:val="single" w:color="auto" w:sz="4" w:space="0"/>
            </w:tcBorders>
            <w:vAlign w:val="center"/>
          </w:tcPr>
          <w:p w14:paraId="24633F25">
            <w:pPr>
              <w:snapToGrid w:val="0"/>
              <w:spacing w:line="360" w:lineRule="exact"/>
              <w:jc w:val="center"/>
              <w:rPr>
                <w:rFonts w:ascii="宋体" w:hAnsi="宋体" w:cs="宋体"/>
                <w:sz w:val="24"/>
                <w:szCs w:val="24"/>
              </w:rPr>
            </w:pPr>
            <w:r>
              <w:rPr>
                <w:rFonts w:hint="eastAsia" w:ascii="宋体" w:hAnsi="宋体" w:cs="宋体"/>
                <w:sz w:val="24"/>
                <w:szCs w:val="24"/>
              </w:rPr>
              <w:t>57.8万元</w:t>
            </w:r>
          </w:p>
        </w:tc>
      </w:tr>
    </w:tbl>
    <w:p w14:paraId="4EE2307B">
      <w:pPr>
        <w:snapToGrid w:val="0"/>
        <w:spacing w:line="460" w:lineRule="exact"/>
        <w:ind w:firstLine="470" w:firstLineChars="196"/>
        <w:rPr>
          <w:rFonts w:ascii="宋体" w:cs="Times New Roman"/>
          <w:kern w:val="0"/>
          <w:sz w:val="24"/>
          <w:szCs w:val="24"/>
        </w:rPr>
      </w:pPr>
      <w:r>
        <w:rPr>
          <w:rFonts w:hint="eastAsia" w:ascii="宋体" w:hAnsi="宋体" w:cs="宋体"/>
          <w:kern w:val="0"/>
          <w:sz w:val="24"/>
          <w:szCs w:val="24"/>
        </w:rPr>
        <w:t>详见竞争性磋商文件。</w:t>
      </w:r>
    </w:p>
    <w:p w14:paraId="29128456">
      <w:pPr>
        <w:snapToGrid w:val="0"/>
        <w:spacing w:line="460" w:lineRule="exact"/>
        <w:ind w:firstLine="472" w:firstLineChars="196"/>
        <w:rPr>
          <w:rFonts w:ascii="宋体" w:hAnsi="宋体" w:cs="宋体"/>
          <w:kern w:val="0"/>
          <w:sz w:val="24"/>
          <w:szCs w:val="24"/>
        </w:rPr>
      </w:pPr>
      <w:r>
        <w:rPr>
          <w:rFonts w:hint="eastAsia" w:ascii="宋体" w:hAnsi="宋体" w:cs="宋体"/>
          <w:b/>
          <w:bCs/>
          <w:kern w:val="0"/>
          <w:sz w:val="24"/>
          <w:szCs w:val="24"/>
        </w:rPr>
        <w:t>三、磋商供应商资格要求</w:t>
      </w:r>
      <w:r>
        <w:rPr>
          <w:rFonts w:hint="eastAsia" w:ascii="宋体" w:hAnsi="宋体" w:cs="宋体"/>
          <w:kern w:val="0"/>
          <w:sz w:val="24"/>
          <w:szCs w:val="24"/>
        </w:rPr>
        <w:t>：</w:t>
      </w:r>
    </w:p>
    <w:p w14:paraId="12DA59BC">
      <w:pPr>
        <w:snapToGrid w:val="0"/>
        <w:spacing w:line="460" w:lineRule="exact"/>
        <w:ind w:firstLine="470" w:firstLineChars="196"/>
        <w:rPr>
          <w:rFonts w:ascii="宋体" w:hAnsi="宋体"/>
          <w:sz w:val="24"/>
        </w:rPr>
      </w:pPr>
      <w:r>
        <w:rPr>
          <w:rFonts w:hint="eastAsia" w:ascii="宋体" w:hAnsi="宋体"/>
          <w:sz w:val="24"/>
        </w:rPr>
        <w:t>1.符合《政府采购法》第二十二条规定；未被“信用中国”（www.creditchina.gov.cn）、中国政府采购网（www.ccgp.gov.cn）列入失信被执行人、重大税收违法案件当事人名单、政府采购严重违法失信行为记录名单。</w:t>
      </w:r>
    </w:p>
    <w:p w14:paraId="67B9B3EF">
      <w:pPr>
        <w:snapToGrid w:val="0"/>
        <w:spacing w:line="460" w:lineRule="exact"/>
        <w:ind w:firstLine="470" w:firstLineChars="196"/>
        <w:rPr>
          <w:rFonts w:ascii="宋体" w:hAnsi="宋体" w:eastAsia="宋体" w:cs="仿宋"/>
          <w:sz w:val="24"/>
        </w:rPr>
      </w:pPr>
      <w:r>
        <w:rPr>
          <w:rFonts w:hint="eastAsia" w:ascii="宋体" w:hAnsi="宋体" w:cs="仿宋"/>
          <w:sz w:val="24"/>
        </w:rPr>
        <w:t>2.落实政府采购政策需满足的资格要求：</w:t>
      </w:r>
      <w:r>
        <w:rPr>
          <w:rFonts w:hint="eastAsia" w:ascii="宋体" w:hAnsi="宋体" w:eastAsia="宋体" w:cs="仿宋"/>
          <w:sz w:val="24"/>
        </w:rPr>
        <w:t>无</w:t>
      </w:r>
    </w:p>
    <w:p w14:paraId="37F4BABA">
      <w:pPr>
        <w:snapToGrid w:val="0"/>
        <w:spacing w:line="460" w:lineRule="exact"/>
        <w:ind w:firstLine="472" w:firstLineChars="196"/>
        <w:rPr>
          <w:rFonts w:ascii="宋体" w:hAnsi="宋体" w:cs="仿宋"/>
          <w:sz w:val="24"/>
        </w:rPr>
      </w:pPr>
      <w:r>
        <w:rPr>
          <w:rFonts w:hint="eastAsia" w:ascii="宋体" w:hAnsi="宋体" w:cs="宋体"/>
          <w:b/>
          <w:bCs/>
          <w:kern w:val="0"/>
          <w:sz w:val="24"/>
          <w:szCs w:val="24"/>
        </w:rPr>
        <w:t>3.▲供应商的特定条件：</w:t>
      </w:r>
      <w:r>
        <w:rPr>
          <w:rFonts w:hint="eastAsia" w:ascii="宋体" w:hAnsi="宋体" w:cs="仿宋"/>
          <w:sz w:val="24"/>
        </w:rPr>
        <w:t>无</w:t>
      </w:r>
    </w:p>
    <w:p w14:paraId="1682A774">
      <w:pPr>
        <w:snapToGrid w:val="0"/>
        <w:spacing w:line="460" w:lineRule="exact"/>
        <w:ind w:firstLine="470" w:firstLineChars="196"/>
        <w:rPr>
          <w:rFonts w:ascii="宋体" w:hAnsi="宋体" w:cs="宋体"/>
          <w:sz w:val="24"/>
          <w:szCs w:val="24"/>
        </w:rPr>
      </w:pPr>
      <w:r>
        <w:rPr>
          <w:rFonts w:hint="eastAsia" w:ascii="宋体" w:hAnsi="宋体" w:cs="宋体"/>
          <w:sz w:val="24"/>
          <w:szCs w:val="24"/>
        </w:rPr>
        <w:t>4</w:t>
      </w:r>
      <w:r>
        <w:rPr>
          <w:rFonts w:ascii="宋体" w:hAnsi="宋体" w:cs="宋体"/>
          <w:sz w:val="24"/>
          <w:szCs w:val="24"/>
        </w:rPr>
        <w:t>.</w:t>
      </w:r>
      <w:r>
        <w:rPr>
          <w:rFonts w:hint="eastAsia" w:ascii="宋体" w:hAnsi="宋体" w:cs="宋体"/>
          <w:sz w:val="24"/>
          <w:szCs w:val="24"/>
        </w:rPr>
        <w:t>本项目接受联合体磋商。</w:t>
      </w:r>
    </w:p>
    <w:p w14:paraId="25928D02">
      <w:pPr>
        <w:snapToGrid w:val="0"/>
        <w:spacing w:line="460" w:lineRule="exact"/>
        <w:ind w:firstLine="472" w:firstLineChars="196"/>
        <w:rPr>
          <w:rFonts w:ascii="宋体" w:cs="Times New Roman"/>
          <w:b/>
          <w:bCs/>
          <w:kern w:val="0"/>
          <w:sz w:val="24"/>
          <w:szCs w:val="24"/>
        </w:rPr>
      </w:pPr>
      <w:r>
        <w:rPr>
          <w:rFonts w:hint="eastAsia" w:ascii="宋体" w:hAnsi="宋体" w:cs="宋体"/>
          <w:b/>
          <w:bCs/>
          <w:kern w:val="0"/>
          <w:sz w:val="24"/>
          <w:szCs w:val="24"/>
        </w:rPr>
        <w:t>四、磋商文件的获取</w:t>
      </w:r>
    </w:p>
    <w:p w14:paraId="18D30AB4">
      <w:pPr>
        <w:shd w:val="clear" w:color="auto" w:fill="FFFFFF"/>
        <w:spacing w:line="400" w:lineRule="atLeast"/>
        <w:ind w:firstLine="470"/>
        <w:rPr>
          <w:rFonts w:ascii="宋体" w:cs="Times New Roman"/>
          <w:sz w:val="24"/>
          <w:szCs w:val="24"/>
        </w:rPr>
      </w:pPr>
      <w:r>
        <w:rPr>
          <w:rFonts w:ascii="宋体" w:hAnsi="宋体" w:cs="宋体"/>
          <w:sz w:val="24"/>
          <w:szCs w:val="24"/>
        </w:rPr>
        <w:t>1</w:t>
      </w:r>
      <w:r>
        <w:rPr>
          <w:rFonts w:hint="eastAsia" w:ascii="宋体" w:hAnsi="宋体" w:cs="宋体"/>
          <w:sz w:val="24"/>
          <w:szCs w:val="24"/>
        </w:rPr>
        <w:t>、报名获取文件时间：</w:t>
      </w:r>
      <w:r>
        <w:rPr>
          <w:rFonts w:ascii="宋体" w:hAnsi="宋体" w:cs="宋体"/>
          <w:sz w:val="24"/>
          <w:szCs w:val="24"/>
        </w:rPr>
        <w:t>2024年</w:t>
      </w:r>
      <w:r>
        <w:rPr>
          <w:rFonts w:hint="eastAsia" w:ascii="宋体" w:hAnsi="宋体" w:cs="宋体"/>
          <w:sz w:val="24"/>
          <w:szCs w:val="24"/>
        </w:rPr>
        <w:t xml:space="preserve"> 月 日至</w:t>
      </w:r>
      <w:r>
        <w:rPr>
          <w:rFonts w:ascii="宋体" w:hAnsi="宋体" w:cs="宋体"/>
          <w:sz w:val="24"/>
          <w:szCs w:val="24"/>
        </w:rPr>
        <w:t>2024年</w:t>
      </w:r>
      <w:r>
        <w:rPr>
          <w:rFonts w:hint="eastAsia" w:ascii="宋体" w:hAnsi="宋体" w:cs="宋体"/>
          <w:sz w:val="24"/>
          <w:szCs w:val="24"/>
        </w:rPr>
        <w:t xml:space="preserve"> 月 日（潜在供应商获取磋商文件前应当在电子交易平台上注册账号并登录，截止时间后不再接受潜在供应商报名及获取磋商文件）</w:t>
      </w:r>
      <w:r>
        <w:rPr>
          <w:rFonts w:ascii="宋体" w:hAnsi="宋体" w:cs="宋体"/>
          <w:sz w:val="24"/>
          <w:szCs w:val="24"/>
        </w:rPr>
        <w:t>。</w:t>
      </w:r>
    </w:p>
    <w:p w14:paraId="740C25F2">
      <w:pPr>
        <w:shd w:val="clear" w:color="auto" w:fill="FFFFFF"/>
        <w:spacing w:line="400" w:lineRule="atLeast"/>
        <w:ind w:firstLine="470"/>
        <w:rPr>
          <w:rFonts w:ascii="宋体" w:cs="Times New Roman"/>
          <w:sz w:val="24"/>
          <w:szCs w:val="24"/>
        </w:rPr>
      </w:pPr>
      <w:r>
        <w:rPr>
          <w:rFonts w:ascii="宋体" w:hAnsi="宋体" w:cs="宋体"/>
          <w:sz w:val="24"/>
          <w:szCs w:val="24"/>
        </w:rPr>
        <w:t>2</w:t>
      </w:r>
      <w:r>
        <w:rPr>
          <w:rFonts w:hint="eastAsia" w:ascii="宋体" w:hAnsi="宋体" w:cs="宋体"/>
          <w:sz w:val="24"/>
          <w:szCs w:val="24"/>
        </w:rPr>
        <w:t>、本次磋商文件实行网上获取，不接受供应商现场报名，供应商须登录浙江政府采购网</w:t>
      </w:r>
      <w:r>
        <w:fldChar w:fldCharType="begin"/>
      </w:r>
      <w:r>
        <w:instrText xml:space="preserve"> HYPERLINK "http://zfcg.czt.zj.gov.cn/" </w:instrText>
      </w:r>
      <w:r>
        <w:fldChar w:fldCharType="separate"/>
      </w:r>
      <w:r>
        <w:rPr>
          <w:rFonts w:hint="eastAsia" w:ascii="宋体" w:hAnsi="宋体" w:cs="宋体"/>
          <w:sz w:val="24"/>
          <w:szCs w:val="24"/>
        </w:rPr>
        <w:t>（</w:t>
      </w:r>
      <w:r>
        <w:rPr>
          <w:rFonts w:ascii="宋体" w:hAnsi="宋体" w:cs="宋体"/>
          <w:sz w:val="24"/>
          <w:szCs w:val="24"/>
        </w:rPr>
        <w:t>http://zfcg.czt.zj.gov.cn/</w:t>
      </w:r>
      <w:r>
        <w:rPr>
          <w:rFonts w:ascii="宋体" w:hAnsi="宋体" w:cs="宋体"/>
          <w:sz w:val="24"/>
          <w:szCs w:val="24"/>
        </w:rPr>
        <w:fldChar w:fldCharType="end"/>
      </w:r>
      <w:r>
        <w:rPr>
          <w:rFonts w:hint="eastAsia" w:ascii="宋体" w:hAnsi="宋体" w:cs="宋体"/>
          <w:sz w:val="24"/>
          <w:szCs w:val="24"/>
        </w:rPr>
        <w:t>）进入政采云系统“项目采购”模块“获取采购文件”菜单，进行网上获取磋商文件（“政采云”注册账号、密码登录系统后获取磋商文件）。</w:t>
      </w:r>
    </w:p>
    <w:p w14:paraId="61D1D2C7">
      <w:pPr>
        <w:snapToGrid w:val="0"/>
        <w:spacing w:line="360" w:lineRule="exact"/>
        <w:ind w:firstLine="482" w:firstLineChars="200"/>
        <w:rPr>
          <w:rFonts w:ascii="宋体" w:cs="Times New Roman"/>
          <w:b/>
          <w:bCs/>
          <w:kern w:val="0"/>
          <w:sz w:val="24"/>
          <w:szCs w:val="24"/>
        </w:rPr>
      </w:pPr>
      <w:bookmarkStart w:id="2" w:name="_Toc6085"/>
      <w:bookmarkEnd w:id="2"/>
      <w:r>
        <w:rPr>
          <w:rFonts w:hint="eastAsia" w:ascii="宋体" w:hAnsi="宋体" w:cs="宋体"/>
          <w:b/>
          <w:bCs/>
          <w:kern w:val="0"/>
          <w:sz w:val="24"/>
          <w:szCs w:val="24"/>
        </w:rPr>
        <w:t>五、</w:t>
      </w:r>
      <w:bookmarkStart w:id="3" w:name="_Toc3484"/>
      <w:bookmarkEnd w:id="3"/>
      <w:bookmarkStart w:id="4" w:name="_Toc140"/>
      <w:r>
        <w:rPr>
          <w:rFonts w:hint="eastAsia" w:ascii="宋体" w:hAnsi="宋体" w:cs="宋体"/>
          <w:b/>
          <w:bCs/>
          <w:kern w:val="0"/>
          <w:sz w:val="24"/>
          <w:szCs w:val="24"/>
        </w:rPr>
        <w:t>磋商响应文件的递交及相关事宜</w:t>
      </w:r>
      <w:bookmarkEnd w:id="4"/>
      <w:r>
        <w:rPr>
          <w:rFonts w:hint="eastAsia" w:ascii="宋体" w:hAnsi="宋体" w:cs="宋体"/>
          <w:b/>
          <w:bCs/>
          <w:kern w:val="0"/>
          <w:sz w:val="24"/>
          <w:szCs w:val="24"/>
        </w:rPr>
        <w:t>：</w:t>
      </w:r>
    </w:p>
    <w:p w14:paraId="5D67C9BB">
      <w:pPr>
        <w:shd w:val="clear" w:color="auto" w:fill="FFFFFF"/>
        <w:spacing w:line="360" w:lineRule="auto"/>
        <w:ind w:firstLine="470"/>
        <w:rPr>
          <w:rFonts w:ascii="宋体" w:hAnsi="宋体"/>
          <w:sz w:val="24"/>
        </w:rPr>
      </w:pPr>
      <w:bookmarkStart w:id="5" w:name="_Toc9684"/>
      <w:bookmarkEnd w:id="5"/>
      <w:bookmarkStart w:id="6" w:name="_Toc25948"/>
      <w:bookmarkEnd w:id="6"/>
      <w:bookmarkStart w:id="7" w:name="_Toc1896"/>
      <w:r>
        <w:rPr>
          <w:rFonts w:hint="eastAsia" w:ascii="宋体" w:hAnsi="宋体"/>
          <w:sz w:val="24"/>
        </w:rPr>
        <w:t>1</w:t>
      </w:r>
      <w:bookmarkEnd w:id="7"/>
      <w:r>
        <w:rPr>
          <w:rFonts w:hint="eastAsia" w:ascii="宋体" w:hAnsi="宋体"/>
          <w:sz w:val="24"/>
        </w:rPr>
        <w:t>、磋商响应文件递交的截止时间（磋商响应截止时间，下同）：</w:t>
      </w:r>
      <w:r>
        <w:rPr>
          <w:rFonts w:hint="eastAsia" w:ascii="宋体" w:hAnsi="宋体"/>
          <w:sz w:val="24"/>
          <w:lang w:eastAsia="zh-CN"/>
        </w:rPr>
        <w:t>2024年 月 日14:00</w:t>
      </w:r>
      <w:r>
        <w:rPr>
          <w:rFonts w:hint="eastAsia" w:ascii="宋体" w:hAnsi="宋体"/>
          <w:sz w:val="24"/>
        </w:rPr>
        <w:t>时整。</w:t>
      </w:r>
    </w:p>
    <w:p w14:paraId="657B5327">
      <w:pPr>
        <w:shd w:val="clear" w:color="auto" w:fill="FFFFFF"/>
        <w:spacing w:line="360" w:lineRule="auto"/>
        <w:ind w:firstLine="470"/>
        <w:rPr>
          <w:rFonts w:ascii="宋体" w:hAnsi="宋体"/>
          <w:sz w:val="24"/>
        </w:rPr>
      </w:pPr>
      <w:r>
        <w:rPr>
          <w:rFonts w:hint="eastAsia" w:ascii="宋体" w:hAnsi="宋体"/>
          <w:sz w:val="24"/>
        </w:rPr>
        <w:t>2、磋商响应文件递交方式：供应商应当在</w:t>
      </w:r>
      <w:r>
        <w:rPr>
          <w:rFonts w:hint="eastAsia" w:ascii="宋体" w:hAnsi="宋体"/>
          <w:sz w:val="24"/>
          <w:lang w:eastAsia="zh-CN"/>
        </w:rPr>
        <w:t>2024年 月 日14:00</w:t>
      </w:r>
      <w:r>
        <w:rPr>
          <w:rFonts w:hint="eastAsia" w:ascii="宋体" w:hAnsi="宋体"/>
          <w:sz w:val="24"/>
        </w:rPr>
        <w:t>时（北京时间）前，将生成的“电子加密响应文件”上传递交至“政采云平台”。磋商响应截止时间以后上传递交的磋商响应文件将被“政采云平台”拒收。</w:t>
      </w:r>
    </w:p>
    <w:p w14:paraId="6AC9717A">
      <w:pPr>
        <w:shd w:val="clear" w:color="auto" w:fill="FFFFFF"/>
        <w:spacing w:line="400" w:lineRule="atLeast"/>
        <w:ind w:firstLine="470"/>
        <w:rPr>
          <w:rFonts w:ascii="宋体" w:hAnsi="宋体" w:cs="宋体"/>
          <w:kern w:val="0"/>
          <w:sz w:val="24"/>
          <w:szCs w:val="24"/>
        </w:rPr>
      </w:pPr>
      <w:r>
        <w:rPr>
          <w:rFonts w:hint="eastAsia" w:ascii="宋体" w:hAnsi="宋体" w:cs="宋体"/>
          <w:b/>
          <w:bCs/>
          <w:kern w:val="0"/>
          <w:sz w:val="24"/>
          <w:szCs w:val="24"/>
        </w:rPr>
        <w:t>六、磋商响应截止时间：</w:t>
      </w:r>
      <w:r>
        <w:rPr>
          <w:rFonts w:ascii="宋体" w:hAnsi="宋体" w:cs="宋体"/>
          <w:sz w:val="24"/>
          <w:szCs w:val="24"/>
        </w:rPr>
        <w:t xml:space="preserve"> </w:t>
      </w:r>
      <w:r>
        <w:rPr>
          <w:rFonts w:hint="eastAsia" w:ascii="宋体" w:hAnsi="宋体" w:cs="宋体"/>
          <w:sz w:val="24"/>
          <w:szCs w:val="24"/>
          <w:lang w:eastAsia="zh-CN"/>
        </w:rPr>
        <w:t>2024年 月 日14:00</w:t>
      </w:r>
      <w:r>
        <w:rPr>
          <w:rFonts w:hint="eastAsia" w:ascii="宋体" w:hAnsi="宋体"/>
          <w:sz w:val="24"/>
        </w:rPr>
        <w:t>时</w:t>
      </w:r>
      <w:r>
        <w:rPr>
          <w:rFonts w:hint="eastAsia" w:ascii="宋体" w:hAnsi="宋体" w:cs="宋体"/>
          <w:kern w:val="0"/>
          <w:sz w:val="24"/>
          <w:szCs w:val="24"/>
        </w:rPr>
        <w:t>整</w:t>
      </w:r>
    </w:p>
    <w:p w14:paraId="2FBC4DC5">
      <w:pPr>
        <w:shd w:val="clear" w:color="auto" w:fill="FFFFFF"/>
        <w:spacing w:line="360" w:lineRule="auto"/>
        <w:ind w:firstLine="470"/>
        <w:rPr>
          <w:rFonts w:ascii="宋体" w:hAnsi="宋体" w:cs="仿宋"/>
          <w:sz w:val="24"/>
        </w:rPr>
      </w:pPr>
      <w:r>
        <w:rPr>
          <w:rFonts w:hint="eastAsia" w:ascii="宋体" w:hAnsi="宋体" w:cs="宋体"/>
          <w:b/>
          <w:bCs/>
          <w:kern w:val="0"/>
          <w:sz w:val="24"/>
          <w:szCs w:val="24"/>
        </w:rPr>
        <w:t>七、磋商地点：</w:t>
      </w:r>
      <w:r>
        <w:rPr>
          <w:rFonts w:hint="eastAsia" w:ascii="宋体" w:hAnsi="宋体" w:cs="仿宋"/>
          <w:sz w:val="24"/>
        </w:rPr>
        <w:t>浙江省湖州市公共资源交易中心二楼开标室（湖州市仁皇山片区金盖山路</w:t>
      </w:r>
      <w:r>
        <w:rPr>
          <w:rFonts w:ascii="宋体" w:hAnsi="宋体" w:cs="仿宋"/>
          <w:sz w:val="24"/>
        </w:rPr>
        <w:t>66</w:t>
      </w:r>
      <w:r>
        <w:rPr>
          <w:rFonts w:hint="eastAsia" w:ascii="宋体" w:hAnsi="宋体" w:cs="仿宋"/>
          <w:sz w:val="24"/>
        </w:rPr>
        <w:t>号</w:t>
      </w:r>
      <w:r>
        <w:rPr>
          <w:rFonts w:ascii="宋体" w:hAnsi="宋体" w:cs="仿宋"/>
          <w:sz w:val="24"/>
        </w:rPr>
        <w:t>2</w:t>
      </w:r>
      <w:r>
        <w:rPr>
          <w:rFonts w:hint="eastAsia" w:ascii="宋体" w:hAnsi="宋体" w:cs="仿宋"/>
          <w:sz w:val="24"/>
        </w:rPr>
        <w:t>号楼）（通过“政府采购云平台（http://www.zcygov.cn）”实行在线磋商及开标）</w:t>
      </w:r>
    </w:p>
    <w:p w14:paraId="501137FF">
      <w:pPr>
        <w:spacing w:line="360" w:lineRule="auto"/>
        <w:ind w:firstLine="482" w:firstLineChars="200"/>
        <w:rPr>
          <w:rFonts w:ascii="宋体" w:cs="Times New Roman"/>
          <w:b/>
          <w:bCs/>
          <w:sz w:val="24"/>
          <w:szCs w:val="24"/>
        </w:rPr>
      </w:pPr>
      <w:r>
        <w:rPr>
          <w:rFonts w:hint="eastAsia" w:ascii="宋体" w:hAnsi="宋体" w:cs="宋体"/>
          <w:b/>
          <w:bCs/>
          <w:kern w:val="0"/>
          <w:sz w:val="24"/>
          <w:szCs w:val="24"/>
        </w:rPr>
        <w:t>八、</w:t>
      </w:r>
      <w:r>
        <w:rPr>
          <w:rFonts w:hint="eastAsia" w:ascii="宋体" w:hAnsi="宋体" w:cs="宋体"/>
          <w:b/>
          <w:bCs/>
          <w:sz w:val="24"/>
          <w:szCs w:val="24"/>
        </w:rPr>
        <w:t>其他事项</w:t>
      </w:r>
    </w:p>
    <w:p w14:paraId="5AB66219">
      <w:pPr>
        <w:snapToGrid w:val="0"/>
        <w:spacing w:line="360" w:lineRule="auto"/>
        <w:ind w:firstLine="470" w:firstLineChars="196"/>
        <w:rPr>
          <w:rFonts w:ascii="宋体" w:hAnsi="宋体"/>
          <w:sz w:val="24"/>
        </w:rPr>
      </w:pPr>
      <w:r>
        <w:rPr>
          <w:rFonts w:hint="eastAsia" w:ascii="宋体" w:hAnsi="宋体"/>
          <w:sz w:val="24"/>
        </w:rPr>
        <w:t>1、本项目实行网上磋商，采用电子响应文件，要求供应商通过政采云系统在线磋商响应。</w:t>
      </w:r>
    </w:p>
    <w:p w14:paraId="3AFD0634">
      <w:pPr>
        <w:snapToGrid w:val="0"/>
        <w:spacing w:line="360" w:lineRule="auto"/>
        <w:ind w:firstLine="470" w:firstLineChars="196"/>
        <w:rPr>
          <w:rFonts w:ascii="宋体" w:hAnsi="宋体" w:cs="宋体"/>
          <w:kern w:val="0"/>
          <w:sz w:val="24"/>
        </w:rPr>
      </w:pPr>
      <w:r>
        <w:rPr>
          <w:rFonts w:hint="eastAsia" w:ascii="宋体" w:hAnsi="宋体"/>
          <w:sz w:val="24"/>
        </w:rPr>
        <w:t>2、</w:t>
      </w:r>
      <w:r>
        <w:rPr>
          <w:rFonts w:ascii="宋体" w:hAnsi="宋体" w:cs="宋体"/>
          <w:kern w:val="0"/>
          <w:sz w:val="24"/>
        </w:rPr>
        <w:t>潜在供应商已依法获取（依法获取指：供应商按本项目</w:t>
      </w:r>
      <w:r>
        <w:rPr>
          <w:rFonts w:hint="eastAsia" w:ascii="宋体" w:hAnsi="宋体" w:cs="宋体"/>
          <w:kern w:val="0"/>
          <w:sz w:val="24"/>
        </w:rPr>
        <w:t>磋商</w:t>
      </w:r>
      <w:r>
        <w:rPr>
          <w:rFonts w:ascii="宋体" w:hAnsi="宋体" w:cs="宋体"/>
          <w:kern w:val="0"/>
          <w:sz w:val="24"/>
        </w:rPr>
        <w:t>公告要求在政采云系统上获取并报名成功）其可质疑的</w:t>
      </w:r>
      <w:r>
        <w:rPr>
          <w:rFonts w:hint="eastAsia" w:ascii="宋体" w:hAnsi="宋体" w:cs="宋体"/>
          <w:kern w:val="0"/>
          <w:sz w:val="24"/>
        </w:rPr>
        <w:t>磋商</w:t>
      </w:r>
      <w:r>
        <w:rPr>
          <w:rFonts w:ascii="宋体" w:hAnsi="宋体" w:cs="宋体"/>
          <w:kern w:val="0"/>
          <w:sz w:val="24"/>
        </w:rPr>
        <w:t>文件，可以对该文件提出质疑。未按照规定方式依法获取</w:t>
      </w:r>
      <w:r>
        <w:rPr>
          <w:rFonts w:hint="eastAsia" w:ascii="宋体" w:hAnsi="宋体" w:cs="宋体"/>
          <w:kern w:val="0"/>
          <w:sz w:val="24"/>
        </w:rPr>
        <w:t>磋商</w:t>
      </w:r>
      <w:r>
        <w:rPr>
          <w:rFonts w:ascii="宋体" w:hAnsi="宋体" w:cs="宋体"/>
          <w:kern w:val="0"/>
          <w:sz w:val="24"/>
        </w:rPr>
        <w:t>文件的，不得对</w:t>
      </w:r>
      <w:r>
        <w:rPr>
          <w:rFonts w:hint="eastAsia" w:ascii="宋体" w:hAnsi="宋体" w:cs="宋体"/>
          <w:kern w:val="0"/>
          <w:sz w:val="24"/>
        </w:rPr>
        <w:t>磋商</w:t>
      </w:r>
      <w:r>
        <w:rPr>
          <w:rFonts w:ascii="宋体" w:hAnsi="宋体" w:cs="宋体"/>
          <w:kern w:val="0"/>
          <w:sz w:val="24"/>
        </w:rPr>
        <w:t>文件提起质疑投诉。</w:t>
      </w:r>
      <w:r>
        <w:rPr>
          <w:rFonts w:hint="eastAsia" w:ascii="宋体" w:hAnsi="宋体" w:cs="宋体"/>
          <w:kern w:val="0"/>
          <w:sz w:val="24"/>
        </w:rPr>
        <w:t>潜在供应商对磋商文件提出质疑的，应当在获取磋商文件或者磋商文件公告期限届满之日起7个工作日内提出。根据《中华人民共和国财政部令第94号-政府采购质疑和投诉办法》第十条第二款规定，供应商在法定质疑期内须一次性提出针对同一采购程序环节的质疑，否则采购代理机构有权拒绝第一次质疑以外其他所有质疑。</w:t>
      </w:r>
      <w:r>
        <w:rPr>
          <w:rFonts w:ascii="宋体" w:hAnsi="宋体" w:cs="宋体"/>
          <w:kern w:val="0"/>
          <w:sz w:val="24"/>
        </w:rPr>
        <w:t>供应商对磋商采购单位的质疑答复不满意或者磋商采购单位未在规定时间内作出答复的，可以在答复期满后十五个工作日内向同级采购监管部门投诉。</w:t>
      </w:r>
    </w:p>
    <w:p w14:paraId="16DAA2CB">
      <w:pPr>
        <w:snapToGrid w:val="0"/>
        <w:spacing w:line="360" w:lineRule="auto"/>
        <w:ind w:firstLine="470" w:firstLineChars="196"/>
        <w:rPr>
          <w:rFonts w:ascii="宋体" w:hAnsi="宋体"/>
          <w:sz w:val="24"/>
        </w:rPr>
      </w:pPr>
      <w:r>
        <w:rPr>
          <w:rFonts w:hint="eastAsia" w:ascii="宋体" w:hAnsi="宋体"/>
          <w:sz w:val="24"/>
        </w:rPr>
        <w:t>3、本项目公告期限：</w:t>
      </w:r>
      <w:r>
        <w:rPr>
          <w:rFonts w:hint="eastAsia" w:ascii="宋体"/>
          <w:sz w:val="24"/>
        </w:rPr>
        <w:t>3</w:t>
      </w:r>
      <w:r>
        <w:rPr>
          <w:rFonts w:hint="eastAsia" w:ascii="宋体" w:hAnsi="宋体"/>
          <w:sz w:val="24"/>
        </w:rPr>
        <w:t>个工作日。</w:t>
      </w:r>
    </w:p>
    <w:p w14:paraId="14581833">
      <w:pPr>
        <w:snapToGrid w:val="0"/>
        <w:spacing w:line="360" w:lineRule="auto"/>
        <w:ind w:firstLine="470" w:firstLineChars="196"/>
        <w:rPr>
          <w:rFonts w:ascii="宋体" w:hAnsi="宋体"/>
          <w:sz w:val="24"/>
        </w:rPr>
      </w:pPr>
      <w:r>
        <w:rPr>
          <w:rFonts w:hint="eastAsia" w:ascii="宋体" w:hAnsi="宋体"/>
          <w:sz w:val="24"/>
        </w:rPr>
        <w:t xml:space="preserve">4、本项目公告发布网站：“浙江省政府采购网”（http://zfcg.czt.zj.gov.cn/）和湖州市公共资源交易信息网http://ggzy.huzhou.gov.cn/hzfront/)“政府采购”“分散采购”版块。 </w:t>
      </w:r>
    </w:p>
    <w:p w14:paraId="2B0F3AF0">
      <w:pPr>
        <w:snapToGrid w:val="0"/>
        <w:spacing w:line="360" w:lineRule="auto"/>
        <w:ind w:firstLine="470" w:firstLineChars="196"/>
        <w:rPr>
          <w:rFonts w:ascii="宋体" w:hAnsi="宋体"/>
          <w:sz w:val="24"/>
        </w:rPr>
      </w:pPr>
      <w:r>
        <w:rPr>
          <w:rFonts w:ascii="宋体" w:hAnsi="宋体" w:cs="宋体"/>
          <w:sz w:val="24"/>
        </w:rPr>
        <w:t>5、</w:t>
      </w:r>
      <w:r>
        <w:rPr>
          <w:rFonts w:ascii="宋体" w:hAnsi="宋体"/>
          <w:sz w:val="24"/>
        </w:rPr>
        <w:t>为有效破解当前中小微企业面临的“融资难、融资贵”困局，充分发挥好政府采购扶持小微企业发展的政策功能，本项目中标供应商可凭中标通知书等材料至“绿贷通平台”网页（</w:t>
      </w:r>
      <w:r>
        <w:rPr>
          <w:rFonts w:ascii="宋体" w:hAnsi="宋体"/>
          <w:sz w:val="24"/>
        </w:rPr>
        <w:drawing>
          <wp:inline distT="0" distB="0" distL="0" distR="0">
            <wp:extent cx="189865" cy="146685"/>
            <wp:effectExtent l="19050" t="0" r="635" b="0"/>
            <wp:docPr id="1" name="图片 1" descr="C:\Users\Administrator\AppData\Roaming\Tencent\QQTempSys\%W@GJ$ACOF(TYDYECOKVDY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AppData\Roaming\Tencent\QQTempSys\%W@GJ$ACOF(TYDYECOKVDYB.png"/>
                    <pic:cNvPicPr>
                      <a:picLocks noChangeAspect="1" noChangeArrowheads="1"/>
                    </pic:cNvPicPr>
                  </pic:nvPicPr>
                  <pic:blipFill>
                    <a:blip r:embed="rId8" cstate="print"/>
                    <a:srcRect/>
                    <a:stretch>
                      <a:fillRect/>
                    </a:stretch>
                  </pic:blipFill>
                  <pic:spPr>
                    <a:xfrm>
                      <a:off x="0" y="0"/>
                      <a:ext cx="189865" cy="146685"/>
                    </a:xfrm>
                    <a:prstGeom prst="rect">
                      <a:avLst/>
                    </a:prstGeom>
                    <a:noFill/>
                    <a:ln w="9525">
                      <a:noFill/>
                      <a:miter lim="800000"/>
                      <a:headEnd/>
                      <a:tailEnd/>
                    </a:ln>
                  </pic:spPr>
                </pic:pic>
              </a:graphicData>
            </a:graphic>
          </wp:inline>
        </w:drawing>
      </w:r>
      <w:r>
        <w:rPr>
          <w:rFonts w:ascii="宋体" w:hAnsi="宋体"/>
          <w:sz w:val="24"/>
        </w:rPr>
        <w:t>https://lvdt.huzldt.com）或“政采贷”平台网页（</w:t>
      </w:r>
      <w:r>
        <w:rPr>
          <w:rFonts w:ascii="宋体" w:hAnsi="宋体"/>
          <w:sz w:val="24"/>
        </w:rPr>
        <w:drawing>
          <wp:inline distT="0" distB="0" distL="0" distR="0">
            <wp:extent cx="189865" cy="146685"/>
            <wp:effectExtent l="19050" t="0" r="635" b="0"/>
            <wp:docPr id="2" name="图片 2" descr="C:\Users\Administrator\AppData\Roaming\Tencent\QQTempSys\%W@GJ$ACOF(TYDYECOKVDY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istrator\AppData\Roaming\Tencent\QQTempSys\%W@GJ$ACOF(TYDYECOKVDYB.png"/>
                    <pic:cNvPicPr>
                      <a:picLocks noChangeAspect="1" noChangeArrowheads="1"/>
                    </pic:cNvPicPr>
                  </pic:nvPicPr>
                  <pic:blipFill>
                    <a:blip r:embed="rId8" cstate="print"/>
                    <a:srcRect/>
                    <a:stretch>
                      <a:fillRect/>
                    </a:stretch>
                  </pic:blipFill>
                  <pic:spPr>
                    <a:xfrm>
                      <a:off x="0" y="0"/>
                      <a:ext cx="189865" cy="146685"/>
                    </a:xfrm>
                    <a:prstGeom prst="rect">
                      <a:avLst/>
                    </a:prstGeom>
                    <a:noFill/>
                    <a:ln w="9525">
                      <a:noFill/>
                      <a:miter lim="800000"/>
                      <a:headEnd/>
                      <a:tailEnd/>
                    </a:ln>
                  </pic:spPr>
                </pic:pic>
              </a:graphicData>
            </a:graphic>
          </wp:inline>
        </w:drawing>
      </w:r>
      <w:r>
        <w:rPr>
          <w:rFonts w:ascii="宋体" w:hAnsi="宋体"/>
          <w:sz w:val="24"/>
        </w:rPr>
        <w:t>www.zcygov.cn）申请相关融资产品。具体操作方式可在“绿贷通”或“政采贷”平台网站查询，也可向“绿贷通”或“政采贷”平台电话咨询（“绿贷通”联系电话：0572-2392590、“政采贷”联系电话：0572-2151055、18698580797）</w:t>
      </w:r>
      <w:r>
        <w:rPr>
          <w:rFonts w:hint="eastAsia" w:ascii="宋体" w:hAnsi="宋体"/>
          <w:sz w:val="24"/>
        </w:rPr>
        <w:t>。</w:t>
      </w:r>
    </w:p>
    <w:p w14:paraId="7F3EFD48">
      <w:pPr>
        <w:snapToGrid w:val="0"/>
        <w:spacing w:line="360" w:lineRule="auto"/>
        <w:ind w:firstLine="480" w:firstLineChars="200"/>
        <w:rPr>
          <w:rFonts w:ascii="宋体" w:hAnsi="宋体" w:cs="宋体"/>
          <w:kern w:val="0"/>
          <w:sz w:val="24"/>
        </w:rPr>
      </w:pPr>
      <w:r>
        <w:rPr>
          <w:rFonts w:ascii="宋体" w:hAnsi="宋体" w:cs="宋体"/>
          <w:sz w:val="24"/>
        </w:rPr>
        <w:t>6、根据《政府采购促进中小企业发展管理办法》，本项目是否专门面向中小企业采购：</w:t>
      </w:r>
      <w:r>
        <w:rPr>
          <w:rFonts w:hint="eastAsia" w:ascii="宋体" w:hAnsi="宋体" w:cs="宋体"/>
          <w:sz w:val="24"/>
        </w:rPr>
        <w:t>否</w:t>
      </w:r>
      <w:r>
        <w:rPr>
          <w:rFonts w:hint="eastAsia" w:ascii="宋体" w:hAnsi="宋体" w:cs="宋体"/>
          <w:kern w:val="0"/>
          <w:sz w:val="24"/>
        </w:rPr>
        <w:t>。</w:t>
      </w:r>
    </w:p>
    <w:p w14:paraId="73566B9E">
      <w:pPr>
        <w:shd w:val="clear" w:color="auto" w:fill="FFFFFF"/>
        <w:spacing w:line="360" w:lineRule="auto"/>
        <w:ind w:firstLine="470"/>
        <w:rPr>
          <w:rFonts w:ascii="宋体" w:hAnsi="宋体"/>
          <w:sz w:val="24"/>
        </w:rPr>
      </w:pPr>
      <w:r>
        <w:rPr>
          <w:rFonts w:hint="eastAsia" w:ascii="宋体" w:hAnsi="宋体"/>
          <w:sz w:val="24"/>
        </w:rPr>
        <w:t>7、备份响应文件：（1）根据“浙江省政府采购项目电子交易管理暂行办法”第二十条规定，本次磋商允许供应商递交备份响应文件，仅提交备份响应文件的，磋商无效。本项目不强制要求供应商提交备份响应文件，但由于未提交备份响应文件而造成项目开评标活动无法进行下去的，磋商无效的，相关风险由供应商自行承担。</w:t>
      </w:r>
    </w:p>
    <w:p w14:paraId="10A60589">
      <w:pPr>
        <w:shd w:val="clear" w:color="auto" w:fill="FFFFFF"/>
        <w:spacing w:line="360" w:lineRule="auto"/>
        <w:ind w:firstLine="470"/>
        <w:rPr>
          <w:rFonts w:ascii="宋体" w:hAnsi="宋体" w:cs="宋体"/>
          <w:kern w:val="0"/>
          <w:sz w:val="24"/>
        </w:rPr>
      </w:pPr>
      <w:r>
        <w:rPr>
          <w:rFonts w:hint="eastAsia" w:ascii="宋体" w:hAnsi="宋体"/>
          <w:sz w:val="24"/>
        </w:rPr>
        <w:t>（</w:t>
      </w:r>
      <w:r>
        <w:rPr>
          <w:rFonts w:ascii="宋体" w:hAnsi="宋体"/>
          <w:sz w:val="24"/>
        </w:rPr>
        <w:t>2</w:t>
      </w:r>
      <w:r>
        <w:rPr>
          <w:rFonts w:hint="eastAsia" w:ascii="宋体" w:hAnsi="宋体"/>
          <w:sz w:val="24"/>
        </w:rPr>
        <w:t>）</w:t>
      </w:r>
      <w:r>
        <w:rPr>
          <w:rFonts w:ascii="宋体" w:hAnsi="宋体"/>
          <w:sz w:val="24"/>
        </w:rPr>
        <w:t>备份响应文件</w:t>
      </w:r>
      <w:r>
        <w:rPr>
          <w:rFonts w:hint="eastAsia" w:ascii="宋体" w:hAnsi="宋体"/>
          <w:sz w:val="24"/>
        </w:rPr>
        <w:t>：1份。</w:t>
      </w:r>
      <w:r>
        <w:rPr>
          <w:rFonts w:ascii="宋体" w:hAnsi="宋体"/>
          <w:sz w:val="24"/>
        </w:rPr>
        <w:t>以介质存储的数据电文形式的备份响应文件</w:t>
      </w:r>
      <w:r>
        <w:rPr>
          <w:rFonts w:hint="eastAsia" w:ascii="宋体" w:hAnsi="宋体"/>
          <w:sz w:val="24"/>
        </w:rPr>
        <w:t>（</w:t>
      </w:r>
      <w:r>
        <w:rPr>
          <w:rFonts w:ascii="宋体" w:hAnsi="宋体"/>
          <w:sz w:val="24"/>
        </w:rPr>
        <w:t>BFBS格式</w:t>
      </w:r>
      <w:r>
        <w:rPr>
          <w:rFonts w:hint="eastAsia" w:ascii="宋体" w:hAnsi="宋体"/>
          <w:sz w:val="24"/>
        </w:rPr>
        <w:t>）</w:t>
      </w:r>
      <w:r>
        <w:rPr>
          <w:rFonts w:ascii="宋体" w:hAnsi="宋体"/>
          <w:sz w:val="24"/>
        </w:rPr>
        <w:t>，按政采云平台项目采购-电子交易操作指南中上传的电子响应文件格式，以U盘形式存储提供</w:t>
      </w:r>
      <w:r>
        <w:rPr>
          <w:rFonts w:hint="eastAsia" w:ascii="宋体" w:hAnsi="宋体"/>
          <w:sz w:val="24"/>
        </w:rPr>
        <w:t>）</w:t>
      </w:r>
      <w:r>
        <w:rPr>
          <w:rFonts w:ascii="宋体" w:hAnsi="宋体"/>
          <w:sz w:val="24"/>
        </w:rPr>
        <w:t>。U盘盘面上粘贴标签，标注单位名称，装入一个外包封袋中进行邮寄.邮寄时，总的外包封袋上可不注明单位名称，但应注明单位的联系人、联系电话及项目名称</w:t>
      </w:r>
      <w:r>
        <w:rPr>
          <w:rFonts w:hint="eastAsia" w:ascii="宋体" w:hAnsi="宋体"/>
          <w:sz w:val="24"/>
        </w:rPr>
        <w:t>。</w:t>
      </w:r>
      <w:r>
        <w:rPr>
          <w:rFonts w:hint="eastAsia" w:ascii="宋体" w:hAnsi="宋体" w:cs="宋体"/>
          <w:kern w:val="0"/>
          <w:sz w:val="24"/>
        </w:rPr>
        <w:t>邮寄地址为：浙江华耀建设咨询有限公司（湖州市静江公寓1单元1101室），联系人：张治中，联系电话：0572-2198738。数据电子备份响应文件（U盘）应在响应截止时间前送达，超过响应截止时间前送达的，按未提供处理。</w:t>
      </w:r>
    </w:p>
    <w:p w14:paraId="3A8FBE4A">
      <w:pPr>
        <w:shd w:val="clear" w:color="auto" w:fill="FFFFFF"/>
        <w:spacing w:line="360" w:lineRule="auto"/>
        <w:ind w:firstLine="470"/>
        <w:rPr>
          <w:rFonts w:ascii="宋体" w:hAnsi="宋体"/>
          <w:sz w:val="24"/>
        </w:rPr>
      </w:pPr>
      <w:r>
        <w:rPr>
          <w:rFonts w:hint="eastAsia" w:ascii="宋体" w:hAnsi="宋体"/>
          <w:sz w:val="24"/>
        </w:rPr>
        <w:t>8、通过“政采云平台”上传递交的“电子加密响应文件”无法按时解密，供应商递交了备份响应文件的，以备份响应文件为依据，否则视为响应文件撤回。通过“政采云平台”上传递交的“电子加密响应文件”已按时解密的，“备份响应文件”自动失效。供应商仅递交备份响应文件的，其响应文件无效。</w:t>
      </w:r>
    </w:p>
    <w:p w14:paraId="6A1296F5">
      <w:pPr>
        <w:shd w:val="clear" w:color="auto" w:fill="FFFFFF"/>
        <w:spacing w:line="360" w:lineRule="auto"/>
        <w:ind w:firstLine="470"/>
        <w:rPr>
          <w:rFonts w:ascii="宋体" w:hAnsi="宋体"/>
          <w:sz w:val="24"/>
        </w:rPr>
      </w:pPr>
      <w:r>
        <w:rPr>
          <w:rFonts w:hint="eastAsia" w:ascii="宋体" w:hAnsi="宋体"/>
          <w:sz w:val="24"/>
        </w:rPr>
        <w:t>9、因本次磋商为全流程电子化交易，请各供应商自备可联网的电脑及CA锁，最终报价由各供应商在规定的时间内在政采云平台在线完成。政采云平台在线报价操作失败的，供应商应及时联系采购代理机构，通过指定的电子邮箱提供。</w:t>
      </w:r>
    </w:p>
    <w:p w14:paraId="4AB9EFD9">
      <w:pPr>
        <w:shd w:val="clear" w:color="auto" w:fill="FFFFFF"/>
        <w:spacing w:line="360" w:lineRule="auto"/>
        <w:ind w:firstLine="470"/>
        <w:rPr>
          <w:rFonts w:ascii="宋体" w:hAnsi="宋体"/>
          <w:sz w:val="24"/>
        </w:rPr>
      </w:pPr>
      <w:r>
        <w:rPr>
          <w:rFonts w:hint="eastAsia" w:ascii="宋体" w:hAnsi="宋体"/>
          <w:sz w:val="24"/>
        </w:rPr>
        <w:t>10、为确保网上操作合法、有效和安全，供应商应当在磋商截止时间前完成在“政府采购云平台”的身份认证，确保在电子磋商过程中能够对相关数据电文进行加密和使用电子签章。使用“政采云电子交易客户端”需要提前申领CA数字证书（完成CA数字证书办理预计一周左右，建议各供应商自行把握时间），申领流程请自行前往“浙江政府采购网-下载专区-电子交易客户端-CA驱动和申领流程”进行查阅。登录“浙江政府采购网”（http://zfcg.czt.zj.gov.cn/），进入“下载专区”下载“电子交易客户端”，制作响应文件。</w:t>
      </w:r>
    </w:p>
    <w:p w14:paraId="0A1BCA03">
      <w:pPr>
        <w:shd w:val="clear" w:color="auto" w:fill="FFFFFF"/>
        <w:spacing w:line="360" w:lineRule="auto"/>
        <w:ind w:firstLine="470"/>
        <w:rPr>
          <w:rFonts w:ascii="宋体" w:hAnsi="宋体"/>
          <w:sz w:val="24"/>
        </w:rPr>
      </w:pPr>
      <w:r>
        <w:rPr>
          <w:rFonts w:hint="eastAsia" w:ascii="宋体" w:hAnsi="宋体"/>
          <w:sz w:val="24"/>
        </w:rPr>
        <w:t>11、供应商通过政采云平台电子投标工具制作响应文件，电子投标工具请供应商自行前往浙江省政府采购网下载并安装，供应商电子交易操作指南详见网址：</w:t>
      </w:r>
      <w:r>
        <w:fldChar w:fldCharType="begin"/>
      </w:r>
      <w:r>
        <w:instrText xml:space="preserve"> HYPERLINK "https://help.zcygov.cn/web/site_2/2018/12-28/2573.html" </w:instrText>
      </w:r>
      <w:r>
        <w:fldChar w:fldCharType="separate"/>
      </w:r>
      <w:r>
        <w:rPr>
          <w:rFonts w:hint="eastAsia" w:ascii="宋体" w:hAnsi="宋体"/>
          <w:sz w:val="24"/>
        </w:rPr>
        <w:t>https://help.zcygov.cn/web/site_2/2018/12-28/2573.html</w:t>
      </w:r>
      <w:r>
        <w:rPr>
          <w:rFonts w:hint="eastAsia" w:ascii="宋体" w:hAnsi="宋体"/>
          <w:sz w:val="24"/>
        </w:rPr>
        <w:fldChar w:fldCharType="end"/>
      </w:r>
      <w:r>
        <w:rPr>
          <w:rFonts w:hint="eastAsia" w:ascii="宋体" w:hAnsi="宋体"/>
          <w:sz w:val="24"/>
        </w:rPr>
        <w:t>）</w:t>
      </w:r>
    </w:p>
    <w:p w14:paraId="4D9100D2">
      <w:pPr>
        <w:shd w:val="clear" w:color="auto" w:fill="FFFFFF"/>
        <w:spacing w:line="360" w:lineRule="auto"/>
        <w:ind w:firstLine="470"/>
        <w:rPr>
          <w:rFonts w:ascii="宋体" w:hAnsi="宋体"/>
          <w:sz w:val="24"/>
        </w:rPr>
      </w:pPr>
      <w:r>
        <w:rPr>
          <w:rFonts w:hint="eastAsia" w:ascii="宋体" w:hAnsi="宋体"/>
          <w:sz w:val="24"/>
        </w:rPr>
        <w:t>12</w:t>
      </w:r>
      <w:r>
        <w:rPr>
          <w:rFonts w:ascii="宋体" w:hAnsi="宋体"/>
          <w:sz w:val="24"/>
        </w:rPr>
        <w:t>、按照“不见面、少接触”的原则，本项目采取“不见面”形式进行开评标活动</w:t>
      </w:r>
      <w:r>
        <w:rPr>
          <w:rFonts w:hint="eastAsia" w:ascii="宋体" w:hAnsi="宋体"/>
          <w:sz w:val="24"/>
        </w:rPr>
        <w:t>，</w:t>
      </w:r>
      <w:r>
        <w:rPr>
          <w:rFonts w:ascii="宋体" w:hAnsi="宋体"/>
          <w:sz w:val="24"/>
        </w:rPr>
        <w:t xml:space="preserve"> 法定代表人或其授权代表无须到场，在线响应即可（通过指定的电子邮箱、传真等）。</w:t>
      </w:r>
    </w:p>
    <w:p w14:paraId="794818AA">
      <w:pPr>
        <w:snapToGrid w:val="0"/>
        <w:spacing w:line="460" w:lineRule="exact"/>
        <w:ind w:firstLine="472" w:firstLineChars="196"/>
        <w:rPr>
          <w:rFonts w:ascii="宋体" w:cs="Times New Roman"/>
          <w:b/>
          <w:bCs/>
          <w:sz w:val="24"/>
          <w:szCs w:val="24"/>
        </w:rPr>
      </w:pPr>
      <w:r>
        <w:rPr>
          <w:rFonts w:hint="eastAsia" w:ascii="宋体" w:hAnsi="宋体" w:cs="宋体"/>
          <w:b/>
          <w:bCs/>
          <w:sz w:val="24"/>
          <w:szCs w:val="24"/>
        </w:rPr>
        <w:t>九、业务咨询：</w:t>
      </w:r>
    </w:p>
    <w:p w14:paraId="4406620A">
      <w:pPr>
        <w:snapToGrid w:val="0"/>
        <w:spacing w:line="460" w:lineRule="exact"/>
        <w:ind w:firstLine="470" w:firstLineChars="196"/>
        <w:rPr>
          <w:rFonts w:ascii="宋体" w:cs="Times New Roman"/>
          <w:sz w:val="24"/>
          <w:szCs w:val="24"/>
        </w:rPr>
      </w:pPr>
      <w:r>
        <w:rPr>
          <w:rFonts w:hint="eastAsia" w:ascii="宋体" w:hAnsi="宋体" w:cs="宋体"/>
          <w:sz w:val="24"/>
          <w:szCs w:val="24"/>
        </w:rPr>
        <w:t>浙江华耀建设咨询有限公司联系人：张治中</w:t>
      </w:r>
    </w:p>
    <w:p w14:paraId="1276E87B">
      <w:pPr>
        <w:snapToGrid w:val="0"/>
        <w:spacing w:line="460" w:lineRule="exact"/>
        <w:ind w:firstLine="470" w:firstLineChars="196"/>
        <w:rPr>
          <w:rFonts w:ascii="宋体" w:cs="Times New Roman"/>
          <w:sz w:val="24"/>
          <w:szCs w:val="24"/>
        </w:rPr>
      </w:pPr>
      <w:r>
        <w:rPr>
          <w:rFonts w:hint="eastAsia" w:ascii="宋体" w:hAnsi="宋体" w:cs="宋体"/>
          <w:sz w:val="24"/>
          <w:szCs w:val="24"/>
        </w:rPr>
        <w:t>联系电话：</w:t>
      </w:r>
      <w:r>
        <w:rPr>
          <w:rFonts w:ascii="宋体" w:hAnsi="宋体" w:cs="宋体"/>
          <w:sz w:val="24"/>
          <w:szCs w:val="24"/>
        </w:rPr>
        <w:t xml:space="preserve">0572-2198738      </w:t>
      </w:r>
      <w:r>
        <w:rPr>
          <w:rFonts w:hint="eastAsia" w:ascii="宋体" w:hAnsi="宋体" w:cs="宋体"/>
          <w:sz w:val="24"/>
          <w:szCs w:val="24"/>
        </w:rPr>
        <w:t>传真：</w:t>
      </w:r>
      <w:r>
        <w:rPr>
          <w:rFonts w:ascii="宋体" w:hAnsi="宋体" w:cs="宋体"/>
          <w:sz w:val="24"/>
          <w:szCs w:val="24"/>
        </w:rPr>
        <w:t>0572-2198739</w:t>
      </w:r>
    </w:p>
    <w:p w14:paraId="78287AE4">
      <w:pPr>
        <w:snapToGrid w:val="0"/>
        <w:spacing w:line="460" w:lineRule="exact"/>
        <w:ind w:firstLine="470" w:firstLineChars="196"/>
        <w:rPr>
          <w:rFonts w:ascii="宋体" w:cs="Times New Roman"/>
          <w:sz w:val="24"/>
          <w:szCs w:val="24"/>
        </w:rPr>
      </w:pPr>
      <w:r>
        <w:rPr>
          <w:rFonts w:hint="eastAsia" w:ascii="宋体" w:hAnsi="宋体" w:cs="宋体"/>
          <w:sz w:val="24"/>
          <w:szCs w:val="24"/>
        </w:rPr>
        <w:t>供应商质疑函接收人：何女士</w:t>
      </w:r>
      <w:r>
        <w:rPr>
          <w:rFonts w:ascii="宋体" w:cs="Times New Roman"/>
          <w:sz w:val="24"/>
          <w:szCs w:val="24"/>
        </w:rPr>
        <w:t>    </w:t>
      </w:r>
      <w:r>
        <w:rPr>
          <w:rFonts w:hint="eastAsia" w:ascii="宋体" w:hAnsi="宋体" w:cs="宋体"/>
          <w:sz w:val="24"/>
          <w:szCs w:val="24"/>
        </w:rPr>
        <w:t>联系电话：</w:t>
      </w:r>
      <w:r>
        <w:rPr>
          <w:rFonts w:ascii="宋体" w:hAnsi="宋体" w:cs="宋体"/>
          <w:sz w:val="24"/>
          <w:szCs w:val="24"/>
        </w:rPr>
        <w:t>0572-</w:t>
      </w:r>
      <w:r>
        <w:rPr>
          <w:rFonts w:hint="eastAsia" w:ascii="宋体" w:hAnsi="宋体" w:cs="宋体"/>
          <w:sz w:val="24"/>
          <w:szCs w:val="24"/>
        </w:rPr>
        <w:t>2371910</w:t>
      </w:r>
    </w:p>
    <w:p w14:paraId="3211C368">
      <w:pPr>
        <w:snapToGrid w:val="0"/>
        <w:spacing w:line="460" w:lineRule="exact"/>
        <w:ind w:firstLine="470" w:firstLineChars="196"/>
        <w:rPr>
          <w:rStyle w:val="74"/>
          <w:rFonts w:ascii="宋体" w:cs="宋体"/>
          <w:color w:val="auto"/>
          <w:sz w:val="24"/>
          <w:szCs w:val="24"/>
        </w:rPr>
      </w:pPr>
      <w:r>
        <w:rPr>
          <w:rFonts w:hint="eastAsia" w:ascii="宋体" w:hAnsi="宋体" w:cs="宋体"/>
          <w:kern w:val="0"/>
          <w:sz w:val="24"/>
          <w:szCs w:val="24"/>
        </w:rPr>
        <w:t>电子邮箱：</w:t>
      </w:r>
      <w:r>
        <w:fldChar w:fldCharType="begin"/>
      </w:r>
      <w:r>
        <w:instrText xml:space="preserve"> HYPERLINK "mailto:huayaohz@163.com" </w:instrText>
      </w:r>
      <w:r>
        <w:fldChar w:fldCharType="separate"/>
      </w:r>
      <w:r>
        <w:rPr>
          <w:rStyle w:val="74"/>
          <w:rFonts w:ascii="宋体" w:cs="宋体"/>
          <w:color w:val="auto"/>
          <w:sz w:val="24"/>
          <w:szCs w:val="24"/>
        </w:rPr>
        <w:t>huayaohz@163.com</w:t>
      </w:r>
      <w:r>
        <w:rPr>
          <w:rStyle w:val="74"/>
          <w:rFonts w:ascii="宋体" w:cs="宋体"/>
          <w:color w:val="auto"/>
          <w:sz w:val="24"/>
          <w:szCs w:val="24"/>
        </w:rPr>
        <w:fldChar w:fldCharType="end"/>
      </w:r>
    </w:p>
    <w:p w14:paraId="5FCEC420">
      <w:pPr>
        <w:snapToGrid w:val="0"/>
        <w:spacing w:line="460" w:lineRule="exact"/>
        <w:ind w:firstLine="470" w:firstLineChars="196"/>
        <w:rPr>
          <w:rStyle w:val="74"/>
          <w:rFonts w:ascii="宋体" w:cs="宋体"/>
          <w:color w:val="auto"/>
          <w:sz w:val="24"/>
          <w:szCs w:val="24"/>
        </w:rPr>
      </w:pPr>
    </w:p>
    <w:p w14:paraId="4DC1C8B3">
      <w:pPr>
        <w:snapToGrid w:val="0"/>
        <w:spacing w:line="460" w:lineRule="exact"/>
        <w:ind w:firstLine="470" w:firstLineChars="196"/>
        <w:rPr>
          <w:rFonts w:ascii="宋体" w:hAnsi="宋体" w:cs="宋体"/>
          <w:sz w:val="24"/>
          <w:szCs w:val="24"/>
        </w:rPr>
      </w:pPr>
      <w:r>
        <w:rPr>
          <w:rFonts w:hint="eastAsia" w:ascii="宋体" w:hAnsi="宋体" w:cs="宋体"/>
          <w:sz w:val="24"/>
          <w:szCs w:val="24"/>
        </w:rPr>
        <w:t>磋商单位：浙江省湖州生态环境监测中心</w:t>
      </w:r>
    </w:p>
    <w:p w14:paraId="5DF88BA0">
      <w:pPr>
        <w:snapToGrid w:val="0"/>
        <w:spacing w:line="460" w:lineRule="exact"/>
        <w:ind w:firstLine="470" w:firstLineChars="196"/>
        <w:rPr>
          <w:rFonts w:ascii="宋体" w:hAnsi="宋体"/>
          <w:sz w:val="24"/>
        </w:rPr>
      </w:pPr>
      <w:r>
        <w:rPr>
          <w:rFonts w:hint="eastAsia" w:ascii="宋体" w:hAnsi="宋体"/>
          <w:sz w:val="24"/>
        </w:rPr>
        <w:t xml:space="preserve">地址：湖州市开元路100号 </w:t>
      </w:r>
    </w:p>
    <w:p w14:paraId="22D59AF1">
      <w:pPr>
        <w:snapToGrid w:val="0"/>
        <w:spacing w:line="460" w:lineRule="exact"/>
        <w:ind w:firstLine="470" w:firstLineChars="196"/>
        <w:rPr>
          <w:rFonts w:hint="eastAsia" w:ascii="宋体" w:hAnsi="宋体"/>
          <w:sz w:val="24"/>
          <w:lang w:eastAsia="zh-CN"/>
        </w:rPr>
      </w:pPr>
      <w:r>
        <w:rPr>
          <w:rFonts w:hint="eastAsia" w:ascii="宋体" w:hAnsi="宋体"/>
          <w:sz w:val="24"/>
        </w:rPr>
        <w:t>联系</w:t>
      </w:r>
      <w:r>
        <w:rPr>
          <w:rFonts w:hint="eastAsia" w:ascii="宋体" w:hAnsi="宋体"/>
          <w:sz w:val="24"/>
          <w:lang w:eastAsia="zh-CN"/>
        </w:rPr>
        <w:t xml:space="preserve">人：傅女士                   电话：0572-2668565 </w:t>
      </w:r>
    </w:p>
    <w:p w14:paraId="1B637A24">
      <w:pPr>
        <w:snapToGrid w:val="0"/>
        <w:spacing w:line="460" w:lineRule="exact"/>
        <w:ind w:firstLine="470" w:firstLineChars="196"/>
        <w:rPr>
          <w:rFonts w:hint="eastAsia" w:ascii="宋体" w:hAnsi="宋体"/>
          <w:sz w:val="24"/>
          <w:lang w:eastAsia="zh-CN"/>
        </w:rPr>
      </w:pPr>
      <w:r>
        <w:rPr>
          <w:rFonts w:hint="eastAsia" w:ascii="宋体" w:hAnsi="宋体"/>
          <w:sz w:val="24"/>
          <w:lang w:eastAsia="zh-CN"/>
        </w:rPr>
        <w:t xml:space="preserve">采购人质疑联系人：华先生         采购人质疑联系电话：0572-2668565 </w:t>
      </w:r>
    </w:p>
    <w:p w14:paraId="64C85FA9">
      <w:pPr>
        <w:snapToGrid w:val="0"/>
        <w:spacing w:line="460" w:lineRule="exact"/>
        <w:ind w:firstLine="470" w:firstLineChars="196"/>
        <w:rPr>
          <w:rFonts w:ascii="宋体"/>
          <w:sz w:val="24"/>
        </w:rPr>
      </w:pPr>
    </w:p>
    <w:p w14:paraId="3406ED3A">
      <w:pPr>
        <w:snapToGrid w:val="0"/>
        <w:spacing w:line="460" w:lineRule="exact"/>
        <w:ind w:firstLine="470" w:firstLineChars="196"/>
        <w:rPr>
          <w:rFonts w:ascii="宋体" w:hAnsi="宋体" w:cs="宋体"/>
          <w:sz w:val="24"/>
          <w:szCs w:val="24"/>
        </w:rPr>
      </w:pPr>
      <w:r>
        <w:rPr>
          <w:rFonts w:hint="eastAsia" w:ascii="宋体" w:hAnsi="宋体" w:cs="宋体"/>
          <w:sz w:val="24"/>
          <w:szCs w:val="24"/>
        </w:rPr>
        <w:t>政府采购行政监管及投诉受理部门：</w:t>
      </w:r>
    </w:p>
    <w:p w14:paraId="2A5C2036">
      <w:pPr>
        <w:snapToGrid w:val="0"/>
        <w:spacing w:line="460" w:lineRule="exact"/>
        <w:ind w:firstLine="470" w:firstLineChars="196"/>
        <w:rPr>
          <w:rFonts w:ascii="宋体" w:hAnsi="宋体" w:cs="Arial"/>
          <w:sz w:val="24"/>
        </w:rPr>
      </w:pPr>
      <w:r>
        <w:rPr>
          <w:rFonts w:hint="eastAsia" w:ascii="宋体" w:hAnsi="宋体" w:cs="Arial"/>
          <w:sz w:val="24"/>
        </w:rPr>
        <w:t>地址：浙江省湖州市龙王山路518号</w:t>
      </w:r>
    </w:p>
    <w:p w14:paraId="53B9E385">
      <w:pPr>
        <w:snapToGrid w:val="0"/>
        <w:spacing w:line="460" w:lineRule="exact"/>
        <w:ind w:firstLine="470" w:firstLineChars="196"/>
        <w:rPr>
          <w:rFonts w:ascii="宋体" w:hAnsi="宋体" w:cs="Arial"/>
          <w:sz w:val="24"/>
        </w:rPr>
      </w:pPr>
      <w:r>
        <w:rPr>
          <w:rFonts w:hint="eastAsia" w:ascii="宋体" w:hAnsi="宋体" w:cs="Arial"/>
          <w:sz w:val="24"/>
        </w:rPr>
        <w:t>联系人：程先生；监督投诉电话：0572-2150216</w:t>
      </w:r>
    </w:p>
    <w:p w14:paraId="2EF7B69C">
      <w:pPr>
        <w:snapToGrid w:val="0"/>
        <w:spacing w:line="460" w:lineRule="exact"/>
        <w:ind w:firstLine="2760" w:firstLineChars="1150"/>
        <w:jc w:val="right"/>
        <w:rPr>
          <w:rFonts w:ascii="宋体" w:hAnsi="宋体" w:cs="宋体"/>
          <w:sz w:val="24"/>
          <w:szCs w:val="24"/>
        </w:rPr>
      </w:pPr>
    </w:p>
    <w:p w14:paraId="2AFD5F27">
      <w:pPr>
        <w:snapToGrid w:val="0"/>
        <w:spacing w:line="460" w:lineRule="exact"/>
        <w:ind w:firstLine="2760" w:firstLineChars="1150"/>
        <w:jc w:val="right"/>
        <w:rPr>
          <w:rFonts w:ascii="宋体" w:hAnsi="宋体" w:cs="宋体"/>
          <w:sz w:val="24"/>
          <w:szCs w:val="24"/>
        </w:rPr>
      </w:pPr>
    </w:p>
    <w:p w14:paraId="4E37B9DB">
      <w:pPr>
        <w:snapToGrid w:val="0"/>
        <w:spacing w:line="460" w:lineRule="exact"/>
        <w:ind w:firstLine="2760" w:firstLineChars="1150"/>
        <w:jc w:val="right"/>
        <w:rPr>
          <w:rFonts w:ascii="宋体" w:hAnsi="宋体" w:cs="宋体"/>
          <w:sz w:val="24"/>
          <w:szCs w:val="24"/>
        </w:rPr>
      </w:pPr>
    </w:p>
    <w:p w14:paraId="33EB50FD">
      <w:pPr>
        <w:snapToGrid w:val="0"/>
        <w:spacing w:line="460" w:lineRule="exact"/>
        <w:ind w:firstLine="2760" w:firstLineChars="1150"/>
        <w:jc w:val="right"/>
        <w:rPr>
          <w:rFonts w:ascii="宋体" w:cs="Times New Roman"/>
          <w:sz w:val="24"/>
          <w:szCs w:val="24"/>
        </w:rPr>
      </w:pPr>
      <w:r>
        <w:rPr>
          <w:rFonts w:hint="eastAsia" w:ascii="宋体" w:hAnsi="宋体" w:cs="宋体"/>
          <w:sz w:val="24"/>
          <w:szCs w:val="24"/>
        </w:rPr>
        <w:t xml:space="preserve">   浙江省湖州生态环境监测中心</w:t>
      </w:r>
    </w:p>
    <w:p w14:paraId="393F09A4">
      <w:pPr>
        <w:snapToGrid w:val="0"/>
        <w:spacing w:line="460" w:lineRule="exact"/>
        <w:ind w:firstLine="2760" w:firstLineChars="1150"/>
        <w:jc w:val="right"/>
        <w:rPr>
          <w:rFonts w:ascii="宋体" w:cs="Times New Roman"/>
          <w:sz w:val="24"/>
          <w:szCs w:val="24"/>
        </w:rPr>
      </w:pPr>
      <w:r>
        <w:rPr>
          <w:rFonts w:hint="eastAsia" w:ascii="宋体" w:hAnsi="宋体" w:cs="宋体"/>
          <w:sz w:val="24"/>
          <w:szCs w:val="24"/>
        </w:rPr>
        <w:t>浙江华耀建设咨询有限公司</w:t>
      </w:r>
    </w:p>
    <w:p w14:paraId="655FE452">
      <w:pPr>
        <w:wordWrap w:val="0"/>
        <w:spacing w:line="460" w:lineRule="exact"/>
        <w:jc w:val="right"/>
        <w:rPr>
          <w:rFonts w:ascii="宋体" w:hAnsi="宋体" w:cs="宋体"/>
          <w:sz w:val="24"/>
          <w:szCs w:val="24"/>
        </w:rPr>
      </w:pPr>
      <w:r>
        <w:rPr>
          <w:rFonts w:ascii="宋体" w:hAnsi="宋体" w:cs="宋体"/>
          <w:sz w:val="24"/>
          <w:szCs w:val="24"/>
        </w:rPr>
        <w:t>2024年</w:t>
      </w:r>
      <w:r>
        <w:rPr>
          <w:rFonts w:hint="eastAsia" w:ascii="宋体" w:hAnsi="宋体" w:cs="宋体"/>
          <w:sz w:val="24"/>
          <w:szCs w:val="24"/>
        </w:rPr>
        <w:t xml:space="preserve"> 月 日</w:t>
      </w:r>
    </w:p>
    <w:p w14:paraId="7AEDA9C1">
      <w:pPr>
        <w:snapToGrid w:val="0"/>
        <w:spacing w:line="460" w:lineRule="exact"/>
        <w:ind w:firstLine="411" w:firstLineChars="196"/>
      </w:pPr>
    </w:p>
    <w:p w14:paraId="59CA2595">
      <w:pPr>
        <w:snapToGrid w:val="0"/>
        <w:spacing w:line="460" w:lineRule="exact"/>
        <w:ind w:firstLine="411" w:firstLineChars="196"/>
      </w:pPr>
    </w:p>
    <w:p w14:paraId="0FEE297F">
      <w:pPr>
        <w:snapToGrid w:val="0"/>
        <w:spacing w:line="460" w:lineRule="exact"/>
        <w:ind w:firstLine="411" w:firstLineChars="196"/>
      </w:pPr>
    </w:p>
    <w:p w14:paraId="69825611">
      <w:pPr>
        <w:snapToGrid w:val="0"/>
        <w:spacing w:line="460" w:lineRule="exact"/>
        <w:ind w:firstLine="411" w:firstLineChars="196"/>
      </w:pPr>
    </w:p>
    <w:p w14:paraId="2B9057AC">
      <w:pPr>
        <w:snapToGrid w:val="0"/>
        <w:spacing w:line="460" w:lineRule="exact"/>
        <w:ind w:firstLine="411" w:firstLineChars="196"/>
      </w:pPr>
    </w:p>
    <w:p w14:paraId="7FCC24C0">
      <w:pPr>
        <w:snapToGrid w:val="0"/>
        <w:spacing w:line="460" w:lineRule="exact"/>
        <w:ind w:firstLine="411" w:firstLineChars="196"/>
      </w:pPr>
    </w:p>
    <w:p w14:paraId="4F309E23">
      <w:pPr>
        <w:snapToGrid w:val="0"/>
        <w:spacing w:line="460" w:lineRule="exact"/>
        <w:ind w:firstLine="411" w:firstLineChars="196"/>
      </w:pPr>
    </w:p>
    <w:p w14:paraId="0E3E1037">
      <w:pPr>
        <w:snapToGrid w:val="0"/>
        <w:spacing w:line="460" w:lineRule="exact"/>
        <w:ind w:firstLine="411" w:firstLineChars="196"/>
      </w:pPr>
    </w:p>
    <w:p w14:paraId="76E1DF63">
      <w:pPr>
        <w:snapToGrid w:val="0"/>
        <w:spacing w:line="460" w:lineRule="exact"/>
        <w:ind w:firstLine="411" w:firstLineChars="196"/>
      </w:pPr>
    </w:p>
    <w:p w14:paraId="11294B86">
      <w:pPr>
        <w:snapToGrid w:val="0"/>
        <w:spacing w:line="460" w:lineRule="exact"/>
        <w:ind w:firstLine="411" w:firstLineChars="196"/>
      </w:pPr>
    </w:p>
    <w:p w14:paraId="2E9E7409">
      <w:pPr>
        <w:pStyle w:val="2"/>
      </w:pPr>
      <w:bookmarkStart w:id="8" w:name="_Toc69913473"/>
      <w:r>
        <w:rPr>
          <w:rFonts w:hint="eastAsia"/>
        </w:rPr>
        <w:t>第一章供应商须知</w:t>
      </w:r>
      <w:bookmarkEnd w:id="8"/>
    </w:p>
    <w:p w14:paraId="5FF3D9FC">
      <w:pPr>
        <w:pStyle w:val="3"/>
        <w:spacing w:before="156" w:after="0" w:line="420" w:lineRule="exact"/>
        <w:jc w:val="center"/>
        <w:rPr>
          <w:rFonts w:ascii="宋体" w:hAnsi="宋体" w:eastAsia="宋体"/>
          <w:sz w:val="30"/>
          <w:szCs w:val="30"/>
        </w:rPr>
      </w:pPr>
      <w:bookmarkStart w:id="9" w:name="_Toc69913474"/>
      <w:r>
        <w:rPr>
          <w:rFonts w:hint="eastAsia" w:ascii="宋体" w:hAnsi="宋体" w:eastAsia="宋体" w:cs="宋体"/>
          <w:sz w:val="30"/>
          <w:szCs w:val="30"/>
        </w:rPr>
        <w:t>前附表</w:t>
      </w:r>
      <w:bookmarkEnd w:id="9"/>
    </w:p>
    <w:tbl>
      <w:tblPr>
        <w:tblStyle w:val="63"/>
        <w:tblW w:w="1013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1"/>
        <w:gridCol w:w="2055"/>
        <w:gridCol w:w="7246"/>
      </w:tblGrid>
      <w:tr w14:paraId="4CF070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jc w:val="center"/>
        </w:trPr>
        <w:tc>
          <w:tcPr>
            <w:tcW w:w="831" w:type="dxa"/>
            <w:tcBorders>
              <w:top w:val="single" w:color="auto" w:sz="4" w:space="0"/>
              <w:bottom w:val="single" w:color="auto" w:sz="4" w:space="0"/>
              <w:right w:val="single" w:color="auto" w:sz="4" w:space="0"/>
            </w:tcBorders>
            <w:vAlign w:val="center"/>
          </w:tcPr>
          <w:p w14:paraId="10730ABD">
            <w:pPr>
              <w:spacing w:line="420" w:lineRule="exact"/>
              <w:jc w:val="center"/>
              <w:rPr>
                <w:rFonts w:ascii="宋体" w:cs="宋体"/>
                <w:sz w:val="24"/>
                <w:szCs w:val="24"/>
              </w:rPr>
            </w:pPr>
            <w:r>
              <w:rPr>
                <w:rFonts w:hint="eastAsia" w:ascii="宋体" w:hAnsi="宋体" w:cs="宋体"/>
                <w:sz w:val="24"/>
                <w:szCs w:val="24"/>
              </w:rPr>
              <w:t>序号</w:t>
            </w:r>
          </w:p>
        </w:tc>
        <w:tc>
          <w:tcPr>
            <w:tcW w:w="2055" w:type="dxa"/>
            <w:tcBorders>
              <w:top w:val="single" w:color="auto" w:sz="4" w:space="0"/>
              <w:left w:val="single" w:color="auto" w:sz="4" w:space="0"/>
              <w:bottom w:val="single" w:color="auto" w:sz="4" w:space="0"/>
              <w:right w:val="single" w:color="auto" w:sz="4" w:space="0"/>
            </w:tcBorders>
            <w:vAlign w:val="center"/>
          </w:tcPr>
          <w:p w14:paraId="606E4D83">
            <w:pPr>
              <w:spacing w:line="420" w:lineRule="exact"/>
              <w:jc w:val="center"/>
              <w:rPr>
                <w:rFonts w:ascii="宋体" w:cs="宋体"/>
                <w:sz w:val="24"/>
                <w:szCs w:val="24"/>
              </w:rPr>
            </w:pPr>
            <w:r>
              <w:rPr>
                <w:rFonts w:hint="eastAsia" w:ascii="宋体" w:hAnsi="宋体" w:cs="宋体"/>
                <w:sz w:val="24"/>
                <w:szCs w:val="24"/>
              </w:rPr>
              <w:t>项目</w:t>
            </w:r>
          </w:p>
        </w:tc>
        <w:tc>
          <w:tcPr>
            <w:tcW w:w="7246" w:type="dxa"/>
            <w:tcBorders>
              <w:top w:val="single" w:color="auto" w:sz="4" w:space="0"/>
              <w:left w:val="single" w:color="auto" w:sz="4" w:space="0"/>
              <w:bottom w:val="single" w:color="auto" w:sz="4" w:space="0"/>
            </w:tcBorders>
            <w:vAlign w:val="center"/>
          </w:tcPr>
          <w:p w14:paraId="77159408">
            <w:pPr>
              <w:spacing w:line="420" w:lineRule="exact"/>
              <w:jc w:val="center"/>
              <w:rPr>
                <w:rFonts w:ascii="宋体" w:cs="宋体"/>
                <w:sz w:val="24"/>
                <w:szCs w:val="24"/>
              </w:rPr>
            </w:pPr>
            <w:r>
              <w:rPr>
                <w:rFonts w:hint="eastAsia" w:ascii="宋体" w:hAnsi="宋体" w:cs="宋体"/>
                <w:sz w:val="24"/>
                <w:szCs w:val="24"/>
              </w:rPr>
              <w:t>内容与要求</w:t>
            </w:r>
          </w:p>
        </w:tc>
      </w:tr>
      <w:tr w14:paraId="7F8D3D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51" w:hRule="atLeast"/>
          <w:jc w:val="center"/>
        </w:trPr>
        <w:tc>
          <w:tcPr>
            <w:tcW w:w="831" w:type="dxa"/>
            <w:tcBorders>
              <w:top w:val="single" w:color="auto" w:sz="4" w:space="0"/>
              <w:bottom w:val="single" w:color="auto" w:sz="4" w:space="0"/>
              <w:right w:val="single" w:color="auto" w:sz="4" w:space="0"/>
            </w:tcBorders>
            <w:vAlign w:val="center"/>
          </w:tcPr>
          <w:p w14:paraId="350DA7D3">
            <w:pPr>
              <w:spacing w:line="420" w:lineRule="exact"/>
              <w:jc w:val="center"/>
              <w:rPr>
                <w:rFonts w:ascii="宋体" w:hAnsi="宋体" w:cs="宋体"/>
                <w:sz w:val="24"/>
                <w:szCs w:val="24"/>
              </w:rPr>
            </w:pPr>
            <w:bookmarkStart w:id="10" w:name="_Hlk60736843"/>
            <w:r>
              <w:rPr>
                <w:rFonts w:ascii="宋体" w:hAnsi="宋体" w:cs="宋体"/>
                <w:sz w:val="24"/>
                <w:szCs w:val="24"/>
              </w:rPr>
              <w:t>1</w:t>
            </w:r>
          </w:p>
        </w:tc>
        <w:tc>
          <w:tcPr>
            <w:tcW w:w="2055" w:type="dxa"/>
            <w:tcBorders>
              <w:top w:val="single" w:color="auto" w:sz="4" w:space="0"/>
              <w:left w:val="single" w:color="auto" w:sz="4" w:space="0"/>
              <w:bottom w:val="single" w:color="auto" w:sz="4" w:space="0"/>
              <w:right w:val="single" w:color="auto" w:sz="4" w:space="0"/>
            </w:tcBorders>
            <w:vAlign w:val="center"/>
          </w:tcPr>
          <w:p w14:paraId="3EFB5676">
            <w:pPr>
              <w:spacing w:line="420" w:lineRule="exact"/>
              <w:jc w:val="center"/>
              <w:rPr>
                <w:rFonts w:ascii="宋体" w:cs="宋体"/>
                <w:sz w:val="24"/>
                <w:szCs w:val="24"/>
              </w:rPr>
            </w:pPr>
            <w:r>
              <w:rPr>
                <w:rFonts w:hint="eastAsia" w:ascii="宋体" w:hAnsi="宋体" w:cs="宋体"/>
                <w:sz w:val="24"/>
                <w:szCs w:val="24"/>
              </w:rPr>
              <w:t>项目名称</w:t>
            </w:r>
          </w:p>
        </w:tc>
        <w:tc>
          <w:tcPr>
            <w:tcW w:w="7246" w:type="dxa"/>
            <w:tcBorders>
              <w:top w:val="single" w:color="auto" w:sz="4" w:space="0"/>
              <w:left w:val="single" w:color="auto" w:sz="4" w:space="0"/>
              <w:bottom w:val="single" w:color="auto" w:sz="4" w:space="0"/>
            </w:tcBorders>
            <w:vAlign w:val="center"/>
          </w:tcPr>
          <w:p w14:paraId="1096E848">
            <w:pPr>
              <w:spacing w:line="480" w:lineRule="exact"/>
              <w:rPr>
                <w:rFonts w:hint="eastAsia" w:ascii="宋体" w:hAnsi="宋体" w:cs="宋体" w:eastAsiaTheme="minorEastAsia"/>
                <w:spacing w:val="-4"/>
                <w:sz w:val="24"/>
                <w:szCs w:val="24"/>
                <w:lang w:eastAsia="zh-CN"/>
              </w:rPr>
            </w:pPr>
            <w:r>
              <w:rPr>
                <w:rFonts w:hint="eastAsia" w:ascii="宋体" w:hAnsi="宋体" w:cs="宋体"/>
                <w:spacing w:val="-4"/>
                <w:sz w:val="24"/>
                <w:szCs w:val="24"/>
                <w:lang w:eastAsia="zh-CN"/>
              </w:rPr>
              <w:t>大气颗粒物组分手工监测项目</w:t>
            </w:r>
          </w:p>
        </w:tc>
      </w:tr>
      <w:bookmarkEnd w:id="10"/>
      <w:tr w14:paraId="7A0A44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6" w:hRule="atLeast"/>
          <w:jc w:val="center"/>
        </w:trPr>
        <w:tc>
          <w:tcPr>
            <w:tcW w:w="831" w:type="dxa"/>
            <w:tcBorders>
              <w:top w:val="single" w:color="auto" w:sz="4" w:space="0"/>
              <w:bottom w:val="single" w:color="auto" w:sz="4" w:space="0"/>
              <w:right w:val="single" w:color="auto" w:sz="4" w:space="0"/>
            </w:tcBorders>
            <w:vAlign w:val="center"/>
          </w:tcPr>
          <w:p w14:paraId="4FC03BCB">
            <w:pPr>
              <w:spacing w:line="420" w:lineRule="exact"/>
              <w:jc w:val="center"/>
              <w:rPr>
                <w:rFonts w:ascii="宋体" w:hAnsi="宋体" w:cs="宋体"/>
                <w:sz w:val="24"/>
                <w:szCs w:val="24"/>
              </w:rPr>
            </w:pPr>
            <w:r>
              <w:rPr>
                <w:rFonts w:ascii="宋体" w:hAnsi="宋体" w:cs="宋体"/>
                <w:sz w:val="24"/>
                <w:szCs w:val="24"/>
              </w:rPr>
              <w:t>2</w:t>
            </w:r>
          </w:p>
        </w:tc>
        <w:tc>
          <w:tcPr>
            <w:tcW w:w="2055" w:type="dxa"/>
            <w:tcBorders>
              <w:top w:val="single" w:color="auto" w:sz="4" w:space="0"/>
              <w:left w:val="single" w:color="auto" w:sz="4" w:space="0"/>
              <w:bottom w:val="single" w:color="auto" w:sz="4" w:space="0"/>
              <w:right w:val="single" w:color="auto" w:sz="4" w:space="0"/>
            </w:tcBorders>
            <w:vAlign w:val="center"/>
          </w:tcPr>
          <w:p w14:paraId="20042FA1">
            <w:pPr>
              <w:spacing w:line="420" w:lineRule="exact"/>
              <w:jc w:val="center"/>
              <w:rPr>
                <w:rFonts w:ascii="宋体" w:hAnsi="宋体" w:cs="宋体"/>
                <w:spacing w:val="-4"/>
                <w:sz w:val="24"/>
                <w:szCs w:val="24"/>
              </w:rPr>
            </w:pPr>
            <w:r>
              <w:rPr>
                <w:rFonts w:hint="eastAsia" w:ascii="宋体" w:hAnsi="宋体" w:cs="宋体"/>
                <w:spacing w:val="-4"/>
                <w:sz w:val="24"/>
                <w:szCs w:val="24"/>
              </w:rPr>
              <w:t>编号</w:t>
            </w:r>
          </w:p>
        </w:tc>
        <w:tc>
          <w:tcPr>
            <w:tcW w:w="7246" w:type="dxa"/>
            <w:tcBorders>
              <w:top w:val="single" w:color="auto" w:sz="4" w:space="0"/>
              <w:left w:val="single" w:color="auto" w:sz="4" w:space="0"/>
              <w:bottom w:val="single" w:color="auto" w:sz="4" w:space="0"/>
            </w:tcBorders>
            <w:vAlign w:val="center"/>
          </w:tcPr>
          <w:p w14:paraId="44F9E342">
            <w:pPr>
              <w:spacing w:line="420" w:lineRule="exact"/>
              <w:rPr>
                <w:rFonts w:ascii="宋体" w:hAnsi="宋体" w:cs="宋体"/>
                <w:spacing w:val="-4"/>
                <w:sz w:val="24"/>
                <w:szCs w:val="24"/>
              </w:rPr>
            </w:pPr>
            <w:r>
              <w:rPr>
                <w:rFonts w:hint="eastAsia" w:ascii="宋体" w:hAnsi="宋体" w:cs="宋体"/>
                <w:spacing w:val="-4"/>
                <w:sz w:val="24"/>
                <w:szCs w:val="24"/>
              </w:rPr>
              <w:t>磋商文件编号：</w:t>
            </w:r>
            <w:r>
              <w:rPr>
                <w:rFonts w:ascii="宋体" w:hAnsi="宋体" w:cs="宋体"/>
                <w:spacing w:val="-4"/>
                <w:sz w:val="24"/>
                <w:szCs w:val="24"/>
              </w:rPr>
              <w:t>HYHZ2024-160</w:t>
            </w:r>
          </w:p>
          <w:p w14:paraId="5DDA3880">
            <w:pPr>
              <w:spacing w:line="420" w:lineRule="exact"/>
              <w:rPr>
                <w:rFonts w:hint="eastAsia" w:ascii="宋体" w:hAnsi="宋体" w:cs="宋体" w:eastAsiaTheme="minorEastAsia"/>
                <w:spacing w:val="-4"/>
                <w:sz w:val="24"/>
                <w:szCs w:val="24"/>
                <w:lang w:eastAsia="zh-CN"/>
              </w:rPr>
            </w:pPr>
            <w:r>
              <w:rPr>
                <w:rFonts w:hint="eastAsia" w:ascii="宋体" w:hAnsi="宋体" w:cs="宋体"/>
                <w:spacing w:val="-4"/>
                <w:sz w:val="24"/>
                <w:szCs w:val="24"/>
              </w:rPr>
              <w:t>财政审批编号：</w:t>
            </w:r>
            <w:r>
              <w:rPr>
                <w:rFonts w:hint="eastAsia" w:ascii="宋体" w:hAnsi="宋体" w:cs="宋体"/>
                <w:spacing w:val="-4"/>
                <w:sz w:val="24"/>
                <w:szCs w:val="24"/>
                <w:lang w:eastAsia="zh-CN"/>
              </w:rPr>
              <w:t>临[2024]18641号</w:t>
            </w:r>
          </w:p>
        </w:tc>
      </w:tr>
      <w:tr w14:paraId="7CA22B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831" w:type="dxa"/>
            <w:tcBorders>
              <w:top w:val="single" w:color="auto" w:sz="4" w:space="0"/>
              <w:bottom w:val="single" w:color="auto" w:sz="4" w:space="0"/>
              <w:right w:val="single" w:color="auto" w:sz="4" w:space="0"/>
            </w:tcBorders>
            <w:vAlign w:val="center"/>
          </w:tcPr>
          <w:p w14:paraId="527BC2AB">
            <w:pPr>
              <w:spacing w:line="420" w:lineRule="exact"/>
              <w:jc w:val="center"/>
              <w:rPr>
                <w:rFonts w:ascii="宋体" w:hAnsi="宋体" w:cs="宋体"/>
                <w:sz w:val="24"/>
                <w:szCs w:val="24"/>
              </w:rPr>
            </w:pPr>
            <w:r>
              <w:rPr>
                <w:rFonts w:ascii="宋体" w:hAnsi="宋体" w:cs="宋体"/>
                <w:sz w:val="24"/>
                <w:szCs w:val="24"/>
              </w:rPr>
              <w:t>3</w:t>
            </w:r>
          </w:p>
        </w:tc>
        <w:tc>
          <w:tcPr>
            <w:tcW w:w="2055" w:type="dxa"/>
            <w:tcBorders>
              <w:top w:val="single" w:color="auto" w:sz="4" w:space="0"/>
              <w:left w:val="single" w:color="auto" w:sz="4" w:space="0"/>
              <w:bottom w:val="single" w:color="auto" w:sz="4" w:space="0"/>
              <w:right w:val="single" w:color="auto" w:sz="4" w:space="0"/>
            </w:tcBorders>
            <w:vAlign w:val="center"/>
          </w:tcPr>
          <w:p w14:paraId="68F30D69">
            <w:pPr>
              <w:spacing w:line="420" w:lineRule="exact"/>
              <w:jc w:val="center"/>
              <w:rPr>
                <w:rFonts w:ascii="宋体" w:cs="宋体"/>
                <w:sz w:val="24"/>
                <w:szCs w:val="24"/>
              </w:rPr>
            </w:pPr>
            <w:r>
              <w:rPr>
                <w:rFonts w:hint="eastAsia" w:ascii="宋体" w:hAnsi="宋体" w:cs="宋体"/>
                <w:sz w:val="24"/>
                <w:szCs w:val="24"/>
              </w:rPr>
              <w:t>磋商内容</w:t>
            </w:r>
          </w:p>
        </w:tc>
        <w:tc>
          <w:tcPr>
            <w:tcW w:w="7246" w:type="dxa"/>
            <w:tcBorders>
              <w:top w:val="single" w:color="auto" w:sz="4" w:space="0"/>
              <w:left w:val="single" w:color="auto" w:sz="4" w:space="0"/>
              <w:bottom w:val="single" w:color="auto" w:sz="4" w:space="0"/>
            </w:tcBorders>
            <w:vAlign w:val="center"/>
          </w:tcPr>
          <w:p w14:paraId="5F778044">
            <w:pPr>
              <w:spacing w:line="480" w:lineRule="exact"/>
              <w:rPr>
                <w:rFonts w:hint="eastAsia" w:ascii="宋体" w:hAnsi="宋体" w:cs="宋体" w:eastAsiaTheme="minorEastAsia"/>
                <w:spacing w:val="-4"/>
                <w:sz w:val="24"/>
                <w:szCs w:val="24"/>
                <w:lang w:eastAsia="zh-CN"/>
              </w:rPr>
            </w:pPr>
            <w:r>
              <w:rPr>
                <w:rFonts w:hint="eastAsia" w:ascii="宋体" w:hAnsi="宋体" w:cs="宋体"/>
                <w:spacing w:val="-4"/>
                <w:sz w:val="24"/>
                <w:szCs w:val="24"/>
                <w:lang w:eastAsia="zh-CN"/>
              </w:rPr>
              <w:t>大气颗粒物组分手工监测项目</w:t>
            </w:r>
          </w:p>
        </w:tc>
      </w:tr>
      <w:tr w14:paraId="76C7D5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53" w:hRule="atLeast"/>
          <w:jc w:val="center"/>
        </w:trPr>
        <w:tc>
          <w:tcPr>
            <w:tcW w:w="831" w:type="dxa"/>
            <w:tcBorders>
              <w:top w:val="single" w:color="auto" w:sz="4" w:space="0"/>
              <w:bottom w:val="single" w:color="auto" w:sz="4" w:space="0"/>
              <w:right w:val="single" w:color="auto" w:sz="4" w:space="0"/>
            </w:tcBorders>
            <w:vAlign w:val="center"/>
          </w:tcPr>
          <w:p w14:paraId="4E72CAA8">
            <w:pPr>
              <w:spacing w:line="420" w:lineRule="exact"/>
              <w:jc w:val="center"/>
              <w:rPr>
                <w:rFonts w:ascii="宋体" w:hAnsi="宋体" w:cs="宋体"/>
                <w:sz w:val="24"/>
                <w:szCs w:val="24"/>
              </w:rPr>
            </w:pPr>
            <w:r>
              <w:rPr>
                <w:rFonts w:ascii="宋体" w:hAnsi="宋体" w:cs="宋体"/>
                <w:sz w:val="24"/>
                <w:szCs w:val="24"/>
              </w:rPr>
              <w:t>4</w:t>
            </w:r>
          </w:p>
        </w:tc>
        <w:tc>
          <w:tcPr>
            <w:tcW w:w="2055" w:type="dxa"/>
            <w:tcBorders>
              <w:top w:val="single" w:color="auto" w:sz="4" w:space="0"/>
              <w:left w:val="single" w:color="auto" w:sz="4" w:space="0"/>
              <w:bottom w:val="single" w:color="auto" w:sz="4" w:space="0"/>
              <w:right w:val="single" w:color="auto" w:sz="4" w:space="0"/>
            </w:tcBorders>
            <w:vAlign w:val="center"/>
          </w:tcPr>
          <w:p w14:paraId="24A63EA2">
            <w:pPr>
              <w:spacing w:line="420" w:lineRule="exact"/>
              <w:jc w:val="center"/>
              <w:rPr>
                <w:rFonts w:ascii="宋体" w:hAnsi="宋体" w:cs="宋体"/>
                <w:sz w:val="24"/>
                <w:szCs w:val="24"/>
              </w:rPr>
            </w:pPr>
            <w:r>
              <w:rPr>
                <w:rFonts w:hint="eastAsia" w:ascii="宋体" w:hAnsi="宋体" w:cs="宋体"/>
                <w:sz w:val="24"/>
                <w:szCs w:val="24"/>
              </w:rPr>
              <w:t>项目实施地点</w:t>
            </w:r>
          </w:p>
        </w:tc>
        <w:tc>
          <w:tcPr>
            <w:tcW w:w="7246" w:type="dxa"/>
            <w:tcBorders>
              <w:top w:val="single" w:color="auto" w:sz="4" w:space="0"/>
              <w:left w:val="single" w:color="auto" w:sz="4" w:space="0"/>
              <w:bottom w:val="single" w:color="auto" w:sz="4" w:space="0"/>
            </w:tcBorders>
            <w:vAlign w:val="center"/>
          </w:tcPr>
          <w:p w14:paraId="1C132BCA">
            <w:pPr>
              <w:spacing w:line="420" w:lineRule="exact"/>
              <w:rPr>
                <w:rFonts w:ascii="宋体" w:hAnsi="宋体" w:cs="宋体"/>
                <w:sz w:val="24"/>
                <w:szCs w:val="24"/>
              </w:rPr>
            </w:pPr>
            <w:r>
              <w:rPr>
                <w:rFonts w:hint="eastAsia" w:ascii="宋体" w:hAnsi="宋体" w:cs="宋体"/>
                <w:sz w:val="24"/>
                <w:szCs w:val="24"/>
              </w:rPr>
              <w:t>采购人指定地点</w:t>
            </w:r>
          </w:p>
        </w:tc>
      </w:tr>
      <w:tr w14:paraId="1730E0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831" w:type="dxa"/>
            <w:tcBorders>
              <w:top w:val="single" w:color="auto" w:sz="4" w:space="0"/>
              <w:bottom w:val="single" w:color="auto" w:sz="4" w:space="0"/>
              <w:right w:val="single" w:color="auto" w:sz="4" w:space="0"/>
            </w:tcBorders>
            <w:vAlign w:val="center"/>
          </w:tcPr>
          <w:p w14:paraId="1AD009D8">
            <w:pPr>
              <w:spacing w:line="420" w:lineRule="exact"/>
              <w:jc w:val="center"/>
              <w:rPr>
                <w:rFonts w:ascii="宋体" w:hAnsi="宋体" w:cs="宋体"/>
                <w:sz w:val="24"/>
                <w:szCs w:val="24"/>
              </w:rPr>
            </w:pPr>
            <w:r>
              <w:rPr>
                <w:rFonts w:ascii="宋体" w:hAnsi="宋体" w:cs="宋体"/>
                <w:sz w:val="24"/>
                <w:szCs w:val="24"/>
              </w:rPr>
              <w:t>5</w:t>
            </w:r>
          </w:p>
        </w:tc>
        <w:tc>
          <w:tcPr>
            <w:tcW w:w="2055" w:type="dxa"/>
            <w:tcBorders>
              <w:top w:val="single" w:color="auto" w:sz="4" w:space="0"/>
              <w:left w:val="single" w:color="auto" w:sz="4" w:space="0"/>
              <w:bottom w:val="single" w:color="auto" w:sz="4" w:space="0"/>
              <w:right w:val="single" w:color="auto" w:sz="4" w:space="0"/>
            </w:tcBorders>
            <w:vAlign w:val="center"/>
          </w:tcPr>
          <w:p w14:paraId="367FD8A0">
            <w:pPr>
              <w:spacing w:line="420" w:lineRule="exact"/>
              <w:jc w:val="center"/>
              <w:rPr>
                <w:rFonts w:ascii="宋体" w:hAnsi="宋体" w:cs="宋体"/>
                <w:sz w:val="24"/>
                <w:szCs w:val="24"/>
              </w:rPr>
            </w:pPr>
            <w:r>
              <w:rPr>
                <w:rFonts w:hint="eastAsia" w:ascii="宋体" w:hAnsi="宋体" w:cs="宋体"/>
                <w:sz w:val="24"/>
                <w:szCs w:val="24"/>
              </w:rPr>
              <w:t>磋商答疑时间</w:t>
            </w:r>
          </w:p>
        </w:tc>
        <w:tc>
          <w:tcPr>
            <w:tcW w:w="7246" w:type="dxa"/>
            <w:tcBorders>
              <w:top w:val="single" w:color="auto" w:sz="4" w:space="0"/>
              <w:left w:val="single" w:color="auto" w:sz="4" w:space="0"/>
              <w:bottom w:val="single" w:color="auto" w:sz="4" w:space="0"/>
            </w:tcBorders>
            <w:vAlign w:val="center"/>
          </w:tcPr>
          <w:p w14:paraId="0416B383">
            <w:pPr>
              <w:spacing w:line="420" w:lineRule="exact"/>
              <w:rPr>
                <w:rFonts w:ascii="宋体" w:hAnsi="宋体" w:cs="宋体"/>
                <w:sz w:val="24"/>
                <w:szCs w:val="24"/>
              </w:rPr>
            </w:pPr>
            <w:r>
              <w:rPr>
                <w:rFonts w:ascii="宋体" w:hAnsi="宋体" w:cs="宋体"/>
                <w:sz w:val="24"/>
                <w:szCs w:val="24"/>
              </w:rPr>
              <w:t>供应商对磋商文件有异议的，应当在 2024年</w:t>
            </w:r>
            <w:r>
              <w:rPr>
                <w:rFonts w:hint="eastAsia" w:ascii="宋体" w:hAnsi="宋体" w:cs="宋体"/>
                <w:sz w:val="24"/>
                <w:szCs w:val="24"/>
              </w:rPr>
              <w:t xml:space="preserve"> 月 日</w:t>
            </w:r>
            <w:r>
              <w:rPr>
                <w:rFonts w:ascii="宋体" w:hAnsi="宋体" w:cs="宋体"/>
                <w:sz w:val="24"/>
                <w:szCs w:val="24"/>
              </w:rPr>
              <w:t xml:space="preserve"> 1</w:t>
            </w:r>
            <w:r>
              <w:rPr>
                <w:rFonts w:hint="eastAsia" w:ascii="宋体" w:hAnsi="宋体" w:cs="宋体"/>
                <w:sz w:val="24"/>
                <w:szCs w:val="24"/>
              </w:rPr>
              <w:t>7</w:t>
            </w:r>
            <w:r>
              <w:rPr>
                <w:rFonts w:ascii="宋体" w:hAnsi="宋体" w:cs="宋体"/>
                <w:sz w:val="24"/>
                <w:szCs w:val="24"/>
              </w:rPr>
              <w:t>：</w:t>
            </w:r>
            <w:r>
              <w:rPr>
                <w:rFonts w:hint="eastAsia" w:ascii="宋体" w:hAnsi="宋体" w:cs="宋体"/>
                <w:sz w:val="24"/>
                <w:szCs w:val="24"/>
              </w:rPr>
              <w:t>0</w:t>
            </w:r>
            <w:r>
              <w:rPr>
                <w:rFonts w:ascii="宋体" w:hAnsi="宋体" w:cs="宋体"/>
                <w:sz w:val="24"/>
                <w:szCs w:val="24"/>
              </w:rPr>
              <w:t>0 前以书面（含传真）形式一次性提出针对同一采购程序环节向采购代 理机构提出质疑，否则采购代理机构有权拒绝第一次质疑以外其他所有质疑。采购代理机构将在规定的时间内统一进行澄清和修改，并书面（含传真）通知所有认购磋商文件的供应商。供应商未按规定要求提出的，则视同认可磋商文件，但法律法规及规范性文件有明确规定的除外。答疑内容是磋商文件的组成部分，并将在网上发布补充（答 疑、澄清）文件，潜在供应商应自行关注网站公告，采购人不再一一 通知，供应商因自身贻误行为导致</w:t>
            </w:r>
            <w:r>
              <w:rPr>
                <w:rFonts w:hint="eastAsia" w:ascii="宋体" w:hAnsi="宋体" w:cs="宋体"/>
                <w:sz w:val="24"/>
                <w:szCs w:val="24"/>
              </w:rPr>
              <w:t>磋商</w:t>
            </w:r>
            <w:r>
              <w:rPr>
                <w:rFonts w:ascii="宋体" w:hAnsi="宋体" w:cs="宋体"/>
                <w:sz w:val="24"/>
                <w:szCs w:val="24"/>
              </w:rPr>
              <w:t>失效的，责任自负</w:t>
            </w:r>
            <w:r>
              <w:rPr>
                <w:rFonts w:hint="eastAsia" w:ascii="宋体" w:hAnsi="宋体" w:cs="宋体"/>
                <w:sz w:val="24"/>
                <w:szCs w:val="24"/>
              </w:rPr>
              <w:t>。</w:t>
            </w:r>
          </w:p>
        </w:tc>
      </w:tr>
      <w:tr w14:paraId="5E394B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99" w:hRule="atLeast"/>
          <w:jc w:val="center"/>
        </w:trPr>
        <w:tc>
          <w:tcPr>
            <w:tcW w:w="831" w:type="dxa"/>
            <w:tcBorders>
              <w:top w:val="single" w:color="auto" w:sz="4" w:space="0"/>
              <w:bottom w:val="single" w:color="auto" w:sz="4" w:space="0"/>
              <w:right w:val="single" w:color="auto" w:sz="4" w:space="0"/>
            </w:tcBorders>
            <w:vAlign w:val="center"/>
          </w:tcPr>
          <w:p w14:paraId="0D890CB8">
            <w:pPr>
              <w:jc w:val="center"/>
              <w:rPr>
                <w:rFonts w:ascii="宋体" w:hAnsi="宋体" w:cs="宋体"/>
                <w:sz w:val="24"/>
                <w:szCs w:val="24"/>
              </w:rPr>
            </w:pPr>
            <w:r>
              <w:rPr>
                <w:rFonts w:ascii="宋体" w:hAnsi="宋体" w:cs="宋体"/>
                <w:sz w:val="24"/>
                <w:szCs w:val="24"/>
              </w:rPr>
              <w:t>6</w:t>
            </w:r>
          </w:p>
        </w:tc>
        <w:tc>
          <w:tcPr>
            <w:tcW w:w="2055" w:type="dxa"/>
            <w:tcBorders>
              <w:top w:val="single" w:color="auto" w:sz="4" w:space="0"/>
              <w:left w:val="single" w:color="auto" w:sz="4" w:space="0"/>
              <w:bottom w:val="single" w:color="auto" w:sz="4" w:space="0"/>
              <w:right w:val="single" w:color="auto" w:sz="4" w:space="0"/>
            </w:tcBorders>
            <w:vAlign w:val="center"/>
          </w:tcPr>
          <w:p w14:paraId="5F2D0A65">
            <w:pPr>
              <w:spacing w:line="420" w:lineRule="exact"/>
              <w:jc w:val="center"/>
              <w:rPr>
                <w:rFonts w:ascii="宋体" w:hAnsi="宋体" w:cs="宋体"/>
                <w:sz w:val="24"/>
                <w:szCs w:val="24"/>
              </w:rPr>
            </w:pPr>
            <w:r>
              <w:rPr>
                <w:rFonts w:hint="eastAsia" w:ascii="宋体" w:hAnsi="宋体" w:cs="宋体"/>
                <w:sz w:val="24"/>
                <w:szCs w:val="24"/>
              </w:rPr>
              <w:t>磋商文件组成</w:t>
            </w:r>
          </w:p>
        </w:tc>
        <w:tc>
          <w:tcPr>
            <w:tcW w:w="7246" w:type="dxa"/>
            <w:tcBorders>
              <w:top w:val="single" w:color="auto" w:sz="4" w:space="0"/>
              <w:left w:val="single" w:color="auto" w:sz="4" w:space="0"/>
              <w:bottom w:val="single" w:color="auto" w:sz="4" w:space="0"/>
            </w:tcBorders>
            <w:vAlign w:val="center"/>
          </w:tcPr>
          <w:p w14:paraId="4DAB34C0">
            <w:pPr>
              <w:spacing w:line="420" w:lineRule="exact"/>
              <w:rPr>
                <w:rFonts w:ascii="宋体" w:hAnsi="宋体" w:cs="宋体"/>
                <w:sz w:val="24"/>
                <w:szCs w:val="24"/>
              </w:rPr>
            </w:pPr>
            <w:r>
              <w:rPr>
                <w:rFonts w:hint="eastAsia" w:ascii="宋体" w:hAnsi="宋体" w:cs="宋体"/>
                <w:sz w:val="24"/>
                <w:szCs w:val="24"/>
              </w:rPr>
              <w:t>1、电子响应文件（包括“电子加密响应文件”和“备份响应文件”，在响应文件编制完成后同时生成）；</w:t>
            </w:r>
          </w:p>
          <w:p w14:paraId="7D381D06">
            <w:pPr>
              <w:spacing w:line="420" w:lineRule="exact"/>
              <w:rPr>
                <w:rFonts w:ascii="宋体" w:hAnsi="宋体" w:cs="宋体"/>
                <w:sz w:val="24"/>
                <w:szCs w:val="24"/>
              </w:rPr>
            </w:pPr>
            <w:r>
              <w:rPr>
                <w:rFonts w:hint="eastAsia" w:ascii="宋体" w:hAnsi="宋体" w:cs="宋体"/>
                <w:sz w:val="24"/>
                <w:szCs w:val="24"/>
              </w:rPr>
              <w:t>（1）“电子加密响应文件”是指通过“政采云电子交易客户端”完成响应文件编制后生成并加密的数据电文形式的响应文件。</w:t>
            </w:r>
          </w:p>
          <w:p w14:paraId="0EEF9304">
            <w:pPr>
              <w:spacing w:line="420" w:lineRule="exact"/>
              <w:rPr>
                <w:rFonts w:ascii="宋体" w:hAnsi="宋体" w:cs="宋体"/>
                <w:sz w:val="24"/>
                <w:szCs w:val="24"/>
              </w:rPr>
            </w:pPr>
            <w:r>
              <w:rPr>
                <w:rFonts w:hint="eastAsia" w:ascii="宋体" w:hAnsi="宋体" w:cs="宋体"/>
                <w:sz w:val="24"/>
                <w:szCs w:val="24"/>
              </w:rPr>
              <w:t>（2）“备份响应文件”是指与“电子加密响应文件”同时生成的数据电文形式的电子文件（备份标书），其他方式编制的备份响应文件视为无效备份响应文件。仅在出现解密异常情况下使用。</w:t>
            </w:r>
          </w:p>
          <w:p w14:paraId="3940A766">
            <w:pPr>
              <w:spacing w:line="420" w:lineRule="exact"/>
              <w:rPr>
                <w:rFonts w:ascii="宋体" w:hAnsi="宋体" w:cs="宋体"/>
                <w:sz w:val="24"/>
                <w:szCs w:val="24"/>
              </w:rPr>
            </w:pPr>
            <w:r>
              <w:rPr>
                <w:rFonts w:hint="eastAsia" w:ascii="宋体" w:hAnsi="宋体" w:cs="宋体"/>
                <w:sz w:val="24"/>
                <w:szCs w:val="24"/>
              </w:rPr>
              <w:t>2、是否需要提及纸质版响应文件：否，但中标后，中标单位需在领取中标通知书时，向招标代理机构提交与电子响应文件一致的纸质版本一式三份（按照磋商文件要求签字盖章）。</w:t>
            </w:r>
          </w:p>
        </w:tc>
      </w:tr>
      <w:tr w14:paraId="2889BB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831" w:type="dxa"/>
            <w:tcBorders>
              <w:top w:val="single" w:color="auto" w:sz="4" w:space="0"/>
              <w:bottom w:val="single" w:color="auto" w:sz="4" w:space="0"/>
              <w:right w:val="single" w:color="auto" w:sz="4" w:space="0"/>
            </w:tcBorders>
            <w:vAlign w:val="center"/>
          </w:tcPr>
          <w:p w14:paraId="10ED0977">
            <w:pPr>
              <w:jc w:val="center"/>
              <w:rPr>
                <w:rFonts w:ascii="宋体" w:hAnsi="宋体" w:cs="宋体"/>
                <w:sz w:val="24"/>
                <w:szCs w:val="24"/>
              </w:rPr>
            </w:pPr>
            <w:r>
              <w:rPr>
                <w:rFonts w:ascii="宋体" w:hAnsi="宋体" w:cs="宋体"/>
                <w:sz w:val="24"/>
                <w:szCs w:val="24"/>
              </w:rPr>
              <w:t>7</w:t>
            </w:r>
          </w:p>
        </w:tc>
        <w:tc>
          <w:tcPr>
            <w:tcW w:w="2055" w:type="dxa"/>
            <w:tcBorders>
              <w:top w:val="single" w:color="auto" w:sz="4" w:space="0"/>
              <w:left w:val="single" w:color="auto" w:sz="4" w:space="0"/>
              <w:bottom w:val="single" w:color="auto" w:sz="4" w:space="0"/>
              <w:right w:val="single" w:color="auto" w:sz="4" w:space="0"/>
            </w:tcBorders>
            <w:vAlign w:val="center"/>
          </w:tcPr>
          <w:p w14:paraId="179F19CD">
            <w:pPr>
              <w:jc w:val="center"/>
              <w:rPr>
                <w:rFonts w:ascii="宋体" w:hAnsi="宋体" w:cs="宋体"/>
                <w:kern w:val="0"/>
                <w:sz w:val="24"/>
              </w:rPr>
            </w:pPr>
            <w:r>
              <w:rPr>
                <w:rFonts w:hint="eastAsia" w:ascii="宋体" w:hAnsi="宋体" w:cs="宋体"/>
                <w:kern w:val="0"/>
                <w:sz w:val="24"/>
              </w:rPr>
              <w:t>响应文件份数</w:t>
            </w:r>
          </w:p>
        </w:tc>
        <w:tc>
          <w:tcPr>
            <w:tcW w:w="7246" w:type="dxa"/>
            <w:tcBorders>
              <w:top w:val="single" w:color="auto" w:sz="4" w:space="0"/>
              <w:left w:val="single" w:color="auto" w:sz="4" w:space="0"/>
              <w:bottom w:val="single" w:color="auto" w:sz="4" w:space="0"/>
            </w:tcBorders>
            <w:vAlign w:val="center"/>
          </w:tcPr>
          <w:p w14:paraId="0804355D">
            <w:pPr>
              <w:spacing w:line="360" w:lineRule="auto"/>
              <w:rPr>
                <w:rFonts w:ascii="宋体" w:hAnsi="宋体" w:cs="宋体"/>
                <w:kern w:val="0"/>
                <w:sz w:val="24"/>
              </w:rPr>
            </w:pPr>
            <w:r>
              <w:rPr>
                <w:rFonts w:hint="eastAsia" w:ascii="宋体" w:hAnsi="宋体" w:cs="宋体"/>
                <w:kern w:val="0"/>
                <w:sz w:val="24"/>
              </w:rPr>
              <w:t>1、“电子加密响应文件”：在线上传递交、一份。</w:t>
            </w:r>
          </w:p>
          <w:p w14:paraId="003D4AE4">
            <w:pPr>
              <w:snapToGrid w:val="0"/>
              <w:rPr>
                <w:rFonts w:ascii="宋体" w:hAnsi="宋体" w:cs="宋体"/>
                <w:kern w:val="0"/>
                <w:sz w:val="24"/>
              </w:rPr>
            </w:pPr>
            <w:r>
              <w:rPr>
                <w:rFonts w:hint="eastAsia" w:ascii="宋体" w:hAnsi="宋体" w:cs="宋体"/>
                <w:kern w:val="0"/>
                <w:sz w:val="24"/>
              </w:rPr>
              <w:t>2、 “备份响应文件”：一份。</w:t>
            </w:r>
            <w:r>
              <w:rPr>
                <w:rFonts w:ascii="宋体" w:hAnsi="宋体"/>
                <w:sz w:val="24"/>
              </w:rPr>
              <w:t>以介质存储的数据电文形式的备份响应文件</w:t>
            </w:r>
            <w:r>
              <w:rPr>
                <w:rFonts w:hint="eastAsia" w:ascii="宋体" w:hAnsi="宋体"/>
                <w:sz w:val="24"/>
              </w:rPr>
              <w:t>（</w:t>
            </w:r>
            <w:r>
              <w:rPr>
                <w:rFonts w:ascii="宋体" w:hAnsi="宋体"/>
                <w:sz w:val="24"/>
              </w:rPr>
              <w:t>BFBS格式</w:t>
            </w:r>
            <w:r>
              <w:rPr>
                <w:rFonts w:hint="eastAsia" w:ascii="宋体" w:hAnsi="宋体"/>
                <w:sz w:val="24"/>
              </w:rPr>
              <w:t>）</w:t>
            </w:r>
            <w:r>
              <w:rPr>
                <w:rFonts w:ascii="宋体" w:hAnsi="宋体"/>
                <w:sz w:val="24"/>
              </w:rPr>
              <w:t>，按政采云平台项目采购-电子交易操作指南中上传的电子响应文件格式，</w:t>
            </w:r>
            <w:r>
              <w:rPr>
                <w:rFonts w:ascii="宋体" w:hAnsi="宋体" w:cs="宋体"/>
                <w:kern w:val="0"/>
                <w:sz w:val="24"/>
              </w:rPr>
              <w:t>以U盘形式存储提供</w:t>
            </w:r>
            <w:r>
              <w:rPr>
                <w:rFonts w:hint="eastAsia" w:ascii="宋体" w:hAnsi="宋体" w:cs="宋体"/>
                <w:kern w:val="0"/>
                <w:sz w:val="24"/>
              </w:rPr>
              <w:t>）</w:t>
            </w:r>
            <w:r>
              <w:rPr>
                <w:rFonts w:ascii="宋体" w:hAnsi="宋体" w:cs="宋体"/>
                <w:kern w:val="0"/>
                <w:sz w:val="24"/>
              </w:rPr>
              <w:t>。U盘盘面上粘贴标签，标注单位名称，装入一个外包封袋中进行邮寄.邮寄时，总的外包封袋上可不注明单位名称，但应注明</w:t>
            </w:r>
            <w:r>
              <w:rPr>
                <w:rFonts w:ascii="宋体" w:hAnsi="宋体"/>
                <w:sz w:val="24"/>
              </w:rPr>
              <w:t>单位的联系人、联系电话及项目名称</w:t>
            </w:r>
            <w:r>
              <w:rPr>
                <w:rFonts w:hint="eastAsia" w:ascii="宋体" w:hAnsi="宋体"/>
                <w:sz w:val="24"/>
              </w:rPr>
              <w:t>。邮寄地址为：浙江华耀建设咨询有限公司（湖州市静江公寓1单元1101室），联系人：张治中，联系电话：0572-2198738，供应商应于2024年</w:t>
            </w:r>
            <w:r>
              <w:rPr>
                <w:rFonts w:hint="eastAsia" w:ascii="宋体" w:hAnsi="宋体" w:cs="宋体"/>
                <w:sz w:val="24"/>
                <w:szCs w:val="24"/>
              </w:rPr>
              <w:t xml:space="preserve"> 月 日</w:t>
            </w:r>
            <w:r>
              <w:rPr>
                <w:rFonts w:hint="eastAsia" w:ascii="宋体" w:hAnsi="宋体"/>
                <w:sz w:val="24"/>
              </w:rPr>
              <w:t>11:00时前准时送达，拒绝到付</w:t>
            </w:r>
            <w:r>
              <w:rPr>
                <w:rFonts w:hint="eastAsia" w:ascii="宋体" w:hAnsi="宋体" w:cs="宋体"/>
                <w:kern w:val="0"/>
                <w:sz w:val="24"/>
              </w:rPr>
              <w:t>，逾期送达的将拒绝接收。数据电子备份响应文件（U盘）应在响应截止时间前送达，超过响应截止时间前送达的，按未提供处理。</w:t>
            </w:r>
          </w:p>
        </w:tc>
      </w:tr>
      <w:tr w14:paraId="785238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831" w:type="dxa"/>
            <w:tcBorders>
              <w:top w:val="single" w:color="auto" w:sz="4" w:space="0"/>
              <w:bottom w:val="single" w:color="auto" w:sz="4" w:space="0"/>
              <w:right w:val="single" w:color="auto" w:sz="4" w:space="0"/>
            </w:tcBorders>
            <w:vAlign w:val="center"/>
          </w:tcPr>
          <w:p w14:paraId="5F583554">
            <w:pPr>
              <w:jc w:val="center"/>
              <w:rPr>
                <w:rFonts w:ascii="宋体" w:hAnsi="宋体" w:cs="宋体"/>
                <w:sz w:val="24"/>
                <w:szCs w:val="24"/>
              </w:rPr>
            </w:pPr>
            <w:r>
              <w:rPr>
                <w:rFonts w:ascii="宋体" w:hAnsi="宋体" w:cs="宋体"/>
                <w:sz w:val="24"/>
                <w:szCs w:val="24"/>
              </w:rPr>
              <w:t>8</w:t>
            </w:r>
          </w:p>
        </w:tc>
        <w:tc>
          <w:tcPr>
            <w:tcW w:w="2055" w:type="dxa"/>
            <w:tcBorders>
              <w:top w:val="single" w:color="auto" w:sz="4" w:space="0"/>
              <w:left w:val="single" w:color="auto" w:sz="4" w:space="0"/>
              <w:bottom w:val="single" w:color="auto" w:sz="4" w:space="0"/>
              <w:right w:val="single" w:color="auto" w:sz="4" w:space="0"/>
            </w:tcBorders>
            <w:vAlign w:val="center"/>
          </w:tcPr>
          <w:p w14:paraId="64942D8B">
            <w:pPr>
              <w:jc w:val="left"/>
              <w:rPr>
                <w:rFonts w:ascii="宋体" w:hAnsi="宋体"/>
                <w:sz w:val="24"/>
              </w:rPr>
            </w:pPr>
            <w:r>
              <w:rPr>
                <w:rFonts w:hint="eastAsia" w:ascii="宋体" w:hAnsi="宋体"/>
                <w:sz w:val="24"/>
              </w:rPr>
              <w:t>电子加密响应文件的解密和异常情况处理</w:t>
            </w:r>
          </w:p>
          <w:p w14:paraId="013DA68B">
            <w:pPr>
              <w:jc w:val="center"/>
              <w:rPr>
                <w:rFonts w:ascii="宋体" w:hAnsi="宋体"/>
                <w:sz w:val="24"/>
              </w:rPr>
            </w:pPr>
          </w:p>
        </w:tc>
        <w:tc>
          <w:tcPr>
            <w:tcW w:w="7246" w:type="dxa"/>
            <w:tcBorders>
              <w:top w:val="single" w:color="auto" w:sz="4" w:space="0"/>
              <w:left w:val="single" w:color="auto" w:sz="4" w:space="0"/>
              <w:bottom w:val="single" w:color="auto" w:sz="4" w:space="0"/>
            </w:tcBorders>
            <w:vAlign w:val="center"/>
          </w:tcPr>
          <w:p w14:paraId="76344510">
            <w:pPr>
              <w:rPr>
                <w:rFonts w:ascii="宋体" w:hAnsi="宋体"/>
                <w:bCs/>
                <w:spacing w:val="-4"/>
                <w:sz w:val="24"/>
              </w:rPr>
            </w:pPr>
            <w:r>
              <w:rPr>
                <w:rFonts w:hint="eastAsia" w:ascii="宋体" w:hAnsi="宋体"/>
                <w:bCs/>
                <w:spacing w:val="-4"/>
                <w:sz w:val="24"/>
              </w:rPr>
              <w:t>（1）开标后，采购组织机构将向各供应商发出“电子加密响应文件”的解密通知，各供应商代表应当在接到解密通知后30分钟内自行完成“电子加密响应文件”的在线解密。</w:t>
            </w:r>
          </w:p>
          <w:p w14:paraId="42EEB0EB">
            <w:pPr>
              <w:rPr>
                <w:rFonts w:ascii="宋体" w:hAnsi="宋体"/>
                <w:bCs/>
                <w:spacing w:val="-4"/>
                <w:sz w:val="24"/>
              </w:rPr>
            </w:pPr>
            <w:r>
              <w:rPr>
                <w:rFonts w:hint="eastAsia" w:ascii="宋体" w:hAnsi="宋体"/>
                <w:bCs/>
                <w:spacing w:val="-4"/>
                <w:sz w:val="24"/>
              </w:rPr>
              <w:t>（2）通过“政府采购云平台”成功上传递交的“电子加密响应文件”无法按时解密，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14:paraId="6C25D7F9">
            <w:pPr>
              <w:rPr>
                <w:rFonts w:ascii="宋体" w:hAnsi="宋体"/>
                <w:bCs/>
                <w:spacing w:val="-4"/>
                <w:sz w:val="24"/>
              </w:rPr>
            </w:pPr>
            <w:r>
              <w:rPr>
                <w:rFonts w:hint="eastAsia" w:ascii="宋体" w:hAnsi="宋体"/>
                <w:bCs/>
                <w:spacing w:val="-4"/>
                <w:sz w:val="24"/>
              </w:rPr>
              <w:t>（3）磋商截止时间前，供应商仅递交了“备份响应文件”而未将电子加密响应文件上传至“政府采购云平台”的，磋商无效。</w:t>
            </w:r>
          </w:p>
        </w:tc>
      </w:tr>
      <w:tr w14:paraId="43C63D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831" w:type="dxa"/>
            <w:tcBorders>
              <w:top w:val="single" w:color="auto" w:sz="4" w:space="0"/>
              <w:bottom w:val="single" w:color="auto" w:sz="4" w:space="0"/>
              <w:right w:val="single" w:color="auto" w:sz="4" w:space="0"/>
            </w:tcBorders>
            <w:vAlign w:val="center"/>
          </w:tcPr>
          <w:p w14:paraId="56D21871">
            <w:pPr>
              <w:jc w:val="center"/>
              <w:rPr>
                <w:rFonts w:ascii="宋体" w:hAnsi="宋体" w:cs="宋体"/>
                <w:sz w:val="24"/>
                <w:szCs w:val="24"/>
              </w:rPr>
            </w:pPr>
            <w:r>
              <w:rPr>
                <w:rFonts w:ascii="宋体" w:hAnsi="宋体" w:cs="宋体"/>
                <w:sz w:val="24"/>
                <w:szCs w:val="24"/>
              </w:rPr>
              <w:t>9</w:t>
            </w:r>
          </w:p>
        </w:tc>
        <w:tc>
          <w:tcPr>
            <w:tcW w:w="2055" w:type="dxa"/>
            <w:tcBorders>
              <w:top w:val="single" w:color="auto" w:sz="4" w:space="0"/>
              <w:left w:val="single" w:color="auto" w:sz="4" w:space="0"/>
              <w:bottom w:val="single" w:color="auto" w:sz="4" w:space="0"/>
              <w:right w:val="single" w:color="auto" w:sz="4" w:space="0"/>
            </w:tcBorders>
            <w:vAlign w:val="center"/>
          </w:tcPr>
          <w:p w14:paraId="305BA525">
            <w:pPr>
              <w:jc w:val="center"/>
              <w:rPr>
                <w:rFonts w:ascii="宋体" w:hAnsi="宋体"/>
                <w:sz w:val="24"/>
              </w:rPr>
            </w:pPr>
            <w:r>
              <w:rPr>
                <w:rFonts w:hint="eastAsia" w:ascii="宋体" w:hAnsi="宋体"/>
                <w:sz w:val="24"/>
              </w:rPr>
              <w:t>磋商时间（磋商截止时间）</w:t>
            </w:r>
          </w:p>
        </w:tc>
        <w:tc>
          <w:tcPr>
            <w:tcW w:w="7246" w:type="dxa"/>
            <w:tcBorders>
              <w:top w:val="single" w:color="auto" w:sz="4" w:space="0"/>
              <w:left w:val="single" w:color="auto" w:sz="4" w:space="0"/>
              <w:bottom w:val="single" w:color="auto" w:sz="4" w:space="0"/>
            </w:tcBorders>
            <w:vAlign w:val="center"/>
          </w:tcPr>
          <w:p w14:paraId="0C03AAF3">
            <w:pPr>
              <w:rPr>
                <w:rFonts w:ascii="宋体" w:hAnsi="宋体"/>
                <w:bCs/>
                <w:spacing w:val="-4"/>
                <w:sz w:val="24"/>
              </w:rPr>
            </w:pPr>
            <w:r>
              <w:rPr>
                <w:rFonts w:hint="eastAsia" w:ascii="宋体" w:hAnsi="宋体"/>
                <w:bCs/>
                <w:spacing w:val="-4"/>
                <w:sz w:val="24"/>
                <w:lang w:eastAsia="zh-CN"/>
              </w:rPr>
              <w:t>2024年 月 日14:00</w:t>
            </w:r>
            <w:r>
              <w:rPr>
                <w:rFonts w:hint="eastAsia" w:ascii="宋体" w:hAnsi="宋体"/>
                <w:sz w:val="24"/>
              </w:rPr>
              <w:t>时</w:t>
            </w:r>
            <w:r>
              <w:rPr>
                <w:rFonts w:hint="eastAsia" w:ascii="宋体" w:hAnsi="宋体"/>
                <w:bCs/>
                <w:spacing w:val="-4"/>
                <w:sz w:val="24"/>
              </w:rPr>
              <w:t>整</w:t>
            </w:r>
          </w:p>
        </w:tc>
      </w:tr>
      <w:tr w14:paraId="245142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2" w:hRule="atLeast"/>
          <w:jc w:val="center"/>
        </w:trPr>
        <w:tc>
          <w:tcPr>
            <w:tcW w:w="831" w:type="dxa"/>
            <w:tcBorders>
              <w:top w:val="single" w:color="auto" w:sz="4" w:space="0"/>
              <w:bottom w:val="single" w:color="auto" w:sz="4" w:space="0"/>
              <w:right w:val="single" w:color="auto" w:sz="4" w:space="0"/>
            </w:tcBorders>
            <w:vAlign w:val="center"/>
          </w:tcPr>
          <w:p w14:paraId="7163B7AE">
            <w:pPr>
              <w:jc w:val="center"/>
              <w:rPr>
                <w:rFonts w:ascii="宋体" w:hAnsi="宋体" w:cs="宋体"/>
                <w:sz w:val="24"/>
                <w:szCs w:val="24"/>
              </w:rPr>
            </w:pPr>
            <w:r>
              <w:rPr>
                <w:rFonts w:ascii="宋体" w:hAnsi="宋体" w:cs="宋体"/>
                <w:sz w:val="24"/>
                <w:szCs w:val="24"/>
              </w:rPr>
              <w:t>10</w:t>
            </w:r>
          </w:p>
        </w:tc>
        <w:tc>
          <w:tcPr>
            <w:tcW w:w="2055" w:type="dxa"/>
            <w:tcBorders>
              <w:top w:val="single" w:color="auto" w:sz="4" w:space="0"/>
              <w:left w:val="single" w:color="auto" w:sz="4" w:space="0"/>
              <w:bottom w:val="single" w:color="auto" w:sz="4" w:space="0"/>
              <w:right w:val="single" w:color="auto" w:sz="4" w:space="0"/>
            </w:tcBorders>
            <w:vAlign w:val="center"/>
          </w:tcPr>
          <w:p w14:paraId="1CC1BCC9">
            <w:pPr>
              <w:jc w:val="center"/>
              <w:rPr>
                <w:rFonts w:ascii="宋体" w:hAnsi="宋体"/>
                <w:sz w:val="24"/>
              </w:rPr>
            </w:pPr>
            <w:r>
              <w:rPr>
                <w:rFonts w:hint="eastAsia" w:ascii="宋体" w:hAnsi="宋体"/>
                <w:sz w:val="24"/>
              </w:rPr>
              <w:t>磋商地点</w:t>
            </w:r>
          </w:p>
        </w:tc>
        <w:tc>
          <w:tcPr>
            <w:tcW w:w="7246" w:type="dxa"/>
            <w:tcBorders>
              <w:top w:val="single" w:color="auto" w:sz="4" w:space="0"/>
              <w:left w:val="single" w:color="auto" w:sz="4" w:space="0"/>
              <w:bottom w:val="single" w:color="auto" w:sz="4" w:space="0"/>
            </w:tcBorders>
            <w:vAlign w:val="center"/>
          </w:tcPr>
          <w:p w14:paraId="03FFE381">
            <w:pPr>
              <w:rPr>
                <w:rFonts w:ascii="宋体" w:hAnsi="宋体"/>
                <w:bCs/>
                <w:spacing w:val="-4"/>
                <w:sz w:val="24"/>
              </w:rPr>
            </w:pPr>
            <w:r>
              <w:rPr>
                <w:rFonts w:hint="eastAsia" w:ascii="宋体" w:hAnsi="宋体"/>
                <w:bCs/>
                <w:spacing w:val="-4"/>
                <w:sz w:val="24"/>
              </w:rPr>
              <w:t>磋商地点：湖州市公共资源交易中心2号楼二楼开标室（湖州市仁皇山片区金盖山路66号），供应商应在响应截止时间前登入“政府采购云平台（www.zcygov.cn）”在线参与开标，并完成CA锁在线解密响应文件等相关工作。</w:t>
            </w:r>
          </w:p>
        </w:tc>
      </w:tr>
      <w:tr w14:paraId="2D3191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1" w:hRule="atLeast"/>
          <w:jc w:val="center"/>
        </w:trPr>
        <w:tc>
          <w:tcPr>
            <w:tcW w:w="831" w:type="dxa"/>
            <w:tcBorders>
              <w:top w:val="single" w:color="auto" w:sz="4" w:space="0"/>
              <w:bottom w:val="single" w:color="auto" w:sz="4" w:space="0"/>
              <w:right w:val="single" w:color="auto" w:sz="4" w:space="0"/>
            </w:tcBorders>
            <w:vAlign w:val="center"/>
          </w:tcPr>
          <w:p w14:paraId="3A764A15">
            <w:pPr>
              <w:jc w:val="center"/>
              <w:rPr>
                <w:rFonts w:ascii="宋体" w:hAnsi="宋体" w:cs="宋体"/>
                <w:sz w:val="24"/>
                <w:szCs w:val="24"/>
              </w:rPr>
            </w:pPr>
            <w:r>
              <w:rPr>
                <w:rFonts w:ascii="宋体" w:hAnsi="宋体" w:cs="宋体"/>
                <w:sz w:val="24"/>
                <w:szCs w:val="24"/>
              </w:rPr>
              <w:t>11</w:t>
            </w:r>
          </w:p>
        </w:tc>
        <w:tc>
          <w:tcPr>
            <w:tcW w:w="2055" w:type="dxa"/>
            <w:tcBorders>
              <w:top w:val="single" w:color="auto" w:sz="4" w:space="0"/>
              <w:left w:val="single" w:color="auto" w:sz="4" w:space="0"/>
              <w:bottom w:val="single" w:color="auto" w:sz="4" w:space="0"/>
              <w:right w:val="single" w:color="auto" w:sz="4" w:space="0"/>
            </w:tcBorders>
            <w:vAlign w:val="center"/>
          </w:tcPr>
          <w:p w14:paraId="357FCA4A">
            <w:pPr>
              <w:jc w:val="center"/>
              <w:rPr>
                <w:rFonts w:ascii="宋体" w:hAnsi="宋体"/>
                <w:bCs/>
                <w:sz w:val="24"/>
              </w:rPr>
            </w:pPr>
            <w:r>
              <w:rPr>
                <w:rFonts w:hint="eastAsia" w:ascii="宋体" w:hAnsi="宋体"/>
                <w:sz w:val="24"/>
              </w:rPr>
              <w:t>磋商</w:t>
            </w:r>
            <w:r>
              <w:rPr>
                <w:rFonts w:hint="eastAsia" w:ascii="宋体" w:hAnsi="宋体"/>
                <w:bCs/>
                <w:sz w:val="24"/>
              </w:rPr>
              <w:t>有效期</w:t>
            </w:r>
          </w:p>
        </w:tc>
        <w:tc>
          <w:tcPr>
            <w:tcW w:w="7246" w:type="dxa"/>
            <w:tcBorders>
              <w:top w:val="single" w:color="auto" w:sz="4" w:space="0"/>
              <w:left w:val="single" w:color="auto" w:sz="4" w:space="0"/>
              <w:bottom w:val="single" w:color="auto" w:sz="4" w:space="0"/>
            </w:tcBorders>
            <w:vAlign w:val="center"/>
          </w:tcPr>
          <w:p w14:paraId="093A30D1">
            <w:pPr>
              <w:rPr>
                <w:rFonts w:ascii="宋体" w:hAnsi="宋体"/>
                <w:sz w:val="24"/>
              </w:rPr>
            </w:pPr>
            <w:r>
              <w:rPr>
                <w:rFonts w:hint="eastAsia" w:ascii="宋体" w:hAnsi="宋体"/>
                <w:sz w:val="24"/>
              </w:rPr>
              <w:t>60天（日历天）</w:t>
            </w:r>
          </w:p>
        </w:tc>
      </w:tr>
      <w:tr w14:paraId="32F301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5" w:hRule="atLeast"/>
          <w:jc w:val="center"/>
        </w:trPr>
        <w:tc>
          <w:tcPr>
            <w:tcW w:w="831" w:type="dxa"/>
            <w:tcBorders>
              <w:top w:val="single" w:color="auto" w:sz="4" w:space="0"/>
              <w:bottom w:val="single" w:color="auto" w:sz="4" w:space="0"/>
              <w:right w:val="single" w:color="auto" w:sz="4" w:space="0"/>
            </w:tcBorders>
            <w:vAlign w:val="center"/>
          </w:tcPr>
          <w:p w14:paraId="7456C3D7">
            <w:pPr>
              <w:jc w:val="center"/>
              <w:rPr>
                <w:rFonts w:ascii="宋体" w:hAnsi="宋体" w:cs="宋体"/>
                <w:sz w:val="24"/>
                <w:szCs w:val="24"/>
              </w:rPr>
            </w:pPr>
            <w:r>
              <w:rPr>
                <w:rFonts w:ascii="宋体" w:hAnsi="宋体" w:cs="宋体"/>
                <w:sz w:val="24"/>
                <w:szCs w:val="24"/>
              </w:rPr>
              <w:t>12</w:t>
            </w:r>
          </w:p>
        </w:tc>
        <w:tc>
          <w:tcPr>
            <w:tcW w:w="2055" w:type="dxa"/>
            <w:tcBorders>
              <w:top w:val="single" w:color="auto" w:sz="4" w:space="0"/>
              <w:left w:val="single" w:color="auto" w:sz="4" w:space="0"/>
              <w:bottom w:val="single" w:color="auto" w:sz="4" w:space="0"/>
              <w:right w:val="single" w:color="auto" w:sz="4" w:space="0"/>
            </w:tcBorders>
            <w:vAlign w:val="center"/>
          </w:tcPr>
          <w:p w14:paraId="7C17F89D">
            <w:pPr>
              <w:jc w:val="center"/>
              <w:rPr>
                <w:rFonts w:ascii="宋体" w:hAnsi="宋体"/>
                <w:sz w:val="24"/>
              </w:rPr>
            </w:pPr>
            <w:r>
              <w:rPr>
                <w:rFonts w:hint="eastAsia" w:ascii="宋体" w:hAnsi="宋体"/>
                <w:sz w:val="24"/>
              </w:rPr>
              <w:t>履约保证金</w:t>
            </w:r>
          </w:p>
        </w:tc>
        <w:tc>
          <w:tcPr>
            <w:tcW w:w="7246" w:type="dxa"/>
            <w:tcBorders>
              <w:top w:val="single" w:color="auto" w:sz="4" w:space="0"/>
              <w:left w:val="single" w:color="auto" w:sz="4" w:space="0"/>
              <w:bottom w:val="single" w:color="auto" w:sz="4" w:space="0"/>
            </w:tcBorders>
            <w:vAlign w:val="center"/>
          </w:tcPr>
          <w:p w14:paraId="29AC1B38">
            <w:pPr>
              <w:rPr>
                <w:rFonts w:ascii="宋体" w:hAnsi="宋体"/>
                <w:sz w:val="24"/>
              </w:rPr>
            </w:pPr>
            <w:r>
              <w:rPr>
                <w:rFonts w:hint="eastAsia" w:ascii="宋体" w:hAnsi="宋体" w:eastAsia="宋体"/>
                <w:sz w:val="24"/>
              </w:rPr>
              <w:t>无</w:t>
            </w:r>
          </w:p>
        </w:tc>
      </w:tr>
      <w:tr w14:paraId="2B0ADB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1" w:hRule="atLeast"/>
          <w:jc w:val="center"/>
        </w:trPr>
        <w:tc>
          <w:tcPr>
            <w:tcW w:w="831" w:type="dxa"/>
            <w:tcBorders>
              <w:top w:val="single" w:color="auto" w:sz="4" w:space="0"/>
              <w:bottom w:val="single" w:color="auto" w:sz="4" w:space="0"/>
              <w:right w:val="single" w:color="auto" w:sz="4" w:space="0"/>
            </w:tcBorders>
            <w:vAlign w:val="center"/>
          </w:tcPr>
          <w:p w14:paraId="707DBA1A">
            <w:pPr>
              <w:jc w:val="center"/>
              <w:rPr>
                <w:rFonts w:ascii="宋体" w:hAnsi="宋体" w:cs="宋体"/>
                <w:sz w:val="24"/>
                <w:szCs w:val="24"/>
              </w:rPr>
            </w:pPr>
            <w:r>
              <w:rPr>
                <w:rFonts w:ascii="宋体" w:hAnsi="宋体" w:cs="宋体"/>
                <w:sz w:val="24"/>
                <w:szCs w:val="24"/>
              </w:rPr>
              <w:t>13</w:t>
            </w:r>
          </w:p>
        </w:tc>
        <w:tc>
          <w:tcPr>
            <w:tcW w:w="2055" w:type="dxa"/>
            <w:tcBorders>
              <w:top w:val="single" w:color="auto" w:sz="4" w:space="0"/>
              <w:left w:val="single" w:color="auto" w:sz="4" w:space="0"/>
              <w:bottom w:val="single" w:color="auto" w:sz="4" w:space="0"/>
              <w:right w:val="single" w:color="auto" w:sz="4" w:space="0"/>
            </w:tcBorders>
            <w:vAlign w:val="center"/>
          </w:tcPr>
          <w:p w14:paraId="69D9D99A">
            <w:pPr>
              <w:jc w:val="center"/>
              <w:rPr>
                <w:rFonts w:ascii="宋体" w:cs="宋体"/>
                <w:sz w:val="24"/>
                <w:szCs w:val="24"/>
              </w:rPr>
            </w:pPr>
            <w:r>
              <w:rPr>
                <w:rFonts w:hint="eastAsia" w:ascii="宋体" w:hAnsi="宋体" w:cs="宋体"/>
                <w:sz w:val="24"/>
                <w:szCs w:val="24"/>
              </w:rPr>
              <w:t>磋商办法及评分标准</w:t>
            </w:r>
          </w:p>
        </w:tc>
        <w:tc>
          <w:tcPr>
            <w:tcW w:w="7246" w:type="dxa"/>
            <w:tcBorders>
              <w:top w:val="single" w:color="auto" w:sz="4" w:space="0"/>
              <w:left w:val="single" w:color="auto" w:sz="4" w:space="0"/>
              <w:bottom w:val="single" w:color="auto" w:sz="4" w:space="0"/>
            </w:tcBorders>
            <w:vAlign w:val="center"/>
          </w:tcPr>
          <w:p w14:paraId="2DF778CF">
            <w:pPr>
              <w:rPr>
                <w:rFonts w:ascii="宋体" w:cs="宋体"/>
                <w:sz w:val="24"/>
                <w:szCs w:val="24"/>
              </w:rPr>
            </w:pPr>
            <w:r>
              <w:rPr>
                <w:rFonts w:hint="eastAsia" w:ascii="宋体" w:hAnsi="宋体" w:cs="宋体"/>
                <w:sz w:val="24"/>
                <w:szCs w:val="24"/>
              </w:rPr>
              <w:t>详见磋商文件第五章</w:t>
            </w:r>
          </w:p>
        </w:tc>
      </w:tr>
      <w:tr w14:paraId="6EF890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1" w:hRule="atLeast"/>
          <w:jc w:val="center"/>
        </w:trPr>
        <w:tc>
          <w:tcPr>
            <w:tcW w:w="831" w:type="dxa"/>
            <w:tcBorders>
              <w:top w:val="single" w:color="auto" w:sz="4" w:space="0"/>
              <w:bottom w:val="single" w:color="auto" w:sz="4" w:space="0"/>
              <w:right w:val="single" w:color="auto" w:sz="4" w:space="0"/>
            </w:tcBorders>
            <w:vAlign w:val="center"/>
          </w:tcPr>
          <w:p w14:paraId="6413FABE">
            <w:pPr>
              <w:jc w:val="center"/>
              <w:rPr>
                <w:rFonts w:ascii="宋体" w:hAnsi="宋体" w:cs="宋体"/>
                <w:sz w:val="24"/>
                <w:szCs w:val="24"/>
              </w:rPr>
            </w:pPr>
            <w:r>
              <w:rPr>
                <w:rFonts w:ascii="宋体" w:hAnsi="宋体" w:cs="宋体"/>
                <w:sz w:val="24"/>
                <w:szCs w:val="24"/>
              </w:rPr>
              <w:t>14</w:t>
            </w:r>
          </w:p>
        </w:tc>
        <w:tc>
          <w:tcPr>
            <w:tcW w:w="2055" w:type="dxa"/>
            <w:tcBorders>
              <w:top w:val="single" w:color="auto" w:sz="4" w:space="0"/>
              <w:left w:val="single" w:color="auto" w:sz="4" w:space="0"/>
              <w:bottom w:val="single" w:color="auto" w:sz="4" w:space="0"/>
              <w:right w:val="single" w:color="auto" w:sz="4" w:space="0"/>
            </w:tcBorders>
            <w:vAlign w:val="center"/>
          </w:tcPr>
          <w:p w14:paraId="137D7821">
            <w:pPr>
              <w:jc w:val="center"/>
              <w:rPr>
                <w:rFonts w:ascii="宋体" w:cs="宋体"/>
                <w:sz w:val="24"/>
                <w:szCs w:val="24"/>
              </w:rPr>
            </w:pPr>
            <w:r>
              <w:rPr>
                <w:rFonts w:hint="eastAsia" w:ascii="宋体" w:hAnsi="宋体" w:cs="宋体"/>
                <w:sz w:val="24"/>
                <w:szCs w:val="24"/>
              </w:rPr>
              <w:t>采购人</w:t>
            </w:r>
          </w:p>
        </w:tc>
        <w:tc>
          <w:tcPr>
            <w:tcW w:w="7246" w:type="dxa"/>
            <w:tcBorders>
              <w:top w:val="single" w:color="auto" w:sz="4" w:space="0"/>
              <w:left w:val="single" w:color="auto" w:sz="4" w:space="0"/>
              <w:bottom w:val="single" w:color="auto" w:sz="4" w:space="0"/>
            </w:tcBorders>
            <w:vAlign w:val="center"/>
          </w:tcPr>
          <w:p w14:paraId="1649FFE8">
            <w:pPr>
              <w:rPr>
                <w:rFonts w:ascii="宋体" w:cs="宋体"/>
                <w:sz w:val="24"/>
                <w:szCs w:val="24"/>
              </w:rPr>
            </w:pPr>
            <w:r>
              <w:rPr>
                <w:rFonts w:hint="eastAsia" w:ascii="宋体" w:hAnsi="宋体" w:cs="宋体"/>
                <w:sz w:val="24"/>
                <w:szCs w:val="24"/>
              </w:rPr>
              <w:t>详见磋商公告</w:t>
            </w:r>
          </w:p>
        </w:tc>
      </w:tr>
      <w:tr w14:paraId="3E9E4C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1" w:hRule="atLeast"/>
          <w:jc w:val="center"/>
        </w:trPr>
        <w:tc>
          <w:tcPr>
            <w:tcW w:w="831" w:type="dxa"/>
            <w:tcBorders>
              <w:top w:val="single" w:color="auto" w:sz="4" w:space="0"/>
              <w:bottom w:val="single" w:color="auto" w:sz="4" w:space="0"/>
              <w:right w:val="single" w:color="auto" w:sz="4" w:space="0"/>
            </w:tcBorders>
            <w:vAlign w:val="center"/>
          </w:tcPr>
          <w:p w14:paraId="71B0628E">
            <w:pPr>
              <w:jc w:val="center"/>
              <w:rPr>
                <w:rFonts w:ascii="宋体" w:hAnsi="宋体" w:cs="宋体"/>
                <w:sz w:val="24"/>
                <w:szCs w:val="24"/>
              </w:rPr>
            </w:pPr>
            <w:r>
              <w:rPr>
                <w:rFonts w:ascii="宋体" w:hAnsi="宋体" w:cs="宋体"/>
                <w:sz w:val="24"/>
                <w:szCs w:val="24"/>
              </w:rPr>
              <w:t>15</w:t>
            </w:r>
          </w:p>
        </w:tc>
        <w:tc>
          <w:tcPr>
            <w:tcW w:w="2055" w:type="dxa"/>
            <w:tcBorders>
              <w:top w:val="single" w:color="auto" w:sz="4" w:space="0"/>
              <w:left w:val="single" w:color="auto" w:sz="4" w:space="0"/>
              <w:bottom w:val="single" w:color="auto" w:sz="4" w:space="0"/>
              <w:right w:val="single" w:color="auto" w:sz="4" w:space="0"/>
            </w:tcBorders>
            <w:vAlign w:val="center"/>
          </w:tcPr>
          <w:p w14:paraId="7A2C3544">
            <w:pPr>
              <w:jc w:val="center"/>
              <w:rPr>
                <w:rFonts w:ascii="宋体" w:cs="宋体"/>
                <w:sz w:val="24"/>
                <w:szCs w:val="24"/>
              </w:rPr>
            </w:pPr>
            <w:r>
              <w:rPr>
                <w:rFonts w:hint="eastAsia" w:ascii="宋体" w:hAnsi="宋体" w:cs="宋体"/>
                <w:sz w:val="24"/>
                <w:szCs w:val="24"/>
              </w:rPr>
              <w:t>采购代理机构</w:t>
            </w:r>
          </w:p>
        </w:tc>
        <w:tc>
          <w:tcPr>
            <w:tcW w:w="7246" w:type="dxa"/>
            <w:tcBorders>
              <w:top w:val="single" w:color="auto" w:sz="4" w:space="0"/>
              <w:left w:val="single" w:color="auto" w:sz="4" w:space="0"/>
              <w:bottom w:val="single" w:color="auto" w:sz="4" w:space="0"/>
            </w:tcBorders>
            <w:vAlign w:val="center"/>
          </w:tcPr>
          <w:p w14:paraId="58CD630F">
            <w:pPr>
              <w:rPr>
                <w:rFonts w:ascii="宋体" w:cs="宋体"/>
                <w:sz w:val="24"/>
                <w:szCs w:val="24"/>
              </w:rPr>
            </w:pPr>
            <w:r>
              <w:rPr>
                <w:rFonts w:hint="eastAsia" w:ascii="宋体" w:hAnsi="宋体" w:cs="宋体"/>
                <w:sz w:val="24"/>
                <w:szCs w:val="24"/>
              </w:rPr>
              <w:t>浙江华耀建设咨询有限公司</w:t>
            </w:r>
          </w:p>
        </w:tc>
      </w:tr>
      <w:tr w14:paraId="6922FE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1" w:hRule="atLeast"/>
          <w:jc w:val="center"/>
        </w:trPr>
        <w:tc>
          <w:tcPr>
            <w:tcW w:w="831" w:type="dxa"/>
            <w:tcBorders>
              <w:top w:val="single" w:color="auto" w:sz="4" w:space="0"/>
              <w:bottom w:val="single" w:color="auto" w:sz="4" w:space="0"/>
              <w:right w:val="single" w:color="auto" w:sz="4" w:space="0"/>
            </w:tcBorders>
            <w:vAlign w:val="center"/>
          </w:tcPr>
          <w:p w14:paraId="1FDE3398">
            <w:pPr>
              <w:jc w:val="center"/>
              <w:rPr>
                <w:rFonts w:ascii="宋体" w:hAnsi="宋体" w:cs="宋体"/>
                <w:sz w:val="24"/>
                <w:szCs w:val="24"/>
              </w:rPr>
            </w:pPr>
            <w:r>
              <w:rPr>
                <w:rFonts w:ascii="宋体" w:hAnsi="宋体" w:cs="宋体"/>
                <w:sz w:val="24"/>
                <w:szCs w:val="24"/>
              </w:rPr>
              <w:t>16</w:t>
            </w:r>
          </w:p>
        </w:tc>
        <w:tc>
          <w:tcPr>
            <w:tcW w:w="2055" w:type="dxa"/>
            <w:tcBorders>
              <w:top w:val="single" w:color="auto" w:sz="4" w:space="0"/>
              <w:left w:val="single" w:color="auto" w:sz="4" w:space="0"/>
              <w:bottom w:val="single" w:color="auto" w:sz="4" w:space="0"/>
              <w:right w:val="single" w:color="auto" w:sz="4" w:space="0"/>
            </w:tcBorders>
            <w:vAlign w:val="center"/>
          </w:tcPr>
          <w:p w14:paraId="4FFA992F">
            <w:pPr>
              <w:jc w:val="center"/>
              <w:rPr>
                <w:rFonts w:ascii="宋体" w:cs="宋体"/>
                <w:sz w:val="24"/>
                <w:szCs w:val="24"/>
              </w:rPr>
            </w:pPr>
            <w:r>
              <w:rPr>
                <w:rFonts w:hint="eastAsia" w:ascii="宋体" w:hAnsi="宋体" w:cs="宋体"/>
                <w:sz w:val="24"/>
                <w:szCs w:val="24"/>
              </w:rPr>
              <w:t>磋商采购单位</w:t>
            </w:r>
          </w:p>
        </w:tc>
        <w:tc>
          <w:tcPr>
            <w:tcW w:w="7246" w:type="dxa"/>
            <w:tcBorders>
              <w:top w:val="single" w:color="auto" w:sz="4" w:space="0"/>
              <w:left w:val="single" w:color="auto" w:sz="4" w:space="0"/>
              <w:bottom w:val="single" w:color="auto" w:sz="4" w:space="0"/>
            </w:tcBorders>
            <w:vAlign w:val="center"/>
          </w:tcPr>
          <w:p w14:paraId="1DC72D0C">
            <w:pPr>
              <w:rPr>
                <w:rFonts w:ascii="宋体" w:cs="宋体"/>
                <w:sz w:val="24"/>
                <w:szCs w:val="24"/>
              </w:rPr>
            </w:pPr>
            <w:r>
              <w:rPr>
                <w:rFonts w:hint="eastAsia" w:ascii="宋体" w:hAnsi="宋体" w:cs="宋体"/>
                <w:sz w:val="24"/>
                <w:szCs w:val="24"/>
              </w:rPr>
              <w:t>采购人与采购代理机构的统称</w:t>
            </w:r>
          </w:p>
        </w:tc>
      </w:tr>
      <w:tr w14:paraId="5B0247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1" w:hRule="atLeast"/>
          <w:jc w:val="center"/>
        </w:trPr>
        <w:tc>
          <w:tcPr>
            <w:tcW w:w="10132" w:type="dxa"/>
            <w:gridSpan w:val="3"/>
            <w:tcBorders>
              <w:top w:val="single" w:color="auto" w:sz="4" w:space="0"/>
              <w:bottom w:val="single" w:color="auto" w:sz="4" w:space="0"/>
            </w:tcBorders>
            <w:vAlign w:val="center"/>
          </w:tcPr>
          <w:p w14:paraId="026FAF63">
            <w:pPr>
              <w:jc w:val="center"/>
              <w:rPr>
                <w:rFonts w:ascii="宋体" w:cs="宋体"/>
                <w:sz w:val="24"/>
                <w:szCs w:val="24"/>
              </w:rPr>
            </w:pPr>
            <w:r>
              <w:rPr>
                <w:rFonts w:hint="eastAsia" w:ascii="宋体" w:hAnsi="宋体" w:cs="宋体"/>
                <w:sz w:val="24"/>
                <w:szCs w:val="24"/>
              </w:rPr>
              <w:t>本磋商文件的解释权属磋商采购单位</w:t>
            </w:r>
          </w:p>
        </w:tc>
      </w:tr>
    </w:tbl>
    <w:p w14:paraId="7257B6DA">
      <w:bookmarkStart w:id="11" w:name="_Toc113441587"/>
      <w:bookmarkStart w:id="12" w:name="_Toc69913475"/>
      <w:bookmarkStart w:id="13" w:name="_Toc69913232"/>
      <w:r>
        <w:rPr>
          <w:rFonts w:hint="eastAsia"/>
        </w:rPr>
        <w:br w:type="page"/>
      </w:r>
    </w:p>
    <w:p w14:paraId="2E1ABCB6">
      <w:pPr>
        <w:pStyle w:val="2"/>
      </w:pPr>
      <w:r>
        <w:rPr>
          <w:rFonts w:hint="eastAsia"/>
        </w:rPr>
        <w:t>一、</w:t>
      </w:r>
      <w:bookmarkEnd w:id="11"/>
      <w:r>
        <w:rPr>
          <w:rFonts w:hint="eastAsia"/>
        </w:rPr>
        <w:t>总则</w:t>
      </w:r>
      <w:bookmarkEnd w:id="12"/>
      <w:bookmarkEnd w:id="13"/>
    </w:p>
    <w:p w14:paraId="3985B1CC">
      <w:pPr>
        <w:spacing w:line="460" w:lineRule="exact"/>
        <w:rPr>
          <w:rFonts w:ascii="宋体" w:cs="Times New Roman"/>
          <w:sz w:val="24"/>
          <w:szCs w:val="24"/>
        </w:rPr>
      </w:pPr>
      <w:r>
        <w:rPr>
          <w:rFonts w:ascii="宋体" w:hAnsi="宋体" w:cs="宋体"/>
          <w:sz w:val="24"/>
          <w:szCs w:val="24"/>
        </w:rPr>
        <w:t>1</w:t>
      </w:r>
      <w:r>
        <w:rPr>
          <w:rFonts w:hint="eastAsia" w:ascii="宋体" w:hAnsi="宋体" w:cs="宋体"/>
          <w:sz w:val="24"/>
          <w:szCs w:val="24"/>
        </w:rPr>
        <w:t>．概况</w:t>
      </w:r>
    </w:p>
    <w:p w14:paraId="22CF6B2E">
      <w:pPr>
        <w:spacing w:line="420" w:lineRule="exact"/>
        <w:ind w:firstLine="480" w:firstLineChars="200"/>
        <w:rPr>
          <w:rFonts w:ascii="宋体" w:hAnsi="宋体" w:cs="宋体"/>
          <w:spacing w:val="-4"/>
          <w:sz w:val="24"/>
          <w:szCs w:val="24"/>
        </w:rPr>
      </w:pPr>
      <w:r>
        <w:rPr>
          <w:rFonts w:ascii="宋体" w:hAnsi="宋体" w:cs="宋体"/>
          <w:sz w:val="24"/>
          <w:szCs w:val="24"/>
        </w:rPr>
        <w:t>1.1</w:t>
      </w:r>
      <w:r>
        <w:rPr>
          <w:rFonts w:hint="eastAsia" w:ascii="宋体" w:hAnsi="宋体" w:cs="宋体"/>
          <w:sz w:val="24"/>
          <w:szCs w:val="24"/>
        </w:rPr>
        <w:t>磋商采购项目名称：</w:t>
      </w:r>
      <w:r>
        <w:rPr>
          <w:rFonts w:hint="eastAsia" w:ascii="宋体" w:hAnsi="宋体" w:cs="宋体"/>
          <w:spacing w:val="-4"/>
          <w:sz w:val="24"/>
          <w:szCs w:val="24"/>
          <w:lang w:eastAsia="zh-CN"/>
        </w:rPr>
        <w:t>大气颗粒物组分手工监测项目</w:t>
      </w:r>
      <w:r>
        <w:rPr>
          <w:rFonts w:hint="eastAsia" w:ascii="宋体" w:hAnsi="宋体" w:cs="宋体"/>
          <w:spacing w:val="-4"/>
          <w:sz w:val="24"/>
          <w:szCs w:val="24"/>
        </w:rPr>
        <w:t>；</w:t>
      </w:r>
    </w:p>
    <w:p w14:paraId="3285BCF7">
      <w:pPr>
        <w:spacing w:line="420" w:lineRule="exact"/>
        <w:ind w:firstLine="480" w:firstLineChars="200"/>
        <w:rPr>
          <w:rFonts w:ascii="宋体" w:cs="Times New Roman"/>
          <w:sz w:val="24"/>
          <w:szCs w:val="24"/>
        </w:rPr>
      </w:pPr>
      <w:r>
        <w:rPr>
          <w:rFonts w:ascii="宋体" w:hAnsi="宋体" w:cs="宋体"/>
          <w:sz w:val="24"/>
          <w:szCs w:val="24"/>
        </w:rPr>
        <w:t>1.2</w:t>
      </w:r>
      <w:r>
        <w:rPr>
          <w:rFonts w:hint="eastAsia" w:ascii="宋体" w:hAnsi="宋体" w:cs="宋体"/>
          <w:sz w:val="24"/>
          <w:szCs w:val="24"/>
        </w:rPr>
        <w:t>采购人：浙江省湖州生态环境监测中心；</w:t>
      </w:r>
    </w:p>
    <w:p w14:paraId="3FFEA05C">
      <w:pPr>
        <w:spacing w:line="460" w:lineRule="exact"/>
        <w:ind w:firstLine="480" w:firstLineChars="200"/>
        <w:rPr>
          <w:rFonts w:ascii="宋体" w:cs="Times New Roman"/>
          <w:sz w:val="24"/>
          <w:szCs w:val="24"/>
        </w:rPr>
      </w:pPr>
      <w:r>
        <w:rPr>
          <w:rFonts w:ascii="宋体" w:hAnsi="宋体" w:cs="宋体"/>
          <w:sz w:val="24"/>
          <w:szCs w:val="24"/>
        </w:rPr>
        <w:t>1.3</w:t>
      </w:r>
      <w:r>
        <w:rPr>
          <w:rFonts w:hint="eastAsia" w:ascii="宋体" w:hAnsi="宋体" w:cs="宋体"/>
          <w:sz w:val="24"/>
          <w:szCs w:val="24"/>
        </w:rPr>
        <w:t>监管部门：湖州市财政局；</w:t>
      </w:r>
    </w:p>
    <w:p w14:paraId="4F3582DD">
      <w:pPr>
        <w:spacing w:line="460" w:lineRule="exact"/>
        <w:ind w:firstLine="480" w:firstLineChars="200"/>
        <w:rPr>
          <w:rFonts w:ascii="宋体" w:cs="Times New Roman"/>
          <w:sz w:val="24"/>
          <w:szCs w:val="24"/>
        </w:rPr>
      </w:pPr>
      <w:r>
        <w:rPr>
          <w:rFonts w:ascii="宋体" w:hAnsi="宋体" w:cs="宋体"/>
          <w:sz w:val="24"/>
          <w:szCs w:val="24"/>
        </w:rPr>
        <w:t>1.4</w:t>
      </w:r>
      <w:r>
        <w:rPr>
          <w:rFonts w:hint="eastAsia" w:ascii="宋体" w:hAnsi="宋体" w:cs="宋体"/>
          <w:sz w:val="24"/>
          <w:szCs w:val="24"/>
        </w:rPr>
        <w:t>项目资金来源：已得到政府有关部门的批准，其资金来源已落实；</w:t>
      </w:r>
    </w:p>
    <w:p w14:paraId="58824E5B">
      <w:pPr>
        <w:spacing w:line="460" w:lineRule="exact"/>
        <w:ind w:firstLine="480" w:firstLineChars="200"/>
        <w:rPr>
          <w:rFonts w:ascii="宋体" w:cs="Times New Roman"/>
          <w:sz w:val="24"/>
          <w:szCs w:val="24"/>
        </w:rPr>
      </w:pPr>
      <w:r>
        <w:rPr>
          <w:rFonts w:ascii="宋体" w:hAnsi="宋体" w:cs="宋体"/>
          <w:sz w:val="24"/>
          <w:szCs w:val="24"/>
        </w:rPr>
        <w:t>1.5</w:t>
      </w:r>
      <w:r>
        <w:rPr>
          <w:rFonts w:hint="eastAsia" w:ascii="宋体" w:hAnsi="宋体" w:cs="宋体"/>
          <w:sz w:val="24"/>
          <w:szCs w:val="24"/>
        </w:rPr>
        <w:t>采购方式：竞争性磋商；</w:t>
      </w:r>
    </w:p>
    <w:p w14:paraId="0F3CD743">
      <w:pPr>
        <w:spacing w:line="460" w:lineRule="exact"/>
        <w:ind w:firstLine="480" w:firstLineChars="200"/>
        <w:rPr>
          <w:rFonts w:ascii="宋体" w:hAnsi="宋体" w:cs="宋体"/>
          <w:sz w:val="24"/>
          <w:szCs w:val="24"/>
        </w:rPr>
      </w:pPr>
      <w:r>
        <w:rPr>
          <w:rFonts w:ascii="宋体" w:hAnsi="宋体" w:cs="宋体"/>
          <w:sz w:val="24"/>
          <w:szCs w:val="24"/>
        </w:rPr>
        <w:t>1.6</w:t>
      </w:r>
      <w:r>
        <w:rPr>
          <w:rFonts w:hint="eastAsia" w:ascii="宋体" w:hAnsi="宋体" w:cs="宋体"/>
          <w:sz w:val="24"/>
          <w:szCs w:val="24"/>
        </w:rPr>
        <w:t>采购项目服务地点：采购人指定地点；</w:t>
      </w:r>
    </w:p>
    <w:p w14:paraId="0AA705DB">
      <w:pPr>
        <w:spacing w:line="460" w:lineRule="exact"/>
        <w:ind w:firstLine="480" w:firstLineChars="200"/>
        <w:rPr>
          <w:rFonts w:ascii="宋体" w:cs="Times New Roman"/>
          <w:sz w:val="24"/>
          <w:szCs w:val="24"/>
        </w:rPr>
      </w:pPr>
      <w:r>
        <w:rPr>
          <w:rFonts w:ascii="宋体" w:hAnsi="宋体" w:cs="宋体"/>
          <w:sz w:val="24"/>
          <w:szCs w:val="24"/>
        </w:rPr>
        <w:t>1.7</w:t>
      </w:r>
      <w:r>
        <w:rPr>
          <w:rFonts w:hint="eastAsia" w:ascii="宋体" w:hAnsi="宋体" w:cs="宋体"/>
          <w:sz w:val="24"/>
          <w:szCs w:val="24"/>
        </w:rPr>
        <w:t>采购代理机构：浙江华耀建设咨询有限公司；</w:t>
      </w:r>
    </w:p>
    <w:p w14:paraId="7ACDA990">
      <w:pPr>
        <w:tabs>
          <w:tab w:val="left" w:pos="900"/>
        </w:tabs>
        <w:spacing w:line="460" w:lineRule="exact"/>
        <w:ind w:firstLine="480" w:firstLineChars="200"/>
        <w:rPr>
          <w:rFonts w:ascii="宋体" w:cs="Times New Roman"/>
          <w:sz w:val="24"/>
          <w:szCs w:val="24"/>
        </w:rPr>
      </w:pPr>
      <w:r>
        <w:rPr>
          <w:rFonts w:ascii="宋体" w:hAnsi="宋体" w:cs="宋体"/>
          <w:sz w:val="24"/>
          <w:szCs w:val="24"/>
        </w:rPr>
        <w:t>1.8</w:t>
      </w:r>
      <w:r>
        <w:rPr>
          <w:rFonts w:hint="eastAsia" w:ascii="宋体" w:hAnsi="宋体" w:cs="宋体"/>
          <w:sz w:val="24"/>
          <w:szCs w:val="24"/>
        </w:rPr>
        <w:t>采购人及采购代理机构统称“磋商采购单位”。</w:t>
      </w:r>
    </w:p>
    <w:p w14:paraId="5D81734A">
      <w:pPr>
        <w:snapToGrid w:val="0"/>
        <w:spacing w:before="156" w:beforeLines="50"/>
        <w:ind w:firstLine="470" w:firstLineChars="196"/>
        <w:jc w:val="left"/>
        <w:outlineLvl w:val="1"/>
        <w:rPr>
          <w:rFonts w:ascii="宋体" w:cs="Times New Roman"/>
          <w:sz w:val="24"/>
          <w:szCs w:val="24"/>
        </w:rPr>
      </w:pPr>
      <w:bookmarkStart w:id="14" w:name="_Toc69913413"/>
      <w:bookmarkStart w:id="15" w:name="_Toc69913233"/>
      <w:bookmarkStart w:id="16" w:name="_Toc69913476"/>
      <w:r>
        <w:rPr>
          <w:rFonts w:ascii="宋体" w:hAnsi="宋体" w:cs="宋体"/>
          <w:sz w:val="24"/>
          <w:szCs w:val="24"/>
        </w:rPr>
        <w:t>1.9</w:t>
      </w:r>
      <w:r>
        <w:rPr>
          <w:rFonts w:hint="eastAsia" w:ascii="宋体" w:hAnsi="宋体" w:cs="宋体"/>
          <w:sz w:val="24"/>
          <w:szCs w:val="24"/>
        </w:rPr>
        <w:t>本磋商文件适用于本项目的磋商、成交、验收、合同履约、付款等（如法律、法规或省级以上规范性文件另有规定的，从其规定）。</w:t>
      </w:r>
      <w:bookmarkEnd w:id="14"/>
      <w:bookmarkEnd w:id="15"/>
      <w:bookmarkEnd w:id="16"/>
    </w:p>
    <w:p w14:paraId="1E8F1690">
      <w:pPr>
        <w:tabs>
          <w:tab w:val="left" w:pos="900"/>
        </w:tabs>
        <w:spacing w:line="460" w:lineRule="exact"/>
        <w:ind w:firstLine="480" w:firstLineChars="200"/>
        <w:rPr>
          <w:rFonts w:ascii="宋体" w:cs="Times New Roman"/>
          <w:sz w:val="24"/>
          <w:szCs w:val="24"/>
        </w:rPr>
      </w:pPr>
      <w:r>
        <w:rPr>
          <w:rFonts w:ascii="宋体" w:hAnsi="宋体" w:cs="宋体"/>
          <w:sz w:val="24"/>
          <w:szCs w:val="24"/>
        </w:rPr>
        <w:t>1.10</w:t>
      </w:r>
      <w:r>
        <w:rPr>
          <w:rFonts w:hint="eastAsia" w:ascii="宋体" w:cs="宋体"/>
          <w:sz w:val="24"/>
          <w:szCs w:val="24"/>
        </w:rPr>
        <w:t>“▲”</w:t>
      </w:r>
      <w:r>
        <w:rPr>
          <w:rFonts w:hint="eastAsia" w:ascii="宋体" w:hAnsi="宋体" w:cs="宋体"/>
          <w:sz w:val="24"/>
          <w:szCs w:val="24"/>
        </w:rPr>
        <w:t>系指实质性要求条款。</w:t>
      </w:r>
    </w:p>
    <w:p w14:paraId="7D06DA43">
      <w:pPr>
        <w:pStyle w:val="34"/>
        <w:spacing w:before="156" w:after="156"/>
        <w:ind w:firstLine="480" w:firstLineChars="200"/>
        <w:outlineLvl w:val="1"/>
        <w:rPr>
          <w:rFonts w:hAnsi="宋体"/>
          <w:b/>
          <w:bCs/>
          <w:sz w:val="24"/>
          <w:szCs w:val="24"/>
        </w:rPr>
      </w:pPr>
      <w:bookmarkStart w:id="17" w:name="_Toc69913414"/>
      <w:bookmarkStart w:id="18" w:name="_Toc69913477"/>
      <w:bookmarkStart w:id="19" w:name="_Toc69913234"/>
      <w:r>
        <w:rPr>
          <w:rFonts w:hAnsi="宋体"/>
          <w:sz w:val="24"/>
          <w:szCs w:val="24"/>
        </w:rPr>
        <w:t>1.11</w:t>
      </w:r>
      <w:r>
        <w:rPr>
          <w:rFonts w:hint="eastAsia" w:hAnsi="宋体"/>
          <w:b/>
          <w:bCs/>
          <w:sz w:val="24"/>
          <w:szCs w:val="24"/>
        </w:rPr>
        <w:t>质疑和投诉</w:t>
      </w:r>
      <w:bookmarkEnd w:id="17"/>
      <w:bookmarkEnd w:id="18"/>
      <w:bookmarkEnd w:id="19"/>
    </w:p>
    <w:p w14:paraId="186BC7B3">
      <w:pPr>
        <w:pStyle w:val="34"/>
        <w:spacing w:before="156" w:after="156"/>
        <w:ind w:firstLine="480" w:firstLineChars="200"/>
        <w:outlineLvl w:val="1"/>
        <w:rPr>
          <w:rFonts w:hAnsi="宋体"/>
          <w:sz w:val="24"/>
          <w:szCs w:val="24"/>
        </w:rPr>
      </w:pPr>
      <w:bookmarkStart w:id="20" w:name="_Toc69913415"/>
      <w:bookmarkStart w:id="21" w:name="_Toc69913235"/>
      <w:bookmarkStart w:id="22" w:name="_Toc69913478"/>
      <w:r>
        <w:rPr>
          <w:rFonts w:hAnsi="宋体"/>
          <w:sz w:val="24"/>
          <w:szCs w:val="24"/>
        </w:rPr>
        <w:t>1.11.1</w:t>
      </w:r>
      <w:r>
        <w:rPr>
          <w:rFonts w:hint="eastAsia" w:hAnsi="宋体"/>
          <w:sz w:val="24"/>
          <w:szCs w:val="24"/>
        </w:rPr>
        <w:t>供应商认为竞争性磋商文件、磋商过程或成交结果使自己的合法权益受到损害的，应当在知道或者应知其权益受到损害之日起七个工作日内，以书面形式向采购人、采购代理机构提出质疑。供应商对磋商采购单位的质疑答复不满意或者磋商采购单位未在规定时间内作出答复的，可以在答复期满后十五个工作日内向同级采购监管部门投诉。</w:t>
      </w:r>
      <w:bookmarkEnd w:id="20"/>
      <w:bookmarkEnd w:id="21"/>
      <w:bookmarkEnd w:id="22"/>
    </w:p>
    <w:p w14:paraId="3D3B5CBA">
      <w:pPr>
        <w:pStyle w:val="34"/>
        <w:spacing w:before="156" w:after="156"/>
        <w:ind w:firstLine="480" w:firstLineChars="200"/>
        <w:outlineLvl w:val="1"/>
        <w:rPr>
          <w:rFonts w:hAnsi="宋体"/>
          <w:sz w:val="24"/>
          <w:szCs w:val="24"/>
        </w:rPr>
      </w:pPr>
      <w:bookmarkStart w:id="23" w:name="_Toc69913236"/>
      <w:bookmarkStart w:id="24" w:name="_Toc69913416"/>
      <w:bookmarkStart w:id="25" w:name="_Toc69913479"/>
      <w:r>
        <w:rPr>
          <w:rFonts w:hAnsi="宋体"/>
          <w:sz w:val="24"/>
          <w:szCs w:val="24"/>
        </w:rPr>
        <w:t>1.11.2</w:t>
      </w:r>
      <w:r>
        <w:rPr>
          <w:rFonts w:hint="eastAsia" w:hAnsi="宋体"/>
          <w:sz w:val="24"/>
          <w:szCs w:val="24"/>
        </w:rPr>
        <w:t>质疑、投诉应当采用书面形式，质疑书、投诉书均应明确阐述竞争性磋商文件、磋商过程或成交结果中使自己合法权益受到损害的实质性内容，提供相关事实、依据和证据及其来源或线索，便于有关单位调查、答复和处理。</w:t>
      </w:r>
      <w:bookmarkEnd w:id="23"/>
      <w:bookmarkEnd w:id="24"/>
      <w:bookmarkEnd w:id="25"/>
    </w:p>
    <w:p w14:paraId="1AF557EB">
      <w:pPr>
        <w:pStyle w:val="34"/>
        <w:spacing w:before="156" w:after="156"/>
        <w:ind w:firstLine="480" w:firstLineChars="200"/>
        <w:outlineLvl w:val="1"/>
        <w:rPr>
          <w:rFonts w:hAnsi="宋体"/>
          <w:sz w:val="24"/>
          <w:szCs w:val="24"/>
        </w:rPr>
      </w:pPr>
      <w:bookmarkStart w:id="26" w:name="_Toc69913417"/>
      <w:bookmarkStart w:id="27" w:name="_Toc69913237"/>
      <w:bookmarkStart w:id="28" w:name="_Toc69913480"/>
      <w:r>
        <w:rPr>
          <w:rFonts w:hAnsi="宋体"/>
          <w:sz w:val="24"/>
          <w:szCs w:val="24"/>
        </w:rPr>
        <w:t>1.11.3</w:t>
      </w:r>
      <w:r>
        <w:rPr>
          <w:rFonts w:hint="eastAsia" w:hAnsi="宋体"/>
          <w:sz w:val="24"/>
          <w:szCs w:val="24"/>
        </w:rPr>
        <w:t>供应商须在法定质疑期内一次性提出针对同一采购程序环节的质疑，否则采购代理机构有权拒绝第一次质疑以外其他所有质疑。</w:t>
      </w:r>
      <w:bookmarkEnd w:id="26"/>
      <w:bookmarkEnd w:id="27"/>
      <w:bookmarkEnd w:id="28"/>
    </w:p>
    <w:p w14:paraId="561D4D62">
      <w:pPr>
        <w:pStyle w:val="34"/>
        <w:spacing w:before="156" w:after="156"/>
        <w:ind w:firstLine="480" w:firstLineChars="200"/>
        <w:outlineLvl w:val="1"/>
        <w:rPr>
          <w:rFonts w:hAnsi="宋体"/>
          <w:sz w:val="24"/>
          <w:szCs w:val="24"/>
        </w:rPr>
      </w:pPr>
      <w:bookmarkStart w:id="29" w:name="_Toc69913418"/>
      <w:bookmarkStart w:id="30" w:name="_Toc69913481"/>
      <w:bookmarkStart w:id="31" w:name="_Toc69913238"/>
      <w:r>
        <w:rPr>
          <w:rFonts w:hAnsi="宋体"/>
          <w:sz w:val="24"/>
          <w:szCs w:val="24"/>
        </w:rPr>
        <w:t>1.11.4</w:t>
      </w:r>
      <w:r>
        <w:rPr>
          <w:rFonts w:hint="eastAsia" w:hAnsi="宋体"/>
          <w:sz w:val="24"/>
          <w:szCs w:val="24"/>
        </w:rPr>
        <w:t>质疑函须采用财政部发布的政府采购供应商质疑函范本（参考样式可从浙江政府采购网下载专区下载），否则采购代理机构有权要求质疑供应商改正后重新提出。</w:t>
      </w:r>
      <w:bookmarkEnd w:id="29"/>
      <w:bookmarkEnd w:id="30"/>
      <w:bookmarkEnd w:id="31"/>
    </w:p>
    <w:p w14:paraId="1CB8B41C">
      <w:pPr>
        <w:pStyle w:val="34"/>
        <w:spacing w:before="156" w:after="156"/>
        <w:ind w:firstLine="480" w:firstLineChars="200"/>
        <w:outlineLvl w:val="1"/>
        <w:rPr>
          <w:rFonts w:hAnsi="宋体"/>
          <w:sz w:val="24"/>
          <w:szCs w:val="24"/>
        </w:rPr>
      </w:pPr>
      <w:bookmarkStart w:id="32" w:name="_Toc69913482"/>
      <w:bookmarkStart w:id="33" w:name="_Toc69913239"/>
      <w:bookmarkStart w:id="34" w:name="_Toc69913419"/>
      <w:r>
        <w:rPr>
          <w:rFonts w:hint="eastAsia" w:hAnsi="宋体"/>
          <w:sz w:val="24"/>
          <w:szCs w:val="24"/>
        </w:rPr>
        <w:t>政府采购投诉材料当日</w:t>
      </w:r>
      <w:r>
        <w:rPr>
          <w:rFonts w:hAnsi="宋体"/>
          <w:sz w:val="24"/>
          <w:szCs w:val="24"/>
        </w:rPr>
        <w:t>17:00</w:t>
      </w:r>
      <w:r>
        <w:rPr>
          <w:rFonts w:hint="eastAsia" w:hAnsi="宋体"/>
          <w:sz w:val="24"/>
          <w:szCs w:val="24"/>
        </w:rPr>
        <w:t>后收到的视为下一个工作日收到。</w:t>
      </w:r>
      <w:bookmarkEnd w:id="32"/>
      <w:bookmarkEnd w:id="33"/>
      <w:bookmarkEnd w:id="34"/>
    </w:p>
    <w:p w14:paraId="294FCCCB">
      <w:pPr>
        <w:snapToGrid w:val="0"/>
        <w:spacing w:before="156" w:beforeLines="50"/>
        <w:ind w:firstLine="470" w:firstLineChars="196"/>
        <w:jc w:val="left"/>
        <w:outlineLvl w:val="1"/>
        <w:rPr>
          <w:rFonts w:ascii="宋体" w:cs="Times New Roman"/>
          <w:b/>
          <w:bCs/>
          <w:sz w:val="24"/>
          <w:szCs w:val="24"/>
        </w:rPr>
      </w:pPr>
      <w:bookmarkStart w:id="35" w:name="_Toc69913420"/>
      <w:bookmarkStart w:id="36" w:name="_Toc69913483"/>
      <w:bookmarkStart w:id="37" w:name="_Toc69913240"/>
      <w:r>
        <w:rPr>
          <w:rFonts w:ascii="宋体" w:hAnsi="宋体" w:cs="宋体"/>
          <w:sz w:val="24"/>
          <w:szCs w:val="24"/>
        </w:rPr>
        <w:t>1.12</w:t>
      </w:r>
      <w:r>
        <w:rPr>
          <w:rFonts w:hint="eastAsia" w:ascii="宋体" w:hAnsi="宋体" w:cs="宋体"/>
          <w:b/>
          <w:bCs/>
          <w:sz w:val="24"/>
          <w:szCs w:val="24"/>
        </w:rPr>
        <w:t>特别说明：</w:t>
      </w:r>
      <w:bookmarkEnd w:id="35"/>
      <w:bookmarkEnd w:id="36"/>
      <w:bookmarkEnd w:id="37"/>
    </w:p>
    <w:p w14:paraId="55185B04">
      <w:pPr>
        <w:snapToGrid w:val="0"/>
        <w:spacing w:before="156" w:beforeLines="50"/>
        <w:ind w:firstLine="413" w:firstLineChars="196"/>
        <w:jc w:val="left"/>
        <w:outlineLvl w:val="1"/>
        <w:rPr>
          <w:rFonts w:ascii="宋体" w:cs="Times New Roman"/>
          <w:b/>
          <w:bCs/>
          <w:kern w:val="0"/>
          <w:sz w:val="24"/>
          <w:szCs w:val="24"/>
        </w:rPr>
      </w:pPr>
      <w:bookmarkStart w:id="38" w:name="_Toc69913484"/>
      <w:bookmarkStart w:id="39" w:name="_Toc69913421"/>
      <w:bookmarkStart w:id="40" w:name="_Toc69913241"/>
      <w:r>
        <w:rPr>
          <w:rFonts w:hint="eastAsia" w:ascii="宋体" w:cs="宋体"/>
          <w:b/>
          <w:bCs/>
        </w:rPr>
        <w:t>▲</w:t>
      </w:r>
      <w:r>
        <w:rPr>
          <w:rFonts w:hint="eastAsia" w:ascii="宋体" w:hAnsi="宋体" w:cs="宋体"/>
          <w:b/>
          <w:bCs/>
          <w:kern w:val="0"/>
          <w:sz w:val="24"/>
          <w:szCs w:val="24"/>
        </w:rPr>
        <w:t>提供相同品牌产品且通过资格审查、符合性审查的不同供应商参加本项目磋商的，按一家供应商计算，评审后得分最高的同品牌供应商获得成交人推荐资格；评审得分相同的，由采购人或者采购人委托评标委员会确定报价最低的供应商获得成交人资格；当报价相同时，采取随机抽取方式确定，其他同品牌供应商不作为成交人。</w:t>
      </w:r>
      <w:bookmarkEnd w:id="38"/>
      <w:bookmarkEnd w:id="39"/>
      <w:bookmarkEnd w:id="40"/>
    </w:p>
    <w:p w14:paraId="42F49FC5">
      <w:pPr>
        <w:spacing w:line="460" w:lineRule="exact"/>
        <w:ind w:firstLine="354" w:firstLineChars="147"/>
        <w:rPr>
          <w:rFonts w:ascii="宋体" w:hAnsi="宋体" w:cs="宋体"/>
          <w:b/>
          <w:bCs/>
          <w:kern w:val="0"/>
          <w:sz w:val="24"/>
          <w:szCs w:val="24"/>
        </w:rPr>
      </w:pPr>
      <w:r>
        <w:rPr>
          <w:rFonts w:ascii="宋体" w:hAnsi="宋体" w:cs="宋体"/>
          <w:b/>
          <w:bCs/>
          <w:kern w:val="0"/>
          <w:sz w:val="24"/>
          <w:szCs w:val="24"/>
        </w:rPr>
        <w:t>2</w:t>
      </w:r>
      <w:r>
        <w:rPr>
          <w:rFonts w:hint="eastAsia" w:ascii="宋体" w:hAnsi="宋体" w:cs="宋体"/>
          <w:b/>
          <w:bCs/>
          <w:kern w:val="0"/>
          <w:sz w:val="24"/>
          <w:szCs w:val="24"/>
        </w:rPr>
        <w:t>．供应商的资格条件</w:t>
      </w:r>
    </w:p>
    <w:p w14:paraId="74CC63F3">
      <w:pPr>
        <w:spacing w:line="460" w:lineRule="exact"/>
        <w:ind w:firstLine="352" w:firstLineChars="147"/>
        <w:rPr>
          <w:rFonts w:ascii="宋体" w:hAnsi="宋体" w:cs="宋体"/>
          <w:sz w:val="24"/>
          <w:szCs w:val="24"/>
        </w:rPr>
      </w:pPr>
      <w:r>
        <w:rPr>
          <w:rFonts w:hint="eastAsia" w:ascii="宋体" w:hAnsi="宋体" w:cs="宋体"/>
          <w:sz w:val="24"/>
          <w:szCs w:val="24"/>
        </w:rPr>
        <w:t>2.1符合《政府采购法》第二十二条规定；未被“信用中国”（</w:t>
      </w:r>
      <w:r>
        <w:rPr>
          <w:rFonts w:ascii="宋体" w:hAnsi="宋体" w:cs="宋体"/>
          <w:sz w:val="24"/>
          <w:szCs w:val="24"/>
        </w:rPr>
        <w:t>www.creditchina.gov.cn</w:t>
      </w:r>
      <w:r>
        <w:rPr>
          <w:rFonts w:hint="eastAsia" w:ascii="宋体" w:hAnsi="宋体" w:cs="宋体"/>
          <w:sz w:val="24"/>
          <w:szCs w:val="24"/>
        </w:rPr>
        <w:t>）、中国政府采购网（</w:t>
      </w:r>
      <w:r>
        <w:rPr>
          <w:rFonts w:ascii="宋体" w:hAnsi="宋体" w:cs="宋体"/>
          <w:sz w:val="24"/>
          <w:szCs w:val="24"/>
        </w:rPr>
        <w:t>www.ccgp.gov.cn</w:t>
      </w:r>
      <w:r>
        <w:rPr>
          <w:rFonts w:hint="eastAsia" w:ascii="宋体" w:hAnsi="宋体" w:cs="宋体"/>
          <w:sz w:val="24"/>
          <w:szCs w:val="24"/>
        </w:rPr>
        <w:t>）列入失信被执行人、重大税收违法案件当事人名单、政府采购严重违法失信行为记录名单。</w:t>
      </w:r>
    </w:p>
    <w:p w14:paraId="4110FC30">
      <w:pPr>
        <w:spacing w:line="460" w:lineRule="exact"/>
        <w:ind w:firstLine="352" w:firstLineChars="147"/>
        <w:rPr>
          <w:rFonts w:ascii="宋体" w:hAnsi="宋体" w:cs="仿宋"/>
          <w:sz w:val="24"/>
        </w:rPr>
      </w:pPr>
      <w:r>
        <w:rPr>
          <w:rFonts w:hint="eastAsia" w:ascii="宋体" w:hAnsi="宋体" w:cs="仿宋"/>
          <w:sz w:val="24"/>
        </w:rPr>
        <w:t>2.2落实政府采购政策需满足的资格要求：无</w:t>
      </w:r>
    </w:p>
    <w:p w14:paraId="215E2D0B">
      <w:pPr>
        <w:spacing w:line="460" w:lineRule="exact"/>
        <w:ind w:firstLine="352" w:firstLineChars="147"/>
        <w:rPr>
          <w:rFonts w:ascii="宋体" w:hAnsi="宋体" w:cs="宋体"/>
          <w:b/>
          <w:bCs/>
          <w:kern w:val="0"/>
          <w:sz w:val="24"/>
          <w:szCs w:val="24"/>
        </w:rPr>
      </w:pPr>
      <w:r>
        <w:rPr>
          <w:rFonts w:hint="eastAsia" w:ascii="宋体" w:hAnsi="宋体" w:cs="宋体"/>
          <w:sz w:val="24"/>
          <w:szCs w:val="24"/>
        </w:rPr>
        <w:t>2.3▲</w:t>
      </w:r>
      <w:r>
        <w:rPr>
          <w:rFonts w:hint="eastAsia" w:ascii="宋体" w:hAnsi="宋体" w:cs="宋体"/>
          <w:b/>
          <w:bCs/>
          <w:kern w:val="0"/>
          <w:sz w:val="24"/>
          <w:szCs w:val="24"/>
        </w:rPr>
        <w:t>供应商的特定条件：</w:t>
      </w:r>
      <w:r>
        <w:rPr>
          <w:rFonts w:hint="eastAsia" w:ascii="宋体" w:hAnsi="宋体" w:cs="仿宋"/>
          <w:sz w:val="24"/>
        </w:rPr>
        <w:t>无</w:t>
      </w:r>
    </w:p>
    <w:p w14:paraId="5A54085F">
      <w:pPr>
        <w:spacing w:line="460" w:lineRule="exact"/>
        <w:ind w:firstLine="352" w:firstLineChars="147"/>
        <w:rPr>
          <w:rFonts w:ascii="宋体" w:hAnsi="宋体" w:cs="宋体"/>
          <w:kern w:val="0"/>
          <w:sz w:val="24"/>
        </w:rPr>
      </w:pPr>
      <w:r>
        <w:rPr>
          <w:rFonts w:hint="eastAsia" w:ascii="宋体" w:hAnsi="宋体" w:cs="宋体"/>
          <w:kern w:val="0"/>
          <w:sz w:val="24"/>
        </w:rPr>
        <w:t>2.4本项目接受联合体磋商。</w:t>
      </w:r>
    </w:p>
    <w:p w14:paraId="415F56BC">
      <w:pPr>
        <w:spacing w:line="460" w:lineRule="exact"/>
        <w:ind w:firstLine="354" w:firstLineChars="147"/>
        <w:rPr>
          <w:rFonts w:ascii="宋体" w:hAnsi="宋体" w:cs="宋体"/>
          <w:b/>
          <w:bCs/>
          <w:kern w:val="0"/>
          <w:sz w:val="24"/>
        </w:rPr>
      </w:pPr>
      <w:r>
        <w:rPr>
          <w:rFonts w:hint="eastAsia" w:ascii="宋体" w:hAnsi="宋体" w:cs="宋体"/>
          <w:b/>
          <w:bCs/>
          <w:kern w:val="0"/>
          <w:sz w:val="24"/>
        </w:rPr>
        <w:t>2.5联合体磋商</w:t>
      </w:r>
    </w:p>
    <w:p w14:paraId="3ED33CEB">
      <w:pPr>
        <w:spacing w:line="460" w:lineRule="exact"/>
        <w:ind w:firstLine="352" w:firstLineChars="147"/>
        <w:rPr>
          <w:rFonts w:ascii="宋体" w:hAnsi="宋体" w:cs="Arial"/>
          <w:sz w:val="24"/>
        </w:rPr>
      </w:pPr>
      <w:r>
        <w:rPr>
          <w:rFonts w:hint="eastAsia" w:ascii="宋体" w:hAnsi="宋体" w:cs="Arial"/>
          <w:sz w:val="24"/>
        </w:rPr>
        <w:t>2.5.1本项目接受联合体磋商。</w:t>
      </w:r>
    </w:p>
    <w:p w14:paraId="2602C0E8">
      <w:pPr>
        <w:spacing w:line="460" w:lineRule="exact"/>
        <w:ind w:firstLine="352" w:firstLineChars="147"/>
        <w:rPr>
          <w:rFonts w:ascii="宋体" w:hAnsi="宋体"/>
          <w:sz w:val="24"/>
        </w:rPr>
      </w:pPr>
      <w:r>
        <w:rPr>
          <w:rFonts w:hint="eastAsia" w:ascii="宋体" w:hAnsi="宋体" w:cs="Arial"/>
          <w:sz w:val="24"/>
        </w:rPr>
        <w:t>2.5.</w:t>
      </w:r>
      <w:r>
        <w:rPr>
          <w:rFonts w:hint="eastAsia" w:ascii="宋体" w:hAnsi="宋体"/>
          <w:sz w:val="24"/>
        </w:rPr>
        <w:t>2由两个以上的供应商组成一个联合体以一个供应商身份共同</w:t>
      </w:r>
      <w:r>
        <w:rPr>
          <w:rFonts w:hint="eastAsia" w:ascii="宋体" w:hAnsi="宋体" w:cs="宋体"/>
          <w:sz w:val="24"/>
        </w:rPr>
        <w:t>磋商</w:t>
      </w:r>
      <w:r>
        <w:rPr>
          <w:rFonts w:hint="eastAsia" w:ascii="宋体" w:hAnsi="宋体"/>
          <w:sz w:val="24"/>
        </w:rPr>
        <w:t>时，应符合下列要求：</w:t>
      </w:r>
    </w:p>
    <w:p w14:paraId="14BFF96A">
      <w:pPr>
        <w:spacing w:line="460" w:lineRule="exact"/>
        <w:ind w:firstLine="352" w:firstLineChars="147"/>
        <w:rPr>
          <w:rFonts w:ascii="宋体" w:hAnsi="宋体"/>
          <w:sz w:val="24"/>
        </w:rPr>
      </w:pPr>
      <w:r>
        <w:rPr>
          <w:rFonts w:hint="eastAsia" w:ascii="宋体" w:hAnsi="宋体"/>
          <w:sz w:val="24"/>
        </w:rPr>
        <w:t>1）供应商的响应文件及成交后签署的合同对联合体各方均具有法律约束力；</w:t>
      </w:r>
    </w:p>
    <w:p w14:paraId="1955E2EB">
      <w:pPr>
        <w:spacing w:line="460" w:lineRule="exact"/>
        <w:ind w:firstLine="352" w:firstLineChars="147"/>
        <w:rPr>
          <w:rFonts w:ascii="宋体" w:hAnsi="宋体"/>
          <w:sz w:val="24"/>
        </w:rPr>
      </w:pPr>
      <w:r>
        <w:rPr>
          <w:rFonts w:hint="eastAsia" w:ascii="宋体" w:hAnsi="宋体"/>
          <w:sz w:val="24"/>
        </w:rPr>
        <w:t>2）联合体各方应签订共同</w:t>
      </w:r>
      <w:r>
        <w:rPr>
          <w:rFonts w:hint="eastAsia" w:ascii="宋体" w:hAnsi="宋体" w:cs="宋体"/>
          <w:sz w:val="24"/>
        </w:rPr>
        <w:t>磋商</w:t>
      </w:r>
      <w:r>
        <w:rPr>
          <w:rFonts w:hint="eastAsia" w:ascii="宋体" w:hAnsi="宋体"/>
          <w:sz w:val="24"/>
        </w:rPr>
        <w:t>协议，明确约定各方拟承担的工作和责任，并将该共同</w:t>
      </w:r>
      <w:r>
        <w:rPr>
          <w:rFonts w:hint="eastAsia" w:ascii="宋体" w:hAnsi="宋体" w:cs="宋体"/>
          <w:sz w:val="24"/>
        </w:rPr>
        <w:t>磋商</w:t>
      </w:r>
      <w:r>
        <w:rPr>
          <w:rFonts w:hint="eastAsia" w:ascii="宋体" w:hAnsi="宋体"/>
          <w:sz w:val="24"/>
        </w:rPr>
        <w:t>协议随响应文件一并提交采购人；</w:t>
      </w:r>
    </w:p>
    <w:p w14:paraId="3392B9F5">
      <w:pPr>
        <w:spacing w:line="460" w:lineRule="exact"/>
        <w:ind w:firstLine="352" w:firstLineChars="147"/>
        <w:rPr>
          <w:rFonts w:ascii="宋体" w:hAnsi="宋体"/>
          <w:sz w:val="24"/>
        </w:rPr>
      </w:pPr>
      <w:r>
        <w:rPr>
          <w:rFonts w:hint="eastAsia" w:ascii="宋体" w:hAnsi="宋体"/>
          <w:sz w:val="24"/>
        </w:rPr>
        <w:t>3）联合体成交后，联合体各方应当共同与采购人签订合同，为履行合同向采购人承担连带责任；</w:t>
      </w:r>
    </w:p>
    <w:p w14:paraId="27B4CC6E">
      <w:pPr>
        <w:spacing w:line="460" w:lineRule="exact"/>
        <w:ind w:firstLine="352" w:firstLineChars="147"/>
        <w:rPr>
          <w:rFonts w:ascii="宋体" w:hAnsi="宋体"/>
          <w:sz w:val="24"/>
        </w:rPr>
      </w:pPr>
      <w:r>
        <w:rPr>
          <w:rFonts w:hint="eastAsia" w:ascii="宋体" w:hAnsi="宋体"/>
          <w:sz w:val="24"/>
        </w:rPr>
        <w:t>4）联合体的各方应共同推荐一名联合体主办人，由联合体各方各提交一份授权书，证明其主办人资格，该授权书作为响应文件的组成部分一并提交采购人；</w:t>
      </w:r>
    </w:p>
    <w:p w14:paraId="214506FB">
      <w:pPr>
        <w:spacing w:line="460" w:lineRule="exact"/>
        <w:ind w:firstLine="352" w:firstLineChars="147"/>
        <w:rPr>
          <w:rFonts w:ascii="宋体" w:hAnsi="宋体"/>
          <w:sz w:val="24"/>
        </w:rPr>
      </w:pPr>
      <w:r>
        <w:rPr>
          <w:rFonts w:hint="eastAsia" w:ascii="宋体" w:hAnsi="宋体"/>
          <w:sz w:val="24"/>
        </w:rPr>
        <w:t>5）除非另有规定或说明，本须知中“供应商”一词亦指联合体各方。</w:t>
      </w:r>
    </w:p>
    <w:p w14:paraId="7BE99B0B">
      <w:pPr>
        <w:spacing w:line="460" w:lineRule="exact"/>
        <w:ind w:firstLine="354" w:firstLineChars="147"/>
        <w:rPr>
          <w:rFonts w:ascii="宋体" w:hAnsi="宋体" w:cs="宋体"/>
          <w:b/>
          <w:kern w:val="0"/>
          <w:sz w:val="24"/>
        </w:rPr>
      </w:pPr>
      <w:r>
        <w:rPr>
          <w:rFonts w:hint="eastAsia" w:ascii="宋体" w:hAnsi="宋体"/>
          <w:b/>
          <w:sz w:val="24"/>
        </w:rPr>
        <w:t>2.6</w:t>
      </w:r>
      <w:r>
        <w:rPr>
          <w:rFonts w:hint="eastAsia" w:ascii="宋体" w:hAnsi="宋体" w:cs="宋体"/>
          <w:b/>
          <w:kern w:val="0"/>
          <w:sz w:val="24"/>
        </w:rPr>
        <w:t>转包与分包</w:t>
      </w:r>
    </w:p>
    <w:p w14:paraId="48C4B5BA">
      <w:pPr>
        <w:spacing w:line="460" w:lineRule="exact"/>
        <w:ind w:firstLine="352" w:firstLineChars="147"/>
        <w:rPr>
          <w:rFonts w:ascii="宋体" w:hAnsi="宋体" w:cs="宋体"/>
          <w:kern w:val="0"/>
          <w:sz w:val="24"/>
        </w:rPr>
      </w:pPr>
      <w:r>
        <w:rPr>
          <w:rFonts w:hint="eastAsia" w:ascii="宋体" w:hAnsi="宋体" w:cs="宋体"/>
          <w:kern w:val="0"/>
          <w:sz w:val="24"/>
        </w:rPr>
        <w:t>2.6.</w:t>
      </w:r>
      <w:r>
        <w:rPr>
          <w:rFonts w:ascii="宋体" w:hAnsi="宋体" w:cs="宋体"/>
          <w:kern w:val="0"/>
          <w:sz w:val="24"/>
        </w:rPr>
        <w:t>1本项目不允许转包。</w:t>
      </w:r>
    </w:p>
    <w:p w14:paraId="2F670722">
      <w:pPr>
        <w:spacing w:line="460" w:lineRule="exact"/>
        <w:ind w:firstLine="352" w:firstLineChars="147"/>
        <w:rPr>
          <w:rFonts w:ascii="宋体" w:hAnsi="宋体"/>
          <w:sz w:val="24"/>
        </w:rPr>
      </w:pPr>
      <w:r>
        <w:rPr>
          <w:rFonts w:hint="eastAsia" w:ascii="宋体" w:hAnsi="宋体" w:cs="宋体"/>
          <w:kern w:val="0"/>
          <w:sz w:val="24"/>
        </w:rPr>
        <w:t>2.6.2</w:t>
      </w:r>
      <w:r>
        <w:rPr>
          <w:rFonts w:ascii="宋体" w:hAnsi="宋体" w:cs="宋体"/>
          <w:kern w:val="0"/>
          <w:sz w:val="24"/>
        </w:rPr>
        <w:t>本项目可以分包</w:t>
      </w:r>
      <w:r>
        <w:rPr>
          <w:rFonts w:hint="eastAsia" w:ascii="宋体" w:hAnsi="宋体" w:cs="宋体"/>
          <w:kern w:val="0"/>
          <w:sz w:val="24"/>
        </w:rPr>
        <w:t>（允许</w:t>
      </w:r>
      <w:r>
        <w:rPr>
          <w:rFonts w:hint="eastAsia" w:ascii="宋体" w:hAnsi="宋体"/>
          <w:sz w:val="24"/>
        </w:rPr>
        <w:t>中型企业向小微企业、小微企业向小微企业合理分包）。</w:t>
      </w:r>
    </w:p>
    <w:p w14:paraId="1A4534BA">
      <w:pPr>
        <w:spacing w:line="460" w:lineRule="exact"/>
        <w:ind w:firstLine="352" w:firstLineChars="147"/>
        <w:rPr>
          <w:rFonts w:ascii="宋体" w:hAnsi="宋体" w:cs="宋体"/>
          <w:sz w:val="24"/>
          <w:szCs w:val="24"/>
        </w:rPr>
      </w:pPr>
      <w:r>
        <w:rPr>
          <w:rFonts w:ascii="宋体" w:hAnsi="宋体" w:cs="宋体"/>
          <w:sz w:val="24"/>
          <w:szCs w:val="24"/>
        </w:rPr>
        <w:t>3</w:t>
      </w:r>
      <w:r>
        <w:rPr>
          <w:rFonts w:hint="eastAsia" w:ascii="宋体" w:hAnsi="宋体" w:cs="宋体"/>
          <w:sz w:val="24"/>
          <w:szCs w:val="24"/>
        </w:rPr>
        <w:t>．磋商费用</w:t>
      </w:r>
    </w:p>
    <w:p w14:paraId="51C02462">
      <w:pPr>
        <w:spacing w:line="460" w:lineRule="exact"/>
        <w:ind w:firstLine="352" w:firstLineChars="147"/>
        <w:rPr>
          <w:rFonts w:ascii="宋体" w:hAnsi="宋体" w:cs="宋体"/>
          <w:sz w:val="24"/>
          <w:szCs w:val="24"/>
        </w:rPr>
      </w:pPr>
      <w:r>
        <w:rPr>
          <w:rFonts w:ascii="宋体" w:hAnsi="宋体" w:cs="宋体"/>
          <w:sz w:val="24"/>
          <w:szCs w:val="24"/>
        </w:rPr>
        <w:t>3.1</w:t>
      </w:r>
      <w:r>
        <w:rPr>
          <w:rFonts w:hint="eastAsia" w:ascii="宋体" w:hAnsi="宋体" w:cs="宋体"/>
          <w:sz w:val="24"/>
          <w:szCs w:val="24"/>
        </w:rPr>
        <w:t>无论磋商采购结果如何，供应商均应自行承担所有与参加本次磋商采购有关的全部费用。不论磋商结果如何，采购代理机构对上述费用不负任何责任。</w:t>
      </w:r>
    </w:p>
    <w:p w14:paraId="0BF9B780">
      <w:pPr>
        <w:spacing w:line="460" w:lineRule="exact"/>
        <w:ind w:firstLine="352" w:firstLineChars="147"/>
        <w:rPr>
          <w:rFonts w:hint="eastAsia" w:ascii="宋体" w:hAnsi="宋体" w:cs="宋体"/>
          <w:sz w:val="24"/>
          <w:szCs w:val="24"/>
        </w:rPr>
      </w:pPr>
      <w:r>
        <w:rPr>
          <w:rFonts w:ascii="宋体" w:hAnsi="宋体" w:cs="宋体"/>
          <w:sz w:val="24"/>
          <w:szCs w:val="24"/>
        </w:rPr>
        <w:t>3.2</w:t>
      </w:r>
      <w:r>
        <w:rPr>
          <w:rFonts w:hint="eastAsia" w:ascii="宋体" w:hAnsi="宋体" w:cs="宋体"/>
          <w:sz w:val="24"/>
          <w:szCs w:val="24"/>
        </w:rPr>
        <w:t>本项目采购代理服务费：人民币</w:t>
      </w:r>
      <w:r>
        <w:rPr>
          <w:rFonts w:hint="eastAsia" w:ascii="宋体" w:hAnsi="宋体" w:cs="宋体"/>
          <w:sz w:val="24"/>
          <w:szCs w:val="24"/>
          <w:lang w:eastAsia="zh-CN"/>
        </w:rPr>
        <w:t>柒仟捌佰零叁</w:t>
      </w:r>
      <w:r>
        <w:rPr>
          <w:rFonts w:hint="eastAsia" w:ascii="宋体" w:hAnsi="宋体" w:cs="宋体"/>
          <w:sz w:val="24"/>
          <w:szCs w:val="24"/>
        </w:rPr>
        <w:t>元整（￥7803.00），由成交人全额支付，在成交通知书发出当天一次性结清。</w:t>
      </w:r>
    </w:p>
    <w:p w14:paraId="78961A4F">
      <w:pPr>
        <w:pStyle w:val="3"/>
        <w:spacing w:before="156" w:line="440" w:lineRule="exact"/>
        <w:jc w:val="center"/>
        <w:rPr>
          <w:rFonts w:ascii="宋体" w:hAnsi="宋体" w:eastAsia="宋体"/>
          <w:kern w:val="44"/>
          <w:sz w:val="28"/>
          <w:szCs w:val="28"/>
        </w:rPr>
      </w:pPr>
      <w:bookmarkStart w:id="41" w:name="_Toc69913485"/>
      <w:r>
        <w:rPr>
          <w:rFonts w:hint="eastAsia" w:ascii="宋体" w:hAnsi="宋体" w:eastAsia="宋体" w:cs="宋体"/>
          <w:kern w:val="44"/>
          <w:sz w:val="28"/>
          <w:szCs w:val="28"/>
        </w:rPr>
        <w:t>二、磋商文件的说明</w:t>
      </w:r>
      <w:bookmarkEnd w:id="41"/>
    </w:p>
    <w:p w14:paraId="5FB35C3A">
      <w:pPr>
        <w:spacing w:line="460" w:lineRule="exact"/>
        <w:rPr>
          <w:rFonts w:ascii="宋体" w:cs="Times New Roman"/>
          <w:kern w:val="44"/>
          <w:sz w:val="24"/>
          <w:szCs w:val="24"/>
        </w:rPr>
      </w:pPr>
      <w:bookmarkStart w:id="42" w:name="_Toc113441589"/>
      <w:r>
        <w:rPr>
          <w:rFonts w:ascii="宋体" w:hAnsi="宋体" w:cs="宋体"/>
          <w:kern w:val="44"/>
          <w:sz w:val="24"/>
          <w:szCs w:val="24"/>
        </w:rPr>
        <w:t>4</w:t>
      </w:r>
      <w:r>
        <w:rPr>
          <w:rFonts w:hint="eastAsia" w:ascii="宋体" w:hAnsi="宋体" w:cs="宋体"/>
          <w:kern w:val="44"/>
          <w:sz w:val="24"/>
          <w:szCs w:val="24"/>
        </w:rPr>
        <w:t>．磋商文件</w:t>
      </w:r>
      <w:bookmarkEnd w:id="42"/>
      <w:r>
        <w:rPr>
          <w:rFonts w:hint="eastAsia" w:ascii="宋体" w:hAnsi="宋体" w:cs="宋体"/>
          <w:kern w:val="44"/>
          <w:sz w:val="24"/>
          <w:szCs w:val="24"/>
        </w:rPr>
        <w:t>的组成</w:t>
      </w:r>
    </w:p>
    <w:p w14:paraId="6E2ECEE7">
      <w:pPr>
        <w:spacing w:line="460" w:lineRule="exact"/>
        <w:ind w:firstLine="480" w:firstLineChars="200"/>
        <w:rPr>
          <w:rFonts w:ascii="宋体" w:cs="Times New Roman"/>
          <w:sz w:val="24"/>
          <w:szCs w:val="24"/>
        </w:rPr>
      </w:pPr>
      <w:r>
        <w:rPr>
          <w:rFonts w:ascii="宋体" w:hAnsi="宋体" w:cs="宋体"/>
          <w:sz w:val="24"/>
          <w:szCs w:val="24"/>
        </w:rPr>
        <w:t>4.1</w:t>
      </w:r>
      <w:r>
        <w:rPr>
          <w:rFonts w:hint="eastAsia" w:ascii="宋体" w:hAnsi="宋体" w:cs="宋体"/>
          <w:sz w:val="24"/>
          <w:szCs w:val="24"/>
        </w:rPr>
        <w:t>磋商文件为本次磋商采购单位发出的竞争性磋商文件；</w:t>
      </w:r>
    </w:p>
    <w:p w14:paraId="2D361B06">
      <w:pPr>
        <w:spacing w:line="460" w:lineRule="exact"/>
        <w:ind w:firstLine="480" w:firstLineChars="200"/>
        <w:rPr>
          <w:rFonts w:ascii="宋体" w:cs="Times New Roman"/>
          <w:sz w:val="24"/>
          <w:szCs w:val="24"/>
        </w:rPr>
      </w:pPr>
      <w:r>
        <w:rPr>
          <w:rFonts w:ascii="宋体" w:hAnsi="宋体" w:cs="宋体"/>
          <w:sz w:val="24"/>
          <w:szCs w:val="24"/>
        </w:rPr>
        <w:t>4.2</w:t>
      </w:r>
      <w:r>
        <w:rPr>
          <w:rFonts w:hint="eastAsia" w:ascii="宋体" w:hAnsi="宋体" w:cs="宋体"/>
          <w:sz w:val="24"/>
          <w:szCs w:val="24"/>
        </w:rPr>
        <w:t>磋商文件包括以下内容：</w:t>
      </w:r>
    </w:p>
    <w:p w14:paraId="5FC99C68">
      <w:pPr>
        <w:spacing w:line="460" w:lineRule="exact"/>
        <w:ind w:firstLine="480" w:firstLineChars="200"/>
        <w:rPr>
          <w:rFonts w:ascii="宋体" w:cs="Times New Roman"/>
          <w:sz w:val="24"/>
          <w:szCs w:val="24"/>
        </w:rPr>
      </w:pPr>
      <w:r>
        <w:rPr>
          <w:rFonts w:ascii="宋体" w:hAnsi="宋体" w:cs="宋体"/>
          <w:sz w:val="24"/>
          <w:szCs w:val="24"/>
        </w:rPr>
        <w:t>4.2.1</w:t>
      </w:r>
      <w:r>
        <w:rPr>
          <w:rFonts w:hint="eastAsia" w:ascii="宋体" w:hAnsi="宋体" w:cs="宋体"/>
          <w:sz w:val="24"/>
          <w:szCs w:val="24"/>
        </w:rPr>
        <w:t>第一章供应商须知</w:t>
      </w:r>
    </w:p>
    <w:p w14:paraId="6A47B68A">
      <w:pPr>
        <w:spacing w:line="460" w:lineRule="exact"/>
        <w:ind w:firstLine="480" w:firstLineChars="200"/>
        <w:rPr>
          <w:rFonts w:ascii="宋体" w:cs="Times New Roman"/>
          <w:sz w:val="24"/>
          <w:szCs w:val="24"/>
        </w:rPr>
      </w:pPr>
      <w:r>
        <w:rPr>
          <w:rFonts w:ascii="宋体" w:hAnsi="宋体" w:cs="宋体"/>
          <w:sz w:val="24"/>
          <w:szCs w:val="24"/>
        </w:rPr>
        <w:t>4.2.2</w:t>
      </w:r>
      <w:r>
        <w:rPr>
          <w:rFonts w:hint="eastAsia" w:ascii="宋体" w:hAnsi="宋体" w:cs="宋体"/>
          <w:sz w:val="24"/>
          <w:szCs w:val="24"/>
        </w:rPr>
        <w:t>第二章磋商项目服务范围及要求</w:t>
      </w:r>
    </w:p>
    <w:p w14:paraId="73503EB0">
      <w:pPr>
        <w:spacing w:line="460" w:lineRule="exact"/>
        <w:ind w:firstLine="480" w:firstLineChars="200"/>
        <w:rPr>
          <w:rFonts w:ascii="宋体" w:cs="Times New Roman"/>
          <w:sz w:val="24"/>
          <w:szCs w:val="24"/>
        </w:rPr>
      </w:pPr>
      <w:r>
        <w:rPr>
          <w:rFonts w:ascii="宋体" w:hAnsi="宋体" w:cs="宋体"/>
          <w:sz w:val="24"/>
          <w:szCs w:val="24"/>
        </w:rPr>
        <w:t>4.2.3</w:t>
      </w:r>
      <w:r>
        <w:rPr>
          <w:rFonts w:hint="eastAsia" w:ascii="宋体" w:hAnsi="宋体" w:cs="宋体"/>
          <w:sz w:val="24"/>
          <w:szCs w:val="24"/>
        </w:rPr>
        <w:t>第三章合同主要条款</w:t>
      </w:r>
    </w:p>
    <w:p w14:paraId="56524E39">
      <w:pPr>
        <w:spacing w:line="460" w:lineRule="exact"/>
        <w:ind w:firstLine="480" w:firstLineChars="200"/>
        <w:rPr>
          <w:rFonts w:ascii="宋体" w:cs="Times New Roman"/>
          <w:sz w:val="24"/>
          <w:szCs w:val="24"/>
        </w:rPr>
      </w:pPr>
      <w:r>
        <w:rPr>
          <w:rFonts w:ascii="宋体" w:hAnsi="宋体" w:cs="宋体"/>
          <w:sz w:val="24"/>
          <w:szCs w:val="24"/>
        </w:rPr>
        <w:t>4.2.4</w:t>
      </w:r>
      <w:r>
        <w:rPr>
          <w:rFonts w:hint="eastAsia" w:ascii="宋体" w:hAnsi="宋体" w:cs="宋体"/>
          <w:sz w:val="24"/>
          <w:szCs w:val="24"/>
        </w:rPr>
        <w:t>第四章响应文件格式</w:t>
      </w:r>
    </w:p>
    <w:p w14:paraId="28449CCB">
      <w:pPr>
        <w:spacing w:line="460" w:lineRule="exact"/>
        <w:ind w:firstLine="480" w:firstLineChars="200"/>
        <w:rPr>
          <w:rFonts w:ascii="宋体" w:cs="Times New Roman"/>
          <w:sz w:val="24"/>
          <w:szCs w:val="24"/>
        </w:rPr>
      </w:pPr>
      <w:r>
        <w:rPr>
          <w:rFonts w:ascii="宋体" w:hAnsi="宋体" w:cs="宋体"/>
          <w:sz w:val="24"/>
          <w:szCs w:val="24"/>
        </w:rPr>
        <w:t>4.2.5</w:t>
      </w:r>
      <w:r>
        <w:rPr>
          <w:rFonts w:hint="eastAsia" w:ascii="宋体" w:hAnsi="宋体" w:cs="宋体"/>
          <w:sz w:val="24"/>
          <w:szCs w:val="24"/>
        </w:rPr>
        <w:t>第五章磋商办法及评分标准</w:t>
      </w:r>
    </w:p>
    <w:p w14:paraId="48EBC9E6">
      <w:pPr>
        <w:spacing w:line="460" w:lineRule="exact"/>
        <w:ind w:firstLine="480" w:firstLineChars="200"/>
        <w:rPr>
          <w:rFonts w:ascii="宋体" w:cs="Times New Roman"/>
          <w:sz w:val="24"/>
          <w:szCs w:val="24"/>
        </w:rPr>
      </w:pPr>
      <w:r>
        <w:rPr>
          <w:rFonts w:ascii="宋体" w:hAnsi="宋体" w:cs="宋体"/>
          <w:sz w:val="24"/>
          <w:szCs w:val="24"/>
        </w:rPr>
        <w:t xml:space="preserve">4.3 </w:t>
      </w:r>
      <w:r>
        <w:rPr>
          <w:rFonts w:hint="eastAsia" w:ascii="宋体" w:hAnsi="宋体" w:cs="宋体"/>
          <w:sz w:val="24"/>
          <w:szCs w:val="24"/>
        </w:rPr>
        <w:t>采购代理机构在磋商截止时间前，以书面形式发出的对磋商文件的澄清或修改内容，均为磋商文件的组成部分，对磋商采购单位和供应商起约束作用。</w:t>
      </w:r>
    </w:p>
    <w:p w14:paraId="26B79BBF">
      <w:pPr>
        <w:spacing w:line="460" w:lineRule="exact"/>
        <w:ind w:firstLine="480" w:firstLineChars="200"/>
        <w:rPr>
          <w:rFonts w:ascii="宋体" w:cs="Times New Roman"/>
          <w:sz w:val="24"/>
          <w:szCs w:val="24"/>
        </w:rPr>
      </w:pPr>
      <w:r>
        <w:rPr>
          <w:rFonts w:ascii="宋体" w:hAnsi="宋体" w:cs="宋体"/>
          <w:sz w:val="24"/>
          <w:szCs w:val="24"/>
        </w:rPr>
        <w:t>4.4</w:t>
      </w:r>
      <w:r>
        <w:rPr>
          <w:rFonts w:hint="eastAsia" w:ascii="宋体" w:hAnsi="宋体" w:cs="宋体"/>
          <w:sz w:val="24"/>
          <w:szCs w:val="24"/>
        </w:rPr>
        <w:t>供应商获取磋商文件后，应仔细检查磋商文件的所有内容，如有残缺等问题，均应在获得磋商文件后</w:t>
      </w:r>
      <w:r>
        <w:rPr>
          <w:rFonts w:hint="eastAsia" w:ascii="宋体" w:hAnsi="宋体" w:cs="宋体"/>
          <w:b/>
          <w:bCs/>
          <w:sz w:val="24"/>
          <w:szCs w:val="24"/>
        </w:rPr>
        <w:t>在</w:t>
      </w:r>
      <w:r>
        <w:rPr>
          <w:rFonts w:ascii="宋体" w:hAnsi="宋体" w:cs="宋体"/>
          <w:b/>
          <w:bCs/>
          <w:sz w:val="24"/>
          <w:szCs w:val="24"/>
        </w:rPr>
        <w:t>3</w:t>
      </w:r>
      <w:r>
        <w:rPr>
          <w:rFonts w:hint="eastAsia" w:ascii="宋体" w:hAnsi="宋体" w:cs="宋体"/>
          <w:b/>
          <w:bCs/>
          <w:sz w:val="24"/>
          <w:szCs w:val="24"/>
        </w:rPr>
        <w:t>个工作日</w:t>
      </w:r>
      <w:r>
        <w:rPr>
          <w:rFonts w:hint="eastAsia" w:ascii="宋体" w:hAnsi="宋体" w:cs="宋体"/>
          <w:sz w:val="24"/>
          <w:szCs w:val="24"/>
        </w:rPr>
        <w:t>内向采购代理机构书面提出，否则，由此引起的损失由供应商自己承担。供应商同时应认真审阅竞争性磋商文件中所有的事项、格式、条款和规范要求（包括补充内容）等所有内容，若供应商的响应文件没有按磋商文件要求提交全部资料，或响应文件没有对磋商文件作出实质性响应，其风险由供应商自行承担，并根据有关条款规定，该响应文件有可能被拒绝。</w:t>
      </w:r>
    </w:p>
    <w:p w14:paraId="4E0FA642">
      <w:pPr>
        <w:spacing w:line="460" w:lineRule="exact"/>
        <w:rPr>
          <w:rFonts w:ascii="宋体" w:cs="Times New Roman"/>
          <w:sz w:val="24"/>
          <w:szCs w:val="24"/>
        </w:rPr>
      </w:pPr>
      <w:r>
        <w:rPr>
          <w:rFonts w:ascii="宋体" w:hAnsi="宋体" w:cs="宋体"/>
          <w:sz w:val="24"/>
          <w:szCs w:val="24"/>
        </w:rPr>
        <w:t>5.</w:t>
      </w:r>
      <w:r>
        <w:rPr>
          <w:rFonts w:hint="eastAsia" w:ascii="宋体" w:hAnsi="宋体" w:cs="宋体"/>
          <w:sz w:val="24"/>
          <w:szCs w:val="24"/>
        </w:rPr>
        <w:t>磋商文件的答疑</w:t>
      </w:r>
    </w:p>
    <w:p w14:paraId="47744E18">
      <w:pPr>
        <w:spacing w:line="460" w:lineRule="exact"/>
        <w:ind w:left="115" w:leftChars="55" w:firstLine="464" w:firstLineChars="200"/>
        <w:rPr>
          <w:rFonts w:ascii="宋体" w:cs="Times New Roman"/>
          <w:sz w:val="24"/>
          <w:szCs w:val="24"/>
        </w:rPr>
      </w:pPr>
      <w:r>
        <w:rPr>
          <w:rFonts w:hint="eastAsia" w:ascii="宋体" w:hAnsi="宋体" w:cs="宋体"/>
          <w:spacing w:val="-4"/>
          <w:sz w:val="24"/>
          <w:szCs w:val="24"/>
        </w:rPr>
        <w:t>供应商如认为磋商文件表述不清晰、存在歧视性或者其他违法内容的，应当在</w:t>
      </w:r>
      <w:r>
        <w:rPr>
          <w:rFonts w:ascii="宋体" w:hAnsi="宋体" w:cs="宋体"/>
          <w:spacing w:val="-4"/>
          <w:sz w:val="24"/>
          <w:szCs w:val="24"/>
        </w:rPr>
        <w:t>2024年</w:t>
      </w:r>
      <w:r>
        <w:rPr>
          <w:rFonts w:hint="eastAsia" w:ascii="宋体" w:hAnsi="宋体" w:cs="宋体"/>
          <w:spacing w:val="-4"/>
          <w:sz w:val="24"/>
          <w:szCs w:val="24"/>
        </w:rPr>
        <w:t xml:space="preserve"> 月 日</w:t>
      </w:r>
      <w:r>
        <w:rPr>
          <w:rFonts w:ascii="宋体" w:hAnsi="宋体" w:cs="宋体"/>
          <w:spacing w:val="-4"/>
          <w:sz w:val="24"/>
          <w:szCs w:val="24"/>
        </w:rPr>
        <w:t>17</w:t>
      </w:r>
      <w:r>
        <w:rPr>
          <w:rFonts w:hint="eastAsia" w:ascii="宋体" w:hAnsi="宋体" w:cs="宋体"/>
          <w:spacing w:val="-4"/>
          <w:sz w:val="24"/>
          <w:szCs w:val="24"/>
        </w:rPr>
        <w:t>：</w:t>
      </w:r>
      <w:r>
        <w:rPr>
          <w:rFonts w:ascii="宋体" w:cs="宋体"/>
          <w:spacing w:val="-4"/>
          <w:sz w:val="24"/>
          <w:szCs w:val="24"/>
        </w:rPr>
        <w:t>00</w:t>
      </w:r>
      <w:r>
        <w:rPr>
          <w:rFonts w:hint="eastAsia" w:ascii="宋体" w:hAnsi="宋体" w:cs="宋体"/>
          <w:spacing w:val="-4"/>
          <w:sz w:val="24"/>
          <w:szCs w:val="24"/>
        </w:rPr>
        <w:t>前以书面（含传真）形式向采购代理机构一次性提出，磋商采购单位将在规</w:t>
      </w:r>
      <w:r>
        <w:rPr>
          <w:rFonts w:hint="eastAsia" w:ascii="宋体" w:hAnsi="宋体" w:cs="宋体"/>
          <w:sz w:val="24"/>
          <w:szCs w:val="24"/>
        </w:rPr>
        <w:t>定的时间内统一进行澄清和修改，并书面（含传真）通知所有认购磋商文件的供应商。供应商未按规定要求提出的，则视同认可竞争性磋商文件，但法律法规及规范性文件有明确规定的除外。</w:t>
      </w:r>
      <w:r>
        <w:rPr>
          <w:rFonts w:hint="eastAsia" w:ascii="宋体" w:hAnsi="宋体" w:cs="宋体"/>
          <w:spacing w:val="-4"/>
          <w:sz w:val="24"/>
          <w:szCs w:val="24"/>
        </w:rPr>
        <w:t>答疑内容是磋商文件的组成部分，并将在网上发布补充（答疑、澄清）文件，潜在供应商应自行关注网站公告，采购人不再一一通知，供应商因自身贻误行为导致磋商失效的，责任自负。</w:t>
      </w:r>
    </w:p>
    <w:p w14:paraId="5DD8C1AF">
      <w:pPr>
        <w:spacing w:line="460" w:lineRule="exact"/>
        <w:rPr>
          <w:rFonts w:ascii="宋体" w:cs="Times New Roman"/>
          <w:sz w:val="24"/>
          <w:szCs w:val="24"/>
        </w:rPr>
      </w:pPr>
      <w:r>
        <w:rPr>
          <w:rFonts w:ascii="宋体" w:hAnsi="宋体" w:cs="宋体"/>
          <w:sz w:val="24"/>
          <w:szCs w:val="24"/>
        </w:rPr>
        <w:t>6.</w:t>
      </w:r>
      <w:r>
        <w:rPr>
          <w:rFonts w:hint="eastAsia" w:ascii="宋体" w:hAnsi="宋体" w:cs="宋体"/>
          <w:sz w:val="24"/>
          <w:szCs w:val="24"/>
        </w:rPr>
        <w:t>磋商文件的澄清、修改</w:t>
      </w:r>
    </w:p>
    <w:p w14:paraId="1E508B38">
      <w:pPr>
        <w:spacing w:line="460" w:lineRule="exact"/>
        <w:ind w:firstLine="480" w:firstLineChars="200"/>
        <w:rPr>
          <w:rFonts w:ascii="宋体" w:cs="Times New Roman"/>
          <w:sz w:val="24"/>
          <w:szCs w:val="24"/>
        </w:rPr>
      </w:pPr>
      <w:r>
        <w:rPr>
          <w:rFonts w:ascii="宋体" w:hAnsi="宋体" w:cs="宋体"/>
          <w:sz w:val="24"/>
          <w:szCs w:val="24"/>
        </w:rPr>
        <w:t>6.1</w:t>
      </w:r>
      <w:r>
        <w:rPr>
          <w:rFonts w:hint="eastAsia" w:ascii="宋体" w:hAnsi="宋体" w:cs="宋体"/>
          <w:sz w:val="24"/>
          <w:szCs w:val="24"/>
        </w:rPr>
        <w:t>在磋商截止时间前，磋商采购单位无论出于自己的考虑，还是出于对供应商提问的澄清，均可对磋商文件用补充文件的方式进行修改。</w:t>
      </w:r>
    </w:p>
    <w:p w14:paraId="67F8980B">
      <w:pPr>
        <w:spacing w:line="460" w:lineRule="exact"/>
        <w:ind w:firstLine="480" w:firstLineChars="200"/>
        <w:rPr>
          <w:rFonts w:ascii="宋体" w:cs="Times New Roman"/>
          <w:sz w:val="24"/>
          <w:szCs w:val="24"/>
        </w:rPr>
      </w:pPr>
      <w:r>
        <w:rPr>
          <w:rFonts w:ascii="宋体" w:hAnsi="宋体" w:cs="宋体"/>
          <w:sz w:val="24"/>
          <w:szCs w:val="24"/>
        </w:rPr>
        <w:t>6.2</w:t>
      </w:r>
      <w:r>
        <w:rPr>
          <w:rFonts w:hint="eastAsia" w:ascii="宋体" w:hAnsi="宋体" w:cs="宋体"/>
          <w:sz w:val="24"/>
          <w:szCs w:val="24"/>
        </w:rPr>
        <w:t>对磋商文件的修改，将以书面或传真的形式通知已报名同一磋商文件的每一供应商。补充文件将作为磋商文件的组成部分，对所有供应商有约束力。供应商在收到该补充文件后，应以书面方式予以确认。</w:t>
      </w:r>
    </w:p>
    <w:p w14:paraId="20ADA092">
      <w:pPr>
        <w:spacing w:line="460" w:lineRule="exact"/>
        <w:rPr>
          <w:rFonts w:ascii="宋体" w:cs="Times New Roman"/>
          <w:sz w:val="24"/>
          <w:szCs w:val="24"/>
        </w:rPr>
      </w:pPr>
      <w:r>
        <w:rPr>
          <w:rFonts w:ascii="宋体" w:hAnsi="宋体" w:cs="宋体"/>
          <w:sz w:val="24"/>
          <w:szCs w:val="24"/>
        </w:rPr>
        <w:t>7.</w:t>
      </w:r>
      <w:r>
        <w:rPr>
          <w:rFonts w:hint="eastAsia" w:ascii="宋体" w:hAnsi="宋体" w:cs="宋体"/>
          <w:sz w:val="24"/>
          <w:szCs w:val="24"/>
        </w:rPr>
        <w:t>供应商应当按照磋商文件的要求编制响应文件。响应文件应对磋商文件提出的要求和条件作出实质性响应（如对供货期限、售后服务、合同主要条款及其他要求等内容作出满足或者优于磋商文件要求和条件的承诺）。</w:t>
      </w:r>
    </w:p>
    <w:p w14:paraId="3708FF35">
      <w:pPr>
        <w:spacing w:line="460" w:lineRule="exact"/>
        <w:rPr>
          <w:rFonts w:ascii="宋体" w:cs="Times New Roman"/>
          <w:b/>
          <w:bCs/>
          <w:sz w:val="24"/>
          <w:szCs w:val="24"/>
        </w:rPr>
      </w:pPr>
      <w:r>
        <w:rPr>
          <w:rFonts w:ascii="宋体" w:hAnsi="宋体" w:cs="宋体"/>
          <w:b/>
          <w:bCs/>
          <w:sz w:val="24"/>
          <w:szCs w:val="24"/>
        </w:rPr>
        <w:t>8.</w:t>
      </w:r>
      <w:r>
        <w:rPr>
          <w:rFonts w:hint="eastAsia" w:ascii="宋体" w:hAnsi="宋体" w:cs="宋体"/>
          <w:b/>
          <w:bCs/>
          <w:sz w:val="24"/>
          <w:szCs w:val="24"/>
        </w:rPr>
        <w:t>电子响应文件组成</w:t>
      </w:r>
    </w:p>
    <w:p w14:paraId="0F3D030D">
      <w:pPr>
        <w:spacing w:line="460" w:lineRule="exact"/>
        <w:ind w:firstLine="470" w:firstLineChars="196"/>
        <w:rPr>
          <w:rFonts w:ascii="宋体" w:hAnsi="宋体" w:cs="宋体"/>
          <w:sz w:val="24"/>
          <w:szCs w:val="24"/>
        </w:rPr>
      </w:pPr>
      <w:r>
        <w:rPr>
          <w:rFonts w:hint="eastAsia" w:ascii="宋体" w:hAnsi="宋体" w:cs="宋体"/>
          <w:sz w:val="24"/>
          <w:szCs w:val="24"/>
        </w:rPr>
        <w:t>电子响应文件由《资格文件》、</w:t>
      </w:r>
      <w:r>
        <w:rPr>
          <w:rFonts w:hint="eastAsia" w:ascii="宋体" w:hAnsi="宋体" w:cs="宋体"/>
          <w:sz w:val="22"/>
        </w:rPr>
        <w:t>《技术</w:t>
      </w:r>
      <w:r>
        <w:rPr>
          <w:rFonts w:ascii="宋体" w:hAnsi="宋体" w:cs="宋体"/>
          <w:sz w:val="22"/>
        </w:rPr>
        <w:t>/</w:t>
      </w:r>
      <w:r>
        <w:rPr>
          <w:rFonts w:hint="eastAsia" w:ascii="宋体" w:hAnsi="宋体" w:cs="宋体"/>
          <w:sz w:val="22"/>
        </w:rPr>
        <w:t>资信</w:t>
      </w:r>
      <w:r>
        <w:rPr>
          <w:rFonts w:ascii="宋体" w:hAnsi="宋体" w:cs="宋体"/>
          <w:sz w:val="22"/>
        </w:rPr>
        <w:t>/</w:t>
      </w:r>
      <w:r>
        <w:rPr>
          <w:rFonts w:hint="eastAsia" w:ascii="宋体" w:hAnsi="宋体" w:cs="宋体"/>
          <w:sz w:val="22"/>
        </w:rPr>
        <w:t>商务文件》</w:t>
      </w:r>
      <w:r>
        <w:rPr>
          <w:rFonts w:hint="eastAsia" w:ascii="宋体" w:hAnsi="宋体" w:cs="宋体"/>
          <w:sz w:val="24"/>
          <w:szCs w:val="24"/>
        </w:rPr>
        <w:t>和《价格部分》组成。供应商应根据“政采云供应商项目采购</w:t>
      </w:r>
      <w:r>
        <w:rPr>
          <w:rFonts w:ascii="宋体" w:cs="宋体"/>
          <w:sz w:val="24"/>
          <w:szCs w:val="24"/>
        </w:rPr>
        <w:t>-</w:t>
      </w:r>
      <w:r>
        <w:rPr>
          <w:rFonts w:hint="eastAsia" w:ascii="宋体" w:hAnsi="宋体" w:cs="宋体"/>
          <w:sz w:val="24"/>
          <w:szCs w:val="24"/>
        </w:rPr>
        <w:t>电子交易操作指南”及本磋商文件规定的格式和顺序编制电子响应文件并进行关联定位。</w:t>
      </w:r>
    </w:p>
    <w:p w14:paraId="43559C11">
      <w:pPr>
        <w:spacing w:line="460" w:lineRule="exact"/>
        <w:ind w:firstLine="472" w:firstLineChars="196"/>
        <w:rPr>
          <w:rFonts w:ascii="宋体" w:cs="Times New Roman"/>
          <w:b/>
          <w:bCs/>
          <w:sz w:val="24"/>
          <w:szCs w:val="24"/>
        </w:rPr>
      </w:pPr>
      <w:r>
        <w:rPr>
          <w:rFonts w:ascii="宋体" w:hAnsi="宋体" w:cs="宋体"/>
          <w:b/>
          <w:bCs/>
          <w:sz w:val="24"/>
          <w:szCs w:val="24"/>
        </w:rPr>
        <w:t>8.1.</w:t>
      </w:r>
      <w:r>
        <w:rPr>
          <w:rFonts w:hint="eastAsia" w:ascii="宋体" w:hAnsi="宋体" w:cs="宋体"/>
          <w:b/>
          <w:bCs/>
          <w:sz w:val="24"/>
          <w:szCs w:val="24"/>
        </w:rPr>
        <w:t>资格文件（</w:t>
      </w:r>
      <w:r>
        <w:rPr>
          <w:rFonts w:hint="eastAsia" w:ascii="宋体" w:hAnsi="宋体"/>
          <w:b/>
          <w:sz w:val="24"/>
        </w:rPr>
        <w:t>如</w:t>
      </w:r>
      <w:r>
        <w:rPr>
          <w:rFonts w:ascii="宋体" w:hAnsi="宋体"/>
          <w:b/>
          <w:sz w:val="24"/>
        </w:rPr>
        <w:t>组成联合体</w:t>
      </w:r>
      <w:r>
        <w:rPr>
          <w:rFonts w:hint="eastAsia" w:ascii="宋体" w:hAnsi="宋体"/>
          <w:b/>
          <w:sz w:val="24"/>
        </w:rPr>
        <w:t>投标</w:t>
      </w:r>
      <w:r>
        <w:rPr>
          <w:rFonts w:ascii="宋体" w:hAnsi="宋体"/>
          <w:b/>
          <w:sz w:val="24"/>
        </w:rPr>
        <w:t>的，</w:t>
      </w:r>
      <w:r>
        <w:rPr>
          <w:rFonts w:hint="eastAsia" w:ascii="宋体" w:hAnsi="宋体"/>
          <w:b/>
          <w:sz w:val="24"/>
        </w:rPr>
        <w:t>需提供</w:t>
      </w:r>
      <w:r>
        <w:rPr>
          <w:rFonts w:ascii="宋体" w:hAnsi="宋体"/>
          <w:b/>
          <w:sz w:val="24"/>
        </w:rPr>
        <w:t>联合体各方</w:t>
      </w:r>
      <w:r>
        <w:rPr>
          <w:rFonts w:hint="eastAsia" w:ascii="宋体" w:hAnsi="宋体"/>
          <w:b/>
          <w:sz w:val="24"/>
        </w:rPr>
        <w:t>资料）：</w:t>
      </w:r>
    </w:p>
    <w:p w14:paraId="36852B10">
      <w:pPr>
        <w:spacing w:line="460" w:lineRule="exact"/>
        <w:ind w:firstLine="470" w:firstLineChars="196"/>
        <w:jc w:val="left"/>
        <w:rPr>
          <w:rFonts w:ascii="宋体" w:cs="Times New Roman"/>
          <w:sz w:val="24"/>
          <w:szCs w:val="24"/>
        </w:rPr>
      </w:pPr>
      <w:r>
        <w:rPr>
          <w:rFonts w:ascii="宋体" w:hAnsi="宋体" w:cs="宋体"/>
          <w:sz w:val="24"/>
          <w:szCs w:val="24"/>
        </w:rPr>
        <w:t>8.1.1</w:t>
      </w:r>
      <w:r>
        <w:rPr>
          <w:rFonts w:hint="eastAsia" w:ascii="宋体" w:hAnsi="宋体" w:cs="宋体"/>
          <w:sz w:val="24"/>
          <w:szCs w:val="24"/>
        </w:rPr>
        <w:t>磋商声明书</w:t>
      </w:r>
      <w:r>
        <w:rPr>
          <w:rFonts w:ascii="宋体" w:hAnsi="宋体" w:cs="宋体"/>
          <w:sz w:val="24"/>
          <w:szCs w:val="24"/>
        </w:rPr>
        <w:t xml:space="preserve"> </w:t>
      </w:r>
      <w:r>
        <w:rPr>
          <w:rFonts w:hint="eastAsia" w:ascii="宋体" w:hAnsi="宋体" w:cs="宋体"/>
          <w:sz w:val="24"/>
          <w:szCs w:val="24"/>
        </w:rPr>
        <w:t>（格式见附件）；</w:t>
      </w:r>
    </w:p>
    <w:p w14:paraId="1F84D15F">
      <w:pPr>
        <w:spacing w:line="360" w:lineRule="auto"/>
        <w:ind w:firstLine="470" w:firstLineChars="196"/>
        <w:jc w:val="left"/>
        <w:rPr>
          <w:rFonts w:ascii="宋体" w:hAnsi="宋体"/>
          <w:sz w:val="24"/>
        </w:rPr>
      </w:pPr>
      <w:r>
        <w:rPr>
          <w:rFonts w:ascii="宋体" w:hAnsi="宋体" w:cs="宋体"/>
          <w:sz w:val="24"/>
          <w:szCs w:val="24"/>
        </w:rPr>
        <w:t>8.1.2</w:t>
      </w:r>
      <w:r>
        <w:rPr>
          <w:rFonts w:hint="eastAsia" w:ascii="宋体" w:hAnsi="宋体" w:cs="宋体"/>
          <w:sz w:val="24"/>
          <w:szCs w:val="24"/>
        </w:rPr>
        <w:t>法定代表人授权委托书（格式见附件）及授权代理人社保证明复印件（社保机构出具的由本单位或分公司为其缴纳的</w:t>
      </w:r>
      <w:r>
        <w:rPr>
          <w:rFonts w:hint="eastAsia" w:ascii="宋体" w:hAnsi="宋体" w:cs="宋体"/>
          <w:kern w:val="0"/>
          <w:sz w:val="24"/>
          <w:szCs w:val="24"/>
        </w:rPr>
        <w:t>最近一个月</w:t>
      </w:r>
      <w:r>
        <w:rPr>
          <w:rFonts w:hint="eastAsia" w:ascii="宋体" w:hAnsi="宋体" w:cs="宋体"/>
          <w:sz w:val="24"/>
          <w:szCs w:val="24"/>
        </w:rPr>
        <w:t>的社保证明）；</w:t>
      </w:r>
      <w:r>
        <w:rPr>
          <w:rFonts w:hint="eastAsia" w:ascii="宋体" w:hAnsi="宋体"/>
          <w:sz w:val="24"/>
        </w:rPr>
        <w:t>（如</w:t>
      </w:r>
      <w:r>
        <w:rPr>
          <w:rFonts w:ascii="Calibri" w:hAnsi="Calibri"/>
          <w:snapToGrid w:val="0"/>
          <w:sz w:val="24"/>
        </w:rPr>
        <w:t>组成联合体</w:t>
      </w:r>
      <w:r>
        <w:rPr>
          <w:rFonts w:hint="eastAsia"/>
          <w:snapToGrid w:val="0"/>
          <w:sz w:val="24"/>
        </w:rPr>
        <w:t>投标</w:t>
      </w:r>
      <w:r>
        <w:rPr>
          <w:rFonts w:ascii="Calibri" w:hAnsi="Calibri"/>
          <w:snapToGrid w:val="0"/>
          <w:sz w:val="24"/>
        </w:rPr>
        <w:t>的，</w:t>
      </w:r>
      <w:r>
        <w:rPr>
          <w:rFonts w:hint="eastAsia" w:ascii="宋体" w:hAnsi="宋体"/>
          <w:sz w:val="24"/>
        </w:rPr>
        <w:t>联合体各方各提交一份联合体主办人授权书）；</w:t>
      </w:r>
    </w:p>
    <w:p w14:paraId="00138A21">
      <w:pPr>
        <w:spacing w:line="360" w:lineRule="auto"/>
        <w:ind w:firstLine="470" w:firstLineChars="196"/>
        <w:jc w:val="left"/>
        <w:rPr>
          <w:rFonts w:ascii="宋体" w:cs="Times New Roman"/>
          <w:sz w:val="24"/>
          <w:szCs w:val="24"/>
        </w:rPr>
      </w:pPr>
      <w:r>
        <w:rPr>
          <w:rFonts w:ascii="宋体" w:hAnsi="宋体" w:cs="宋体"/>
          <w:sz w:val="24"/>
          <w:szCs w:val="24"/>
        </w:rPr>
        <w:t>8.1.3</w:t>
      </w:r>
      <w:r>
        <w:rPr>
          <w:rFonts w:hint="eastAsia" w:ascii="宋体" w:hAnsi="宋体" w:cs="宋体"/>
          <w:sz w:val="24"/>
          <w:szCs w:val="24"/>
        </w:rPr>
        <w:t>近三个月依法缴纳税收和社保费的证明【税费凭证，或者依法缴纳税费或依法免缴税费的证明】（复印件各一份）；</w:t>
      </w:r>
    </w:p>
    <w:p w14:paraId="167B423A">
      <w:pPr>
        <w:spacing w:line="360" w:lineRule="auto"/>
        <w:ind w:firstLine="470" w:firstLineChars="196"/>
        <w:jc w:val="left"/>
        <w:rPr>
          <w:rFonts w:ascii="宋体" w:cs="Times New Roman"/>
          <w:sz w:val="24"/>
          <w:szCs w:val="24"/>
        </w:rPr>
      </w:pPr>
      <w:r>
        <w:rPr>
          <w:rFonts w:ascii="宋体" w:hAnsi="宋体" w:cs="宋体"/>
          <w:sz w:val="24"/>
          <w:szCs w:val="24"/>
        </w:rPr>
        <w:t>8.1.4</w:t>
      </w:r>
      <w:r>
        <w:rPr>
          <w:rFonts w:hint="eastAsia" w:ascii="宋体" w:hAnsi="宋体" w:cs="宋体"/>
          <w:sz w:val="24"/>
          <w:szCs w:val="24"/>
        </w:rPr>
        <w:t>有效期内的企业营业执照副本复印件；</w:t>
      </w:r>
    </w:p>
    <w:p w14:paraId="6C84DECC">
      <w:pPr>
        <w:spacing w:line="460" w:lineRule="exact"/>
        <w:ind w:firstLine="470" w:firstLineChars="196"/>
        <w:jc w:val="left"/>
        <w:rPr>
          <w:rFonts w:ascii="宋体" w:hAnsi="宋体"/>
          <w:sz w:val="24"/>
        </w:rPr>
      </w:pPr>
      <w:r>
        <w:rPr>
          <w:rFonts w:ascii="宋体" w:hAnsi="宋体" w:cs="宋体"/>
          <w:sz w:val="24"/>
          <w:szCs w:val="24"/>
        </w:rPr>
        <w:t>8.1.5</w:t>
      </w:r>
      <w:r>
        <w:rPr>
          <w:rFonts w:hint="eastAsia" w:ascii="宋体" w:hAnsi="宋体"/>
          <w:sz w:val="24"/>
        </w:rPr>
        <w:t>提供自磋商公告发布之日起至任意时间的“信用中国”网站（www.creditchina.gov.cn）、中国政府采购网（www.ccgp.gov.cn）供应商信用查询网页截图（以开标当日采购人或由采购代理机构核实的查询结果为准）；</w:t>
      </w:r>
    </w:p>
    <w:p w14:paraId="1C7F0870">
      <w:pPr>
        <w:spacing w:line="460" w:lineRule="exact"/>
        <w:ind w:firstLine="470" w:firstLineChars="196"/>
        <w:jc w:val="left"/>
        <w:rPr>
          <w:rFonts w:ascii="宋体" w:hAnsi="宋体"/>
          <w:sz w:val="24"/>
        </w:rPr>
      </w:pPr>
      <w:r>
        <w:rPr>
          <w:rFonts w:hint="eastAsia" w:ascii="宋体" w:hAnsi="宋体"/>
          <w:sz w:val="24"/>
        </w:rPr>
        <w:t>8.1.6近二年度（2022、2023年）企业的财务报表或银行资信证明；</w:t>
      </w:r>
    </w:p>
    <w:p w14:paraId="231AE41B">
      <w:pPr>
        <w:spacing w:line="460" w:lineRule="exact"/>
        <w:ind w:firstLine="470" w:firstLineChars="196"/>
        <w:jc w:val="left"/>
        <w:rPr>
          <w:rFonts w:ascii="宋体" w:hAnsi="宋体"/>
          <w:sz w:val="24"/>
        </w:rPr>
      </w:pPr>
      <w:r>
        <w:rPr>
          <w:rFonts w:hint="eastAsia" w:ascii="宋体" w:hAnsi="宋体" w:eastAsia="宋体" w:cs="仿宋"/>
          <w:sz w:val="24"/>
        </w:rPr>
        <w:t>8.1.7</w:t>
      </w:r>
      <w:r>
        <w:rPr>
          <w:rFonts w:hint="eastAsia" w:ascii="宋体" w:hAnsi="宋体" w:cs="仿宋"/>
          <w:sz w:val="24"/>
        </w:rPr>
        <w:t>联合体各方共同磋商协议或分包意向协议（如有，格式自拟）</w:t>
      </w:r>
      <w:r>
        <w:rPr>
          <w:rFonts w:hint="eastAsia" w:ascii="宋体" w:hAnsi="宋体"/>
          <w:sz w:val="24"/>
        </w:rPr>
        <w:t>；</w:t>
      </w:r>
    </w:p>
    <w:p w14:paraId="2869C31B">
      <w:pPr>
        <w:spacing w:line="460" w:lineRule="exact"/>
        <w:ind w:firstLine="470" w:firstLineChars="196"/>
        <w:jc w:val="left"/>
        <w:rPr>
          <w:rFonts w:ascii="宋体" w:hAnsi="宋体"/>
          <w:sz w:val="24"/>
        </w:rPr>
      </w:pPr>
      <w:r>
        <w:rPr>
          <w:rFonts w:hint="eastAsia" w:ascii="宋体" w:hAnsi="宋体" w:eastAsia="宋体" w:cs="仿宋"/>
          <w:sz w:val="24"/>
        </w:rPr>
        <w:t>8.1.8企业资质证书复印件。</w:t>
      </w:r>
    </w:p>
    <w:p w14:paraId="033CE744">
      <w:pPr>
        <w:spacing w:line="460" w:lineRule="exact"/>
        <w:ind w:firstLine="470" w:firstLineChars="196"/>
        <w:jc w:val="left"/>
        <w:rPr>
          <w:rFonts w:ascii="宋体" w:cs="Times New Roman"/>
          <w:sz w:val="24"/>
          <w:szCs w:val="24"/>
        </w:rPr>
      </w:pPr>
      <w:r>
        <w:rPr>
          <w:rFonts w:hint="eastAsia" w:ascii="宋体" w:hAnsi="宋体"/>
          <w:sz w:val="24"/>
        </w:rPr>
        <w:t>注：▲法定代表人授权委托书、磋商声明书必</w:t>
      </w:r>
      <w:r>
        <w:rPr>
          <w:rFonts w:hint="eastAsia" w:ascii="宋体" w:hAnsi="宋体" w:cs="宋体"/>
          <w:sz w:val="24"/>
          <w:szCs w:val="24"/>
        </w:rPr>
        <w:t>须由法定代表人签名或盖章并加盖单位公章。</w:t>
      </w:r>
    </w:p>
    <w:p w14:paraId="394A0FBA">
      <w:pPr>
        <w:spacing w:line="360" w:lineRule="auto"/>
        <w:ind w:firstLine="472" w:firstLineChars="196"/>
        <w:jc w:val="left"/>
        <w:rPr>
          <w:rFonts w:ascii="宋体" w:hAnsi="宋体" w:cs="宋体"/>
          <w:b/>
          <w:bCs/>
          <w:sz w:val="24"/>
          <w:szCs w:val="24"/>
        </w:rPr>
      </w:pPr>
      <w:r>
        <w:rPr>
          <w:rFonts w:ascii="宋体" w:hAnsi="宋体" w:cs="宋体"/>
          <w:b/>
          <w:bCs/>
          <w:sz w:val="24"/>
          <w:szCs w:val="24"/>
        </w:rPr>
        <w:t xml:space="preserve">8.2 </w:t>
      </w:r>
      <w:r>
        <w:rPr>
          <w:rFonts w:hint="eastAsia" w:ascii="宋体" w:hAnsi="宋体" w:cs="宋体"/>
          <w:b/>
          <w:bCs/>
          <w:sz w:val="24"/>
          <w:szCs w:val="24"/>
        </w:rPr>
        <w:t>技术文件</w:t>
      </w:r>
    </w:p>
    <w:p w14:paraId="1C005C71">
      <w:pPr>
        <w:spacing w:line="360" w:lineRule="auto"/>
        <w:ind w:firstLine="470" w:firstLineChars="196"/>
        <w:jc w:val="left"/>
        <w:rPr>
          <w:rFonts w:ascii="宋体" w:hAnsi="宋体" w:cs="宋体"/>
          <w:sz w:val="24"/>
          <w:szCs w:val="24"/>
        </w:rPr>
      </w:pPr>
      <w:r>
        <w:rPr>
          <w:rFonts w:ascii="宋体" w:hAnsi="宋体" w:cs="宋体"/>
          <w:sz w:val="24"/>
          <w:szCs w:val="24"/>
        </w:rPr>
        <w:t>8.2.1</w:t>
      </w:r>
      <w:r>
        <w:rPr>
          <w:rFonts w:hint="eastAsia" w:ascii="宋体"/>
          <w:sz w:val="24"/>
        </w:rPr>
        <w:t>对本项目的总体理解</w:t>
      </w:r>
      <w:r>
        <w:rPr>
          <w:rFonts w:hint="eastAsia" w:ascii="宋体" w:hAnsi="宋体" w:cs="宋体"/>
          <w:sz w:val="24"/>
          <w:szCs w:val="24"/>
        </w:rPr>
        <w:t>；</w:t>
      </w:r>
    </w:p>
    <w:p w14:paraId="7615FF97">
      <w:pPr>
        <w:spacing w:line="360" w:lineRule="auto"/>
        <w:ind w:firstLine="470" w:firstLineChars="196"/>
        <w:jc w:val="left"/>
        <w:rPr>
          <w:rFonts w:ascii="宋体" w:cs="Times New Roman"/>
          <w:sz w:val="24"/>
          <w:szCs w:val="24"/>
        </w:rPr>
      </w:pPr>
      <w:r>
        <w:rPr>
          <w:rFonts w:ascii="宋体"/>
          <w:sz w:val="24"/>
        </w:rPr>
        <w:t>8.2.2</w:t>
      </w:r>
      <w:r>
        <w:rPr>
          <w:rFonts w:hint="eastAsia" w:ascii="宋体"/>
          <w:sz w:val="24"/>
        </w:rPr>
        <w:t>技术服务方案；</w:t>
      </w:r>
    </w:p>
    <w:p w14:paraId="71269380">
      <w:pPr>
        <w:spacing w:line="360" w:lineRule="auto"/>
        <w:ind w:firstLine="470" w:firstLineChars="196"/>
        <w:jc w:val="left"/>
        <w:rPr>
          <w:rFonts w:ascii="宋体"/>
          <w:sz w:val="24"/>
        </w:rPr>
      </w:pPr>
      <w:r>
        <w:rPr>
          <w:rFonts w:ascii="宋体"/>
          <w:sz w:val="24"/>
        </w:rPr>
        <w:t>8.2.3</w:t>
      </w:r>
      <w:r>
        <w:rPr>
          <w:rFonts w:ascii="宋体" w:hAnsi="宋体" w:cs="宋体"/>
          <w:sz w:val="24"/>
          <w:szCs w:val="24"/>
        </w:rPr>
        <w:t>质量保证措施</w:t>
      </w:r>
      <w:r>
        <w:rPr>
          <w:rFonts w:hint="eastAsia" w:ascii="宋体"/>
          <w:sz w:val="24"/>
        </w:rPr>
        <w:t>；</w:t>
      </w:r>
    </w:p>
    <w:p w14:paraId="659BF8E5">
      <w:pPr>
        <w:spacing w:line="360" w:lineRule="auto"/>
        <w:ind w:firstLine="470" w:firstLineChars="196"/>
        <w:jc w:val="left"/>
        <w:rPr>
          <w:rFonts w:ascii="宋体"/>
          <w:sz w:val="24"/>
        </w:rPr>
      </w:pPr>
      <w:r>
        <w:rPr>
          <w:rFonts w:ascii="宋体" w:hAnsi="宋体" w:cs="宋体"/>
          <w:sz w:val="24"/>
          <w:szCs w:val="24"/>
        </w:rPr>
        <w:t>8.2.4</w:t>
      </w:r>
      <w:r>
        <w:rPr>
          <w:rFonts w:hint="eastAsia" w:ascii="宋体" w:eastAsia="宋体"/>
          <w:kern w:val="0"/>
          <w:sz w:val="24"/>
          <w:szCs w:val="20"/>
        </w:rPr>
        <w:t>进度安排方案</w:t>
      </w:r>
      <w:r>
        <w:rPr>
          <w:rFonts w:hint="eastAsia" w:ascii="宋体"/>
          <w:sz w:val="24"/>
        </w:rPr>
        <w:t>；</w:t>
      </w:r>
    </w:p>
    <w:p w14:paraId="6B023D79">
      <w:pPr>
        <w:spacing w:line="360" w:lineRule="auto"/>
        <w:ind w:firstLine="470" w:firstLineChars="196"/>
        <w:jc w:val="left"/>
        <w:rPr>
          <w:rFonts w:ascii="宋体"/>
          <w:sz w:val="24"/>
        </w:rPr>
      </w:pPr>
      <w:r>
        <w:rPr>
          <w:rFonts w:ascii="宋体" w:hAnsi="宋体" w:cs="宋体"/>
          <w:sz w:val="24"/>
          <w:szCs w:val="24"/>
        </w:rPr>
        <w:t>8.2.</w:t>
      </w:r>
      <w:r>
        <w:rPr>
          <w:rFonts w:hint="eastAsia" w:ascii="宋体" w:hAnsi="宋体" w:cs="宋体"/>
          <w:sz w:val="24"/>
          <w:szCs w:val="24"/>
        </w:rPr>
        <w:t>5</w:t>
      </w:r>
      <w:r>
        <w:rPr>
          <w:rFonts w:hint="eastAsia" w:ascii="宋体" w:eastAsia="宋体"/>
          <w:kern w:val="0"/>
          <w:sz w:val="24"/>
          <w:szCs w:val="20"/>
        </w:rPr>
        <w:t>应急预案</w:t>
      </w:r>
      <w:r>
        <w:rPr>
          <w:rFonts w:hint="eastAsia" w:ascii="宋体"/>
          <w:sz w:val="24"/>
        </w:rPr>
        <w:t>；</w:t>
      </w:r>
    </w:p>
    <w:p w14:paraId="1F6FFA0F">
      <w:pPr>
        <w:spacing w:line="360" w:lineRule="auto"/>
        <w:ind w:firstLine="470" w:firstLineChars="196"/>
        <w:jc w:val="left"/>
        <w:rPr>
          <w:rFonts w:ascii="宋体"/>
          <w:sz w:val="24"/>
        </w:rPr>
      </w:pPr>
      <w:r>
        <w:rPr>
          <w:rFonts w:ascii="宋体" w:hAnsi="宋体" w:cs="宋体"/>
          <w:sz w:val="24"/>
          <w:szCs w:val="24"/>
        </w:rPr>
        <w:t>8.2.</w:t>
      </w:r>
      <w:r>
        <w:rPr>
          <w:rFonts w:hint="eastAsia" w:ascii="宋体" w:hAnsi="宋体" w:cs="宋体"/>
          <w:sz w:val="24"/>
          <w:szCs w:val="24"/>
        </w:rPr>
        <w:t>6磋商项目实施人员一览表</w:t>
      </w:r>
      <w:r>
        <w:rPr>
          <w:rFonts w:hint="eastAsia" w:ascii="宋体"/>
          <w:sz w:val="24"/>
        </w:rPr>
        <w:t>；</w:t>
      </w:r>
    </w:p>
    <w:p w14:paraId="180C3868">
      <w:pPr>
        <w:spacing w:line="360" w:lineRule="auto"/>
        <w:ind w:firstLine="470" w:firstLineChars="196"/>
        <w:jc w:val="left"/>
        <w:rPr>
          <w:rFonts w:ascii="宋体"/>
          <w:sz w:val="24"/>
        </w:rPr>
      </w:pPr>
      <w:r>
        <w:rPr>
          <w:rFonts w:ascii="宋体" w:hAnsi="宋体" w:cs="宋体"/>
          <w:sz w:val="24"/>
          <w:szCs w:val="24"/>
        </w:rPr>
        <w:t>8.2.</w:t>
      </w:r>
      <w:r>
        <w:rPr>
          <w:rFonts w:hint="eastAsia" w:ascii="宋体" w:hAnsi="宋体" w:cs="宋体"/>
          <w:sz w:val="24"/>
          <w:szCs w:val="24"/>
        </w:rPr>
        <w:t>7</w:t>
      </w:r>
      <w:r>
        <w:rPr>
          <w:rFonts w:hint="eastAsia" w:ascii="宋体" w:cs="宋体"/>
          <w:sz w:val="24"/>
          <w:szCs w:val="24"/>
        </w:rPr>
        <w:t>实验室及</w:t>
      </w:r>
      <w:r>
        <w:rPr>
          <w:rFonts w:hint="eastAsia" w:ascii="宋体" w:hAnsi="Times New Roman" w:cs="宋体"/>
          <w:sz w:val="24"/>
          <w:szCs w:val="24"/>
        </w:rPr>
        <w:t>设备配置</w:t>
      </w:r>
      <w:r>
        <w:rPr>
          <w:rFonts w:hint="eastAsia" w:ascii="宋体"/>
          <w:sz w:val="24"/>
        </w:rPr>
        <w:t>；</w:t>
      </w:r>
    </w:p>
    <w:p w14:paraId="20C44592">
      <w:pPr>
        <w:spacing w:line="360" w:lineRule="auto"/>
        <w:ind w:firstLine="470" w:firstLineChars="196"/>
        <w:jc w:val="left"/>
        <w:rPr>
          <w:rFonts w:ascii="宋体" w:hAnsi="宋体" w:cs="宋体"/>
          <w:sz w:val="24"/>
          <w:szCs w:val="24"/>
        </w:rPr>
      </w:pPr>
      <w:r>
        <w:rPr>
          <w:rFonts w:ascii="宋体" w:hAnsi="宋体" w:cs="宋体"/>
          <w:sz w:val="24"/>
          <w:szCs w:val="24"/>
        </w:rPr>
        <w:t>8.2.</w:t>
      </w:r>
      <w:r>
        <w:rPr>
          <w:rFonts w:hint="eastAsia" w:ascii="宋体" w:hAnsi="宋体" w:cs="宋体"/>
          <w:sz w:val="24"/>
          <w:szCs w:val="24"/>
        </w:rPr>
        <w:t>8本项目有效的改进措施和合理化建议</w:t>
      </w:r>
      <w:r>
        <w:rPr>
          <w:rFonts w:hint="eastAsia" w:ascii="宋体"/>
          <w:sz w:val="24"/>
        </w:rPr>
        <w:t>；</w:t>
      </w:r>
    </w:p>
    <w:p w14:paraId="3633F659">
      <w:pPr>
        <w:spacing w:line="360" w:lineRule="auto"/>
        <w:ind w:firstLine="470" w:firstLineChars="196"/>
        <w:jc w:val="left"/>
        <w:rPr>
          <w:rFonts w:ascii="宋体" w:cs="Times New Roman"/>
          <w:sz w:val="24"/>
          <w:szCs w:val="24"/>
        </w:rPr>
      </w:pPr>
      <w:r>
        <w:rPr>
          <w:rFonts w:ascii="宋体" w:hAnsi="宋体" w:cs="宋体"/>
          <w:sz w:val="24"/>
          <w:szCs w:val="24"/>
        </w:rPr>
        <w:t>8.2.</w:t>
      </w:r>
      <w:r>
        <w:rPr>
          <w:rFonts w:hint="eastAsia" w:ascii="宋体" w:hAnsi="宋体" w:cs="宋体"/>
          <w:sz w:val="24"/>
          <w:szCs w:val="24"/>
        </w:rPr>
        <w:t>9供应商需要说明的其他文件和说明（格式略）。</w:t>
      </w:r>
    </w:p>
    <w:p w14:paraId="47C6AAD6">
      <w:pPr>
        <w:spacing w:line="360" w:lineRule="auto"/>
        <w:ind w:firstLine="472" w:firstLineChars="196"/>
        <w:jc w:val="left"/>
        <w:rPr>
          <w:rFonts w:ascii="宋体" w:cs="Times New Roman"/>
          <w:b/>
          <w:bCs/>
          <w:sz w:val="24"/>
          <w:szCs w:val="24"/>
        </w:rPr>
      </w:pPr>
      <w:r>
        <w:rPr>
          <w:rFonts w:hint="eastAsia" w:ascii="宋体" w:hAnsi="宋体" w:cs="宋体"/>
          <w:b/>
          <w:bCs/>
          <w:sz w:val="24"/>
          <w:szCs w:val="24"/>
        </w:rPr>
        <w:t>资信</w:t>
      </w:r>
      <w:r>
        <w:rPr>
          <w:rFonts w:ascii="宋体" w:hAnsi="宋体" w:cs="宋体"/>
          <w:b/>
          <w:bCs/>
          <w:sz w:val="24"/>
          <w:szCs w:val="24"/>
        </w:rPr>
        <w:t>/</w:t>
      </w:r>
      <w:r>
        <w:rPr>
          <w:rFonts w:hint="eastAsia" w:ascii="宋体" w:hAnsi="宋体" w:cs="宋体"/>
          <w:b/>
          <w:bCs/>
          <w:sz w:val="24"/>
          <w:szCs w:val="24"/>
        </w:rPr>
        <w:t>商务文件：</w:t>
      </w:r>
    </w:p>
    <w:p w14:paraId="31808C16">
      <w:pPr>
        <w:spacing w:line="360" w:lineRule="auto"/>
        <w:ind w:firstLine="480" w:firstLineChars="200"/>
        <w:rPr>
          <w:rFonts w:ascii="宋体" w:hAnsi="宋体" w:cs="宋体"/>
          <w:sz w:val="24"/>
          <w:szCs w:val="24"/>
        </w:rPr>
      </w:pPr>
      <w:r>
        <w:rPr>
          <w:rFonts w:ascii="宋体" w:hAnsi="宋体" w:cs="宋体"/>
          <w:sz w:val="24"/>
          <w:szCs w:val="24"/>
        </w:rPr>
        <w:t>8.2.</w:t>
      </w:r>
      <w:r>
        <w:rPr>
          <w:rFonts w:hint="eastAsia" w:ascii="宋体" w:hAnsi="宋体" w:cs="宋体"/>
          <w:sz w:val="24"/>
          <w:szCs w:val="24"/>
        </w:rPr>
        <w:t>10类似案例成功的业绩（供应商同类项目实施情况一览表、合同复印件）；</w:t>
      </w:r>
    </w:p>
    <w:p w14:paraId="4965D622">
      <w:pPr>
        <w:spacing w:line="360" w:lineRule="auto"/>
        <w:ind w:firstLine="480" w:firstLineChars="200"/>
        <w:rPr>
          <w:rFonts w:ascii="宋体" w:hAnsi="宋体" w:cs="宋体"/>
          <w:sz w:val="24"/>
          <w:szCs w:val="24"/>
        </w:rPr>
      </w:pPr>
      <w:r>
        <w:rPr>
          <w:rFonts w:ascii="宋体" w:hAnsi="宋体" w:cs="宋体"/>
          <w:sz w:val="24"/>
          <w:szCs w:val="24"/>
        </w:rPr>
        <w:t>8.2.</w:t>
      </w:r>
      <w:r>
        <w:rPr>
          <w:rFonts w:hint="eastAsia" w:ascii="宋体" w:hAnsi="宋体" w:cs="宋体"/>
          <w:sz w:val="24"/>
          <w:szCs w:val="24"/>
        </w:rPr>
        <w:t>11权威认证；</w:t>
      </w:r>
    </w:p>
    <w:p w14:paraId="14D7F099">
      <w:pPr>
        <w:spacing w:line="360" w:lineRule="auto"/>
        <w:ind w:firstLine="480" w:firstLineChars="200"/>
        <w:rPr>
          <w:rFonts w:ascii="宋体" w:hAnsi="宋体" w:cs="宋体"/>
          <w:sz w:val="24"/>
          <w:szCs w:val="24"/>
        </w:rPr>
      </w:pPr>
      <w:r>
        <w:rPr>
          <w:rFonts w:ascii="宋体" w:hAnsi="宋体" w:cs="宋体"/>
          <w:sz w:val="24"/>
          <w:szCs w:val="24"/>
        </w:rPr>
        <w:t>8.2.1</w:t>
      </w:r>
      <w:r>
        <w:rPr>
          <w:rFonts w:hint="eastAsia" w:ascii="宋体" w:hAnsi="宋体" w:cs="宋体"/>
          <w:sz w:val="24"/>
          <w:szCs w:val="24"/>
        </w:rPr>
        <w:t>2商务响应表（格式见附件）；</w:t>
      </w:r>
    </w:p>
    <w:p w14:paraId="6481B329">
      <w:pPr>
        <w:spacing w:line="360" w:lineRule="auto"/>
        <w:ind w:firstLine="470" w:firstLineChars="196"/>
        <w:jc w:val="left"/>
        <w:rPr>
          <w:rFonts w:ascii="宋体" w:hAnsi="宋体" w:cs="宋体"/>
          <w:sz w:val="24"/>
          <w:szCs w:val="24"/>
        </w:rPr>
      </w:pPr>
      <w:r>
        <w:rPr>
          <w:rFonts w:ascii="宋体" w:hAnsi="宋体" w:cs="宋体"/>
          <w:sz w:val="24"/>
          <w:szCs w:val="24"/>
        </w:rPr>
        <w:t>8.2.1</w:t>
      </w:r>
      <w:r>
        <w:rPr>
          <w:rFonts w:hint="eastAsia" w:ascii="宋体" w:hAnsi="宋体" w:cs="宋体"/>
          <w:sz w:val="24"/>
          <w:szCs w:val="24"/>
        </w:rPr>
        <w:t>3服务承诺；</w:t>
      </w:r>
    </w:p>
    <w:p w14:paraId="61C6A1DB">
      <w:pPr>
        <w:spacing w:line="360" w:lineRule="auto"/>
        <w:ind w:firstLine="470" w:firstLineChars="196"/>
        <w:jc w:val="left"/>
        <w:rPr>
          <w:rFonts w:ascii="宋体" w:hAnsi="宋体" w:cs="宋体"/>
          <w:color w:val="000000" w:themeColor="text1"/>
          <w:sz w:val="24"/>
          <w:szCs w:val="24"/>
          <w14:textFill>
            <w14:solidFill>
              <w14:schemeClr w14:val="tx1"/>
            </w14:solidFill>
          </w14:textFill>
        </w:rPr>
      </w:pPr>
      <w:r>
        <w:rPr>
          <w:rFonts w:ascii="宋体" w:hAnsi="宋体" w:cs="宋体"/>
          <w:sz w:val="24"/>
          <w:szCs w:val="24"/>
        </w:rPr>
        <w:t>8.2.1</w:t>
      </w:r>
      <w:r>
        <w:rPr>
          <w:rFonts w:hint="eastAsia" w:ascii="宋体" w:hAnsi="宋体" w:cs="宋体"/>
          <w:sz w:val="24"/>
          <w:szCs w:val="24"/>
        </w:rPr>
        <w:t>4</w:t>
      </w:r>
      <w:r>
        <w:rPr>
          <w:rFonts w:hint="eastAsia" w:ascii="宋体" w:hAnsi="宋体" w:cs="宋体"/>
          <w:color w:val="000000" w:themeColor="text1"/>
          <w:sz w:val="24"/>
          <w:szCs w:val="24"/>
          <w14:textFill>
            <w14:solidFill>
              <w14:schemeClr w14:val="tx1"/>
            </w14:solidFill>
          </w14:textFill>
        </w:rPr>
        <w:t>培训方案；</w:t>
      </w:r>
    </w:p>
    <w:p w14:paraId="686803C5">
      <w:pPr>
        <w:spacing w:line="360" w:lineRule="auto"/>
        <w:ind w:firstLine="470" w:firstLineChars="196"/>
        <w:jc w:val="left"/>
        <w:rPr>
          <w:rFonts w:ascii="宋体" w:hAnsi="宋体" w:cs="宋体"/>
          <w:sz w:val="24"/>
          <w:szCs w:val="24"/>
        </w:rPr>
      </w:pPr>
      <w:r>
        <w:rPr>
          <w:rFonts w:ascii="宋体" w:hAnsi="宋体" w:cs="宋体"/>
          <w:sz w:val="24"/>
          <w:szCs w:val="24"/>
        </w:rPr>
        <w:t>8.2.1</w:t>
      </w:r>
      <w:r>
        <w:rPr>
          <w:rFonts w:hint="eastAsia" w:ascii="宋体" w:hAnsi="宋体" w:cs="宋体"/>
          <w:sz w:val="24"/>
          <w:szCs w:val="24"/>
        </w:rPr>
        <w:t>5</w:t>
      </w:r>
      <w:r>
        <w:rPr>
          <w:rFonts w:hint="eastAsia" w:ascii="宋体" w:hAnsi="宋体" w:cs="宋体"/>
          <w:color w:val="000000" w:themeColor="text1"/>
          <w:sz w:val="24"/>
          <w:szCs w:val="24"/>
          <w14:textFill>
            <w14:solidFill>
              <w14:schemeClr w14:val="tx1"/>
            </w14:solidFill>
          </w14:textFill>
        </w:rPr>
        <w:t>响应时间</w:t>
      </w:r>
    </w:p>
    <w:p w14:paraId="02019C48">
      <w:pPr>
        <w:spacing w:line="360" w:lineRule="auto"/>
        <w:ind w:firstLine="470" w:firstLineChars="196"/>
        <w:jc w:val="left"/>
      </w:pPr>
      <w:r>
        <w:rPr>
          <w:rFonts w:ascii="宋体" w:hAnsi="宋体" w:cs="宋体"/>
          <w:sz w:val="24"/>
          <w:szCs w:val="24"/>
        </w:rPr>
        <w:t>8.2.1</w:t>
      </w:r>
      <w:r>
        <w:rPr>
          <w:rFonts w:hint="eastAsia" w:ascii="宋体" w:hAnsi="宋体" w:cs="宋体"/>
          <w:sz w:val="24"/>
          <w:szCs w:val="24"/>
        </w:rPr>
        <w:t>6技术、商务、资信及其他分自评表。</w:t>
      </w:r>
    </w:p>
    <w:p w14:paraId="72B55088">
      <w:pPr>
        <w:spacing w:line="360" w:lineRule="auto"/>
        <w:ind w:firstLine="482" w:firstLineChars="200"/>
        <w:rPr>
          <w:rFonts w:ascii="宋体" w:cs="Times New Roman"/>
          <w:b/>
          <w:bCs/>
          <w:sz w:val="24"/>
          <w:szCs w:val="24"/>
        </w:rPr>
      </w:pPr>
      <w:r>
        <w:rPr>
          <w:rFonts w:ascii="宋体" w:hAnsi="宋体" w:cs="宋体"/>
          <w:b/>
          <w:bCs/>
          <w:sz w:val="24"/>
          <w:szCs w:val="24"/>
        </w:rPr>
        <w:t>8.3</w:t>
      </w:r>
      <w:r>
        <w:rPr>
          <w:rFonts w:hint="eastAsia" w:ascii="宋体" w:hAnsi="宋体" w:cs="宋体"/>
          <w:b/>
          <w:bCs/>
          <w:sz w:val="24"/>
          <w:szCs w:val="24"/>
        </w:rPr>
        <w:t>价格部分</w:t>
      </w:r>
    </w:p>
    <w:p w14:paraId="2802009C">
      <w:pPr>
        <w:spacing w:line="360" w:lineRule="auto"/>
        <w:ind w:firstLine="480" w:firstLineChars="200"/>
        <w:rPr>
          <w:rFonts w:ascii="宋体" w:hAnsi="宋体" w:cs="宋体"/>
          <w:sz w:val="24"/>
          <w:szCs w:val="24"/>
        </w:rPr>
      </w:pPr>
      <w:r>
        <w:rPr>
          <w:rFonts w:ascii="宋体" w:hAnsi="宋体" w:cs="宋体"/>
          <w:sz w:val="24"/>
          <w:szCs w:val="24"/>
        </w:rPr>
        <w:t>8.3.1</w:t>
      </w:r>
      <w:r>
        <w:rPr>
          <w:rFonts w:hint="eastAsia" w:ascii="宋体" w:hAnsi="宋体" w:cs="宋体"/>
          <w:sz w:val="24"/>
          <w:szCs w:val="24"/>
        </w:rPr>
        <w:t>磋商报价一览表（首次报价）；</w:t>
      </w:r>
    </w:p>
    <w:p w14:paraId="311AED05">
      <w:pPr>
        <w:spacing w:line="360" w:lineRule="auto"/>
        <w:ind w:firstLine="480" w:firstLineChars="200"/>
        <w:rPr>
          <w:rFonts w:ascii="宋体" w:hAnsi="宋体" w:cs="宋体"/>
          <w:sz w:val="24"/>
          <w:szCs w:val="24"/>
        </w:rPr>
      </w:pPr>
      <w:r>
        <w:rPr>
          <w:rFonts w:ascii="宋体" w:hAnsi="宋体" w:cs="宋体"/>
          <w:sz w:val="24"/>
          <w:szCs w:val="24"/>
        </w:rPr>
        <w:t xml:space="preserve">8.3.2 </w:t>
      </w:r>
      <w:r>
        <w:rPr>
          <w:rFonts w:hint="eastAsia" w:ascii="宋体" w:hAnsi="宋体" w:cs="宋体"/>
          <w:sz w:val="24"/>
          <w:szCs w:val="24"/>
        </w:rPr>
        <w:t>磋商报价明细表：</w:t>
      </w:r>
    </w:p>
    <w:p w14:paraId="68CAFF04">
      <w:pPr>
        <w:spacing w:line="360" w:lineRule="auto"/>
        <w:ind w:firstLine="480" w:firstLineChars="200"/>
        <w:rPr>
          <w:rFonts w:ascii="宋体" w:hAnsi="宋体" w:cs="仿宋"/>
          <w:sz w:val="24"/>
        </w:rPr>
      </w:pPr>
      <w:r>
        <w:rPr>
          <w:rFonts w:ascii="宋体" w:hAnsi="宋体" w:cs="宋体"/>
          <w:sz w:val="24"/>
          <w:szCs w:val="24"/>
        </w:rPr>
        <w:t>8.3.3</w:t>
      </w:r>
      <w:r>
        <w:rPr>
          <w:rFonts w:hint="eastAsia" w:ascii="宋体" w:hAnsi="宋体" w:cs="仿宋"/>
          <w:sz w:val="24"/>
        </w:rPr>
        <w:t>中小企业声明函（如有，格式见附件）；</w:t>
      </w:r>
    </w:p>
    <w:p w14:paraId="3A4CAA64">
      <w:pPr>
        <w:spacing w:line="360" w:lineRule="auto"/>
        <w:ind w:firstLine="480" w:firstLineChars="200"/>
        <w:rPr>
          <w:rFonts w:ascii="宋体" w:hAnsi="宋体" w:cs="仿宋"/>
          <w:sz w:val="24"/>
        </w:rPr>
      </w:pPr>
      <w:r>
        <w:rPr>
          <w:rFonts w:ascii="宋体" w:hAnsi="宋体" w:cs="宋体"/>
          <w:sz w:val="24"/>
          <w:szCs w:val="24"/>
        </w:rPr>
        <w:t>8.3.</w:t>
      </w:r>
      <w:r>
        <w:rPr>
          <w:rFonts w:hint="eastAsia" w:ascii="宋体" w:hAnsi="宋体" w:cs="宋体"/>
          <w:sz w:val="24"/>
          <w:szCs w:val="24"/>
        </w:rPr>
        <w:t>4</w:t>
      </w:r>
      <w:r>
        <w:rPr>
          <w:rFonts w:hint="eastAsia" w:ascii="宋体" w:hAnsi="宋体" w:cs="仿宋"/>
          <w:sz w:val="24"/>
        </w:rPr>
        <w:t>残疾人福利企业声明函（如有，格式见附件）；</w:t>
      </w:r>
    </w:p>
    <w:p w14:paraId="3E9A33C9">
      <w:pPr>
        <w:spacing w:line="360" w:lineRule="auto"/>
        <w:ind w:firstLine="480" w:firstLineChars="200"/>
        <w:rPr>
          <w:rFonts w:ascii="宋体" w:hAnsi="宋体" w:cs="仿宋"/>
          <w:sz w:val="24"/>
        </w:rPr>
      </w:pPr>
      <w:r>
        <w:rPr>
          <w:rFonts w:ascii="宋体" w:hAnsi="宋体" w:cs="宋体"/>
          <w:sz w:val="24"/>
          <w:szCs w:val="24"/>
        </w:rPr>
        <w:t>8.3.</w:t>
      </w:r>
      <w:r>
        <w:rPr>
          <w:rFonts w:hint="eastAsia" w:ascii="宋体" w:hAnsi="宋体" w:cs="宋体"/>
          <w:sz w:val="24"/>
          <w:szCs w:val="24"/>
        </w:rPr>
        <w:t>5</w:t>
      </w:r>
      <w:r>
        <w:rPr>
          <w:rFonts w:hint="eastAsia" w:ascii="宋体" w:hAnsi="宋体" w:cs="仿宋"/>
          <w:sz w:val="24"/>
        </w:rPr>
        <w:t>属于监狱企业的证明文件（如有）；</w:t>
      </w:r>
    </w:p>
    <w:p w14:paraId="11485347">
      <w:pPr>
        <w:spacing w:line="360" w:lineRule="auto"/>
        <w:ind w:firstLine="480" w:firstLineChars="200"/>
        <w:rPr>
          <w:rFonts w:ascii="宋体" w:hAnsi="宋体" w:cs="仿宋"/>
          <w:sz w:val="24"/>
        </w:rPr>
      </w:pPr>
      <w:r>
        <w:rPr>
          <w:rFonts w:ascii="宋体" w:hAnsi="宋体" w:cs="宋体"/>
          <w:sz w:val="24"/>
          <w:szCs w:val="24"/>
        </w:rPr>
        <w:t>8.3.</w:t>
      </w:r>
      <w:r>
        <w:rPr>
          <w:rFonts w:hint="eastAsia" w:ascii="宋体" w:hAnsi="宋体" w:cs="宋体"/>
          <w:sz w:val="24"/>
          <w:szCs w:val="24"/>
        </w:rPr>
        <w:t>6</w:t>
      </w:r>
      <w:r>
        <w:rPr>
          <w:rFonts w:hint="eastAsia" w:ascii="宋体" w:hAnsi="宋体" w:cs="仿宋"/>
          <w:sz w:val="24"/>
        </w:rPr>
        <w:t>联合体各方共同磋商协议或分包意向协议（如有，格式自拟）；</w:t>
      </w:r>
    </w:p>
    <w:p w14:paraId="3F7E0D03">
      <w:pPr>
        <w:spacing w:line="360" w:lineRule="auto"/>
        <w:ind w:firstLine="480" w:firstLineChars="200"/>
        <w:rPr>
          <w:rFonts w:ascii="宋体" w:hAnsi="宋体" w:cs="宋体"/>
          <w:sz w:val="24"/>
          <w:szCs w:val="24"/>
        </w:rPr>
      </w:pPr>
      <w:r>
        <w:rPr>
          <w:rFonts w:ascii="宋体" w:hAnsi="宋体" w:cs="宋体"/>
          <w:sz w:val="24"/>
          <w:szCs w:val="24"/>
        </w:rPr>
        <w:t>8.3.</w:t>
      </w:r>
      <w:r>
        <w:rPr>
          <w:rFonts w:hint="eastAsia" w:ascii="宋体" w:hAnsi="宋体" w:cs="宋体"/>
          <w:sz w:val="24"/>
          <w:szCs w:val="24"/>
        </w:rPr>
        <w:t>7采购代理服务费承诺函；</w:t>
      </w:r>
    </w:p>
    <w:p w14:paraId="34695B53">
      <w:pPr>
        <w:spacing w:line="360" w:lineRule="auto"/>
        <w:ind w:firstLine="480" w:firstLineChars="200"/>
        <w:rPr>
          <w:rFonts w:ascii="宋体" w:cs="Times New Roman"/>
          <w:sz w:val="24"/>
          <w:szCs w:val="24"/>
        </w:rPr>
      </w:pPr>
      <w:r>
        <w:rPr>
          <w:rFonts w:ascii="宋体" w:hAnsi="宋体" w:cs="宋体"/>
          <w:sz w:val="24"/>
          <w:szCs w:val="24"/>
        </w:rPr>
        <w:t>8.3.</w:t>
      </w:r>
      <w:r>
        <w:rPr>
          <w:rFonts w:hint="eastAsia" w:ascii="宋体" w:hAnsi="宋体" w:cs="宋体"/>
          <w:sz w:val="24"/>
          <w:szCs w:val="24"/>
        </w:rPr>
        <w:t>8供应商针对报价需要说明的其他材料（格式自拟）。</w:t>
      </w:r>
    </w:p>
    <w:p w14:paraId="3E3731FE">
      <w:pPr>
        <w:snapToGrid w:val="0"/>
        <w:spacing w:line="400" w:lineRule="exact"/>
        <w:ind w:firstLine="482" w:firstLineChars="200"/>
        <w:jc w:val="left"/>
        <w:rPr>
          <w:rFonts w:ascii="宋体" w:cs="Times New Roman"/>
          <w:b/>
          <w:bCs/>
          <w:sz w:val="24"/>
          <w:szCs w:val="24"/>
        </w:rPr>
      </w:pPr>
      <w:r>
        <w:rPr>
          <w:rFonts w:hint="eastAsia" w:ascii="宋体" w:hAnsi="宋体" w:cs="宋体"/>
          <w:b/>
          <w:bCs/>
          <w:sz w:val="24"/>
          <w:szCs w:val="24"/>
        </w:rPr>
        <w:t>《响应文件》应由供应商法定代表人或其授权代表签字（或盖章），并加盖供应商公章。</w:t>
      </w:r>
    </w:p>
    <w:p w14:paraId="6268A016">
      <w:pPr>
        <w:spacing w:line="460" w:lineRule="exact"/>
        <w:rPr>
          <w:rFonts w:ascii="宋体" w:cs="Times New Roman"/>
          <w:b/>
          <w:bCs/>
          <w:sz w:val="24"/>
          <w:szCs w:val="24"/>
        </w:rPr>
      </w:pPr>
      <w:r>
        <w:rPr>
          <w:rFonts w:ascii="宋体" w:hAnsi="宋体" w:cs="宋体"/>
          <w:b/>
          <w:bCs/>
          <w:sz w:val="24"/>
          <w:szCs w:val="24"/>
        </w:rPr>
        <w:t>9.</w:t>
      </w:r>
      <w:r>
        <w:rPr>
          <w:rFonts w:hint="eastAsia" w:ascii="宋体" w:hAnsi="宋体" w:cs="宋体"/>
          <w:b/>
          <w:bCs/>
          <w:sz w:val="24"/>
          <w:szCs w:val="24"/>
        </w:rPr>
        <w:t>磋商报价说明</w:t>
      </w:r>
    </w:p>
    <w:p w14:paraId="6AAA67B3">
      <w:pPr>
        <w:spacing w:line="460" w:lineRule="exact"/>
        <w:ind w:firstLine="480" w:firstLineChars="200"/>
        <w:rPr>
          <w:rFonts w:ascii="宋体" w:cs="Times New Roman"/>
          <w:sz w:val="24"/>
          <w:szCs w:val="24"/>
        </w:rPr>
      </w:pPr>
      <w:r>
        <w:rPr>
          <w:rFonts w:ascii="宋体" w:hAnsi="宋体" w:cs="宋体"/>
          <w:sz w:val="24"/>
          <w:szCs w:val="24"/>
        </w:rPr>
        <w:t>9.1</w:t>
      </w:r>
      <w:r>
        <w:rPr>
          <w:rFonts w:hint="eastAsia" w:ascii="宋体" w:hAnsi="宋体" w:cs="宋体"/>
          <w:sz w:val="24"/>
          <w:szCs w:val="24"/>
        </w:rPr>
        <w:t>磋商采购单位不接受任何选择性的方案；</w:t>
      </w:r>
    </w:p>
    <w:p w14:paraId="21D9A3EC">
      <w:pPr>
        <w:spacing w:line="460" w:lineRule="exact"/>
        <w:ind w:firstLine="480" w:firstLineChars="200"/>
        <w:rPr>
          <w:rFonts w:ascii="宋体" w:cs="Times New Roman"/>
          <w:sz w:val="24"/>
          <w:szCs w:val="24"/>
        </w:rPr>
      </w:pPr>
      <w:r>
        <w:rPr>
          <w:rFonts w:ascii="宋体" w:hAnsi="宋体" w:cs="宋体"/>
          <w:sz w:val="24"/>
          <w:szCs w:val="24"/>
        </w:rPr>
        <w:t>9.2</w:t>
      </w:r>
      <w:r>
        <w:rPr>
          <w:rFonts w:hint="eastAsia" w:ascii="宋体" w:hAnsi="宋体" w:cs="宋体"/>
          <w:sz w:val="24"/>
          <w:szCs w:val="24"/>
        </w:rPr>
        <w:t>磋商报价指完成项目的各种费用及必要的保险费用和各项税金等所有费用的总和，应为履行合同的最终价格，其市场风险由供应商承担；</w:t>
      </w:r>
    </w:p>
    <w:p w14:paraId="6A1CEE10">
      <w:pPr>
        <w:spacing w:line="460" w:lineRule="exact"/>
        <w:ind w:firstLine="480" w:firstLineChars="200"/>
        <w:rPr>
          <w:rFonts w:ascii="宋体" w:hAnsi="宋体" w:cs="宋体"/>
          <w:sz w:val="24"/>
          <w:szCs w:val="24"/>
        </w:rPr>
      </w:pPr>
      <w:r>
        <w:rPr>
          <w:rFonts w:ascii="宋体" w:hAnsi="宋体" w:cs="宋体"/>
          <w:sz w:val="24"/>
          <w:szCs w:val="24"/>
        </w:rPr>
        <w:t>9.3</w:t>
      </w:r>
      <w:r>
        <w:rPr>
          <w:rFonts w:hint="eastAsia" w:ascii="宋体" w:hAnsi="宋体" w:cs="宋体"/>
          <w:sz w:val="24"/>
          <w:szCs w:val="24"/>
        </w:rPr>
        <w:t>供应商如需用外汇购入的采购货物，须折合人民币计入总报价中（含税价），但应申明免税价格并注明成交后采购人应办理的有关手续。</w:t>
      </w:r>
    </w:p>
    <w:p w14:paraId="4BC110E2">
      <w:pPr>
        <w:spacing w:line="460" w:lineRule="exact"/>
        <w:ind w:firstLine="480" w:firstLineChars="200"/>
        <w:rPr>
          <w:rFonts w:ascii="宋体" w:hAnsi="宋体" w:cs="宋体"/>
          <w:sz w:val="24"/>
          <w:szCs w:val="24"/>
        </w:rPr>
      </w:pPr>
      <w:r>
        <w:rPr>
          <w:rFonts w:ascii="宋体" w:hAnsi="宋体" w:cs="宋体"/>
          <w:sz w:val="24"/>
          <w:szCs w:val="24"/>
        </w:rPr>
        <w:t>9.4</w:t>
      </w:r>
      <w:r>
        <w:rPr>
          <w:rFonts w:hint="eastAsia" w:ascii="宋体" w:hAnsi="宋体" w:cs="宋体"/>
          <w:sz w:val="24"/>
          <w:szCs w:val="24"/>
        </w:rPr>
        <w:t>磋商分二轮或多轮（最多不超过三轮）进行，首次报价在响应文件中体现；最后报价应通过政采云系统进行在线磋商、报价，若因系统原因无法在线磋商、报价时，可通过如下方式：代理机构通过电子邮箱（</w:t>
      </w:r>
      <w:r>
        <w:rPr>
          <w:rFonts w:ascii="宋体" w:hAnsi="宋体" w:cs="宋体"/>
          <w:sz w:val="24"/>
          <w:szCs w:val="24"/>
        </w:rPr>
        <w:t>huayaohz@163.com</w:t>
      </w:r>
      <w:r>
        <w:rPr>
          <w:rFonts w:hint="eastAsia" w:ascii="宋体" w:hAnsi="宋体" w:cs="宋体"/>
          <w:sz w:val="24"/>
          <w:szCs w:val="24"/>
        </w:rPr>
        <w:t>）向各供应商指定的电子邮箱发送最终报价的通知函，供应商在收到此函后</w:t>
      </w:r>
      <w:r>
        <w:rPr>
          <w:rFonts w:ascii="宋体" w:hAnsi="宋体" w:cs="宋体"/>
          <w:sz w:val="24"/>
          <w:szCs w:val="24"/>
        </w:rPr>
        <w:t>30</w:t>
      </w:r>
      <w:r>
        <w:rPr>
          <w:rFonts w:hint="eastAsia" w:ascii="宋体" w:hAnsi="宋体" w:cs="宋体"/>
          <w:sz w:val="24"/>
          <w:szCs w:val="24"/>
        </w:rPr>
        <w:t>分钟内通过指定的电子邮箱进行最后报价，最后报价应按照本磋商文件规定的格式并以邮件的形式提供，且由法定代表人或其授权代表签字确认并加盖公章，最后报价由代理机构统一提交至磋商小组，并宣读最后报价，采购人及监督人在最后报价表上签字确认；</w:t>
      </w:r>
    </w:p>
    <w:p w14:paraId="0A087AE5">
      <w:pPr>
        <w:spacing w:line="460" w:lineRule="exact"/>
        <w:ind w:firstLine="480" w:firstLineChars="200"/>
        <w:rPr>
          <w:rFonts w:ascii="宋体" w:hAnsi="宋体" w:cs="宋体"/>
          <w:sz w:val="24"/>
          <w:szCs w:val="24"/>
        </w:rPr>
      </w:pPr>
      <w:r>
        <w:rPr>
          <w:rFonts w:ascii="宋体" w:hAnsi="宋体" w:cs="宋体"/>
          <w:sz w:val="24"/>
          <w:szCs w:val="24"/>
        </w:rPr>
        <w:t>9.5</w:t>
      </w:r>
      <w:r>
        <w:rPr>
          <w:rFonts w:hint="eastAsia" w:ascii="宋体" w:hAnsi="宋体" w:cs="宋体"/>
          <w:sz w:val="24"/>
          <w:szCs w:val="24"/>
        </w:rPr>
        <w:t>响应文件中的所有报价均以人民币（元）为单位；</w:t>
      </w:r>
    </w:p>
    <w:p w14:paraId="2CB2BD6A">
      <w:pPr>
        <w:spacing w:line="460" w:lineRule="exact"/>
        <w:ind w:firstLine="480" w:firstLineChars="200"/>
        <w:rPr>
          <w:rFonts w:ascii="宋体" w:hAnsi="宋体" w:cs="宋体"/>
          <w:sz w:val="24"/>
          <w:szCs w:val="24"/>
        </w:rPr>
      </w:pPr>
      <w:r>
        <w:rPr>
          <w:rFonts w:ascii="宋体" w:hAnsi="宋体" w:cs="宋体"/>
          <w:sz w:val="24"/>
          <w:szCs w:val="24"/>
        </w:rPr>
        <w:t>9.6</w:t>
      </w:r>
      <w:r>
        <w:rPr>
          <w:rFonts w:hint="eastAsia" w:ascii="宋体" w:hAnsi="宋体" w:cs="宋体"/>
          <w:sz w:val="24"/>
          <w:szCs w:val="24"/>
        </w:rPr>
        <w:t>磋商采购单位不接受备选方案。</w:t>
      </w:r>
    </w:p>
    <w:p w14:paraId="2615AE8D">
      <w:pPr>
        <w:spacing w:line="460" w:lineRule="exact"/>
        <w:rPr>
          <w:rFonts w:ascii="宋体" w:cs="Times New Roman"/>
          <w:b/>
          <w:bCs/>
          <w:sz w:val="24"/>
          <w:szCs w:val="24"/>
        </w:rPr>
      </w:pPr>
      <w:r>
        <w:rPr>
          <w:rFonts w:ascii="宋体" w:hAnsi="宋体" w:cs="宋体"/>
          <w:b/>
          <w:bCs/>
          <w:sz w:val="24"/>
          <w:szCs w:val="24"/>
        </w:rPr>
        <w:t>10.</w:t>
      </w:r>
      <w:r>
        <w:rPr>
          <w:rFonts w:hint="eastAsia" w:ascii="宋体" w:hAnsi="宋体" w:cs="宋体"/>
          <w:b/>
          <w:bCs/>
          <w:sz w:val="24"/>
          <w:szCs w:val="24"/>
        </w:rPr>
        <w:t>磋商有效期</w:t>
      </w:r>
    </w:p>
    <w:p w14:paraId="76680915">
      <w:pPr>
        <w:tabs>
          <w:tab w:val="left" w:pos="1440"/>
          <w:tab w:val="left" w:pos="1620"/>
        </w:tabs>
        <w:spacing w:line="460" w:lineRule="exact"/>
        <w:ind w:firstLine="480" w:firstLineChars="200"/>
        <w:rPr>
          <w:rFonts w:ascii="宋体" w:cs="Times New Roman"/>
          <w:sz w:val="24"/>
          <w:szCs w:val="24"/>
        </w:rPr>
      </w:pPr>
      <w:r>
        <w:rPr>
          <w:rFonts w:ascii="宋体" w:hAnsi="宋体" w:cs="宋体"/>
          <w:sz w:val="24"/>
          <w:szCs w:val="24"/>
        </w:rPr>
        <w:t>10.1</w:t>
      </w:r>
      <w:r>
        <w:rPr>
          <w:rFonts w:hint="eastAsia" w:ascii="宋体" w:hAnsi="宋体" w:cs="宋体"/>
          <w:sz w:val="24"/>
          <w:szCs w:val="24"/>
        </w:rPr>
        <w:t>自磋商开始之日起</w:t>
      </w:r>
      <w:r>
        <w:rPr>
          <w:rFonts w:ascii="宋体" w:hAnsi="宋体" w:cs="宋体"/>
          <w:sz w:val="24"/>
          <w:szCs w:val="24"/>
        </w:rPr>
        <w:t>60</w:t>
      </w:r>
      <w:r>
        <w:rPr>
          <w:rFonts w:hint="eastAsia" w:ascii="宋体" w:hAnsi="宋体" w:cs="宋体"/>
          <w:sz w:val="24"/>
          <w:szCs w:val="24"/>
        </w:rPr>
        <w:t>天内。有效期短于这个规定期限的响应文件，将被拒绝。</w:t>
      </w:r>
    </w:p>
    <w:p w14:paraId="6C2E73E0">
      <w:pPr>
        <w:tabs>
          <w:tab w:val="left" w:pos="1440"/>
          <w:tab w:val="left" w:pos="1620"/>
        </w:tabs>
        <w:spacing w:line="460" w:lineRule="exact"/>
        <w:ind w:firstLine="480" w:firstLineChars="200"/>
        <w:rPr>
          <w:rFonts w:ascii="宋体" w:cs="Times New Roman"/>
          <w:sz w:val="24"/>
          <w:szCs w:val="24"/>
        </w:rPr>
      </w:pPr>
      <w:r>
        <w:rPr>
          <w:rFonts w:ascii="宋体" w:hAnsi="宋体" w:cs="宋体"/>
          <w:sz w:val="24"/>
          <w:szCs w:val="24"/>
        </w:rPr>
        <w:t>10.2</w:t>
      </w:r>
      <w:r>
        <w:rPr>
          <w:rFonts w:hint="eastAsia" w:ascii="宋体" w:hAnsi="宋体" w:cs="宋体"/>
          <w:sz w:val="24"/>
          <w:szCs w:val="24"/>
        </w:rPr>
        <w:t>在特殊情况下，采购代理机构在原定磋商有效期内，可以根据需要以书面形式向供应商提出延长磋商有效期的要求，供应商须以书面形式予以答复。供应商可以拒绝采购代理机构的这种要求，同意延长磋商有效期的供应商不能要求也不允许修改其响应文件。</w:t>
      </w:r>
    </w:p>
    <w:p w14:paraId="7B3731C8">
      <w:pPr>
        <w:pStyle w:val="3"/>
        <w:spacing w:before="156" w:line="440" w:lineRule="exact"/>
        <w:jc w:val="center"/>
        <w:rPr>
          <w:rFonts w:ascii="宋体" w:hAnsi="宋体" w:eastAsia="宋体"/>
          <w:kern w:val="44"/>
          <w:sz w:val="28"/>
          <w:szCs w:val="28"/>
        </w:rPr>
      </w:pPr>
      <w:bookmarkStart w:id="43" w:name="_Toc69913486"/>
      <w:r>
        <w:rPr>
          <w:rFonts w:hint="eastAsia" w:ascii="宋体" w:hAnsi="宋体" w:eastAsia="宋体" w:cs="宋体"/>
          <w:kern w:val="44"/>
          <w:sz w:val="28"/>
          <w:szCs w:val="28"/>
        </w:rPr>
        <w:t>三、响应文件的编制和提交</w:t>
      </w:r>
      <w:bookmarkEnd w:id="43"/>
    </w:p>
    <w:p w14:paraId="7F699D71">
      <w:pPr>
        <w:tabs>
          <w:tab w:val="left" w:pos="1440"/>
          <w:tab w:val="left" w:pos="1620"/>
        </w:tabs>
        <w:spacing w:line="460" w:lineRule="exact"/>
        <w:rPr>
          <w:rFonts w:ascii="宋体" w:cs="Times New Roman"/>
          <w:b/>
          <w:bCs/>
          <w:sz w:val="24"/>
          <w:szCs w:val="24"/>
        </w:rPr>
      </w:pPr>
      <w:r>
        <w:rPr>
          <w:rFonts w:ascii="宋体" w:hAnsi="宋体" w:cs="宋体"/>
          <w:b/>
          <w:bCs/>
          <w:sz w:val="24"/>
          <w:szCs w:val="24"/>
        </w:rPr>
        <w:t>11.</w:t>
      </w:r>
      <w:r>
        <w:rPr>
          <w:rFonts w:hint="eastAsia" w:ascii="宋体" w:hAnsi="宋体" w:cs="宋体"/>
          <w:b/>
          <w:bCs/>
          <w:sz w:val="24"/>
          <w:szCs w:val="24"/>
        </w:rPr>
        <w:t>响应文件的编制</w:t>
      </w:r>
    </w:p>
    <w:p w14:paraId="3EFDD95C">
      <w:pPr>
        <w:tabs>
          <w:tab w:val="left" w:pos="1440"/>
          <w:tab w:val="left" w:pos="1620"/>
        </w:tabs>
        <w:spacing w:line="460" w:lineRule="exact"/>
        <w:ind w:firstLine="470" w:firstLineChars="196"/>
        <w:rPr>
          <w:rFonts w:ascii="宋体" w:cs="Times New Roman"/>
          <w:sz w:val="24"/>
          <w:szCs w:val="24"/>
        </w:rPr>
      </w:pPr>
      <w:r>
        <w:rPr>
          <w:rFonts w:ascii="宋体" w:hAnsi="宋体" w:cs="宋体"/>
          <w:sz w:val="24"/>
          <w:szCs w:val="24"/>
        </w:rPr>
        <w:t>11.1</w:t>
      </w:r>
      <w:r>
        <w:rPr>
          <w:rFonts w:hint="eastAsia" w:ascii="宋体" w:hAnsi="宋体" w:cs="宋体"/>
          <w:sz w:val="24"/>
          <w:szCs w:val="24"/>
        </w:rPr>
        <w:t>本项目通过“政府采购云平台（</w:t>
      </w:r>
      <w:r>
        <w:rPr>
          <w:rFonts w:ascii="宋体" w:hAnsi="宋体" w:cs="宋体"/>
          <w:sz w:val="24"/>
          <w:szCs w:val="24"/>
        </w:rPr>
        <w:t>www.zcygov.cn</w:t>
      </w:r>
      <w:r>
        <w:rPr>
          <w:rFonts w:hint="eastAsia" w:ascii="宋体" w:hAnsi="宋体" w:cs="宋体"/>
          <w:sz w:val="24"/>
          <w:szCs w:val="24"/>
        </w:rPr>
        <w:t>）”实行在线磋商响应（电子磋商）。供应商应通过“政采云电子交易客户端”，并按照本磋商文件和“政府采购云平台”的要求编制并加密响应文件。</w:t>
      </w:r>
    </w:p>
    <w:p w14:paraId="12B50A20">
      <w:pPr>
        <w:tabs>
          <w:tab w:val="left" w:pos="1440"/>
          <w:tab w:val="left" w:pos="1620"/>
        </w:tabs>
        <w:spacing w:line="460" w:lineRule="exact"/>
        <w:ind w:firstLine="470" w:firstLineChars="196"/>
        <w:rPr>
          <w:rFonts w:ascii="宋体" w:cs="Times New Roman"/>
          <w:sz w:val="24"/>
          <w:szCs w:val="24"/>
        </w:rPr>
      </w:pPr>
      <w:r>
        <w:rPr>
          <w:rFonts w:ascii="宋体" w:hAnsi="宋体" w:cs="宋体"/>
          <w:sz w:val="24"/>
          <w:szCs w:val="24"/>
        </w:rPr>
        <w:t>11.2</w:t>
      </w:r>
      <w:r>
        <w:rPr>
          <w:rFonts w:hint="eastAsia" w:ascii="宋体" w:hAnsi="宋体" w:cs="宋体"/>
          <w:sz w:val="24"/>
          <w:szCs w:val="24"/>
        </w:rPr>
        <w:t>供应商应当按照本章节“响应文件组成”规定的内容及顺序在“政采云电子交易客户端”编制响应文件。响应文件格式中有提供格式的，供应商须参照格式进行编制（格式中要求提供相关证明材料的还需后附相关证明材料），并按格式要求在指定位置根据要求进行签章，否则视为未提供；响应文件格式未提供格式的，请各供应商自行拟定格式，并加盖单位公章并由法定代表人或其授权代表签署（签字或盖章），否则视为未提供。</w:t>
      </w:r>
    </w:p>
    <w:p w14:paraId="4313232F">
      <w:pPr>
        <w:tabs>
          <w:tab w:val="left" w:pos="1440"/>
          <w:tab w:val="left" w:pos="1620"/>
        </w:tabs>
        <w:spacing w:line="460" w:lineRule="exact"/>
        <w:ind w:firstLine="470" w:firstLineChars="196"/>
        <w:rPr>
          <w:rFonts w:ascii="宋体" w:cs="Times New Roman"/>
          <w:sz w:val="24"/>
          <w:szCs w:val="24"/>
        </w:rPr>
      </w:pPr>
      <w:r>
        <w:rPr>
          <w:rFonts w:ascii="宋体" w:hAnsi="宋体" w:cs="宋体"/>
          <w:sz w:val="24"/>
          <w:szCs w:val="24"/>
        </w:rPr>
        <w:t>11.3</w:t>
      </w:r>
      <w:r>
        <w:rPr>
          <w:rFonts w:hint="eastAsia" w:ascii="宋体" w:hAnsi="宋体" w:cs="宋体"/>
          <w:sz w:val="24"/>
          <w:szCs w:val="24"/>
        </w:rPr>
        <w:t>响应文件内容不完整、编排混乱导致响应文件被误读、漏读或者查找不到相关内容的，是供应商的责任。</w:t>
      </w:r>
    </w:p>
    <w:p w14:paraId="0FBF5649">
      <w:pPr>
        <w:tabs>
          <w:tab w:val="left" w:pos="1440"/>
          <w:tab w:val="left" w:pos="1620"/>
        </w:tabs>
        <w:spacing w:line="460" w:lineRule="exact"/>
        <w:ind w:firstLine="470" w:firstLineChars="196"/>
        <w:rPr>
          <w:rFonts w:ascii="宋体" w:cs="Times New Roman"/>
          <w:sz w:val="24"/>
          <w:szCs w:val="24"/>
        </w:rPr>
      </w:pPr>
      <w:r>
        <w:rPr>
          <w:rFonts w:ascii="宋体" w:hAnsi="宋体" w:cs="宋体"/>
          <w:sz w:val="24"/>
          <w:szCs w:val="24"/>
        </w:rPr>
        <w:t>11.4</w:t>
      </w:r>
      <w:r>
        <w:rPr>
          <w:rFonts w:hint="eastAsia" w:ascii="宋体" w:hAnsi="宋体" w:cs="宋体"/>
          <w:sz w:val="24"/>
          <w:szCs w:val="24"/>
        </w:rPr>
        <w:t>响应文件因字迹潦草或表达不清所引起的后果由供应商负责。</w:t>
      </w:r>
    </w:p>
    <w:p w14:paraId="6E26A74E">
      <w:pPr>
        <w:tabs>
          <w:tab w:val="left" w:pos="1440"/>
          <w:tab w:val="left" w:pos="1620"/>
        </w:tabs>
        <w:spacing w:line="460" w:lineRule="exact"/>
        <w:ind w:firstLine="470" w:firstLineChars="196"/>
        <w:rPr>
          <w:rFonts w:cs="Times New Roman"/>
          <w:sz w:val="24"/>
          <w:szCs w:val="24"/>
        </w:rPr>
      </w:pPr>
      <w:r>
        <w:rPr>
          <w:rFonts w:ascii="宋体" w:hAnsi="宋体" w:cs="宋体"/>
          <w:sz w:val="24"/>
          <w:szCs w:val="24"/>
        </w:rPr>
        <w:t>11.5</w:t>
      </w:r>
      <w:r>
        <w:rPr>
          <w:rFonts w:hint="eastAsia" w:ascii="宋体" w:hAnsi="宋体" w:cs="宋体"/>
          <w:sz w:val="24"/>
          <w:szCs w:val="24"/>
        </w:rPr>
        <w:t>供应商没有按照“响应文件组成”要求提供全部资料，或者没有仔细阅读磋商文件，或者没有对磋商文件在各方面的要求作出实质性响应是供应商的风险，由此造成的一切后果由供应商自行承担。</w:t>
      </w:r>
    </w:p>
    <w:p w14:paraId="33E9201D">
      <w:pPr>
        <w:spacing w:line="460" w:lineRule="exact"/>
        <w:rPr>
          <w:rFonts w:ascii="宋体" w:cs="Times New Roman"/>
          <w:b/>
          <w:bCs/>
          <w:sz w:val="24"/>
          <w:szCs w:val="24"/>
        </w:rPr>
      </w:pPr>
      <w:r>
        <w:rPr>
          <w:rFonts w:ascii="宋体" w:hAnsi="宋体" w:cs="宋体"/>
          <w:b/>
          <w:bCs/>
          <w:sz w:val="24"/>
          <w:szCs w:val="24"/>
        </w:rPr>
        <w:t>12.</w:t>
      </w:r>
      <w:r>
        <w:rPr>
          <w:rFonts w:hint="eastAsia" w:ascii="宋体" w:hAnsi="宋体" w:cs="宋体"/>
          <w:b/>
          <w:bCs/>
          <w:sz w:val="24"/>
          <w:szCs w:val="24"/>
        </w:rPr>
        <w:t>响应文件的形式</w:t>
      </w:r>
    </w:p>
    <w:p w14:paraId="54DDA341">
      <w:pPr>
        <w:spacing w:line="460" w:lineRule="exact"/>
        <w:ind w:firstLine="470" w:firstLineChars="196"/>
        <w:rPr>
          <w:rFonts w:ascii="宋体" w:cs="Times New Roman"/>
          <w:sz w:val="24"/>
          <w:szCs w:val="24"/>
        </w:rPr>
      </w:pPr>
      <w:r>
        <w:rPr>
          <w:rFonts w:ascii="宋体" w:hAnsi="宋体" w:cs="宋体"/>
          <w:sz w:val="24"/>
          <w:szCs w:val="24"/>
        </w:rPr>
        <w:t>12.1</w:t>
      </w:r>
      <w:r>
        <w:rPr>
          <w:rFonts w:hint="eastAsia" w:ascii="宋体" w:hAnsi="宋体" w:cs="宋体"/>
          <w:sz w:val="24"/>
          <w:szCs w:val="24"/>
        </w:rPr>
        <w:t>“电子加密响应文件”：“电子加密响应文件”是指通过“政采云电子交易客户端”完成响应文件编制后生成并加密的数据电文形式的响应文件。</w:t>
      </w:r>
    </w:p>
    <w:p w14:paraId="45C5E6AE">
      <w:pPr>
        <w:spacing w:line="460" w:lineRule="exact"/>
        <w:ind w:firstLine="470" w:firstLineChars="196"/>
        <w:rPr>
          <w:rFonts w:ascii="宋体" w:cs="Times New Roman"/>
          <w:sz w:val="24"/>
          <w:szCs w:val="24"/>
        </w:rPr>
      </w:pPr>
      <w:r>
        <w:rPr>
          <w:rFonts w:ascii="宋体" w:hAnsi="宋体" w:cs="宋体"/>
          <w:sz w:val="24"/>
          <w:szCs w:val="24"/>
        </w:rPr>
        <w:t>12.2</w:t>
      </w:r>
      <w:r>
        <w:rPr>
          <w:rFonts w:hint="eastAsia" w:ascii="宋体" w:hAnsi="宋体" w:cs="宋体"/>
          <w:sz w:val="24"/>
          <w:szCs w:val="24"/>
        </w:rPr>
        <w:t>“备份响应文件”：“备份响应文件”是指与“电子加密响应文件”同时生成的数据电文形式的电子文件（备份标书），其他方式编制的“备份响应文件”视为无效的“备份响应文件”。</w:t>
      </w:r>
    </w:p>
    <w:p w14:paraId="217E0A67">
      <w:pPr>
        <w:tabs>
          <w:tab w:val="left" w:pos="720"/>
        </w:tabs>
        <w:spacing w:line="460" w:lineRule="exact"/>
        <w:rPr>
          <w:rFonts w:ascii="宋体" w:cs="Times New Roman"/>
          <w:sz w:val="24"/>
          <w:szCs w:val="24"/>
        </w:rPr>
      </w:pPr>
      <w:r>
        <w:rPr>
          <w:rFonts w:ascii="宋体" w:hAnsi="宋体" w:cs="宋体"/>
          <w:b/>
          <w:bCs/>
          <w:sz w:val="24"/>
          <w:szCs w:val="24"/>
        </w:rPr>
        <w:t>13.</w:t>
      </w:r>
      <w:r>
        <w:rPr>
          <w:rFonts w:hint="eastAsia" w:ascii="宋体" w:hAnsi="宋体" w:cs="宋体"/>
          <w:b/>
          <w:bCs/>
          <w:sz w:val="24"/>
          <w:szCs w:val="24"/>
        </w:rPr>
        <w:t>响应文件的提交及磋商截止时间：</w:t>
      </w:r>
    </w:p>
    <w:p w14:paraId="52B6BA58">
      <w:pPr>
        <w:tabs>
          <w:tab w:val="left" w:pos="720"/>
        </w:tabs>
        <w:spacing w:line="460" w:lineRule="exact"/>
        <w:ind w:firstLine="480" w:firstLineChars="200"/>
        <w:rPr>
          <w:rFonts w:ascii="宋体" w:cs="Times New Roman"/>
          <w:sz w:val="24"/>
          <w:szCs w:val="24"/>
        </w:rPr>
      </w:pPr>
      <w:r>
        <w:rPr>
          <w:rFonts w:ascii="宋体" w:hAnsi="宋体" w:cs="宋体"/>
          <w:sz w:val="24"/>
          <w:szCs w:val="24"/>
        </w:rPr>
        <w:t>13.1</w:t>
      </w:r>
      <w:r>
        <w:rPr>
          <w:rFonts w:hint="eastAsia" w:ascii="宋体" w:hAnsi="宋体" w:cs="宋体"/>
          <w:sz w:val="24"/>
          <w:szCs w:val="24"/>
        </w:rPr>
        <w:t>供应商应当在磋商截止时间前完成电子响应文件的传输递交，磋商截止时间前可以补充、修改或者撤回电子响应文件。补充或者修改电子响应文件的，应当先行撤回原文件，补充、修改后重新传输递交。磋商截止时间止未完成传输的，视为放弃磋商资格，作无效标处理；</w:t>
      </w:r>
    </w:p>
    <w:p w14:paraId="2D5FE337">
      <w:pPr>
        <w:tabs>
          <w:tab w:val="left" w:pos="720"/>
        </w:tabs>
        <w:spacing w:line="460" w:lineRule="exact"/>
        <w:ind w:firstLine="480" w:firstLineChars="200"/>
        <w:rPr>
          <w:rFonts w:ascii="宋体" w:hAnsi="宋体" w:cs="宋体"/>
          <w:sz w:val="24"/>
        </w:rPr>
      </w:pPr>
      <w:r>
        <w:rPr>
          <w:rFonts w:ascii="宋体" w:hAnsi="宋体" w:cs="宋体"/>
          <w:sz w:val="24"/>
        </w:rPr>
        <w:t>13.2</w:t>
      </w:r>
      <w:r>
        <w:rPr>
          <w:rFonts w:hint="eastAsia" w:ascii="宋体" w:hAnsi="宋体" w:cs="宋体"/>
          <w:sz w:val="24"/>
        </w:rPr>
        <w:t>数据电子备份响应文件（</w:t>
      </w:r>
      <w:r>
        <w:rPr>
          <w:rFonts w:ascii="宋体" w:hAnsi="宋体" w:cs="宋体"/>
          <w:sz w:val="24"/>
        </w:rPr>
        <w:t>U</w:t>
      </w:r>
      <w:r>
        <w:rPr>
          <w:rFonts w:hint="eastAsia" w:ascii="宋体" w:hAnsi="宋体" w:cs="宋体"/>
          <w:sz w:val="24"/>
        </w:rPr>
        <w:t>盘）：一份。</w:t>
      </w:r>
      <w:r>
        <w:rPr>
          <w:rFonts w:ascii="宋体" w:hAnsi="宋体" w:cs="宋体"/>
          <w:sz w:val="24"/>
        </w:rPr>
        <w:t>以介质存储的数据电文形式的备份响应</w:t>
      </w:r>
      <w:r>
        <w:rPr>
          <w:rFonts w:ascii="宋体" w:hAnsi="宋体" w:cs="宋体"/>
          <w:sz w:val="24"/>
          <w:szCs w:val="24"/>
        </w:rPr>
        <w:t>文件</w:t>
      </w:r>
      <w:r>
        <w:rPr>
          <w:rFonts w:hint="eastAsia" w:ascii="宋体" w:hAnsi="宋体" w:cs="宋体"/>
          <w:sz w:val="24"/>
          <w:szCs w:val="24"/>
        </w:rPr>
        <w:t>（</w:t>
      </w:r>
      <w:r>
        <w:rPr>
          <w:rFonts w:ascii="宋体" w:hAnsi="宋体" w:cs="宋体"/>
          <w:sz w:val="24"/>
          <w:szCs w:val="24"/>
        </w:rPr>
        <w:t>BFBS格式</w:t>
      </w:r>
      <w:r>
        <w:rPr>
          <w:rFonts w:hint="eastAsia" w:ascii="宋体" w:hAnsi="宋体" w:cs="宋体"/>
          <w:sz w:val="24"/>
          <w:szCs w:val="24"/>
        </w:rPr>
        <w:t>）</w:t>
      </w:r>
      <w:r>
        <w:rPr>
          <w:rFonts w:ascii="宋体" w:hAnsi="宋体" w:cs="宋体"/>
          <w:sz w:val="24"/>
          <w:szCs w:val="24"/>
        </w:rPr>
        <w:t>，按政采云平台项目采购-电子交易操作指南中上传的电子响应文件格式，以U盘形式存储提供</w:t>
      </w:r>
      <w:r>
        <w:rPr>
          <w:rFonts w:hint="eastAsia" w:ascii="宋体" w:hAnsi="宋体" w:cs="宋体"/>
          <w:sz w:val="24"/>
          <w:szCs w:val="24"/>
        </w:rPr>
        <w:t>）</w:t>
      </w:r>
      <w:r>
        <w:rPr>
          <w:rFonts w:ascii="宋体" w:hAnsi="宋体" w:cs="宋体"/>
          <w:sz w:val="24"/>
          <w:szCs w:val="24"/>
        </w:rPr>
        <w:t>。U盘盘面上粘贴标签，标注单位名称，装入一个外包封袋中进行邮寄.邮寄时，总的外包封袋上可不注明单位名称，但应注明单位的联系人、联系电话及项目名称</w:t>
      </w:r>
      <w:r>
        <w:rPr>
          <w:rFonts w:hint="eastAsia" w:ascii="宋体" w:hAnsi="宋体" w:cs="宋体"/>
          <w:sz w:val="24"/>
          <w:szCs w:val="24"/>
        </w:rPr>
        <w:t>。邮寄地址为：浙江华耀建设咨询有限公司（湖州市静江公寓1单元1101室），联系人：张治中，联系电话：0572-2198738，</w:t>
      </w:r>
      <w:r>
        <w:fldChar w:fldCharType="begin"/>
      </w:r>
      <w:r>
        <w:instrText xml:space="preserve"> HYPERLINK "mailto:huayaohz@163.com。供应商应于2020年11月" </w:instrText>
      </w:r>
      <w:r>
        <w:fldChar w:fldCharType="separate"/>
      </w:r>
      <w:r>
        <w:fldChar w:fldCharType="end"/>
      </w:r>
      <w:r>
        <w:rPr>
          <w:rFonts w:hint="eastAsia" w:ascii="宋体" w:hAnsi="宋体" w:cs="宋体"/>
          <w:sz w:val="24"/>
          <w:szCs w:val="24"/>
        </w:rPr>
        <w:t>供应商应于2024年 月 日11:00时前准时送达，拒绝到付。逾期送达的将拒绝接收。数据电子备份响应文件（U盘）应在响应截止时间前</w:t>
      </w:r>
      <w:r>
        <w:rPr>
          <w:rFonts w:hint="eastAsia" w:ascii="宋体" w:hAnsi="宋体" w:cs="宋体"/>
          <w:sz w:val="24"/>
        </w:rPr>
        <w:t>送达，超过响应截止时间前送达的，按未提供处理。</w:t>
      </w:r>
    </w:p>
    <w:p w14:paraId="2456FF01">
      <w:pPr>
        <w:tabs>
          <w:tab w:val="left" w:pos="720"/>
        </w:tabs>
        <w:spacing w:line="460" w:lineRule="exact"/>
        <w:ind w:firstLine="480" w:firstLineChars="200"/>
        <w:rPr>
          <w:rFonts w:ascii="宋体" w:cs="Times New Roman"/>
          <w:sz w:val="24"/>
          <w:szCs w:val="24"/>
        </w:rPr>
      </w:pPr>
      <w:r>
        <w:rPr>
          <w:rFonts w:ascii="宋体" w:hAnsi="宋体" w:cs="宋体"/>
          <w:sz w:val="24"/>
          <w:szCs w:val="24"/>
        </w:rPr>
        <w:t>13.3</w:t>
      </w:r>
      <w:r>
        <w:rPr>
          <w:rFonts w:hint="eastAsia" w:cs="宋体"/>
          <w:sz w:val="24"/>
          <w:szCs w:val="24"/>
        </w:rPr>
        <w:t>整</w:t>
      </w:r>
      <w:r>
        <w:rPr>
          <w:rFonts w:hint="eastAsia" w:ascii="宋体" w:hAnsi="宋体" w:cs="宋体"/>
          <w:sz w:val="24"/>
          <w:szCs w:val="24"/>
        </w:rPr>
        <w:t>个磋商过程中若因供应商问题造成电子响应文件无法正常解密的，均认定为未提交电子响应文件，作无效标处理。因网络或其他非供应商问题造成电子响应文件未成功解密，且供应商提供了数据电子备份响应文件（</w:t>
      </w:r>
      <w:r>
        <w:rPr>
          <w:rFonts w:ascii="宋体" w:hAnsi="宋体" w:cs="宋体"/>
          <w:sz w:val="24"/>
          <w:szCs w:val="24"/>
        </w:rPr>
        <w:t>U</w:t>
      </w:r>
      <w:r>
        <w:rPr>
          <w:rFonts w:hint="eastAsia" w:ascii="宋体" w:hAnsi="宋体" w:cs="宋体"/>
          <w:sz w:val="24"/>
          <w:szCs w:val="24"/>
        </w:rPr>
        <w:t>盘）的，以数据电子备份响应文件（</w:t>
      </w:r>
      <w:r>
        <w:rPr>
          <w:rFonts w:ascii="宋体" w:hAnsi="宋体" w:cs="宋体"/>
          <w:sz w:val="24"/>
          <w:szCs w:val="24"/>
        </w:rPr>
        <w:t>U</w:t>
      </w:r>
      <w:r>
        <w:rPr>
          <w:rFonts w:hint="eastAsia" w:ascii="宋体" w:hAnsi="宋体" w:cs="宋体"/>
          <w:sz w:val="24"/>
          <w:szCs w:val="24"/>
        </w:rPr>
        <w:t>盘）作为评审依据，否则视为电子响应文件撤回，作无效标处理。若正常解密成功，则数据电子备份响应文件（</w:t>
      </w:r>
      <w:r>
        <w:rPr>
          <w:rFonts w:ascii="宋体" w:hAnsi="宋体" w:cs="宋体"/>
          <w:sz w:val="24"/>
          <w:szCs w:val="24"/>
        </w:rPr>
        <w:t>U</w:t>
      </w:r>
      <w:r>
        <w:rPr>
          <w:rFonts w:hint="eastAsia" w:ascii="宋体" w:hAnsi="宋体" w:cs="宋体"/>
          <w:sz w:val="24"/>
          <w:szCs w:val="24"/>
        </w:rPr>
        <w:t>盘）不予开启。</w:t>
      </w:r>
    </w:p>
    <w:p w14:paraId="1F6E3ABF">
      <w:pPr>
        <w:tabs>
          <w:tab w:val="left" w:pos="720"/>
        </w:tabs>
        <w:spacing w:line="460" w:lineRule="exact"/>
        <w:ind w:firstLine="480" w:firstLineChars="200"/>
        <w:rPr>
          <w:rFonts w:ascii="宋体" w:cs="Times New Roman"/>
          <w:sz w:val="24"/>
          <w:szCs w:val="24"/>
        </w:rPr>
      </w:pPr>
      <w:r>
        <w:rPr>
          <w:rFonts w:ascii="宋体" w:hAnsi="宋体" w:cs="宋体"/>
          <w:sz w:val="24"/>
          <w:szCs w:val="24"/>
        </w:rPr>
        <w:t>13.4</w:t>
      </w:r>
      <w:r>
        <w:rPr>
          <w:rFonts w:hint="eastAsia" w:ascii="宋体" w:hAnsi="宋体" w:cs="宋体"/>
          <w:sz w:val="24"/>
          <w:szCs w:val="24"/>
        </w:rPr>
        <w:t>采购代理机构可通过修改磋商文件酌情延长递交响应文件的截止时间，在此情况下，供应商的所有权利和义务以及供应商的磋商截止时间均应以延长后新的截止时间为准；</w:t>
      </w:r>
    </w:p>
    <w:p w14:paraId="5F4B50B2">
      <w:pPr>
        <w:tabs>
          <w:tab w:val="left" w:pos="720"/>
        </w:tabs>
        <w:spacing w:line="460" w:lineRule="exact"/>
        <w:ind w:firstLine="480" w:firstLineChars="200"/>
        <w:rPr>
          <w:rFonts w:ascii="宋体" w:cs="Times New Roman"/>
          <w:sz w:val="24"/>
          <w:szCs w:val="24"/>
        </w:rPr>
      </w:pPr>
      <w:r>
        <w:rPr>
          <w:rFonts w:ascii="宋体" w:hAnsi="宋体" w:cs="宋体"/>
          <w:sz w:val="24"/>
          <w:szCs w:val="24"/>
        </w:rPr>
        <w:t>13.5</w:t>
      </w:r>
      <w:r>
        <w:rPr>
          <w:rFonts w:hint="eastAsia" w:ascii="宋体" w:hAnsi="宋体" w:cs="宋体"/>
          <w:sz w:val="24"/>
          <w:szCs w:val="24"/>
        </w:rPr>
        <w:t>供应商的修改书和撤回通知应在规定的磋商截止日期前按规定的时间及方式（邮箱或传真等）送达；</w:t>
      </w:r>
    </w:p>
    <w:p w14:paraId="666FE477">
      <w:pPr>
        <w:tabs>
          <w:tab w:val="left" w:pos="720"/>
        </w:tabs>
        <w:spacing w:line="460" w:lineRule="exact"/>
        <w:ind w:firstLine="480" w:firstLineChars="200"/>
        <w:rPr>
          <w:rFonts w:ascii="宋体" w:cs="Times New Roman"/>
          <w:sz w:val="24"/>
          <w:szCs w:val="24"/>
        </w:rPr>
      </w:pPr>
      <w:r>
        <w:rPr>
          <w:rFonts w:ascii="宋体" w:hAnsi="宋体" w:cs="宋体"/>
          <w:sz w:val="24"/>
          <w:szCs w:val="24"/>
        </w:rPr>
        <w:t>13.6</w:t>
      </w:r>
      <w:r>
        <w:rPr>
          <w:rFonts w:hint="eastAsia" w:ascii="宋体" w:hAnsi="宋体" w:cs="宋体"/>
          <w:sz w:val="24"/>
          <w:szCs w:val="24"/>
        </w:rPr>
        <w:t>采购代理机构收到供应商的响应文件或修改撤回通知书后，应当出具签收单（或收回签收单），通过邮箱或传真等方式送达；</w:t>
      </w:r>
    </w:p>
    <w:p w14:paraId="6C8147AB">
      <w:pPr>
        <w:tabs>
          <w:tab w:val="left" w:pos="720"/>
        </w:tabs>
        <w:spacing w:line="460" w:lineRule="exact"/>
        <w:rPr>
          <w:rFonts w:ascii="宋体" w:cs="Times New Roman"/>
          <w:sz w:val="24"/>
          <w:szCs w:val="24"/>
        </w:rPr>
      </w:pPr>
      <w:r>
        <w:rPr>
          <w:rFonts w:ascii="宋体" w:hAnsi="宋体" w:cs="宋体"/>
          <w:b/>
          <w:bCs/>
          <w:sz w:val="24"/>
          <w:szCs w:val="24"/>
        </w:rPr>
        <w:t>14.</w:t>
      </w:r>
      <w:r>
        <w:rPr>
          <w:rFonts w:hint="eastAsia" w:ascii="宋体" w:hAnsi="宋体" w:cs="宋体"/>
          <w:sz w:val="24"/>
          <w:szCs w:val="24"/>
        </w:rPr>
        <w:t>迟交的响应文件</w:t>
      </w:r>
    </w:p>
    <w:p w14:paraId="1BD3D96D">
      <w:pPr>
        <w:spacing w:line="460" w:lineRule="exact"/>
        <w:ind w:firstLine="480" w:firstLineChars="200"/>
        <w:rPr>
          <w:rFonts w:ascii="宋体" w:cs="Times New Roman"/>
          <w:sz w:val="24"/>
          <w:szCs w:val="24"/>
        </w:rPr>
      </w:pPr>
      <w:r>
        <w:rPr>
          <w:rFonts w:hint="eastAsia" w:ascii="宋体" w:hAnsi="宋体" w:cs="宋体"/>
          <w:sz w:val="24"/>
          <w:szCs w:val="24"/>
        </w:rPr>
        <w:t>磋商采购单位将不接受在规定的磋商截止时间后收到的任何响应文件。</w:t>
      </w:r>
    </w:p>
    <w:p w14:paraId="5EC164AA">
      <w:pPr>
        <w:tabs>
          <w:tab w:val="left" w:pos="720"/>
        </w:tabs>
        <w:spacing w:line="460" w:lineRule="exact"/>
        <w:rPr>
          <w:rFonts w:ascii="宋体" w:cs="Times New Roman"/>
          <w:sz w:val="24"/>
          <w:szCs w:val="24"/>
        </w:rPr>
      </w:pPr>
      <w:r>
        <w:rPr>
          <w:rFonts w:ascii="宋体" w:hAnsi="宋体" w:cs="宋体"/>
          <w:b/>
          <w:bCs/>
          <w:sz w:val="24"/>
          <w:szCs w:val="24"/>
        </w:rPr>
        <w:t>15</w:t>
      </w:r>
      <w:r>
        <w:rPr>
          <w:rFonts w:ascii="宋体" w:cs="宋体"/>
          <w:sz w:val="24"/>
          <w:szCs w:val="24"/>
        </w:rPr>
        <w:t>.</w:t>
      </w:r>
      <w:r>
        <w:rPr>
          <w:rFonts w:hint="eastAsia" w:ascii="宋体" w:hAnsi="宋体" w:cs="宋体"/>
          <w:sz w:val="24"/>
          <w:szCs w:val="24"/>
        </w:rPr>
        <w:t>响应文件的修改和撤回</w:t>
      </w:r>
    </w:p>
    <w:p w14:paraId="43E30C4D">
      <w:pPr>
        <w:spacing w:line="460" w:lineRule="exact"/>
        <w:ind w:firstLine="480" w:firstLineChars="200"/>
        <w:rPr>
          <w:rFonts w:ascii="宋体" w:cs="Times New Roman"/>
          <w:sz w:val="24"/>
          <w:szCs w:val="24"/>
        </w:rPr>
      </w:pPr>
      <w:r>
        <w:rPr>
          <w:rFonts w:ascii="宋体" w:hAnsi="宋体" w:cs="宋体"/>
          <w:sz w:val="24"/>
          <w:szCs w:val="24"/>
        </w:rPr>
        <w:t>15.1</w:t>
      </w:r>
      <w:r>
        <w:rPr>
          <w:rFonts w:hint="eastAsia" w:ascii="宋体" w:hAnsi="宋体" w:cs="宋体"/>
          <w:sz w:val="24"/>
          <w:szCs w:val="24"/>
        </w:rPr>
        <w:t>供应商在提交响应文件后，可以修改或撤回其响应文件，但这种修改和撤回通知，必须在规定的磋商截止时间前，以书面形式（包括邮箱或传真等方式）通知采购代理机构；</w:t>
      </w:r>
    </w:p>
    <w:p w14:paraId="7E20BA81">
      <w:pPr>
        <w:spacing w:line="460" w:lineRule="exact"/>
        <w:ind w:firstLine="480" w:firstLineChars="200"/>
        <w:rPr>
          <w:rFonts w:ascii="宋体" w:cs="Times New Roman"/>
          <w:sz w:val="24"/>
          <w:szCs w:val="24"/>
        </w:rPr>
      </w:pPr>
      <w:r>
        <w:rPr>
          <w:rFonts w:ascii="宋体" w:hAnsi="宋体" w:cs="宋体"/>
          <w:sz w:val="24"/>
          <w:szCs w:val="24"/>
        </w:rPr>
        <w:t>15.2</w:t>
      </w:r>
      <w:r>
        <w:rPr>
          <w:rFonts w:hint="eastAsia" w:ascii="宋体" w:hAnsi="宋体" w:cs="宋体"/>
          <w:sz w:val="24"/>
          <w:szCs w:val="24"/>
        </w:rPr>
        <w:t>在磋商截止时间至规定的磋商有效期满之间的这段时间，供应商不得撤回其响应文件。</w:t>
      </w:r>
    </w:p>
    <w:p w14:paraId="48DA8F79">
      <w:pPr>
        <w:spacing w:line="460" w:lineRule="exact"/>
        <w:rPr>
          <w:rFonts w:ascii="宋体" w:cs="Times New Roman"/>
          <w:sz w:val="24"/>
          <w:szCs w:val="24"/>
        </w:rPr>
      </w:pPr>
      <w:r>
        <w:rPr>
          <w:rFonts w:ascii="宋体" w:hAnsi="宋体" w:cs="宋体"/>
          <w:sz w:val="24"/>
          <w:szCs w:val="24"/>
        </w:rPr>
        <w:t>16.</w:t>
      </w:r>
      <w:r>
        <w:rPr>
          <w:rFonts w:hint="eastAsia" w:ascii="宋体" w:hAnsi="宋体" w:cs="宋体"/>
          <w:sz w:val="24"/>
          <w:szCs w:val="24"/>
        </w:rPr>
        <w:t>出现以下情形，导致电子交易平台无法正常进行，或者无法保证电子交易的公平、公正和安全时，中止电子交易活动：</w:t>
      </w:r>
    </w:p>
    <w:p w14:paraId="6160E0D2">
      <w:pPr>
        <w:spacing w:line="460" w:lineRule="exact"/>
        <w:ind w:firstLine="360" w:firstLineChars="150"/>
        <w:rPr>
          <w:rFonts w:ascii="宋体" w:cs="Times New Roman"/>
          <w:sz w:val="24"/>
          <w:szCs w:val="24"/>
        </w:rPr>
      </w:pPr>
      <w:r>
        <w:rPr>
          <w:rFonts w:ascii="宋体" w:hAnsi="宋体" w:cs="宋体"/>
          <w:sz w:val="24"/>
          <w:szCs w:val="24"/>
        </w:rPr>
        <w:t>16.1</w:t>
      </w:r>
      <w:r>
        <w:rPr>
          <w:rFonts w:hint="eastAsia" w:ascii="宋体" w:hAnsi="宋体" w:cs="宋体"/>
          <w:sz w:val="24"/>
          <w:szCs w:val="24"/>
        </w:rPr>
        <w:t>电子交易平台发生故障而无法登录访问的；</w:t>
      </w:r>
    </w:p>
    <w:p w14:paraId="246DF7E9">
      <w:pPr>
        <w:spacing w:line="460" w:lineRule="exact"/>
        <w:ind w:firstLine="360" w:firstLineChars="150"/>
        <w:rPr>
          <w:rFonts w:ascii="宋体" w:cs="Times New Roman"/>
          <w:sz w:val="24"/>
          <w:szCs w:val="24"/>
        </w:rPr>
      </w:pPr>
      <w:r>
        <w:rPr>
          <w:rFonts w:ascii="宋体" w:hAnsi="宋体" w:cs="宋体"/>
          <w:sz w:val="24"/>
          <w:szCs w:val="24"/>
        </w:rPr>
        <w:t>16.2</w:t>
      </w:r>
      <w:r>
        <w:rPr>
          <w:rFonts w:hint="eastAsia" w:ascii="宋体" w:hAnsi="宋体" w:cs="宋体"/>
          <w:sz w:val="24"/>
          <w:szCs w:val="24"/>
        </w:rPr>
        <w:t>电子交易平台应用或数据库出现错误，不能进行正常操作的；</w:t>
      </w:r>
    </w:p>
    <w:p w14:paraId="41BCA65D">
      <w:pPr>
        <w:spacing w:line="460" w:lineRule="exact"/>
        <w:ind w:firstLine="360" w:firstLineChars="150"/>
        <w:rPr>
          <w:rFonts w:ascii="宋体" w:hAnsi="宋体" w:cs="宋体"/>
          <w:sz w:val="24"/>
          <w:szCs w:val="24"/>
        </w:rPr>
      </w:pPr>
      <w:r>
        <w:rPr>
          <w:rFonts w:ascii="宋体" w:hAnsi="宋体" w:cs="宋体"/>
          <w:sz w:val="24"/>
          <w:szCs w:val="24"/>
        </w:rPr>
        <w:t>16.3</w:t>
      </w:r>
      <w:r>
        <w:rPr>
          <w:rFonts w:hint="eastAsia" w:ascii="宋体" w:hAnsi="宋体" w:cs="宋体"/>
          <w:sz w:val="24"/>
          <w:szCs w:val="24"/>
        </w:rPr>
        <w:t>电子交易平台发现严重安全漏洞，有潜在泄密危险的；</w:t>
      </w:r>
    </w:p>
    <w:p w14:paraId="4A8C76FF">
      <w:pPr>
        <w:spacing w:line="460" w:lineRule="exact"/>
        <w:ind w:firstLine="360" w:firstLineChars="150"/>
        <w:rPr>
          <w:rFonts w:ascii="宋体" w:hAnsi="宋体" w:cs="宋体"/>
          <w:sz w:val="24"/>
          <w:szCs w:val="24"/>
        </w:rPr>
      </w:pPr>
      <w:r>
        <w:rPr>
          <w:rFonts w:ascii="宋体" w:hAnsi="宋体" w:cs="宋体"/>
          <w:sz w:val="24"/>
          <w:szCs w:val="24"/>
        </w:rPr>
        <w:t>16.4</w:t>
      </w:r>
      <w:r>
        <w:rPr>
          <w:rFonts w:hint="eastAsia" w:ascii="宋体" w:hAnsi="宋体" w:cs="宋体"/>
          <w:sz w:val="24"/>
          <w:szCs w:val="24"/>
        </w:rPr>
        <w:t>病毒发作导致不能进行正常操作的；</w:t>
      </w:r>
    </w:p>
    <w:p w14:paraId="5D643BD5">
      <w:pPr>
        <w:spacing w:line="460" w:lineRule="exact"/>
        <w:ind w:firstLine="360" w:firstLineChars="150"/>
        <w:rPr>
          <w:rFonts w:ascii="宋体" w:hAnsi="宋体" w:cs="宋体"/>
          <w:sz w:val="24"/>
          <w:szCs w:val="24"/>
        </w:rPr>
      </w:pPr>
      <w:r>
        <w:rPr>
          <w:rFonts w:ascii="宋体" w:hAnsi="宋体" w:cs="宋体"/>
          <w:sz w:val="24"/>
          <w:szCs w:val="24"/>
        </w:rPr>
        <w:t>16.5</w:t>
      </w:r>
      <w:r>
        <w:rPr>
          <w:rFonts w:hint="eastAsia" w:ascii="宋体" w:hAnsi="宋体" w:cs="宋体"/>
          <w:sz w:val="24"/>
          <w:szCs w:val="24"/>
        </w:rPr>
        <w:t>其他无法保证电子交易的公平、公正和安全的情况。出现以上规定情形，不影响采购公平、公正性的，采购代理机构可以待上述情形消除后继续组织电子交易活动，也可以决定某些环节以其他形式（数据备份响应文件（</w:t>
      </w:r>
      <w:r>
        <w:rPr>
          <w:rFonts w:ascii="宋体" w:hAnsi="宋体" w:cs="宋体"/>
          <w:sz w:val="24"/>
          <w:szCs w:val="24"/>
        </w:rPr>
        <w:t>U</w:t>
      </w:r>
      <w:r>
        <w:rPr>
          <w:rFonts w:hint="eastAsia" w:ascii="宋体" w:hAnsi="宋体" w:cs="宋体"/>
          <w:sz w:val="24"/>
          <w:szCs w:val="24"/>
        </w:rPr>
        <w:t>盘））进行；影响或可能影响采购公平、公正性的，重新采购。</w:t>
      </w:r>
    </w:p>
    <w:p w14:paraId="3E4ECB81">
      <w:pPr>
        <w:pStyle w:val="3"/>
        <w:spacing w:before="156" w:line="440" w:lineRule="exact"/>
        <w:jc w:val="center"/>
        <w:rPr>
          <w:rFonts w:ascii="宋体" w:hAnsi="宋体" w:eastAsia="宋体"/>
          <w:kern w:val="44"/>
          <w:sz w:val="28"/>
          <w:szCs w:val="28"/>
        </w:rPr>
      </w:pPr>
      <w:bookmarkStart w:id="44" w:name="_Toc69913487"/>
      <w:r>
        <w:rPr>
          <w:rFonts w:hint="eastAsia" w:ascii="宋体" w:hAnsi="宋体" w:eastAsia="宋体" w:cs="宋体"/>
          <w:kern w:val="44"/>
          <w:sz w:val="28"/>
          <w:szCs w:val="28"/>
        </w:rPr>
        <w:t>四、磋商规则、程序</w:t>
      </w:r>
      <w:bookmarkEnd w:id="44"/>
    </w:p>
    <w:p w14:paraId="59DFA996">
      <w:pPr>
        <w:spacing w:line="460" w:lineRule="exact"/>
        <w:rPr>
          <w:rFonts w:ascii="宋体" w:cs="Times New Roman"/>
          <w:sz w:val="24"/>
          <w:szCs w:val="24"/>
        </w:rPr>
      </w:pPr>
      <w:r>
        <w:rPr>
          <w:rFonts w:ascii="宋体" w:hAnsi="宋体" w:cs="宋体"/>
          <w:b/>
          <w:bCs/>
          <w:sz w:val="24"/>
          <w:szCs w:val="24"/>
        </w:rPr>
        <w:t>17.</w:t>
      </w:r>
      <w:r>
        <w:rPr>
          <w:rFonts w:hint="eastAsia" w:ascii="宋体" w:hAnsi="宋体" w:cs="宋体"/>
          <w:sz w:val="24"/>
          <w:szCs w:val="24"/>
        </w:rPr>
        <w:t>磋商规则</w:t>
      </w:r>
    </w:p>
    <w:p w14:paraId="157FF0CE">
      <w:pPr>
        <w:spacing w:line="460" w:lineRule="exact"/>
        <w:ind w:firstLine="480" w:firstLineChars="200"/>
        <w:rPr>
          <w:rFonts w:ascii="宋体" w:cs="Times New Roman"/>
          <w:sz w:val="24"/>
          <w:szCs w:val="24"/>
        </w:rPr>
      </w:pPr>
      <w:r>
        <w:rPr>
          <w:rFonts w:ascii="宋体" w:hAnsi="宋体" w:cs="宋体"/>
          <w:sz w:val="24"/>
          <w:szCs w:val="24"/>
        </w:rPr>
        <w:t>17.1</w:t>
      </w:r>
      <w:r>
        <w:rPr>
          <w:rFonts w:hint="eastAsia" w:ascii="宋体" w:hAnsi="宋体" w:cs="宋体"/>
          <w:sz w:val="24"/>
          <w:szCs w:val="24"/>
        </w:rPr>
        <w:t>采购组织机构按照规定的时间通过政采云系统组织开标、开启响应文件，所有供应商均应当准时在线参加；</w:t>
      </w:r>
    </w:p>
    <w:p w14:paraId="37CF42A6">
      <w:pPr>
        <w:spacing w:line="460" w:lineRule="exact"/>
        <w:ind w:firstLine="480" w:firstLineChars="200"/>
        <w:rPr>
          <w:rFonts w:ascii="宋体" w:cs="Times New Roman"/>
          <w:sz w:val="24"/>
          <w:szCs w:val="24"/>
        </w:rPr>
      </w:pPr>
      <w:r>
        <w:rPr>
          <w:rFonts w:ascii="宋体" w:hAnsi="宋体" w:cs="宋体"/>
          <w:sz w:val="24"/>
          <w:szCs w:val="24"/>
        </w:rPr>
        <w:t>17.2</w:t>
      </w:r>
      <w:r>
        <w:rPr>
          <w:rFonts w:hint="eastAsia" w:ascii="宋体" w:hAnsi="宋体" w:cs="宋体"/>
          <w:sz w:val="24"/>
          <w:szCs w:val="24"/>
        </w:rPr>
        <w:t>磋商截止时间后，供应商登录政采云平台，用“项目采购</w:t>
      </w:r>
      <w:r>
        <w:rPr>
          <w:rFonts w:ascii="宋体" w:cs="宋体"/>
          <w:sz w:val="24"/>
          <w:szCs w:val="24"/>
        </w:rPr>
        <w:t>-</w:t>
      </w:r>
      <w:r>
        <w:rPr>
          <w:rFonts w:hint="eastAsia" w:ascii="宋体" w:hAnsi="宋体" w:cs="宋体"/>
          <w:sz w:val="24"/>
          <w:szCs w:val="24"/>
        </w:rPr>
        <w:t>开标评标”功能对电子响应文件进行在线解密。在线解密电子响应文件时间为开标时间起半个小时内；供应商在规定的时间内无法完成已递交的“电子加密响应文件”解密的，如已按规定递交了备份响应文件的，将由采购组织机构按“政府采购云平台”操作规范将备份响应文件上传至“政府采购云平台”，上传成功后，“电子加密响应文件”自动失效；</w:t>
      </w:r>
    </w:p>
    <w:p w14:paraId="56C457CD">
      <w:pPr>
        <w:spacing w:line="460" w:lineRule="exact"/>
        <w:ind w:firstLine="480" w:firstLineChars="200"/>
        <w:rPr>
          <w:rFonts w:ascii="宋体" w:cs="Times New Roman"/>
          <w:sz w:val="24"/>
          <w:szCs w:val="24"/>
        </w:rPr>
      </w:pPr>
      <w:r>
        <w:rPr>
          <w:rFonts w:ascii="宋体" w:cs="宋体"/>
          <w:sz w:val="24"/>
          <w:szCs w:val="24"/>
        </w:rPr>
        <w:t>17.3</w:t>
      </w:r>
      <w:r>
        <w:rPr>
          <w:rFonts w:hint="eastAsia" w:ascii="宋体" w:cs="宋体"/>
          <w:sz w:val="24"/>
          <w:szCs w:val="24"/>
        </w:rPr>
        <w:t>开启响应文件，进入资格审查；</w:t>
      </w:r>
    </w:p>
    <w:p w14:paraId="04AD80A5">
      <w:pPr>
        <w:spacing w:line="460" w:lineRule="exact"/>
        <w:ind w:firstLine="480" w:firstLineChars="200"/>
        <w:rPr>
          <w:rFonts w:ascii="宋体" w:cs="Times New Roman"/>
          <w:sz w:val="24"/>
          <w:szCs w:val="24"/>
        </w:rPr>
      </w:pPr>
      <w:r>
        <w:rPr>
          <w:rFonts w:ascii="宋体" w:cs="宋体"/>
          <w:sz w:val="24"/>
          <w:szCs w:val="24"/>
        </w:rPr>
        <w:t>17.4</w:t>
      </w:r>
      <w:r>
        <w:rPr>
          <w:rFonts w:hint="eastAsia" w:ascii="宋体" w:cs="宋体"/>
          <w:sz w:val="24"/>
          <w:szCs w:val="24"/>
        </w:rPr>
        <w:t>开启资格审查通过的供应商的技术</w:t>
      </w:r>
      <w:r>
        <w:rPr>
          <w:rFonts w:ascii="宋体" w:cs="宋体"/>
          <w:sz w:val="24"/>
          <w:szCs w:val="24"/>
        </w:rPr>
        <w:t>/</w:t>
      </w:r>
      <w:r>
        <w:rPr>
          <w:rFonts w:hint="eastAsia" w:ascii="宋体" w:cs="宋体"/>
          <w:sz w:val="24"/>
          <w:szCs w:val="24"/>
        </w:rPr>
        <w:t>资信</w:t>
      </w:r>
      <w:r>
        <w:rPr>
          <w:rFonts w:ascii="宋体" w:cs="宋体"/>
          <w:sz w:val="24"/>
          <w:szCs w:val="24"/>
        </w:rPr>
        <w:t>/</w:t>
      </w:r>
      <w:r>
        <w:rPr>
          <w:rFonts w:hint="eastAsia" w:ascii="宋体" w:cs="宋体"/>
          <w:sz w:val="24"/>
          <w:szCs w:val="24"/>
        </w:rPr>
        <w:t>商务文件进入符合性审查；</w:t>
      </w:r>
    </w:p>
    <w:p w14:paraId="48984587">
      <w:pPr>
        <w:spacing w:line="400" w:lineRule="exact"/>
        <w:ind w:firstLine="480" w:firstLineChars="200"/>
        <w:outlineLvl w:val="1"/>
        <w:rPr>
          <w:rFonts w:ascii="宋体" w:cs="Times New Roman"/>
          <w:sz w:val="24"/>
          <w:szCs w:val="24"/>
        </w:rPr>
      </w:pPr>
      <w:bookmarkStart w:id="45" w:name="_Toc69913425"/>
      <w:bookmarkStart w:id="46" w:name="_Toc69913488"/>
      <w:bookmarkStart w:id="47" w:name="_Toc69913245"/>
      <w:r>
        <w:rPr>
          <w:rFonts w:ascii="宋体" w:hAnsi="宋体" w:cs="宋体"/>
          <w:sz w:val="24"/>
          <w:szCs w:val="24"/>
        </w:rPr>
        <w:t>17.5</w:t>
      </w:r>
      <w:r>
        <w:rPr>
          <w:rFonts w:hint="eastAsia" w:ascii="宋体" w:hAnsi="宋体" w:cs="宋体"/>
          <w:sz w:val="24"/>
          <w:szCs w:val="24"/>
        </w:rPr>
        <w:t>技术</w:t>
      </w:r>
      <w:r>
        <w:rPr>
          <w:rFonts w:ascii="宋体" w:hAnsi="宋体" w:cs="宋体"/>
          <w:sz w:val="24"/>
          <w:szCs w:val="24"/>
        </w:rPr>
        <w:t>/</w:t>
      </w:r>
      <w:r>
        <w:rPr>
          <w:rFonts w:hint="eastAsia" w:ascii="宋体" w:hAnsi="宋体" w:cs="宋体"/>
          <w:sz w:val="24"/>
          <w:szCs w:val="24"/>
        </w:rPr>
        <w:t>资信</w:t>
      </w:r>
      <w:r>
        <w:rPr>
          <w:rFonts w:ascii="宋体" w:hAnsi="宋体" w:cs="宋体"/>
          <w:sz w:val="24"/>
          <w:szCs w:val="24"/>
        </w:rPr>
        <w:t>/</w:t>
      </w:r>
      <w:r>
        <w:rPr>
          <w:rFonts w:hint="eastAsia" w:ascii="宋体" w:hAnsi="宋体" w:cs="宋体"/>
          <w:sz w:val="24"/>
          <w:szCs w:val="24"/>
        </w:rPr>
        <w:t>商务文件符合性审查评审结束后，公布技术</w:t>
      </w:r>
      <w:r>
        <w:rPr>
          <w:rFonts w:ascii="宋体" w:hAnsi="宋体" w:cs="宋体"/>
          <w:sz w:val="24"/>
          <w:szCs w:val="24"/>
        </w:rPr>
        <w:t>/</w:t>
      </w:r>
      <w:r>
        <w:rPr>
          <w:rFonts w:hint="eastAsia" w:ascii="宋体" w:hAnsi="宋体" w:cs="宋体"/>
          <w:sz w:val="24"/>
          <w:szCs w:val="24"/>
        </w:rPr>
        <w:t>资信</w:t>
      </w:r>
      <w:r>
        <w:rPr>
          <w:rFonts w:ascii="宋体" w:hAnsi="宋体" w:cs="宋体"/>
          <w:sz w:val="24"/>
          <w:szCs w:val="24"/>
        </w:rPr>
        <w:t>/</w:t>
      </w:r>
      <w:r>
        <w:rPr>
          <w:rFonts w:hint="eastAsia" w:ascii="宋体" w:hAnsi="宋体" w:cs="宋体"/>
          <w:sz w:val="24"/>
          <w:szCs w:val="24"/>
        </w:rPr>
        <w:t>商务文件符合性审查评审无效供应商名称及理由；公布经技术</w:t>
      </w:r>
      <w:r>
        <w:rPr>
          <w:rFonts w:ascii="宋体" w:hAnsi="宋体" w:cs="宋体"/>
          <w:sz w:val="24"/>
          <w:szCs w:val="24"/>
        </w:rPr>
        <w:t>/</w:t>
      </w:r>
      <w:r>
        <w:rPr>
          <w:rFonts w:hint="eastAsia" w:ascii="宋体" w:hAnsi="宋体" w:cs="宋体"/>
          <w:sz w:val="24"/>
          <w:szCs w:val="24"/>
        </w:rPr>
        <w:t>资信</w:t>
      </w:r>
      <w:r>
        <w:rPr>
          <w:rFonts w:ascii="宋体" w:hAnsi="宋体" w:cs="宋体"/>
          <w:sz w:val="24"/>
          <w:szCs w:val="24"/>
        </w:rPr>
        <w:t>/</w:t>
      </w:r>
      <w:r>
        <w:rPr>
          <w:rFonts w:hint="eastAsia" w:ascii="宋体" w:hAnsi="宋体" w:cs="宋体"/>
          <w:sz w:val="24"/>
          <w:szCs w:val="24"/>
        </w:rPr>
        <w:t>商务文件评审后有效投标供应商的名单。</w:t>
      </w:r>
      <w:bookmarkEnd w:id="45"/>
      <w:bookmarkEnd w:id="46"/>
      <w:bookmarkEnd w:id="47"/>
    </w:p>
    <w:p w14:paraId="31C9000A">
      <w:pPr>
        <w:spacing w:line="400" w:lineRule="exact"/>
        <w:ind w:firstLine="480" w:firstLineChars="200"/>
        <w:outlineLvl w:val="1"/>
        <w:rPr>
          <w:rFonts w:ascii="宋体" w:cs="Times New Roman"/>
          <w:sz w:val="24"/>
          <w:szCs w:val="24"/>
        </w:rPr>
      </w:pPr>
      <w:bookmarkStart w:id="48" w:name="_Toc69913489"/>
      <w:bookmarkStart w:id="49" w:name="_Toc69913426"/>
      <w:bookmarkStart w:id="50" w:name="_Toc69913246"/>
      <w:r>
        <w:rPr>
          <w:rFonts w:ascii="宋体" w:hAnsi="宋体" w:cs="宋体"/>
          <w:sz w:val="24"/>
          <w:szCs w:val="24"/>
        </w:rPr>
        <w:t>17.6</w:t>
      </w:r>
      <w:r>
        <w:rPr>
          <w:rFonts w:hint="eastAsia" w:ascii="宋体" w:hAnsi="宋体" w:cs="宋体"/>
          <w:sz w:val="24"/>
          <w:szCs w:val="24"/>
        </w:rPr>
        <w:t>通知供应商进行最终报价，供应商提交最终报价（半小时以内）</w:t>
      </w:r>
      <w:bookmarkEnd w:id="48"/>
      <w:bookmarkEnd w:id="49"/>
      <w:bookmarkEnd w:id="50"/>
    </w:p>
    <w:p w14:paraId="1D6551E1">
      <w:pPr>
        <w:spacing w:line="400" w:lineRule="exact"/>
        <w:ind w:firstLine="480" w:firstLineChars="200"/>
        <w:outlineLvl w:val="1"/>
        <w:rPr>
          <w:rFonts w:ascii="宋体" w:cs="Times New Roman"/>
          <w:sz w:val="24"/>
          <w:szCs w:val="24"/>
        </w:rPr>
      </w:pPr>
      <w:bookmarkStart w:id="51" w:name="_Toc69913247"/>
      <w:bookmarkStart w:id="52" w:name="_Toc69913427"/>
      <w:bookmarkStart w:id="53" w:name="_Toc69913490"/>
      <w:r>
        <w:rPr>
          <w:rFonts w:ascii="宋体" w:hAnsi="宋体" w:cs="宋体"/>
          <w:sz w:val="24"/>
          <w:szCs w:val="24"/>
        </w:rPr>
        <w:t>17.7</w:t>
      </w:r>
      <w:r>
        <w:rPr>
          <w:rFonts w:hint="eastAsia" w:ascii="宋体" w:hAnsi="宋体" w:cs="宋体"/>
          <w:sz w:val="24"/>
          <w:szCs w:val="24"/>
        </w:rPr>
        <w:t>评标委员会对报价情况进行评审；</w:t>
      </w:r>
      <w:bookmarkEnd w:id="51"/>
      <w:bookmarkEnd w:id="52"/>
      <w:bookmarkEnd w:id="53"/>
    </w:p>
    <w:p w14:paraId="03045704">
      <w:pPr>
        <w:spacing w:line="400" w:lineRule="exact"/>
        <w:ind w:firstLine="480" w:firstLineChars="200"/>
        <w:outlineLvl w:val="1"/>
        <w:rPr>
          <w:rFonts w:ascii="宋体" w:cs="Times New Roman"/>
          <w:sz w:val="24"/>
          <w:szCs w:val="24"/>
        </w:rPr>
      </w:pPr>
      <w:bookmarkStart w:id="54" w:name="_Toc69913428"/>
      <w:bookmarkStart w:id="55" w:name="_Toc69913491"/>
      <w:bookmarkStart w:id="56" w:name="_Toc69913248"/>
      <w:r>
        <w:rPr>
          <w:rFonts w:ascii="宋体" w:hAnsi="宋体" w:cs="宋体"/>
          <w:sz w:val="24"/>
          <w:szCs w:val="24"/>
        </w:rPr>
        <w:t>17.8</w:t>
      </w:r>
      <w:r>
        <w:rPr>
          <w:rFonts w:hint="eastAsia" w:ascii="宋体" w:hAnsi="宋体" w:cs="宋体"/>
          <w:sz w:val="24"/>
          <w:szCs w:val="24"/>
        </w:rPr>
        <w:t>评审结束后，公布中标（成交）候选供应商名单等。</w:t>
      </w:r>
      <w:bookmarkEnd w:id="54"/>
      <w:bookmarkEnd w:id="55"/>
      <w:bookmarkEnd w:id="56"/>
    </w:p>
    <w:p w14:paraId="31E06AD2">
      <w:pPr>
        <w:spacing w:line="400" w:lineRule="exact"/>
        <w:ind w:firstLine="480" w:firstLineChars="200"/>
        <w:outlineLvl w:val="1"/>
        <w:rPr>
          <w:rFonts w:ascii="宋体" w:cs="Times New Roman"/>
          <w:sz w:val="24"/>
          <w:szCs w:val="24"/>
        </w:rPr>
      </w:pPr>
      <w:bookmarkStart w:id="57" w:name="_Toc69913429"/>
      <w:bookmarkStart w:id="58" w:name="_Toc69913249"/>
      <w:bookmarkStart w:id="59" w:name="_Toc69913492"/>
      <w:r>
        <w:rPr>
          <w:rFonts w:ascii="宋体" w:hAnsi="宋体" w:cs="宋体"/>
          <w:sz w:val="24"/>
          <w:szCs w:val="24"/>
        </w:rPr>
        <w:t>17.9</w:t>
      </w:r>
      <w:r>
        <w:rPr>
          <w:rFonts w:hint="eastAsia" w:ascii="宋体" w:hAnsi="宋体" w:cs="宋体"/>
          <w:sz w:val="24"/>
          <w:szCs w:val="24"/>
        </w:rPr>
        <w:t>磋商结束</w:t>
      </w:r>
      <w:bookmarkEnd w:id="57"/>
      <w:bookmarkEnd w:id="58"/>
      <w:bookmarkEnd w:id="59"/>
    </w:p>
    <w:p w14:paraId="191326D5">
      <w:pPr>
        <w:spacing w:line="400" w:lineRule="exact"/>
        <w:ind w:firstLine="480" w:firstLineChars="200"/>
        <w:outlineLvl w:val="1"/>
        <w:rPr>
          <w:rFonts w:ascii="宋体" w:cs="Times New Roman"/>
          <w:sz w:val="24"/>
          <w:szCs w:val="24"/>
        </w:rPr>
      </w:pPr>
      <w:bookmarkStart w:id="60" w:name="_Toc69913493"/>
      <w:bookmarkStart w:id="61" w:name="_Toc69913250"/>
      <w:r>
        <w:rPr>
          <w:rFonts w:hint="eastAsia" w:ascii="宋体" w:hAnsi="宋体" w:cs="宋体"/>
          <w:sz w:val="24"/>
          <w:szCs w:val="24"/>
        </w:rPr>
        <w:t>特别说明：政采云公司如对电子化开标及评审程序有调整的，按调整后的程序操作。</w:t>
      </w:r>
      <w:bookmarkEnd w:id="60"/>
      <w:bookmarkEnd w:id="61"/>
    </w:p>
    <w:p w14:paraId="1FB989DD">
      <w:pPr>
        <w:spacing w:line="460" w:lineRule="exact"/>
        <w:ind w:firstLine="480" w:firstLineChars="200"/>
        <w:rPr>
          <w:rFonts w:ascii="宋体" w:cs="Times New Roman"/>
          <w:sz w:val="24"/>
          <w:szCs w:val="24"/>
        </w:rPr>
      </w:pPr>
      <w:r>
        <w:rPr>
          <w:rFonts w:ascii="宋体" w:hAnsi="宋体" w:cs="宋体"/>
          <w:sz w:val="24"/>
          <w:szCs w:val="24"/>
        </w:rPr>
        <w:t>17.10</w:t>
      </w:r>
      <w:r>
        <w:rPr>
          <w:rFonts w:hint="eastAsia" w:ascii="宋体" w:hAnsi="宋体" w:cs="宋体"/>
          <w:sz w:val="24"/>
          <w:szCs w:val="24"/>
        </w:rPr>
        <w:t>对供应商的磋商文件出现下列情况之一的，按照无效标处理：</w:t>
      </w:r>
    </w:p>
    <w:p w14:paraId="195547B6">
      <w:pPr>
        <w:spacing w:line="460" w:lineRule="exact"/>
        <w:ind w:firstLine="482" w:firstLineChars="200"/>
        <w:rPr>
          <w:rFonts w:ascii="宋体" w:cs="Times New Roman"/>
          <w:b/>
          <w:bCs/>
          <w:sz w:val="24"/>
          <w:szCs w:val="24"/>
        </w:rPr>
      </w:pPr>
      <w:r>
        <w:rPr>
          <w:rFonts w:ascii="宋体" w:hAnsi="宋体" w:cs="宋体"/>
          <w:b/>
          <w:bCs/>
          <w:sz w:val="24"/>
          <w:szCs w:val="24"/>
        </w:rPr>
        <w:t>17.10.1</w:t>
      </w:r>
      <w:r>
        <w:rPr>
          <w:rFonts w:hint="eastAsia" w:ascii="宋体" w:hAnsi="宋体" w:cs="宋体"/>
          <w:b/>
          <w:bCs/>
          <w:sz w:val="24"/>
          <w:szCs w:val="24"/>
        </w:rPr>
        <w:t>电子响应文件逾期未上传、传输的将拒绝接收；或仅提供备份响应文件的；</w:t>
      </w:r>
    </w:p>
    <w:p w14:paraId="119F94CA">
      <w:pPr>
        <w:spacing w:line="460" w:lineRule="exact"/>
        <w:ind w:firstLine="482" w:firstLineChars="200"/>
        <w:rPr>
          <w:rFonts w:ascii="宋体" w:cs="Times New Roman"/>
          <w:b/>
          <w:bCs/>
          <w:sz w:val="24"/>
          <w:szCs w:val="24"/>
        </w:rPr>
      </w:pPr>
      <w:r>
        <w:rPr>
          <w:rFonts w:ascii="宋体" w:hAnsi="宋体" w:cs="宋体"/>
          <w:b/>
          <w:bCs/>
          <w:sz w:val="24"/>
          <w:szCs w:val="24"/>
        </w:rPr>
        <w:t>17.10.2</w:t>
      </w:r>
      <w:r>
        <w:rPr>
          <w:rFonts w:hint="eastAsia" w:ascii="宋体" w:hAnsi="宋体" w:cs="宋体"/>
          <w:b/>
          <w:bCs/>
          <w:sz w:val="24"/>
          <w:szCs w:val="24"/>
        </w:rPr>
        <w:t>未按照磋商文件规定的要求签署、盖章的；</w:t>
      </w:r>
    </w:p>
    <w:p w14:paraId="5633CF8D">
      <w:pPr>
        <w:spacing w:line="460" w:lineRule="exact"/>
        <w:ind w:firstLine="482" w:firstLineChars="200"/>
        <w:rPr>
          <w:rFonts w:ascii="宋体" w:cs="Times New Roman"/>
          <w:b/>
          <w:bCs/>
          <w:sz w:val="24"/>
          <w:szCs w:val="24"/>
        </w:rPr>
      </w:pPr>
      <w:r>
        <w:rPr>
          <w:rFonts w:ascii="宋体" w:hAnsi="宋体" w:cs="宋体"/>
          <w:b/>
          <w:bCs/>
          <w:sz w:val="24"/>
          <w:szCs w:val="24"/>
        </w:rPr>
        <w:t>17.10.3</w:t>
      </w:r>
      <w:r>
        <w:rPr>
          <w:rFonts w:hint="eastAsia" w:ascii="宋体" w:hAnsi="宋体" w:cs="宋体"/>
          <w:b/>
          <w:bCs/>
          <w:sz w:val="24"/>
          <w:szCs w:val="24"/>
        </w:rPr>
        <w:t>不具备磋商文件中规定的资格条件要求的；</w:t>
      </w:r>
    </w:p>
    <w:p w14:paraId="7A82240B">
      <w:pPr>
        <w:spacing w:line="460" w:lineRule="exact"/>
        <w:ind w:firstLine="482" w:firstLineChars="200"/>
        <w:rPr>
          <w:rFonts w:ascii="宋体" w:cs="Times New Roman"/>
          <w:b/>
          <w:bCs/>
          <w:sz w:val="24"/>
          <w:szCs w:val="24"/>
        </w:rPr>
      </w:pPr>
      <w:r>
        <w:rPr>
          <w:rFonts w:ascii="宋体" w:hAnsi="宋体" w:cs="宋体"/>
          <w:b/>
          <w:bCs/>
          <w:sz w:val="24"/>
          <w:szCs w:val="24"/>
        </w:rPr>
        <w:t>17.10.4</w:t>
      </w:r>
      <w:r>
        <w:rPr>
          <w:rFonts w:hint="eastAsia" w:ascii="宋体" w:hAnsi="宋体" w:cs="宋体"/>
          <w:b/>
          <w:bCs/>
          <w:sz w:val="24"/>
          <w:szCs w:val="24"/>
        </w:rPr>
        <w:t>供应商提交两份或两份以上内容不同的响应文件，或在一份响应文件中对同一采购项目有两个或两个以上报价的；或报价超过最高限价的；</w:t>
      </w:r>
    </w:p>
    <w:p w14:paraId="04AD44CD">
      <w:pPr>
        <w:spacing w:line="460" w:lineRule="exact"/>
        <w:ind w:firstLine="482" w:firstLineChars="200"/>
        <w:rPr>
          <w:rFonts w:ascii="宋体" w:cs="Times New Roman"/>
          <w:b/>
          <w:bCs/>
          <w:snapToGrid w:val="0"/>
          <w:sz w:val="24"/>
          <w:szCs w:val="24"/>
        </w:rPr>
      </w:pPr>
      <w:r>
        <w:rPr>
          <w:rFonts w:ascii="宋体" w:hAnsi="宋体" w:cs="宋体"/>
          <w:b/>
          <w:bCs/>
          <w:sz w:val="24"/>
          <w:szCs w:val="24"/>
        </w:rPr>
        <w:t>17.10.5</w:t>
      </w:r>
      <w:r>
        <w:rPr>
          <w:rFonts w:hint="eastAsia" w:ascii="宋体" w:hAnsi="宋体" w:cs="宋体"/>
          <w:b/>
          <w:bCs/>
          <w:sz w:val="24"/>
          <w:szCs w:val="24"/>
        </w:rPr>
        <w:t>响应文件</w:t>
      </w:r>
      <w:r>
        <w:rPr>
          <w:rFonts w:hint="eastAsia" w:ascii="宋体" w:hAnsi="宋体" w:cs="宋体"/>
          <w:b/>
          <w:bCs/>
          <w:snapToGrid w:val="0"/>
          <w:sz w:val="24"/>
          <w:szCs w:val="24"/>
        </w:rPr>
        <w:t>载明的采购项目完成期限超过磋商文件规定的期限，采购人不能接受的；</w:t>
      </w:r>
    </w:p>
    <w:p w14:paraId="0FAF8D0C">
      <w:pPr>
        <w:spacing w:line="460" w:lineRule="exact"/>
        <w:ind w:firstLine="482" w:firstLineChars="200"/>
        <w:rPr>
          <w:rFonts w:ascii="宋体" w:cs="Times New Roman"/>
          <w:b/>
          <w:bCs/>
          <w:snapToGrid w:val="0"/>
          <w:sz w:val="24"/>
          <w:szCs w:val="24"/>
        </w:rPr>
      </w:pPr>
      <w:r>
        <w:rPr>
          <w:rFonts w:ascii="宋体" w:hAnsi="宋体" w:cs="宋体"/>
          <w:b/>
          <w:bCs/>
          <w:sz w:val="24"/>
          <w:szCs w:val="24"/>
        </w:rPr>
        <w:t>17.10.</w:t>
      </w:r>
      <w:r>
        <w:rPr>
          <w:rFonts w:ascii="宋体" w:hAnsi="宋体" w:cs="宋体"/>
          <w:b/>
          <w:bCs/>
          <w:snapToGrid w:val="0"/>
          <w:sz w:val="24"/>
          <w:szCs w:val="24"/>
        </w:rPr>
        <w:t>6</w:t>
      </w:r>
      <w:r>
        <w:rPr>
          <w:rFonts w:hint="eastAsia" w:ascii="宋体" w:hAnsi="宋体" w:cs="宋体"/>
          <w:b/>
          <w:bCs/>
          <w:sz w:val="24"/>
          <w:szCs w:val="24"/>
        </w:rPr>
        <w:t>响应文件</w:t>
      </w:r>
      <w:r>
        <w:rPr>
          <w:rFonts w:hint="eastAsia" w:ascii="宋体" w:hAnsi="宋体" w:cs="宋体"/>
          <w:b/>
          <w:bCs/>
          <w:snapToGrid w:val="0"/>
          <w:sz w:val="24"/>
          <w:szCs w:val="24"/>
        </w:rPr>
        <w:t>载明的采购项目磋商有效期、服务期少于磋商文件规定期限的；</w:t>
      </w:r>
    </w:p>
    <w:p w14:paraId="0412422F">
      <w:pPr>
        <w:spacing w:line="460" w:lineRule="exact"/>
        <w:ind w:firstLine="482" w:firstLineChars="200"/>
        <w:rPr>
          <w:rFonts w:ascii="宋体" w:cs="Times New Roman"/>
          <w:b/>
          <w:bCs/>
          <w:sz w:val="24"/>
          <w:szCs w:val="24"/>
        </w:rPr>
      </w:pPr>
      <w:r>
        <w:rPr>
          <w:rFonts w:ascii="宋体" w:hAnsi="宋体" w:cs="宋体"/>
          <w:b/>
          <w:bCs/>
          <w:sz w:val="24"/>
          <w:szCs w:val="24"/>
        </w:rPr>
        <w:t>17.10.7</w:t>
      </w:r>
      <w:r>
        <w:rPr>
          <w:rFonts w:hint="eastAsia" w:ascii="宋体" w:hAnsi="宋体" w:cs="宋体"/>
          <w:b/>
          <w:bCs/>
          <w:sz w:val="24"/>
          <w:szCs w:val="24"/>
        </w:rPr>
        <w:t>响应文件未响应磋商文件规定的付款方式的；</w:t>
      </w:r>
    </w:p>
    <w:p w14:paraId="1633301B">
      <w:pPr>
        <w:spacing w:line="460" w:lineRule="exact"/>
        <w:ind w:firstLine="482" w:firstLineChars="200"/>
        <w:rPr>
          <w:rFonts w:ascii="宋体" w:cs="Times New Roman"/>
          <w:b/>
          <w:bCs/>
          <w:snapToGrid w:val="0"/>
          <w:sz w:val="24"/>
          <w:szCs w:val="24"/>
        </w:rPr>
      </w:pPr>
      <w:r>
        <w:rPr>
          <w:rFonts w:ascii="宋体" w:hAnsi="宋体" w:cs="宋体"/>
          <w:b/>
          <w:bCs/>
          <w:sz w:val="24"/>
          <w:szCs w:val="24"/>
        </w:rPr>
        <w:t>17.10.8</w:t>
      </w:r>
      <w:r>
        <w:rPr>
          <w:rFonts w:hint="eastAsia" w:ascii="宋体" w:hAnsi="宋体" w:cs="宋体"/>
          <w:b/>
          <w:bCs/>
          <w:sz w:val="24"/>
          <w:szCs w:val="24"/>
        </w:rPr>
        <w:t>磋商服务的</w:t>
      </w:r>
      <w:r>
        <w:rPr>
          <w:rFonts w:hint="eastAsia" w:ascii="宋体" w:hAnsi="宋体" w:cs="宋体"/>
          <w:b/>
          <w:bCs/>
          <w:snapToGrid w:val="0"/>
          <w:sz w:val="24"/>
          <w:szCs w:val="24"/>
        </w:rPr>
        <w:t>技术规范、技术标准明显不符合国家强制性要求的；</w:t>
      </w:r>
    </w:p>
    <w:p w14:paraId="136E8466">
      <w:pPr>
        <w:spacing w:line="460" w:lineRule="exact"/>
        <w:ind w:firstLine="482" w:firstLineChars="200"/>
        <w:rPr>
          <w:rFonts w:ascii="宋体" w:cs="Times New Roman"/>
          <w:b/>
          <w:bCs/>
          <w:snapToGrid w:val="0"/>
          <w:sz w:val="24"/>
          <w:szCs w:val="24"/>
        </w:rPr>
      </w:pPr>
      <w:r>
        <w:rPr>
          <w:rFonts w:ascii="宋体" w:hAnsi="宋体" w:cs="宋体"/>
          <w:b/>
          <w:bCs/>
          <w:sz w:val="24"/>
          <w:szCs w:val="24"/>
        </w:rPr>
        <w:t>17.10.9</w:t>
      </w:r>
      <w:r>
        <w:rPr>
          <w:rFonts w:hint="eastAsia" w:ascii="宋体" w:hAnsi="宋体" w:cs="宋体"/>
          <w:b/>
          <w:bCs/>
          <w:snapToGrid w:val="0"/>
          <w:sz w:val="24"/>
          <w:szCs w:val="24"/>
        </w:rPr>
        <w:t>磋商服务载明的验收标准和方法等不符合国家规定及竞争性磋商文件要求的；</w:t>
      </w:r>
    </w:p>
    <w:p w14:paraId="11B9BFE8">
      <w:pPr>
        <w:spacing w:line="460" w:lineRule="exact"/>
        <w:ind w:firstLine="482" w:firstLineChars="200"/>
        <w:rPr>
          <w:rFonts w:ascii="宋体" w:cs="Times New Roman"/>
          <w:b/>
          <w:bCs/>
          <w:sz w:val="24"/>
          <w:szCs w:val="24"/>
        </w:rPr>
      </w:pPr>
      <w:r>
        <w:rPr>
          <w:rFonts w:ascii="宋体" w:hAnsi="宋体" w:cs="宋体"/>
          <w:b/>
          <w:bCs/>
          <w:sz w:val="24"/>
          <w:szCs w:val="24"/>
        </w:rPr>
        <w:t>17.10.10</w:t>
      </w:r>
      <w:r>
        <w:rPr>
          <w:rFonts w:hint="eastAsia" w:ascii="宋体" w:hAnsi="宋体" w:cs="宋体"/>
          <w:b/>
          <w:bCs/>
          <w:sz w:val="24"/>
          <w:szCs w:val="24"/>
        </w:rPr>
        <w:t>响应文件字迹模糊辨认不清的（磋商小组一致认为难以确认）；</w:t>
      </w:r>
    </w:p>
    <w:p w14:paraId="2DFB3D24">
      <w:pPr>
        <w:spacing w:line="460" w:lineRule="exact"/>
        <w:ind w:firstLine="482" w:firstLineChars="200"/>
        <w:rPr>
          <w:rFonts w:ascii="宋体" w:cs="Times New Roman"/>
          <w:b/>
          <w:bCs/>
          <w:sz w:val="24"/>
          <w:szCs w:val="24"/>
        </w:rPr>
      </w:pPr>
      <w:r>
        <w:rPr>
          <w:rFonts w:ascii="宋体" w:hAnsi="宋体" w:cs="宋体"/>
          <w:b/>
          <w:bCs/>
          <w:sz w:val="24"/>
          <w:szCs w:val="24"/>
        </w:rPr>
        <w:t>17.10.11</w:t>
      </w:r>
      <w:r>
        <w:rPr>
          <w:rFonts w:hint="eastAsia" w:ascii="宋体" w:hAnsi="宋体" w:cs="宋体"/>
          <w:b/>
          <w:bCs/>
          <w:sz w:val="24"/>
          <w:szCs w:val="24"/>
        </w:rPr>
        <w:t>未在浙江政府采购网（政采云平台）完成本项目网上报名的；</w:t>
      </w:r>
    </w:p>
    <w:p w14:paraId="6EDB0EC6">
      <w:pPr>
        <w:spacing w:line="460" w:lineRule="exact"/>
        <w:ind w:firstLine="482" w:firstLineChars="200"/>
        <w:rPr>
          <w:rFonts w:ascii="宋体" w:cs="Times New Roman"/>
          <w:b/>
          <w:bCs/>
          <w:sz w:val="24"/>
          <w:szCs w:val="24"/>
        </w:rPr>
      </w:pPr>
      <w:r>
        <w:rPr>
          <w:rFonts w:ascii="宋体" w:hAnsi="宋体" w:cs="宋体"/>
          <w:b/>
          <w:bCs/>
          <w:sz w:val="24"/>
          <w:szCs w:val="24"/>
        </w:rPr>
        <w:t>17.10.12</w:t>
      </w:r>
      <w:r>
        <w:rPr>
          <w:rFonts w:hint="eastAsia" w:ascii="宋体" w:hAnsi="宋体" w:cs="宋体"/>
          <w:b/>
          <w:bCs/>
          <w:kern w:val="0"/>
          <w:sz w:val="24"/>
          <w:szCs w:val="24"/>
        </w:rPr>
        <w:t>提供不真实资料的；</w:t>
      </w:r>
    </w:p>
    <w:p w14:paraId="3FE3A20D">
      <w:pPr>
        <w:spacing w:line="460" w:lineRule="exact"/>
        <w:ind w:firstLine="482" w:firstLineChars="200"/>
        <w:rPr>
          <w:rFonts w:ascii="宋体" w:cs="Times New Roman"/>
          <w:b/>
          <w:bCs/>
          <w:kern w:val="0"/>
          <w:sz w:val="24"/>
          <w:szCs w:val="24"/>
        </w:rPr>
      </w:pPr>
      <w:r>
        <w:rPr>
          <w:rFonts w:ascii="宋体" w:hAnsi="宋体" w:cs="宋体"/>
          <w:b/>
          <w:bCs/>
          <w:sz w:val="24"/>
          <w:szCs w:val="24"/>
        </w:rPr>
        <w:t>17.10.</w:t>
      </w:r>
      <w:r>
        <w:rPr>
          <w:rFonts w:ascii="宋体" w:hAnsi="宋体" w:cs="宋体"/>
          <w:b/>
          <w:bCs/>
          <w:snapToGrid w:val="0"/>
          <w:sz w:val="24"/>
          <w:szCs w:val="24"/>
        </w:rPr>
        <w:t>13</w:t>
      </w:r>
      <w:r>
        <w:rPr>
          <w:rFonts w:hint="eastAsia" w:ascii="宋体" w:hAnsi="宋体" w:cs="宋体"/>
          <w:b/>
          <w:bCs/>
          <w:snapToGrid w:val="0"/>
          <w:kern w:val="0"/>
          <w:sz w:val="24"/>
          <w:szCs w:val="24"/>
        </w:rPr>
        <w:t>不符合法律、法规和磋商文件规</w:t>
      </w:r>
      <w:r>
        <w:rPr>
          <w:rFonts w:hint="eastAsia" w:ascii="宋体" w:hAnsi="宋体" w:cs="宋体"/>
          <w:b/>
          <w:bCs/>
          <w:kern w:val="0"/>
          <w:sz w:val="24"/>
          <w:szCs w:val="24"/>
        </w:rPr>
        <w:t>定的其他实质性（打“▲”的）要求</w:t>
      </w:r>
      <w:r>
        <w:rPr>
          <w:rFonts w:hint="eastAsia" w:ascii="宋体" w:hAnsi="宋体" w:cs="宋体"/>
          <w:b/>
          <w:bCs/>
          <w:sz w:val="24"/>
          <w:szCs w:val="24"/>
        </w:rPr>
        <w:t>（磋商小组一致认定）</w:t>
      </w:r>
      <w:r>
        <w:rPr>
          <w:rFonts w:hint="eastAsia" w:ascii="宋体" w:hAnsi="宋体" w:cs="宋体"/>
          <w:b/>
          <w:bCs/>
          <w:snapToGrid w:val="0"/>
          <w:sz w:val="24"/>
          <w:szCs w:val="24"/>
        </w:rPr>
        <w:t>的；</w:t>
      </w:r>
    </w:p>
    <w:p w14:paraId="25D34E50">
      <w:pPr>
        <w:spacing w:line="460" w:lineRule="exact"/>
        <w:ind w:firstLine="482" w:firstLineChars="200"/>
        <w:rPr>
          <w:rFonts w:ascii="宋体" w:hAnsi="宋体" w:cs="宋体"/>
          <w:b/>
          <w:bCs/>
          <w:snapToGrid w:val="0"/>
          <w:sz w:val="24"/>
          <w:szCs w:val="24"/>
        </w:rPr>
      </w:pPr>
      <w:r>
        <w:rPr>
          <w:rFonts w:ascii="宋体" w:hAnsi="宋体" w:cs="宋体"/>
          <w:b/>
          <w:bCs/>
          <w:sz w:val="24"/>
          <w:szCs w:val="24"/>
        </w:rPr>
        <w:t>17.10.</w:t>
      </w:r>
      <w:r>
        <w:rPr>
          <w:rFonts w:ascii="宋体" w:hAnsi="宋体" w:cs="宋体"/>
          <w:b/>
          <w:bCs/>
          <w:snapToGrid w:val="0"/>
          <w:sz w:val="24"/>
          <w:szCs w:val="24"/>
        </w:rPr>
        <w:t>14</w:t>
      </w:r>
      <w:r>
        <w:rPr>
          <w:rFonts w:hint="eastAsia" w:ascii="宋体" w:hAnsi="宋体" w:cs="宋体"/>
          <w:b/>
          <w:bCs/>
          <w:sz w:val="24"/>
          <w:szCs w:val="24"/>
        </w:rPr>
        <w:t>磋商服务的</w:t>
      </w:r>
      <w:r>
        <w:rPr>
          <w:rFonts w:hint="eastAsia" w:ascii="宋体" w:hAnsi="宋体" w:cs="宋体"/>
          <w:b/>
          <w:bCs/>
          <w:snapToGrid w:val="0"/>
          <w:sz w:val="24"/>
          <w:szCs w:val="24"/>
        </w:rPr>
        <w:t>服务指标、参数等存在实质性偏离</w:t>
      </w:r>
      <w:r>
        <w:rPr>
          <w:rFonts w:hint="eastAsia" w:ascii="宋体" w:hAnsi="宋体" w:cs="宋体"/>
          <w:b/>
          <w:bCs/>
          <w:sz w:val="24"/>
          <w:szCs w:val="24"/>
        </w:rPr>
        <w:t>（磋商小组一致认定）</w:t>
      </w:r>
      <w:r>
        <w:rPr>
          <w:rFonts w:hint="eastAsia" w:ascii="宋体" w:hAnsi="宋体" w:cs="宋体"/>
          <w:b/>
          <w:bCs/>
          <w:snapToGrid w:val="0"/>
          <w:sz w:val="24"/>
          <w:szCs w:val="24"/>
        </w:rPr>
        <w:t>的；</w:t>
      </w:r>
    </w:p>
    <w:p w14:paraId="3B3E961F">
      <w:pPr>
        <w:spacing w:line="360" w:lineRule="auto"/>
        <w:ind w:firstLine="482" w:firstLineChars="200"/>
        <w:rPr>
          <w:rFonts w:ascii="宋体" w:cs="Times New Roman"/>
          <w:b/>
          <w:bCs/>
          <w:snapToGrid w:val="0"/>
          <w:sz w:val="24"/>
          <w:szCs w:val="24"/>
        </w:rPr>
      </w:pPr>
      <w:r>
        <w:rPr>
          <w:rFonts w:hint="eastAsia" w:ascii="宋体" w:hAnsi="宋体"/>
          <w:b/>
          <w:snapToGrid w:val="0"/>
          <w:sz w:val="24"/>
        </w:rPr>
        <w:t>17.10.15</w:t>
      </w:r>
      <w:r>
        <w:rPr>
          <w:rFonts w:hint="eastAsia" w:ascii="宋体" w:hAnsi="宋体" w:cs="宋体"/>
          <w:b/>
          <w:bCs/>
          <w:snapToGrid w:val="0"/>
          <w:sz w:val="24"/>
          <w:szCs w:val="24"/>
        </w:rPr>
        <w:t>法律、法规、规章及省级以上规范性文件等规定的其他情形。</w:t>
      </w:r>
    </w:p>
    <w:p w14:paraId="7E42AE81">
      <w:pPr>
        <w:spacing w:line="460" w:lineRule="exact"/>
        <w:rPr>
          <w:rFonts w:ascii="宋体" w:cs="Times New Roman"/>
          <w:sz w:val="24"/>
          <w:szCs w:val="24"/>
        </w:rPr>
      </w:pPr>
      <w:r>
        <w:rPr>
          <w:rFonts w:ascii="宋体" w:hAnsi="宋体" w:cs="宋体"/>
          <w:b/>
          <w:bCs/>
          <w:sz w:val="24"/>
          <w:szCs w:val="24"/>
        </w:rPr>
        <w:t>18</w:t>
      </w:r>
      <w:r>
        <w:rPr>
          <w:rFonts w:ascii="宋体" w:cs="宋体"/>
          <w:sz w:val="24"/>
          <w:szCs w:val="24"/>
        </w:rPr>
        <w:t>.</w:t>
      </w:r>
      <w:r>
        <w:rPr>
          <w:rFonts w:hint="eastAsia" w:ascii="宋体" w:hAnsi="宋体" w:cs="宋体"/>
          <w:sz w:val="24"/>
          <w:szCs w:val="24"/>
        </w:rPr>
        <w:t>磋商小组与磋商原则</w:t>
      </w:r>
    </w:p>
    <w:p w14:paraId="0A963692">
      <w:pPr>
        <w:spacing w:line="460" w:lineRule="exact"/>
        <w:ind w:firstLine="480" w:firstLineChars="200"/>
        <w:rPr>
          <w:rFonts w:ascii="宋体" w:cs="Times New Roman"/>
          <w:sz w:val="24"/>
          <w:szCs w:val="24"/>
        </w:rPr>
      </w:pPr>
      <w:r>
        <w:rPr>
          <w:rFonts w:hint="eastAsia" w:ascii="宋体" w:hAnsi="宋体" w:cs="宋体"/>
          <w:sz w:val="24"/>
          <w:szCs w:val="24"/>
        </w:rPr>
        <w:t>磋商小组由磋商采购单位依法组建，负责磋商活动。磋商小组遵循公开、公平、公正、科学合理，竞争择优的原则。</w:t>
      </w:r>
    </w:p>
    <w:p w14:paraId="062DA17E">
      <w:pPr>
        <w:spacing w:line="460" w:lineRule="exact"/>
        <w:rPr>
          <w:rFonts w:ascii="宋体" w:cs="Times New Roman"/>
          <w:sz w:val="24"/>
          <w:szCs w:val="24"/>
        </w:rPr>
      </w:pPr>
      <w:r>
        <w:rPr>
          <w:rFonts w:ascii="宋体" w:hAnsi="宋体" w:cs="宋体"/>
          <w:b/>
          <w:bCs/>
          <w:sz w:val="24"/>
          <w:szCs w:val="24"/>
        </w:rPr>
        <w:t>19</w:t>
      </w:r>
      <w:r>
        <w:rPr>
          <w:rFonts w:ascii="宋体" w:cs="宋体"/>
          <w:sz w:val="24"/>
          <w:szCs w:val="24"/>
        </w:rPr>
        <w:t>.</w:t>
      </w:r>
      <w:r>
        <w:rPr>
          <w:rFonts w:hint="eastAsia" w:ascii="宋体" w:hAnsi="宋体" w:cs="宋体"/>
          <w:sz w:val="24"/>
          <w:szCs w:val="24"/>
        </w:rPr>
        <w:t>磋商过程的保密</w:t>
      </w:r>
    </w:p>
    <w:p w14:paraId="534BDF1A">
      <w:pPr>
        <w:spacing w:line="460" w:lineRule="exact"/>
        <w:ind w:firstLine="480" w:firstLineChars="200"/>
        <w:rPr>
          <w:rFonts w:ascii="宋体" w:cs="Times New Roman"/>
          <w:sz w:val="24"/>
          <w:szCs w:val="24"/>
        </w:rPr>
      </w:pPr>
      <w:r>
        <w:rPr>
          <w:rFonts w:ascii="宋体" w:hAnsi="宋体" w:cs="宋体"/>
          <w:sz w:val="24"/>
          <w:szCs w:val="24"/>
        </w:rPr>
        <w:t>19.1</w:t>
      </w:r>
      <w:r>
        <w:rPr>
          <w:rFonts w:hint="eastAsia" w:ascii="宋体" w:hAnsi="宋体" w:cs="宋体"/>
          <w:sz w:val="24"/>
          <w:szCs w:val="24"/>
        </w:rPr>
        <w:t>磋商会开始后，直至授予成交供应商合同为止，凡属于对响应文件的审查、澄清、评判和比较的有关资料、成交候选供应商的推荐情况及与磋商有关的其他任何情况均依法严格保密。</w:t>
      </w:r>
    </w:p>
    <w:p w14:paraId="5F753B5B">
      <w:pPr>
        <w:spacing w:line="460" w:lineRule="exact"/>
        <w:ind w:firstLine="480" w:firstLineChars="200"/>
        <w:rPr>
          <w:rFonts w:ascii="宋体" w:cs="Times New Roman"/>
          <w:sz w:val="24"/>
          <w:szCs w:val="24"/>
        </w:rPr>
      </w:pPr>
      <w:r>
        <w:rPr>
          <w:rFonts w:ascii="宋体" w:hAnsi="宋体" w:cs="宋体"/>
          <w:sz w:val="24"/>
          <w:szCs w:val="24"/>
        </w:rPr>
        <w:t>19.2</w:t>
      </w:r>
      <w:r>
        <w:rPr>
          <w:rFonts w:hint="eastAsia" w:ascii="宋体" w:hAnsi="宋体" w:cs="宋体"/>
          <w:sz w:val="24"/>
          <w:szCs w:val="24"/>
        </w:rPr>
        <w:t>在响应文件的评判和比较、成交候选供应商推荐以及授予合同的过程中，供应商向磋商采购单位和磋商小组施加影响的任何行为，都将会导致其磋商被拒绝。</w:t>
      </w:r>
    </w:p>
    <w:p w14:paraId="017220A2">
      <w:pPr>
        <w:spacing w:line="460" w:lineRule="exact"/>
        <w:ind w:firstLine="480" w:firstLineChars="200"/>
        <w:rPr>
          <w:rFonts w:ascii="宋体" w:cs="Times New Roman"/>
          <w:sz w:val="24"/>
          <w:szCs w:val="24"/>
        </w:rPr>
      </w:pPr>
      <w:r>
        <w:rPr>
          <w:rFonts w:ascii="宋体" w:hAnsi="宋体" w:cs="宋体"/>
          <w:sz w:val="24"/>
          <w:szCs w:val="24"/>
        </w:rPr>
        <w:t>19.3</w:t>
      </w:r>
      <w:r>
        <w:rPr>
          <w:rFonts w:hint="eastAsia" w:ascii="宋体" w:hAnsi="宋体" w:cs="宋体"/>
          <w:sz w:val="24"/>
          <w:szCs w:val="24"/>
        </w:rPr>
        <w:t>磋商小组分别与各供应商进行商务资信、技术及价格磋商、在磋商过程中，磋商小组成员不得透露其他供应商的磋商信息，严守商业秘密。</w:t>
      </w:r>
    </w:p>
    <w:p w14:paraId="4A97339E">
      <w:pPr>
        <w:spacing w:line="460" w:lineRule="exact"/>
        <w:ind w:firstLine="480" w:firstLineChars="200"/>
        <w:rPr>
          <w:rFonts w:ascii="宋体" w:cs="Times New Roman"/>
          <w:sz w:val="24"/>
          <w:szCs w:val="24"/>
        </w:rPr>
      </w:pPr>
      <w:r>
        <w:rPr>
          <w:rFonts w:ascii="宋体" w:hAnsi="宋体" w:cs="宋体"/>
          <w:sz w:val="24"/>
          <w:szCs w:val="24"/>
        </w:rPr>
        <w:t>19.4</w:t>
      </w:r>
      <w:r>
        <w:rPr>
          <w:rFonts w:hint="eastAsia" w:ascii="宋体" w:hAnsi="宋体" w:cs="宋体"/>
          <w:sz w:val="24"/>
          <w:szCs w:val="24"/>
        </w:rPr>
        <w:t>供应商有下列情形之一的，视为供应商串通磋商，其磋商无效：</w:t>
      </w:r>
    </w:p>
    <w:p w14:paraId="31CBD74C">
      <w:pPr>
        <w:spacing w:line="460" w:lineRule="exact"/>
        <w:ind w:firstLine="480" w:firstLineChars="200"/>
        <w:rPr>
          <w:rFonts w:ascii="宋体" w:cs="Times New Roman"/>
          <w:sz w:val="24"/>
          <w:szCs w:val="24"/>
        </w:rPr>
      </w:pPr>
      <w:r>
        <w:rPr>
          <w:rFonts w:ascii="宋体" w:hAnsi="宋体" w:cs="宋体"/>
          <w:sz w:val="24"/>
          <w:szCs w:val="24"/>
        </w:rPr>
        <w:t>19.4.1</w:t>
      </w:r>
      <w:r>
        <w:rPr>
          <w:rFonts w:hint="eastAsia" w:ascii="宋体" w:hAnsi="宋体" w:cs="宋体"/>
          <w:sz w:val="24"/>
          <w:szCs w:val="24"/>
        </w:rPr>
        <w:t>不同供应商的响应文件由同一单位或者个人编制；</w:t>
      </w:r>
    </w:p>
    <w:p w14:paraId="0D092B83">
      <w:pPr>
        <w:spacing w:line="460" w:lineRule="exact"/>
        <w:ind w:firstLine="480" w:firstLineChars="200"/>
        <w:rPr>
          <w:rFonts w:ascii="宋体" w:cs="Times New Roman"/>
          <w:sz w:val="24"/>
          <w:szCs w:val="24"/>
        </w:rPr>
      </w:pPr>
      <w:r>
        <w:rPr>
          <w:rFonts w:ascii="宋体" w:hAnsi="宋体" w:cs="宋体"/>
          <w:sz w:val="24"/>
          <w:szCs w:val="24"/>
        </w:rPr>
        <w:t>19.4.2</w:t>
      </w:r>
      <w:r>
        <w:rPr>
          <w:rFonts w:hint="eastAsia" w:ascii="宋体" w:hAnsi="宋体" w:cs="宋体"/>
          <w:sz w:val="24"/>
          <w:szCs w:val="24"/>
        </w:rPr>
        <w:t>不同供应商委托同一单位或者个人办理磋商事宜；</w:t>
      </w:r>
    </w:p>
    <w:p w14:paraId="241DD5D2">
      <w:pPr>
        <w:spacing w:line="460" w:lineRule="exact"/>
        <w:ind w:firstLine="480" w:firstLineChars="200"/>
        <w:rPr>
          <w:rFonts w:ascii="宋体" w:cs="Times New Roman"/>
          <w:sz w:val="24"/>
          <w:szCs w:val="24"/>
        </w:rPr>
      </w:pPr>
      <w:r>
        <w:rPr>
          <w:rFonts w:ascii="宋体" w:hAnsi="宋体" w:cs="宋体"/>
          <w:sz w:val="24"/>
          <w:szCs w:val="24"/>
        </w:rPr>
        <w:t>19.4.3</w:t>
      </w:r>
      <w:r>
        <w:rPr>
          <w:rFonts w:hint="eastAsia" w:ascii="宋体" w:hAnsi="宋体" w:cs="宋体"/>
          <w:sz w:val="24"/>
          <w:szCs w:val="24"/>
        </w:rPr>
        <w:t>不同供应商的响应文件载明的项目管理成员或者联系人员为同一人；</w:t>
      </w:r>
    </w:p>
    <w:p w14:paraId="6F6DE2D2">
      <w:pPr>
        <w:spacing w:line="460" w:lineRule="exact"/>
        <w:ind w:firstLine="480" w:firstLineChars="200"/>
        <w:rPr>
          <w:rFonts w:ascii="宋体" w:cs="Times New Roman"/>
          <w:sz w:val="24"/>
          <w:szCs w:val="24"/>
        </w:rPr>
      </w:pPr>
      <w:r>
        <w:rPr>
          <w:rFonts w:ascii="宋体" w:hAnsi="宋体" w:cs="宋体"/>
          <w:sz w:val="24"/>
          <w:szCs w:val="24"/>
        </w:rPr>
        <w:t>19.4.4</w:t>
      </w:r>
      <w:r>
        <w:rPr>
          <w:rFonts w:hint="eastAsia" w:ascii="宋体" w:hAnsi="宋体" w:cs="宋体"/>
          <w:sz w:val="24"/>
          <w:szCs w:val="24"/>
        </w:rPr>
        <w:t>不同供应商的响应文件异常一致或者磋商报价呈规律性差异；</w:t>
      </w:r>
    </w:p>
    <w:p w14:paraId="56F21F8D">
      <w:pPr>
        <w:spacing w:line="460" w:lineRule="exact"/>
        <w:ind w:firstLine="480" w:firstLineChars="200"/>
        <w:rPr>
          <w:rFonts w:ascii="宋体" w:cs="Times New Roman"/>
          <w:sz w:val="24"/>
          <w:szCs w:val="24"/>
        </w:rPr>
      </w:pPr>
      <w:r>
        <w:rPr>
          <w:rFonts w:ascii="宋体" w:hAnsi="宋体" w:cs="宋体"/>
          <w:sz w:val="24"/>
          <w:szCs w:val="24"/>
        </w:rPr>
        <w:t>19.4.5</w:t>
      </w:r>
      <w:r>
        <w:rPr>
          <w:rFonts w:hint="eastAsia" w:ascii="宋体" w:hAnsi="宋体" w:cs="宋体"/>
          <w:sz w:val="24"/>
          <w:szCs w:val="24"/>
        </w:rPr>
        <w:t>不同供应商的数据电子备份响应文件（</w:t>
      </w:r>
      <w:r>
        <w:rPr>
          <w:rFonts w:ascii="宋体" w:hAnsi="宋体" w:cs="宋体"/>
          <w:sz w:val="24"/>
          <w:szCs w:val="24"/>
        </w:rPr>
        <w:t>U</w:t>
      </w:r>
      <w:r>
        <w:rPr>
          <w:rFonts w:hint="eastAsia" w:ascii="宋体" w:hAnsi="宋体" w:cs="宋体"/>
          <w:sz w:val="24"/>
          <w:szCs w:val="24"/>
        </w:rPr>
        <w:t>盘）相互混装。</w:t>
      </w:r>
    </w:p>
    <w:p w14:paraId="76D72FDB">
      <w:pPr>
        <w:spacing w:line="460" w:lineRule="exact"/>
        <w:ind w:firstLine="480" w:firstLineChars="200"/>
        <w:rPr>
          <w:rFonts w:ascii="宋体" w:cs="Times New Roman"/>
          <w:sz w:val="24"/>
          <w:szCs w:val="24"/>
        </w:rPr>
      </w:pPr>
      <w:r>
        <w:rPr>
          <w:rFonts w:ascii="宋体" w:hAnsi="宋体" w:cs="宋体"/>
          <w:sz w:val="24"/>
          <w:szCs w:val="24"/>
        </w:rPr>
        <w:t>19.5</w:t>
      </w:r>
      <w:r>
        <w:rPr>
          <w:rFonts w:hint="eastAsia" w:ascii="宋体" w:hAnsi="宋体" w:cs="宋体"/>
          <w:sz w:val="24"/>
          <w:szCs w:val="24"/>
        </w:rPr>
        <w:t>供应商有下列情形之一的，属于恶意串通，其磋商无效：</w:t>
      </w:r>
    </w:p>
    <w:p w14:paraId="52A3BD07">
      <w:pPr>
        <w:spacing w:line="460" w:lineRule="exact"/>
        <w:ind w:firstLine="480" w:firstLineChars="200"/>
        <w:rPr>
          <w:rFonts w:ascii="宋体" w:cs="Times New Roman"/>
          <w:sz w:val="24"/>
          <w:szCs w:val="24"/>
        </w:rPr>
      </w:pPr>
      <w:r>
        <w:rPr>
          <w:rFonts w:ascii="宋体" w:hAnsi="宋体" w:cs="宋体"/>
          <w:sz w:val="24"/>
          <w:szCs w:val="24"/>
        </w:rPr>
        <w:t>19.5.1</w:t>
      </w:r>
      <w:r>
        <w:rPr>
          <w:rFonts w:hint="eastAsia" w:ascii="宋体" w:hAnsi="宋体" w:cs="宋体"/>
          <w:sz w:val="24"/>
          <w:szCs w:val="24"/>
        </w:rPr>
        <w:t>供应商直接或者间接从采购人或者采购代理机构处获得其他供应商的相关情况并修改其响应文件；</w:t>
      </w:r>
    </w:p>
    <w:p w14:paraId="35AB977B">
      <w:pPr>
        <w:spacing w:line="460" w:lineRule="exact"/>
        <w:ind w:firstLine="480" w:firstLineChars="200"/>
        <w:rPr>
          <w:rFonts w:ascii="宋体" w:cs="Times New Roman"/>
          <w:sz w:val="24"/>
          <w:szCs w:val="24"/>
        </w:rPr>
      </w:pPr>
      <w:r>
        <w:rPr>
          <w:rFonts w:ascii="宋体" w:hAnsi="宋体" w:cs="宋体"/>
          <w:sz w:val="24"/>
          <w:szCs w:val="24"/>
        </w:rPr>
        <w:t>19.5.2</w:t>
      </w:r>
      <w:r>
        <w:rPr>
          <w:rFonts w:hint="eastAsia" w:ascii="宋体" w:hAnsi="宋体" w:cs="宋体"/>
          <w:sz w:val="24"/>
          <w:szCs w:val="24"/>
        </w:rPr>
        <w:t>供应商按照采购人或者采购代理机构的授意撤换、修改响应文件；</w:t>
      </w:r>
    </w:p>
    <w:p w14:paraId="70ACF23F">
      <w:pPr>
        <w:spacing w:line="460" w:lineRule="exact"/>
        <w:ind w:firstLine="480" w:firstLineChars="200"/>
        <w:rPr>
          <w:rFonts w:ascii="宋体" w:cs="Times New Roman"/>
          <w:sz w:val="24"/>
          <w:szCs w:val="24"/>
        </w:rPr>
      </w:pPr>
      <w:r>
        <w:rPr>
          <w:rFonts w:ascii="宋体" w:hAnsi="宋体" w:cs="宋体"/>
          <w:sz w:val="24"/>
          <w:szCs w:val="24"/>
        </w:rPr>
        <w:t>19.5.3</w:t>
      </w:r>
      <w:r>
        <w:rPr>
          <w:rFonts w:hint="eastAsia" w:ascii="宋体" w:hAnsi="宋体" w:cs="宋体"/>
          <w:sz w:val="24"/>
          <w:szCs w:val="24"/>
        </w:rPr>
        <w:t>供应商之间协商报价、技术方案等响应文件的实质性内容；</w:t>
      </w:r>
    </w:p>
    <w:p w14:paraId="080FC13B">
      <w:pPr>
        <w:spacing w:line="460" w:lineRule="exact"/>
        <w:ind w:firstLine="480" w:firstLineChars="200"/>
        <w:rPr>
          <w:rFonts w:ascii="宋体" w:cs="Times New Roman"/>
          <w:sz w:val="24"/>
          <w:szCs w:val="24"/>
        </w:rPr>
      </w:pPr>
      <w:r>
        <w:rPr>
          <w:rFonts w:ascii="宋体" w:hAnsi="宋体" w:cs="宋体"/>
          <w:sz w:val="24"/>
          <w:szCs w:val="24"/>
        </w:rPr>
        <w:t>19.5.4</w:t>
      </w:r>
      <w:r>
        <w:rPr>
          <w:rFonts w:hint="eastAsia" w:ascii="宋体" w:hAnsi="宋体" w:cs="宋体"/>
          <w:sz w:val="24"/>
          <w:szCs w:val="24"/>
        </w:rPr>
        <w:t>属于同一集团、协会、商会等组织成员的供应商按照该组织要求协同参加政府采购活动；</w:t>
      </w:r>
    </w:p>
    <w:p w14:paraId="72D75217">
      <w:pPr>
        <w:spacing w:line="460" w:lineRule="exact"/>
        <w:ind w:firstLine="480" w:firstLineChars="200"/>
        <w:rPr>
          <w:rFonts w:ascii="宋体" w:cs="Times New Roman"/>
          <w:sz w:val="24"/>
          <w:szCs w:val="24"/>
        </w:rPr>
      </w:pPr>
      <w:r>
        <w:rPr>
          <w:rFonts w:ascii="宋体" w:hAnsi="宋体" w:cs="宋体"/>
          <w:sz w:val="24"/>
          <w:szCs w:val="24"/>
        </w:rPr>
        <w:t>19.5.5</w:t>
      </w:r>
      <w:r>
        <w:rPr>
          <w:rFonts w:hint="eastAsia" w:ascii="宋体" w:hAnsi="宋体" w:cs="宋体"/>
          <w:sz w:val="24"/>
          <w:szCs w:val="24"/>
        </w:rPr>
        <w:t>供应商之间事先约定由某一特定供应商中标、成交；</w:t>
      </w:r>
    </w:p>
    <w:p w14:paraId="2611AE8C">
      <w:pPr>
        <w:spacing w:line="460" w:lineRule="exact"/>
        <w:ind w:firstLine="480" w:firstLineChars="200"/>
        <w:rPr>
          <w:rFonts w:ascii="宋体" w:cs="Times New Roman"/>
          <w:sz w:val="24"/>
          <w:szCs w:val="24"/>
        </w:rPr>
      </w:pPr>
      <w:r>
        <w:rPr>
          <w:rFonts w:ascii="宋体" w:hAnsi="宋体" w:cs="宋体"/>
          <w:sz w:val="24"/>
          <w:szCs w:val="24"/>
        </w:rPr>
        <w:t>19.5.6</w:t>
      </w:r>
      <w:r>
        <w:rPr>
          <w:rFonts w:hint="eastAsia" w:ascii="宋体" w:hAnsi="宋体" w:cs="宋体"/>
          <w:sz w:val="24"/>
          <w:szCs w:val="24"/>
        </w:rPr>
        <w:t>供应商之间商定部分供应商放弃参加政府采购活动或者放弃中标、成交；</w:t>
      </w:r>
    </w:p>
    <w:p w14:paraId="4FFCBCAC">
      <w:pPr>
        <w:spacing w:line="460" w:lineRule="exact"/>
        <w:ind w:firstLine="480" w:firstLineChars="200"/>
        <w:rPr>
          <w:rFonts w:ascii="宋体" w:cs="Times New Roman"/>
          <w:sz w:val="24"/>
          <w:szCs w:val="24"/>
        </w:rPr>
      </w:pPr>
      <w:r>
        <w:rPr>
          <w:rFonts w:ascii="宋体" w:hAnsi="宋体" w:cs="宋体"/>
          <w:sz w:val="24"/>
          <w:szCs w:val="24"/>
        </w:rPr>
        <w:t>19.5.7</w:t>
      </w:r>
      <w:r>
        <w:rPr>
          <w:rFonts w:hint="eastAsia" w:ascii="宋体" w:hAnsi="宋体" w:cs="宋体"/>
          <w:sz w:val="24"/>
          <w:szCs w:val="24"/>
        </w:rPr>
        <w:t>供应商与采购人或者采购代理机构之间、供应商相互之间，为谋求特定供应商中标、成交或者排斥其他供应商的其他串通行为。</w:t>
      </w:r>
    </w:p>
    <w:p w14:paraId="7087D134">
      <w:pPr>
        <w:spacing w:line="460" w:lineRule="exact"/>
        <w:rPr>
          <w:rFonts w:ascii="宋体" w:cs="Times New Roman"/>
          <w:sz w:val="24"/>
          <w:szCs w:val="24"/>
        </w:rPr>
      </w:pPr>
      <w:r>
        <w:rPr>
          <w:rFonts w:ascii="宋体" w:hAnsi="宋体" w:cs="宋体"/>
          <w:b/>
          <w:bCs/>
          <w:sz w:val="24"/>
          <w:szCs w:val="24"/>
        </w:rPr>
        <w:t>20</w:t>
      </w:r>
      <w:r>
        <w:rPr>
          <w:rFonts w:ascii="宋体" w:cs="宋体"/>
          <w:sz w:val="24"/>
          <w:szCs w:val="24"/>
        </w:rPr>
        <w:t>.</w:t>
      </w:r>
      <w:r>
        <w:rPr>
          <w:rFonts w:hint="eastAsia" w:ascii="宋体" w:hAnsi="宋体" w:cs="宋体"/>
          <w:sz w:val="24"/>
          <w:szCs w:val="24"/>
        </w:rPr>
        <w:t>响应文件的澄清</w:t>
      </w:r>
    </w:p>
    <w:p w14:paraId="0F7EF0A0">
      <w:pPr>
        <w:spacing w:line="460" w:lineRule="exact"/>
        <w:ind w:firstLine="480" w:firstLineChars="200"/>
        <w:rPr>
          <w:rFonts w:ascii="宋体" w:cs="Times New Roman"/>
          <w:sz w:val="24"/>
          <w:szCs w:val="24"/>
        </w:rPr>
      </w:pPr>
      <w:r>
        <w:rPr>
          <w:rFonts w:hint="eastAsia" w:ascii="宋体" w:hAnsi="宋体" w:cs="宋体"/>
          <w:sz w:val="24"/>
          <w:szCs w:val="24"/>
        </w:rPr>
        <w:t>为有助于响应文件的审查、评判和比较，磋商小组可以书面形式要求供应商对响应文件含义不明确的内容做必要的澄清或说明，供应商应采用书面形式进行澄清、说明或承诺。</w:t>
      </w:r>
    </w:p>
    <w:p w14:paraId="32F69F69">
      <w:pPr>
        <w:spacing w:line="460" w:lineRule="exact"/>
        <w:rPr>
          <w:rFonts w:ascii="宋体" w:cs="Times New Roman"/>
          <w:sz w:val="24"/>
          <w:szCs w:val="24"/>
        </w:rPr>
      </w:pPr>
      <w:r>
        <w:rPr>
          <w:rFonts w:ascii="宋体" w:hAnsi="宋体" w:cs="宋体"/>
          <w:b/>
          <w:bCs/>
          <w:sz w:val="24"/>
          <w:szCs w:val="24"/>
        </w:rPr>
        <w:t>21.</w:t>
      </w:r>
      <w:r>
        <w:rPr>
          <w:rFonts w:hint="eastAsia" w:ascii="宋体" w:hAnsi="宋体" w:cs="宋体"/>
          <w:spacing w:val="14"/>
          <w:sz w:val="24"/>
          <w:szCs w:val="24"/>
        </w:rPr>
        <w:t>磋商程序与方法</w:t>
      </w:r>
    </w:p>
    <w:p w14:paraId="0728B1E5">
      <w:pPr>
        <w:spacing w:line="460" w:lineRule="exact"/>
        <w:ind w:firstLine="480" w:firstLineChars="200"/>
        <w:rPr>
          <w:rFonts w:ascii="宋体" w:cs="Times New Roman"/>
          <w:sz w:val="24"/>
          <w:szCs w:val="24"/>
        </w:rPr>
      </w:pPr>
      <w:r>
        <w:rPr>
          <w:rFonts w:ascii="宋体" w:hAnsi="宋体" w:cs="宋体"/>
          <w:sz w:val="24"/>
          <w:szCs w:val="24"/>
        </w:rPr>
        <w:t>21.1</w:t>
      </w:r>
      <w:r>
        <w:rPr>
          <w:rFonts w:hint="eastAsia" w:ascii="宋体" w:hAnsi="宋体" w:cs="宋体"/>
          <w:sz w:val="24"/>
          <w:szCs w:val="24"/>
        </w:rPr>
        <w:t>资格性审查</w:t>
      </w:r>
    </w:p>
    <w:p w14:paraId="7696DD18">
      <w:pPr>
        <w:spacing w:line="460" w:lineRule="exact"/>
        <w:ind w:firstLine="480" w:firstLineChars="200"/>
        <w:rPr>
          <w:rFonts w:ascii="宋体" w:cs="Times New Roman"/>
          <w:sz w:val="24"/>
          <w:szCs w:val="24"/>
        </w:rPr>
      </w:pPr>
      <w:r>
        <w:rPr>
          <w:rFonts w:hint="eastAsia" w:ascii="宋体" w:hAnsi="宋体" w:cs="宋体"/>
          <w:sz w:val="24"/>
          <w:szCs w:val="24"/>
        </w:rPr>
        <w:t>磋商小组依据法律、法规和磋商文件规定，对响应文件中的资格证明等进行审查，以确定供应商是否具备磋商资格。</w:t>
      </w:r>
    </w:p>
    <w:p w14:paraId="770A74A6">
      <w:pPr>
        <w:spacing w:line="460" w:lineRule="exact"/>
        <w:ind w:firstLine="480" w:firstLineChars="200"/>
        <w:rPr>
          <w:rFonts w:ascii="宋体" w:cs="Times New Roman"/>
          <w:sz w:val="24"/>
          <w:szCs w:val="24"/>
        </w:rPr>
      </w:pPr>
      <w:r>
        <w:rPr>
          <w:rFonts w:ascii="宋体" w:hAnsi="宋体" w:cs="宋体"/>
          <w:sz w:val="24"/>
          <w:szCs w:val="24"/>
        </w:rPr>
        <w:t>21.2</w:t>
      </w:r>
      <w:r>
        <w:rPr>
          <w:rFonts w:hint="eastAsia" w:ascii="宋体" w:hAnsi="宋体" w:cs="宋体"/>
          <w:sz w:val="24"/>
          <w:szCs w:val="24"/>
        </w:rPr>
        <w:t>初步审查</w:t>
      </w:r>
    </w:p>
    <w:p w14:paraId="38C6BC3C">
      <w:pPr>
        <w:spacing w:line="460" w:lineRule="exact"/>
        <w:ind w:firstLine="480" w:firstLineChars="200"/>
        <w:rPr>
          <w:rFonts w:ascii="宋体" w:cs="Times New Roman"/>
          <w:sz w:val="24"/>
          <w:szCs w:val="24"/>
        </w:rPr>
      </w:pPr>
      <w:r>
        <w:rPr>
          <w:rFonts w:hint="eastAsia" w:ascii="宋体" w:hAnsi="宋体" w:cs="宋体"/>
          <w:sz w:val="24"/>
          <w:szCs w:val="24"/>
        </w:rPr>
        <w:t>磋商小组对通过资格性检查的供应商进行符合性检查。依据磋商文件的规定，从响应文件的有效性、完整性和对磋商文件的响应程度进行初步审查，以确定是否对磋商文件的实质性要求作出响应。</w:t>
      </w:r>
    </w:p>
    <w:p w14:paraId="41CF7637">
      <w:pPr>
        <w:spacing w:line="460" w:lineRule="exact"/>
        <w:ind w:firstLine="480" w:firstLineChars="200"/>
        <w:rPr>
          <w:rFonts w:cs="Times New Roman"/>
          <w:sz w:val="23"/>
          <w:szCs w:val="23"/>
        </w:rPr>
      </w:pPr>
      <w:r>
        <w:rPr>
          <w:rFonts w:ascii="宋体" w:hAnsi="宋体" w:cs="宋体"/>
          <w:sz w:val="24"/>
          <w:szCs w:val="24"/>
        </w:rPr>
        <w:t>21.3</w:t>
      </w:r>
      <w:r>
        <w:rPr>
          <w:rFonts w:hint="eastAsia" w:cs="宋体"/>
          <w:sz w:val="23"/>
          <w:szCs w:val="23"/>
        </w:rPr>
        <w:t>通过政采云系统，磋商评审小组根据磋商文件的内容与各供应商分别进行磋商，各供应商在线答复的同时，须对磋商中所涉及的澄清、修改、承诺等补充资料等在规定的时间内以书面文件形式通过系统提交至磋商小组，其书面文件必须由供应商的法定代表人或其授权代理人签字（或签章），作为响应文件的补充。如该供应商成为成交供应商，则该供应商的响应文件（含所有补充资料）将作为合同的组成部分。</w:t>
      </w:r>
    </w:p>
    <w:p w14:paraId="12D24F05">
      <w:pPr>
        <w:spacing w:line="460" w:lineRule="exact"/>
        <w:ind w:firstLine="480" w:firstLineChars="200"/>
        <w:rPr>
          <w:rFonts w:ascii="宋体" w:cs="Times New Roman"/>
          <w:sz w:val="24"/>
          <w:szCs w:val="24"/>
        </w:rPr>
      </w:pPr>
      <w:r>
        <w:rPr>
          <w:rFonts w:ascii="宋体" w:hAnsi="宋体" w:cs="宋体"/>
          <w:sz w:val="24"/>
          <w:szCs w:val="24"/>
        </w:rPr>
        <w:t>21.4</w:t>
      </w:r>
      <w:r>
        <w:rPr>
          <w:rFonts w:hint="eastAsia" w:ascii="宋体" w:hAnsi="宋体" w:cs="宋体"/>
          <w:sz w:val="24"/>
          <w:szCs w:val="24"/>
        </w:rPr>
        <w:t>响应文件计算错误的修正。</w:t>
      </w:r>
    </w:p>
    <w:p w14:paraId="494D3842">
      <w:pPr>
        <w:spacing w:line="460" w:lineRule="exact"/>
        <w:ind w:firstLine="480" w:firstLineChars="200"/>
        <w:rPr>
          <w:rFonts w:ascii="宋体" w:cs="Times New Roman"/>
          <w:sz w:val="24"/>
          <w:szCs w:val="24"/>
        </w:rPr>
      </w:pPr>
      <w:r>
        <w:rPr>
          <w:rFonts w:ascii="宋体" w:hAnsi="宋体" w:cs="宋体"/>
          <w:sz w:val="24"/>
          <w:szCs w:val="24"/>
        </w:rPr>
        <w:t>21.4.1</w:t>
      </w:r>
      <w:r>
        <w:rPr>
          <w:rFonts w:hint="eastAsia" w:ascii="宋体" w:hAnsi="宋体" w:cs="宋体"/>
          <w:sz w:val="24"/>
          <w:szCs w:val="24"/>
        </w:rPr>
        <w:t>响应文件中磋商报价一览表内容与响应文件中磋商分项报价表内容不一致的，以磋商报价一览表为准；</w:t>
      </w:r>
    </w:p>
    <w:p w14:paraId="3F6D0629">
      <w:pPr>
        <w:spacing w:line="460" w:lineRule="exact"/>
        <w:ind w:firstLine="480" w:firstLineChars="200"/>
        <w:rPr>
          <w:rFonts w:ascii="宋体" w:cs="Times New Roman"/>
          <w:sz w:val="24"/>
          <w:szCs w:val="24"/>
        </w:rPr>
      </w:pPr>
      <w:r>
        <w:rPr>
          <w:rFonts w:ascii="宋体" w:hAnsi="宋体" w:cs="宋体"/>
          <w:sz w:val="24"/>
          <w:szCs w:val="24"/>
        </w:rPr>
        <w:t>21.4.2</w:t>
      </w:r>
      <w:r>
        <w:rPr>
          <w:rFonts w:hint="eastAsia" w:ascii="宋体" w:hAnsi="宋体" w:cs="宋体"/>
          <w:sz w:val="24"/>
          <w:szCs w:val="24"/>
        </w:rPr>
        <w:t>响应文件的大写金额和小写金额不一致的，以大写金额为准；</w:t>
      </w:r>
    </w:p>
    <w:p w14:paraId="6B830BCF">
      <w:pPr>
        <w:spacing w:line="460" w:lineRule="exact"/>
        <w:ind w:firstLine="480" w:firstLineChars="200"/>
        <w:rPr>
          <w:rFonts w:ascii="宋体" w:cs="Times New Roman"/>
          <w:spacing w:val="-8"/>
          <w:sz w:val="24"/>
          <w:szCs w:val="24"/>
        </w:rPr>
      </w:pPr>
      <w:r>
        <w:rPr>
          <w:rFonts w:ascii="宋体" w:hAnsi="宋体" w:cs="宋体"/>
          <w:sz w:val="24"/>
          <w:szCs w:val="24"/>
        </w:rPr>
        <w:t>21.4.3</w:t>
      </w:r>
      <w:r>
        <w:rPr>
          <w:rFonts w:hint="eastAsia" w:ascii="宋体" w:hAnsi="宋体" w:cs="宋体"/>
          <w:sz w:val="24"/>
          <w:szCs w:val="24"/>
        </w:rPr>
        <w:t>总</w:t>
      </w:r>
      <w:r>
        <w:rPr>
          <w:rFonts w:hint="eastAsia" w:ascii="宋体" w:hAnsi="宋体" w:cs="宋体"/>
          <w:spacing w:val="-8"/>
          <w:sz w:val="24"/>
          <w:szCs w:val="24"/>
        </w:rPr>
        <w:t>价金额与按单价汇总金额不一致的，以单价金额计算结果为准；</w:t>
      </w:r>
    </w:p>
    <w:p w14:paraId="18D19A05">
      <w:pPr>
        <w:spacing w:line="460" w:lineRule="exact"/>
        <w:ind w:firstLine="480" w:firstLineChars="200"/>
        <w:rPr>
          <w:rFonts w:ascii="宋体" w:cs="Times New Roman"/>
          <w:sz w:val="24"/>
          <w:szCs w:val="24"/>
        </w:rPr>
      </w:pPr>
      <w:r>
        <w:rPr>
          <w:rFonts w:ascii="宋体" w:hAnsi="宋体" w:cs="宋体"/>
          <w:sz w:val="24"/>
          <w:szCs w:val="24"/>
        </w:rPr>
        <w:t>21.4.4</w:t>
      </w:r>
      <w:r>
        <w:rPr>
          <w:rFonts w:hint="eastAsia" w:ascii="宋体" w:hAnsi="宋体" w:cs="宋体"/>
          <w:sz w:val="24"/>
          <w:szCs w:val="24"/>
        </w:rPr>
        <w:t>单价金额小数点有明显错位的，应以总价为准，并修改单价；</w:t>
      </w:r>
    </w:p>
    <w:p w14:paraId="45964923">
      <w:pPr>
        <w:spacing w:line="460" w:lineRule="exact"/>
        <w:ind w:firstLine="480" w:firstLineChars="200"/>
        <w:rPr>
          <w:rFonts w:ascii="宋体" w:hAnsi="宋体" w:cs="宋体"/>
          <w:sz w:val="24"/>
          <w:szCs w:val="24"/>
        </w:rPr>
      </w:pPr>
      <w:r>
        <w:rPr>
          <w:rFonts w:ascii="宋体" w:hAnsi="宋体" w:cs="宋体"/>
          <w:sz w:val="24"/>
          <w:szCs w:val="24"/>
        </w:rPr>
        <w:t>21.4.5</w:t>
      </w:r>
      <w:r>
        <w:rPr>
          <w:rFonts w:hint="eastAsia" w:ascii="宋体" w:hAnsi="宋体" w:cs="宋体"/>
          <w:sz w:val="24"/>
          <w:szCs w:val="24"/>
        </w:rPr>
        <w:t>对不同文字文本响应文件的解释发生异议的，以中文文本为准。</w:t>
      </w:r>
    </w:p>
    <w:p w14:paraId="758F2216">
      <w:pPr>
        <w:spacing w:line="460" w:lineRule="exact"/>
        <w:ind w:firstLine="480" w:firstLineChars="200"/>
        <w:rPr>
          <w:rFonts w:ascii="宋体" w:hAnsi="宋体" w:cs="宋体"/>
          <w:sz w:val="24"/>
          <w:szCs w:val="24"/>
        </w:rPr>
      </w:pPr>
      <w:r>
        <w:rPr>
          <w:rFonts w:ascii="宋体" w:hAnsi="宋体" w:cs="宋体"/>
          <w:sz w:val="24"/>
          <w:szCs w:val="24"/>
        </w:rPr>
        <w:t>21.5</w:t>
      </w:r>
      <w:r>
        <w:rPr>
          <w:rFonts w:hint="eastAsia" w:ascii="宋体" w:hAnsi="宋体" w:cs="宋体"/>
          <w:sz w:val="24"/>
          <w:szCs w:val="24"/>
        </w:rPr>
        <w:t>技术、商务、资信及其他部分磋商结束后，所有供应商须按磋商小组要求，在规定时间内通过政采云系统进行最后报价，并提交至磋商小组。</w:t>
      </w:r>
    </w:p>
    <w:p w14:paraId="0CC2142A">
      <w:pPr>
        <w:spacing w:line="460" w:lineRule="exact"/>
        <w:ind w:firstLine="480" w:firstLineChars="200"/>
        <w:rPr>
          <w:rFonts w:ascii="宋体" w:cs="Times New Roman"/>
          <w:sz w:val="24"/>
          <w:szCs w:val="24"/>
        </w:rPr>
      </w:pPr>
      <w:r>
        <w:rPr>
          <w:rFonts w:ascii="宋体" w:hAnsi="宋体" w:cs="宋体"/>
          <w:sz w:val="24"/>
          <w:szCs w:val="24"/>
        </w:rPr>
        <w:t>21.6</w:t>
      </w:r>
      <w:r>
        <w:rPr>
          <w:rFonts w:hint="eastAsia" w:ascii="宋体" w:hAnsi="宋体" w:cs="宋体"/>
          <w:sz w:val="24"/>
          <w:szCs w:val="24"/>
        </w:rPr>
        <w:t>确定成交供应商</w:t>
      </w:r>
    </w:p>
    <w:p w14:paraId="59CDF66D">
      <w:pPr>
        <w:spacing w:line="460" w:lineRule="exact"/>
        <w:ind w:firstLine="480" w:firstLineChars="200"/>
        <w:rPr>
          <w:rFonts w:ascii="宋体" w:cs="Times New Roman"/>
          <w:sz w:val="24"/>
          <w:szCs w:val="24"/>
        </w:rPr>
      </w:pPr>
      <w:r>
        <w:rPr>
          <w:rFonts w:ascii="宋体" w:hAnsi="宋体" w:cs="宋体"/>
          <w:sz w:val="24"/>
          <w:szCs w:val="24"/>
        </w:rPr>
        <w:t>21.6.1</w:t>
      </w:r>
      <w:r>
        <w:rPr>
          <w:rFonts w:hint="eastAsia" w:ascii="宋体" w:hAnsi="宋体" w:cs="宋体"/>
          <w:sz w:val="24"/>
          <w:szCs w:val="24"/>
        </w:rPr>
        <w:t>在全部满足磋商文件实质性要求的前提下，按综合得分高低确定成交供应商。</w:t>
      </w:r>
    </w:p>
    <w:p w14:paraId="732BC39D">
      <w:pPr>
        <w:spacing w:line="460" w:lineRule="exact"/>
        <w:ind w:firstLine="480" w:firstLineChars="200"/>
        <w:rPr>
          <w:rFonts w:ascii="宋体" w:cs="Times New Roman"/>
          <w:sz w:val="24"/>
          <w:szCs w:val="24"/>
        </w:rPr>
      </w:pPr>
      <w:r>
        <w:rPr>
          <w:rFonts w:ascii="宋体" w:hAnsi="宋体" w:cs="宋体"/>
          <w:sz w:val="24"/>
          <w:szCs w:val="24"/>
        </w:rPr>
        <w:t>21.6.2</w:t>
      </w:r>
      <w:r>
        <w:rPr>
          <w:rFonts w:hint="eastAsia" w:ascii="宋体" w:hAnsi="宋体" w:cs="宋体"/>
          <w:sz w:val="24"/>
          <w:szCs w:val="24"/>
        </w:rPr>
        <w:t>采购代理机构应当在磋商结束后两个工作日内将磋商评审报告送采购人确认。</w:t>
      </w:r>
    </w:p>
    <w:p w14:paraId="56C50575">
      <w:pPr>
        <w:spacing w:line="460" w:lineRule="exact"/>
        <w:ind w:firstLine="480" w:firstLineChars="200"/>
        <w:rPr>
          <w:rFonts w:ascii="宋体" w:cs="Times New Roman"/>
          <w:sz w:val="24"/>
          <w:szCs w:val="24"/>
        </w:rPr>
      </w:pPr>
      <w:r>
        <w:rPr>
          <w:rFonts w:ascii="宋体" w:hAnsi="宋体" w:cs="宋体"/>
          <w:sz w:val="24"/>
          <w:szCs w:val="24"/>
        </w:rPr>
        <w:t>21.6.3</w:t>
      </w:r>
      <w:r>
        <w:rPr>
          <w:rFonts w:hint="eastAsia" w:ascii="宋体" w:hAnsi="宋体" w:cs="宋体"/>
          <w:sz w:val="24"/>
          <w:szCs w:val="24"/>
        </w:rPr>
        <w:t>采购人应当在收到磋商评审报告后五个工作日内，按照磋商评审报告中推荐的排列顺序依法确定成交供应商。</w:t>
      </w:r>
    </w:p>
    <w:p w14:paraId="25D19584">
      <w:pPr>
        <w:spacing w:line="460" w:lineRule="exact"/>
        <w:ind w:firstLine="480" w:firstLineChars="200"/>
        <w:rPr>
          <w:rFonts w:ascii="宋体" w:cs="Times New Roman"/>
          <w:sz w:val="24"/>
          <w:szCs w:val="24"/>
        </w:rPr>
      </w:pPr>
      <w:r>
        <w:rPr>
          <w:rFonts w:ascii="宋体" w:hAnsi="宋体" w:cs="宋体"/>
          <w:sz w:val="24"/>
          <w:szCs w:val="24"/>
        </w:rPr>
        <w:t>21.6.4</w:t>
      </w:r>
      <w:r>
        <w:rPr>
          <w:rFonts w:hint="eastAsia" w:ascii="宋体" w:hAnsi="宋体" w:cs="宋体"/>
          <w:sz w:val="24"/>
          <w:szCs w:val="24"/>
        </w:rPr>
        <w:t>替补候选人的设定与使用：第一成交候选人放弃成交或者因不可抗力提出不能履行合同，采购人可以确定第二成交候选人为成交人，排名第二的成交候选人因前款同样的原因不能签订合同，采购人可以确定排名第三的成交候选人为成交人。</w:t>
      </w:r>
    </w:p>
    <w:p w14:paraId="3A5A14EB">
      <w:pPr>
        <w:spacing w:line="460" w:lineRule="exact"/>
        <w:rPr>
          <w:rFonts w:ascii="宋体" w:cs="Times New Roman"/>
          <w:sz w:val="24"/>
          <w:szCs w:val="24"/>
        </w:rPr>
      </w:pPr>
      <w:r>
        <w:rPr>
          <w:rFonts w:ascii="宋体" w:hAnsi="宋体" w:cs="宋体"/>
          <w:b/>
          <w:bCs/>
          <w:sz w:val="24"/>
          <w:szCs w:val="24"/>
        </w:rPr>
        <w:t>22.</w:t>
      </w:r>
      <w:r>
        <w:rPr>
          <w:rFonts w:hint="eastAsia" w:ascii="宋体" w:hAnsi="宋体" w:cs="宋体"/>
          <w:sz w:val="24"/>
          <w:szCs w:val="24"/>
        </w:rPr>
        <w:t>成交公告</w:t>
      </w:r>
    </w:p>
    <w:p w14:paraId="2C0CDFED">
      <w:pPr>
        <w:spacing w:line="460" w:lineRule="exact"/>
        <w:ind w:firstLine="480" w:firstLineChars="200"/>
        <w:rPr>
          <w:rFonts w:ascii="宋体" w:cs="Times New Roman"/>
          <w:sz w:val="24"/>
          <w:szCs w:val="24"/>
        </w:rPr>
      </w:pPr>
      <w:r>
        <w:rPr>
          <w:rFonts w:hint="eastAsia" w:ascii="宋体" w:hAnsi="宋体" w:cs="宋体"/>
          <w:sz w:val="24"/>
          <w:szCs w:val="24"/>
        </w:rPr>
        <w:t>采购代理机构应当在收到采购人书面确定的成交供应商通知后将成交结果在原发布磋商公告的媒体上予以公告。公告期按有关规定执行。</w:t>
      </w:r>
    </w:p>
    <w:p w14:paraId="3D165D5C">
      <w:pPr>
        <w:spacing w:line="460" w:lineRule="exact"/>
        <w:rPr>
          <w:rFonts w:ascii="宋体" w:cs="Times New Roman"/>
          <w:sz w:val="24"/>
          <w:szCs w:val="24"/>
        </w:rPr>
      </w:pPr>
      <w:r>
        <w:rPr>
          <w:rFonts w:ascii="宋体" w:hAnsi="宋体" w:cs="宋体"/>
          <w:b/>
          <w:bCs/>
          <w:sz w:val="24"/>
          <w:szCs w:val="24"/>
        </w:rPr>
        <w:t>23.</w:t>
      </w:r>
      <w:r>
        <w:rPr>
          <w:rFonts w:hint="eastAsia" w:ascii="宋体" w:hAnsi="宋体" w:cs="宋体"/>
          <w:sz w:val="24"/>
          <w:szCs w:val="24"/>
        </w:rPr>
        <w:t>成交通知</w:t>
      </w:r>
    </w:p>
    <w:p w14:paraId="6E43CE86">
      <w:pPr>
        <w:spacing w:line="460" w:lineRule="exact"/>
        <w:ind w:firstLine="480" w:firstLineChars="200"/>
        <w:rPr>
          <w:rFonts w:ascii="宋体" w:cs="Times New Roman"/>
          <w:sz w:val="24"/>
          <w:szCs w:val="24"/>
        </w:rPr>
      </w:pPr>
      <w:r>
        <w:rPr>
          <w:rFonts w:ascii="宋体" w:hAnsi="宋体" w:cs="宋体"/>
          <w:sz w:val="24"/>
          <w:szCs w:val="24"/>
        </w:rPr>
        <w:t>23.1</w:t>
      </w:r>
      <w:r>
        <w:rPr>
          <w:rFonts w:hint="eastAsia" w:ascii="宋体" w:hAnsi="宋体" w:cs="宋体"/>
          <w:sz w:val="24"/>
          <w:szCs w:val="24"/>
        </w:rPr>
        <w:t>在磋商有效期内，磋商采购单位可以书面形式通知所选定的成交供应商。通知也可以传真、信函的形式，但需要以书面确认，领取成交通知书前须完成以下事项：</w:t>
      </w:r>
    </w:p>
    <w:p w14:paraId="0A8D83E5">
      <w:pPr>
        <w:spacing w:line="460" w:lineRule="exact"/>
        <w:ind w:firstLine="482" w:firstLineChars="200"/>
        <w:rPr>
          <w:rFonts w:ascii="宋体" w:cs="Times New Roman"/>
          <w:b/>
          <w:bCs/>
          <w:sz w:val="24"/>
          <w:szCs w:val="24"/>
        </w:rPr>
      </w:pPr>
      <w:r>
        <w:rPr>
          <w:rFonts w:ascii="宋体" w:hAnsi="宋体" w:cs="宋体"/>
          <w:b/>
          <w:bCs/>
          <w:sz w:val="24"/>
          <w:szCs w:val="24"/>
        </w:rPr>
        <w:t>23.1.1</w:t>
      </w:r>
      <w:r>
        <w:rPr>
          <w:rFonts w:hint="eastAsia" w:ascii="宋体" w:hAnsi="宋体" w:cs="宋体"/>
          <w:b/>
          <w:bCs/>
          <w:sz w:val="24"/>
          <w:szCs w:val="24"/>
        </w:rPr>
        <w:t>根据浙江省财政厅《关于印发浙江省政府采购供应商注册及诚信管理暂行办法的通知》</w:t>
      </w:r>
      <w:r>
        <w:rPr>
          <w:rFonts w:ascii="宋体" w:hAnsi="宋体" w:cs="宋体"/>
          <w:b/>
          <w:bCs/>
          <w:sz w:val="24"/>
          <w:szCs w:val="24"/>
        </w:rPr>
        <w:t>[</w:t>
      </w:r>
      <w:r>
        <w:rPr>
          <w:rFonts w:hint="eastAsia" w:ascii="宋体" w:hAnsi="宋体" w:cs="宋体"/>
          <w:b/>
          <w:bCs/>
          <w:sz w:val="24"/>
          <w:szCs w:val="24"/>
        </w:rPr>
        <w:t>浙财采监字〔</w:t>
      </w:r>
      <w:r>
        <w:rPr>
          <w:rFonts w:ascii="宋体" w:hAnsi="宋体" w:cs="宋体"/>
          <w:b/>
          <w:bCs/>
          <w:sz w:val="24"/>
          <w:szCs w:val="24"/>
        </w:rPr>
        <w:t>2009</w:t>
      </w:r>
      <w:r>
        <w:rPr>
          <w:rFonts w:hint="eastAsia" w:ascii="宋体" w:hAnsi="宋体" w:cs="宋体"/>
          <w:b/>
          <w:bCs/>
          <w:sz w:val="24"/>
          <w:szCs w:val="24"/>
        </w:rPr>
        <w:t>〕</w:t>
      </w:r>
      <w:r>
        <w:rPr>
          <w:rFonts w:ascii="宋体" w:hAnsi="宋体" w:cs="宋体"/>
          <w:b/>
          <w:bCs/>
          <w:sz w:val="24"/>
          <w:szCs w:val="24"/>
        </w:rPr>
        <w:t>28</w:t>
      </w:r>
      <w:r>
        <w:rPr>
          <w:rFonts w:hint="eastAsia" w:ascii="宋体" w:hAnsi="宋体" w:cs="宋体"/>
          <w:b/>
          <w:bCs/>
          <w:sz w:val="24"/>
          <w:szCs w:val="24"/>
        </w:rPr>
        <w:t>号</w:t>
      </w:r>
      <w:r>
        <w:rPr>
          <w:rFonts w:ascii="宋体" w:hAnsi="宋体" w:cs="宋体"/>
          <w:b/>
          <w:bCs/>
          <w:sz w:val="24"/>
          <w:szCs w:val="24"/>
        </w:rPr>
        <w:t>]</w:t>
      </w:r>
      <w:r>
        <w:rPr>
          <w:rFonts w:hint="eastAsia" w:ascii="宋体" w:hAnsi="宋体" w:cs="宋体"/>
          <w:b/>
          <w:bCs/>
          <w:sz w:val="24"/>
          <w:szCs w:val="24"/>
        </w:rPr>
        <w:t>精神，成交供应商在领取成交通知书前，必须在《浙江政府采购网》上完成供应商的注册工作，经初审、终审及公示后方可正式领取成交通知书。</w:t>
      </w:r>
    </w:p>
    <w:p w14:paraId="2584D376">
      <w:pPr>
        <w:spacing w:line="460" w:lineRule="exact"/>
        <w:ind w:firstLine="480" w:firstLineChars="200"/>
        <w:rPr>
          <w:rFonts w:ascii="宋体" w:cs="Times New Roman"/>
          <w:sz w:val="24"/>
          <w:szCs w:val="24"/>
        </w:rPr>
      </w:pPr>
      <w:r>
        <w:rPr>
          <w:rFonts w:ascii="宋体" w:hAnsi="宋体" w:cs="宋体"/>
          <w:sz w:val="24"/>
          <w:szCs w:val="24"/>
        </w:rPr>
        <w:t>23.2</w:t>
      </w:r>
      <w:r>
        <w:rPr>
          <w:rFonts w:hint="eastAsia" w:ascii="宋体" w:hAnsi="宋体" w:cs="宋体"/>
          <w:sz w:val="24"/>
          <w:szCs w:val="24"/>
        </w:rPr>
        <w:t>成交通知书为双方签订合同的依据；</w:t>
      </w:r>
    </w:p>
    <w:p w14:paraId="416CCF13">
      <w:pPr>
        <w:spacing w:line="460" w:lineRule="exact"/>
        <w:ind w:firstLine="480" w:firstLineChars="200"/>
        <w:rPr>
          <w:rFonts w:ascii="宋体" w:cs="Times New Roman"/>
          <w:sz w:val="24"/>
          <w:szCs w:val="24"/>
        </w:rPr>
      </w:pPr>
      <w:r>
        <w:rPr>
          <w:rFonts w:ascii="宋体" w:hAnsi="宋体" w:cs="宋体"/>
          <w:sz w:val="24"/>
          <w:szCs w:val="24"/>
        </w:rPr>
        <w:t>23.3</w:t>
      </w:r>
      <w:r>
        <w:rPr>
          <w:rFonts w:hint="eastAsia" w:ascii="宋体" w:hAnsi="宋体" w:cs="宋体"/>
          <w:sz w:val="24"/>
          <w:szCs w:val="24"/>
        </w:rPr>
        <w:t>成交供应商应根据成交通知书中规定的时间内，由法定代表人或其授权代理人与采购人签订合同。</w:t>
      </w:r>
    </w:p>
    <w:p w14:paraId="62837E5D">
      <w:pPr>
        <w:spacing w:line="460" w:lineRule="exact"/>
        <w:rPr>
          <w:rFonts w:ascii="宋体" w:cs="Times New Roman"/>
          <w:sz w:val="24"/>
          <w:szCs w:val="24"/>
        </w:rPr>
      </w:pPr>
      <w:r>
        <w:rPr>
          <w:rFonts w:ascii="宋体" w:hAnsi="宋体" w:cs="宋体"/>
          <w:b/>
          <w:bCs/>
          <w:sz w:val="24"/>
          <w:szCs w:val="24"/>
        </w:rPr>
        <w:t>24.</w:t>
      </w:r>
      <w:r>
        <w:rPr>
          <w:rFonts w:hint="eastAsia" w:ascii="宋体" w:hAnsi="宋体" w:cs="宋体"/>
          <w:sz w:val="24"/>
          <w:szCs w:val="24"/>
        </w:rPr>
        <w:t>废标</w:t>
      </w:r>
    </w:p>
    <w:p w14:paraId="45F17299">
      <w:pPr>
        <w:spacing w:line="460" w:lineRule="exact"/>
        <w:ind w:firstLine="480" w:firstLineChars="200"/>
        <w:rPr>
          <w:rFonts w:ascii="宋体" w:cs="Times New Roman"/>
          <w:sz w:val="24"/>
          <w:szCs w:val="24"/>
        </w:rPr>
      </w:pPr>
      <w:r>
        <w:rPr>
          <w:rFonts w:hint="eastAsia" w:ascii="宋体" w:hAnsi="宋体" w:cs="宋体"/>
          <w:sz w:val="24"/>
          <w:szCs w:val="24"/>
        </w:rPr>
        <w:t>在磋商中，出现下列情形之一的，应予废标：</w:t>
      </w:r>
    </w:p>
    <w:p w14:paraId="3EE40942">
      <w:pPr>
        <w:spacing w:line="460" w:lineRule="exact"/>
        <w:ind w:firstLine="480" w:firstLineChars="200"/>
        <w:rPr>
          <w:rFonts w:ascii="宋体" w:cs="Times New Roman"/>
          <w:sz w:val="24"/>
          <w:szCs w:val="24"/>
        </w:rPr>
      </w:pPr>
      <w:r>
        <w:rPr>
          <w:rFonts w:ascii="宋体" w:hAnsi="宋体" w:cs="宋体"/>
          <w:sz w:val="24"/>
          <w:szCs w:val="24"/>
        </w:rPr>
        <w:t>24.1</w:t>
      </w:r>
      <w:r>
        <w:rPr>
          <w:rFonts w:hint="eastAsia" w:ascii="宋体" w:hAnsi="宋体" w:cs="宋体"/>
          <w:sz w:val="24"/>
          <w:szCs w:val="24"/>
        </w:rPr>
        <w:t>出现影响采购公正的违法、违规行为的；</w:t>
      </w:r>
    </w:p>
    <w:p w14:paraId="236BA9C2">
      <w:pPr>
        <w:spacing w:line="460" w:lineRule="exact"/>
        <w:ind w:firstLine="480" w:firstLineChars="200"/>
        <w:rPr>
          <w:rFonts w:ascii="宋体" w:cs="Times New Roman"/>
          <w:sz w:val="24"/>
          <w:szCs w:val="24"/>
        </w:rPr>
      </w:pPr>
      <w:r>
        <w:rPr>
          <w:rFonts w:ascii="宋体" w:hAnsi="宋体" w:cs="宋体"/>
          <w:sz w:val="24"/>
          <w:szCs w:val="24"/>
        </w:rPr>
        <w:t>24.2</w:t>
      </w:r>
      <w:r>
        <w:rPr>
          <w:rFonts w:hint="eastAsia" w:ascii="宋体" w:hAnsi="宋体" w:cs="宋体"/>
          <w:sz w:val="24"/>
          <w:szCs w:val="24"/>
        </w:rPr>
        <w:t>因重大变故，采购任务取消的；</w:t>
      </w:r>
    </w:p>
    <w:p w14:paraId="6BF61093">
      <w:pPr>
        <w:spacing w:line="460" w:lineRule="exact"/>
        <w:ind w:firstLine="480" w:firstLineChars="200"/>
        <w:rPr>
          <w:rFonts w:ascii="宋体" w:cs="Times New Roman"/>
          <w:sz w:val="24"/>
          <w:szCs w:val="24"/>
        </w:rPr>
      </w:pPr>
      <w:r>
        <w:rPr>
          <w:rFonts w:ascii="宋体" w:hAnsi="宋体" w:cs="宋体"/>
          <w:sz w:val="24"/>
          <w:szCs w:val="24"/>
        </w:rPr>
        <w:t>24.3</w:t>
      </w:r>
      <w:r>
        <w:rPr>
          <w:rFonts w:hint="eastAsia" w:ascii="宋体" w:hAnsi="宋体" w:cs="宋体"/>
          <w:sz w:val="24"/>
          <w:szCs w:val="24"/>
        </w:rPr>
        <w:t>供应商的报价均超最高限价的；</w:t>
      </w:r>
    </w:p>
    <w:p w14:paraId="284FA077">
      <w:pPr>
        <w:spacing w:line="460" w:lineRule="exact"/>
        <w:ind w:firstLine="480" w:firstLineChars="200"/>
        <w:rPr>
          <w:rFonts w:ascii="宋体" w:cs="Times New Roman"/>
          <w:sz w:val="24"/>
          <w:szCs w:val="24"/>
        </w:rPr>
      </w:pPr>
      <w:r>
        <w:rPr>
          <w:rFonts w:ascii="宋体" w:hAnsi="宋体" w:cs="宋体"/>
          <w:sz w:val="24"/>
          <w:szCs w:val="24"/>
        </w:rPr>
        <w:t>24.4</w:t>
      </w:r>
      <w:r>
        <w:rPr>
          <w:rFonts w:hint="eastAsia" w:ascii="宋体" w:hAnsi="宋体" w:cs="宋体"/>
          <w:snapToGrid w:val="0"/>
          <w:sz w:val="24"/>
          <w:szCs w:val="24"/>
        </w:rPr>
        <w:t>法律、法规、规章等规定的其他情形除外。</w:t>
      </w:r>
    </w:p>
    <w:p w14:paraId="14509762">
      <w:pPr>
        <w:spacing w:line="460" w:lineRule="exact"/>
        <w:ind w:firstLine="480" w:firstLineChars="200"/>
        <w:rPr>
          <w:rFonts w:ascii="宋体" w:cs="Times New Roman"/>
          <w:sz w:val="24"/>
          <w:szCs w:val="24"/>
        </w:rPr>
      </w:pPr>
      <w:r>
        <w:rPr>
          <w:rFonts w:hint="eastAsia" w:ascii="宋体" w:hAnsi="宋体" w:cs="宋体"/>
          <w:sz w:val="24"/>
          <w:szCs w:val="24"/>
        </w:rPr>
        <w:t>废标后，磋商采购单位将废标理由通知所有供应商。</w:t>
      </w:r>
    </w:p>
    <w:p w14:paraId="792E1423">
      <w:pPr>
        <w:pStyle w:val="3"/>
        <w:spacing w:before="156" w:line="440" w:lineRule="exact"/>
        <w:jc w:val="center"/>
        <w:rPr>
          <w:rFonts w:ascii="宋体" w:hAnsi="宋体" w:eastAsia="宋体"/>
          <w:spacing w:val="14"/>
          <w:sz w:val="28"/>
          <w:szCs w:val="28"/>
        </w:rPr>
      </w:pPr>
      <w:bookmarkStart w:id="62" w:name="_Toc69913494"/>
      <w:r>
        <w:rPr>
          <w:rFonts w:hint="eastAsia" w:ascii="宋体" w:hAnsi="宋体" w:eastAsia="宋体" w:cs="宋体"/>
          <w:spacing w:val="14"/>
          <w:sz w:val="28"/>
          <w:szCs w:val="28"/>
        </w:rPr>
        <w:t>五、授予合同</w:t>
      </w:r>
      <w:bookmarkEnd w:id="62"/>
    </w:p>
    <w:p w14:paraId="30E792DD">
      <w:pPr>
        <w:spacing w:line="460" w:lineRule="exact"/>
        <w:rPr>
          <w:rFonts w:ascii="宋体" w:cs="Times New Roman"/>
          <w:sz w:val="24"/>
          <w:szCs w:val="24"/>
        </w:rPr>
      </w:pPr>
      <w:r>
        <w:rPr>
          <w:rFonts w:ascii="宋体" w:hAnsi="宋体" w:cs="宋体"/>
          <w:b/>
          <w:bCs/>
          <w:sz w:val="24"/>
          <w:szCs w:val="24"/>
        </w:rPr>
        <w:t>25.</w:t>
      </w:r>
      <w:r>
        <w:rPr>
          <w:rFonts w:hint="eastAsia" w:ascii="宋体" w:hAnsi="宋体" w:cs="宋体"/>
          <w:sz w:val="24"/>
          <w:szCs w:val="24"/>
        </w:rPr>
        <w:t>授予合同的依据</w:t>
      </w:r>
    </w:p>
    <w:p w14:paraId="2E2B510A">
      <w:pPr>
        <w:spacing w:line="460" w:lineRule="exact"/>
        <w:ind w:firstLine="480" w:firstLineChars="200"/>
        <w:rPr>
          <w:rFonts w:ascii="宋体" w:cs="Times New Roman"/>
          <w:sz w:val="24"/>
          <w:szCs w:val="24"/>
        </w:rPr>
      </w:pPr>
      <w:r>
        <w:rPr>
          <w:rFonts w:ascii="宋体" w:hAnsi="宋体" w:cs="宋体"/>
          <w:sz w:val="24"/>
          <w:szCs w:val="24"/>
        </w:rPr>
        <w:t>25.1</w:t>
      </w:r>
      <w:r>
        <w:rPr>
          <w:rFonts w:hint="eastAsia" w:ascii="宋体" w:hAnsi="宋体" w:cs="宋体"/>
          <w:sz w:val="24"/>
          <w:szCs w:val="24"/>
        </w:rPr>
        <w:t>磋商采购单位签发的成交通知书；</w:t>
      </w:r>
    </w:p>
    <w:p w14:paraId="6D6840E2">
      <w:pPr>
        <w:spacing w:line="460" w:lineRule="exact"/>
        <w:ind w:firstLine="480" w:firstLineChars="200"/>
        <w:rPr>
          <w:rFonts w:ascii="宋体" w:cs="Times New Roman"/>
          <w:sz w:val="24"/>
          <w:szCs w:val="24"/>
        </w:rPr>
      </w:pPr>
      <w:r>
        <w:rPr>
          <w:rFonts w:ascii="宋体" w:hAnsi="宋体" w:cs="宋体"/>
          <w:sz w:val="24"/>
          <w:szCs w:val="24"/>
        </w:rPr>
        <w:t>25.2</w:t>
      </w:r>
      <w:r>
        <w:rPr>
          <w:rFonts w:hint="eastAsia" w:ascii="宋体" w:hAnsi="宋体" w:cs="宋体"/>
          <w:sz w:val="24"/>
          <w:szCs w:val="24"/>
        </w:rPr>
        <w:t>磋商文件、磋商文件的修改及补充通知（函）；</w:t>
      </w:r>
    </w:p>
    <w:p w14:paraId="4E37CEFD">
      <w:pPr>
        <w:spacing w:line="460" w:lineRule="exact"/>
        <w:ind w:firstLine="480" w:firstLineChars="200"/>
        <w:rPr>
          <w:rFonts w:ascii="宋体" w:cs="Times New Roman"/>
          <w:sz w:val="24"/>
          <w:szCs w:val="24"/>
        </w:rPr>
      </w:pPr>
      <w:r>
        <w:rPr>
          <w:rFonts w:ascii="宋体" w:hAnsi="宋体" w:cs="宋体"/>
          <w:sz w:val="24"/>
          <w:szCs w:val="24"/>
        </w:rPr>
        <w:t>25.3</w:t>
      </w:r>
      <w:r>
        <w:rPr>
          <w:rFonts w:hint="eastAsia" w:ascii="宋体" w:hAnsi="宋体" w:cs="宋体"/>
          <w:sz w:val="24"/>
          <w:szCs w:val="24"/>
        </w:rPr>
        <w:t>响应文件和磋商时供应商作出的书面澄清、说明、纠正、承诺等；</w:t>
      </w:r>
    </w:p>
    <w:p w14:paraId="38232094">
      <w:pPr>
        <w:spacing w:line="460" w:lineRule="exact"/>
        <w:rPr>
          <w:rFonts w:ascii="宋体" w:cs="Times New Roman"/>
          <w:sz w:val="24"/>
          <w:szCs w:val="24"/>
        </w:rPr>
      </w:pPr>
      <w:r>
        <w:rPr>
          <w:rFonts w:ascii="宋体" w:hAnsi="宋体" w:cs="宋体"/>
          <w:b/>
          <w:bCs/>
          <w:sz w:val="24"/>
          <w:szCs w:val="24"/>
        </w:rPr>
        <w:t>26</w:t>
      </w:r>
      <w:r>
        <w:rPr>
          <w:rFonts w:ascii="宋体" w:cs="宋体"/>
          <w:b/>
          <w:bCs/>
          <w:sz w:val="24"/>
          <w:szCs w:val="24"/>
        </w:rPr>
        <w:t>.</w:t>
      </w:r>
      <w:r>
        <w:rPr>
          <w:rFonts w:hint="eastAsia" w:ascii="宋体" w:hAnsi="宋体" w:cs="宋体"/>
          <w:sz w:val="24"/>
          <w:szCs w:val="24"/>
        </w:rPr>
        <w:t>合同签订</w:t>
      </w:r>
    </w:p>
    <w:p w14:paraId="43C75565">
      <w:pPr>
        <w:spacing w:line="460" w:lineRule="exact"/>
        <w:ind w:firstLine="480" w:firstLineChars="200"/>
        <w:rPr>
          <w:rFonts w:ascii="宋体" w:cs="Times New Roman"/>
          <w:sz w:val="24"/>
          <w:szCs w:val="24"/>
        </w:rPr>
      </w:pPr>
      <w:r>
        <w:rPr>
          <w:rFonts w:ascii="宋体" w:hAnsi="宋体" w:cs="宋体"/>
          <w:sz w:val="24"/>
          <w:szCs w:val="24"/>
        </w:rPr>
        <w:t>26.1</w:t>
      </w:r>
      <w:r>
        <w:rPr>
          <w:rFonts w:hint="eastAsia" w:ascii="宋体" w:hAnsi="宋体" w:cs="宋体"/>
          <w:sz w:val="24"/>
          <w:szCs w:val="24"/>
        </w:rPr>
        <w:t>成交供应商与采购人应按成交通知书中规定的时间、地点签订合同，否则应承担相应的法律责任。</w:t>
      </w:r>
    </w:p>
    <w:p w14:paraId="7B618E3B">
      <w:pPr>
        <w:spacing w:line="460" w:lineRule="exact"/>
        <w:ind w:firstLine="480" w:firstLineChars="200"/>
        <w:rPr>
          <w:rFonts w:ascii="宋体" w:cs="Times New Roman"/>
          <w:b/>
          <w:bCs/>
          <w:sz w:val="24"/>
          <w:szCs w:val="24"/>
        </w:rPr>
      </w:pPr>
      <w:r>
        <w:rPr>
          <w:rFonts w:ascii="宋体" w:hAnsi="宋体" w:cs="宋体"/>
          <w:sz w:val="24"/>
          <w:szCs w:val="24"/>
        </w:rPr>
        <w:t>26.2</w:t>
      </w:r>
      <w:r>
        <w:rPr>
          <w:rFonts w:hint="eastAsia" w:ascii="宋体" w:hAnsi="宋体" w:cs="宋体"/>
          <w:sz w:val="24"/>
          <w:szCs w:val="24"/>
        </w:rPr>
        <w:t>磋商文件、成交供应商的响应文件及磋商过程中有关澄清文件和承诺均为合同附件。</w:t>
      </w:r>
    </w:p>
    <w:p w14:paraId="17E9C050">
      <w:pPr>
        <w:spacing w:line="460" w:lineRule="exact"/>
        <w:ind w:firstLine="480" w:firstLineChars="200"/>
        <w:rPr>
          <w:rFonts w:ascii="宋体" w:cs="Times New Roman"/>
          <w:sz w:val="24"/>
          <w:szCs w:val="24"/>
        </w:rPr>
      </w:pPr>
      <w:r>
        <w:rPr>
          <w:rFonts w:ascii="宋体" w:hAnsi="宋体" w:cs="宋体"/>
          <w:sz w:val="24"/>
          <w:szCs w:val="24"/>
        </w:rPr>
        <w:t>26</w:t>
      </w:r>
      <w:r>
        <w:rPr>
          <w:rFonts w:ascii="宋体" w:cs="宋体"/>
          <w:sz w:val="24"/>
          <w:szCs w:val="24"/>
        </w:rPr>
        <w:t>.</w:t>
      </w:r>
      <w:r>
        <w:rPr>
          <w:rFonts w:ascii="宋体" w:hAnsi="宋体" w:cs="宋体"/>
          <w:sz w:val="24"/>
          <w:szCs w:val="24"/>
        </w:rPr>
        <w:t>3</w:t>
      </w:r>
      <w:r>
        <w:rPr>
          <w:rFonts w:hint="eastAsia" w:ascii="宋体" w:hAnsi="宋体" w:cs="宋体"/>
          <w:snapToGrid w:val="0"/>
          <w:sz w:val="24"/>
          <w:szCs w:val="24"/>
        </w:rPr>
        <w:t>采购人与成交供应商将根据《中华人民共和国民法典》的规定，依据磋商文件和成交供应商的响应文件签订书面合同。</w:t>
      </w:r>
    </w:p>
    <w:p w14:paraId="45AA8897">
      <w:pPr>
        <w:spacing w:line="460" w:lineRule="exact"/>
        <w:ind w:firstLine="480" w:firstLineChars="200"/>
        <w:rPr>
          <w:rFonts w:ascii="宋体" w:cs="Times New Roman"/>
          <w:sz w:val="24"/>
          <w:szCs w:val="24"/>
        </w:rPr>
      </w:pPr>
      <w:r>
        <w:rPr>
          <w:rFonts w:ascii="宋体" w:hAnsi="宋体" w:cs="宋体"/>
          <w:sz w:val="24"/>
          <w:szCs w:val="24"/>
        </w:rPr>
        <w:t>26</w:t>
      </w:r>
      <w:r>
        <w:rPr>
          <w:rFonts w:ascii="宋体" w:cs="宋体"/>
          <w:sz w:val="24"/>
          <w:szCs w:val="24"/>
        </w:rPr>
        <w:t>.</w:t>
      </w:r>
      <w:r>
        <w:rPr>
          <w:rFonts w:ascii="宋体" w:hAnsi="宋体" w:cs="宋体"/>
          <w:sz w:val="24"/>
          <w:szCs w:val="24"/>
        </w:rPr>
        <w:t>4</w:t>
      </w:r>
      <w:r>
        <w:rPr>
          <w:rFonts w:hint="eastAsia" w:ascii="宋体" w:hAnsi="宋体" w:cs="宋体"/>
          <w:sz w:val="24"/>
          <w:szCs w:val="24"/>
        </w:rPr>
        <w:t>采购人如不与</w:t>
      </w:r>
      <w:r>
        <w:rPr>
          <w:rFonts w:hint="eastAsia" w:ascii="宋体" w:hAnsi="宋体" w:cs="宋体"/>
          <w:snapToGrid w:val="0"/>
          <w:sz w:val="24"/>
          <w:szCs w:val="24"/>
        </w:rPr>
        <w:t>成交</w:t>
      </w:r>
      <w:r>
        <w:rPr>
          <w:rFonts w:hint="eastAsia" w:ascii="宋体" w:hAnsi="宋体" w:cs="宋体"/>
          <w:sz w:val="24"/>
          <w:szCs w:val="24"/>
        </w:rPr>
        <w:t>供应商订立合同，或者采购人、</w:t>
      </w:r>
      <w:r>
        <w:rPr>
          <w:rFonts w:hint="eastAsia" w:ascii="宋体" w:hAnsi="宋体" w:cs="宋体"/>
          <w:snapToGrid w:val="0"/>
          <w:sz w:val="24"/>
          <w:szCs w:val="24"/>
        </w:rPr>
        <w:t>成交</w:t>
      </w:r>
      <w:r>
        <w:rPr>
          <w:rFonts w:hint="eastAsia" w:ascii="宋体" w:hAnsi="宋体" w:cs="宋体"/>
          <w:sz w:val="24"/>
          <w:szCs w:val="24"/>
        </w:rPr>
        <w:t>供应商订立背离合同实质性内容的协议，由政府有关部门责令改正，同时依法承担相应法律责任；</w:t>
      </w:r>
    </w:p>
    <w:p w14:paraId="31B71A23">
      <w:pPr>
        <w:spacing w:line="460" w:lineRule="exact"/>
        <w:ind w:firstLine="480" w:firstLineChars="200"/>
        <w:rPr>
          <w:rFonts w:ascii="宋体" w:cs="Times New Roman"/>
          <w:sz w:val="24"/>
          <w:szCs w:val="24"/>
        </w:rPr>
      </w:pPr>
      <w:r>
        <w:rPr>
          <w:rFonts w:ascii="宋体" w:hAnsi="宋体" w:cs="宋体"/>
          <w:sz w:val="24"/>
          <w:szCs w:val="24"/>
        </w:rPr>
        <w:t>26</w:t>
      </w:r>
      <w:r>
        <w:rPr>
          <w:rFonts w:ascii="宋体" w:cs="宋体"/>
          <w:sz w:val="24"/>
          <w:szCs w:val="24"/>
        </w:rPr>
        <w:t>.</w:t>
      </w:r>
      <w:r>
        <w:rPr>
          <w:rFonts w:ascii="宋体" w:hAnsi="宋体" w:cs="宋体"/>
          <w:sz w:val="24"/>
          <w:szCs w:val="24"/>
        </w:rPr>
        <w:t>5</w:t>
      </w:r>
      <w:r>
        <w:rPr>
          <w:rFonts w:hint="eastAsia" w:ascii="宋体" w:hAnsi="宋体" w:cs="宋体"/>
          <w:snapToGrid w:val="0"/>
          <w:sz w:val="24"/>
          <w:szCs w:val="24"/>
        </w:rPr>
        <w:t>成交</w:t>
      </w:r>
      <w:r>
        <w:rPr>
          <w:rFonts w:hint="eastAsia" w:ascii="宋体" w:hAnsi="宋体" w:cs="宋体"/>
          <w:sz w:val="24"/>
          <w:szCs w:val="24"/>
        </w:rPr>
        <w:t>供应商如不按规定与采购人订立合同，则磋商采购单位将废除授标，给磋商采购单位造成的损失超过磋商担保数额的，还应当对超过部分予以赔偿，同时依法承担相应法律责任。</w:t>
      </w:r>
    </w:p>
    <w:p w14:paraId="3C6076CB">
      <w:pPr>
        <w:spacing w:line="460" w:lineRule="exact"/>
        <w:ind w:firstLine="480" w:firstLineChars="200"/>
        <w:rPr>
          <w:rFonts w:ascii="宋体" w:cs="Times New Roman"/>
          <w:sz w:val="24"/>
          <w:szCs w:val="24"/>
        </w:rPr>
      </w:pPr>
      <w:r>
        <w:rPr>
          <w:rFonts w:ascii="宋体" w:hAnsi="宋体" w:cs="宋体"/>
          <w:sz w:val="24"/>
          <w:szCs w:val="24"/>
        </w:rPr>
        <w:t>26</w:t>
      </w:r>
      <w:r>
        <w:rPr>
          <w:rFonts w:ascii="宋体" w:cs="宋体"/>
          <w:sz w:val="24"/>
          <w:szCs w:val="24"/>
        </w:rPr>
        <w:t>.</w:t>
      </w:r>
      <w:r>
        <w:rPr>
          <w:rFonts w:ascii="宋体" w:hAnsi="宋体" w:cs="宋体"/>
          <w:sz w:val="24"/>
          <w:szCs w:val="24"/>
        </w:rPr>
        <w:t>6</w:t>
      </w:r>
      <w:r>
        <w:rPr>
          <w:rFonts w:hint="eastAsia" w:ascii="宋体" w:hAnsi="宋体" w:cs="宋体"/>
          <w:snapToGrid w:val="0"/>
          <w:sz w:val="24"/>
          <w:szCs w:val="24"/>
        </w:rPr>
        <w:t>成交</w:t>
      </w:r>
      <w:r>
        <w:rPr>
          <w:rFonts w:hint="eastAsia" w:ascii="宋体" w:hAnsi="宋体" w:cs="宋体"/>
          <w:sz w:val="24"/>
          <w:szCs w:val="24"/>
        </w:rPr>
        <w:t>供应商应当按照合同约定履行义务，完成</w:t>
      </w:r>
      <w:r>
        <w:rPr>
          <w:rFonts w:hint="eastAsia" w:ascii="宋体" w:hAnsi="宋体" w:cs="宋体"/>
          <w:snapToGrid w:val="0"/>
          <w:sz w:val="24"/>
          <w:szCs w:val="24"/>
        </w:rPr>
        <w:t>成交</w:t>
      </w:r>
      <w:r>
        <w:rPr>
          <w:rFonts w:hint="eastAsia" w:ascii="宋体" w:hAnsi="宋体" w:cs="宋体"/>
          <w:sz w:val="24"/>
          <w:szCs w:val="24"/>
        </w:rPr>
        <w:t>项目各项工作，不得将</w:t>
      </w:r>
      <w:r>
        <w:rPr>
          <w:rFonts w:hint="eastAsia" w:ascii="宋体" w:hAnsi="宋体" w:cs="宋体"/>
          <w:snapToGrid w:val="0"/>
          <w:sz w:val="24"/>
          <w:szCs w:val="24"/>
        </w:rPr>
        <w:t>成交</w:t>
      </w:r>
      <w:r>
        <w:rPr>
          <w:rFonts w:hint="eastAsia" w:ascii="宋体" w:hAnsi="宋体" w:cs="宋体"/>
          <w:sz w:val="24"/>
          <w:szCs w:val="24"/>
        </w:rPr>
        <w:t>项目违法转让（转包）给他人；</w:t>
      </w:r>
    </w:p>
    <w:p w14:paraId="000A69FA">
      <w:pPr>
        <w:spacing w:line="460" w:lineRule="exact"/>
        <w:ind w:firstLine="480" w:firstLineChars="200"/>
        <w:rPr>
          <w:rFonts w:ascii="宋体" w:cs="Times New Roman"/>
          <w:sz w:val="24"/>
          <w:szCs w:val="24"/>
        </w:rPr>
      </w:pPr>
      <w:r>
        <w:rPr>
          <w:rFonts w:ascii="宋体" w:hAnsi="宋体" w:cs="宋体"/>
          <w:sz w:val="24"/>
          <w:szCs w:val="24"/>
        </w:rPr>
        <w:t>26</w:t>
      </w:r>
      <w:r>
        <w:rPr>
          <w:rFonts w:ascii="宋体" w:cs="宋体"/>
          <w:sz w:val="24"/>
          <w:szCs w:val="24"/>
        </w:rPr>
        <w:t>.</w:t>
      </w:r>
      <w:r>
        <w:rPr>
          <w:rFonts w:ascii="宋体" w:hAnsi="宋体" w:cs="宋体"/>
          <w:sz w:val="24"/>
          <w:szCs w:val="24"/>
        </w:rPr>
        <w:t>7</w:t>
      </w:r>
      <w:r>
        <w:rPr>
          <w:rFonts w:hint="eastAsia" w:ascii="宋体" w:hAnsi="宋体" w:cs="宋体"/>
          <w:sz w:val="24"/>
          <w:szCs w:val="24"/>
        </w:rPr>
        <w:t>如果</w:t>
      </w:r>
      <w:r>
        <w:rPr>
          <w:rFonts w:hint="eastAsia" w:ascii="宋体" w:hAnsi="宋体" w:cs="宋体"/>
          <w:snapToGrid w:val="0"/>
          <w:sz w:val="24"/>
          <w:szCs w:val="24"/>
        </w:rPr>
        <w:t>成交</w:t>
      </w:r>
      <w:r>
        <w:rPr>
          <w:rFonts w:hint="eastAsia" w:ascii="宋体" w:hAnsi="宋体" w:cs="宋体"/>
          <w:sz w:val="24"/>
          <w:szCs w:val="24"/>
        </w:rPr>
        <w:t>供应商未能遵守本须知第</w:t>
      </w:r>
      <w:r>
        <w:rPr>
          <w:rFonts w:ascii="宋体" w:hAnsi="宋体" w:cs="宋体"/>
          <w:sz w:val="24"/>
          <w:szCs w:val="24"/>
        </w:rPr>
        <w:t>26.5</w:t>
      </w:r>
      <w:r>
        <w:rPr>
          <w:rFonts w:hint="eastAsia" w:ascii="宋体" w:hAnsi="宋体" w:cs="宋体"/>
          <w:sz w:val="24"/>
          <w:szCs w:val="24"/>
        </w:rPr>
        <w:t>条的规定，则可取消其</w:t>
      </w:r>
      <w:r>
        <w:rPr>
          <w:rFonts w:hint="eastAsia" w:ascii="宋体" w:hAnsi="宋体" w:cs="宋体"/>
          <w:snapToGrid w:val="0"/>
          <w:sz w:val="24"/>
          <w:szCs w:val="24"/>
        </w:rPr>
        <w:t>成交</w:t>
      </w:r>
      <w:r>
        <w:rPr>
          <w:rFonts w:hint="eastAsia" w:ascii="宋体" w:hAnsi="宋体" w:cs="宋体"/>
          <w:sz w:val="24"/>
          <w:szCs w:val="24"/>
        </w:rPr>
        <w:t>资格。在此情况下，可将合同授予排序在</w:t>
      </w:r>
      <w:r>
        <w:rPr>
          <w:rFonts w:hint="eastAsia" w:ascii="宋体" w:hAnsi="宋体" w:cs="宋体"/>
          <w:snapToGrid w:val="0"/>
          <w:sz w:val="24"/>
          <w:szCs w:val="24"/>
        </w:rPr>
        <w:t>成交</w:t>
      </w:r>
      <w:r>
        <w:rPr>
          <w:rFonts w:hint="eastAsia" w:ascii="宋体" w:hAnsi="宋体" w:cs="宋体"/>
          <w:sz w:val="24"/>
          <w:szCs w:val="24"/>
        </w:rPr>
        <w:t>供应商之后的第一位</w:t>
      </w:r>
      <w:r>
        <w:rPr>
          <w:rFonts w:hint="eastAsia" w:ascii="宋体" w:hAnsi="宋体" w:cs="宋体"/>
          <w:snapToGrid w:val="0"/>
          <w:sz w:val="24"/>
          <w:szCs w:val="24"/>
        </w:rPr>
        <w:t>成交</w:t>
      </w:r>
      <w:r>
        <w:rPr>
          <w:rFonts w:hint="eastAsia" w:ascii="宋体" w:hAnsi="宋体" w:cs="宋体"/>
          <w:sz w:val="24"/>
          <w:szCs w:val="24"/>
        </w:rPr>
        <w:t>候选供应商。</w:t>
      </w:r>
    </w:p>
    <w:p w14:paraId="6AE9CEB3">
      <w:pPr>
        <w:spacing w:line="460" w:lineRule="exact"/>
        <w:ind w:firstLine="480" w:firstLineChars="200"/>
        <w:rPr>
          <w:rFonts w:ascii="宋体" w:cs="Times New Roman"/>
          <w:sz w:val="24"/>
          <w:szCs w:val="24"/>
        </w:rPr>
      </w:pPr>
      <w:r>
        <w:rPr>
          <w:rFonts w:ascii="宋体" w:hAnsi="宋体" w:cs="宋体"/>
          <w:sz w:val="24"/>
          <w:szCs w:val="24"/>
        </w:rPr>
        <w:t>26.8</w:t>
      </w:r>
      <w:r>
        <w:rPr>
          <w:rFonts w:hint="eastAsia" w:ascii="宋体" w:hAnsi="宋体" w:cs="宋体"/>
          <w:sz w:val="24"/>
          <w:szCs w:val="24"/>
        </w:rPr>
        <w:t>自合同签订之日起七个工作日内，成交供应商需将合同副本分别送市（区）政府采购办公室和采购代理机构备案。</w:t>
      </w:r>
    </w:p>
    <w:p w14:paraId="6E4D5988">
      <w:pPr>
        <w:spacing w:line="420" w:lineRule="exact"/>
        <w:rPr>
          <w:rFonts w:ascii="宋体" w:hAnsi="宋体" w:cs="宋体"/>
          <w:sz w:val="24"/>
          <w:szCs w:val="24"/>
        </w:rPr>
      </w:pPr>
      <w:r>
        <w:rPr>
          <w:rFonts w:ascii="宋体" w:hAnsi="宋体" w:cs="宋体"/>
          <w:b/>
          <w:bCs/>
          <w:sz w:val="24"/>
          <w:szCs w:val="24"/>
        </w:rPr>
        <w:t>27.</w:t>
      </w:r>
      <w:r>
        <w:rPr>
          <w:rFonts w:hint="eastAsia" w:ascii="宋体" w:hAnsi="宋体" w:cs="宋体"/>
          <w:sz w:val="24"/>
          <w:szCs w:val="24"/>
        </w:rPr>
        <w:t>履约保证金</w:t>
      </w:r>
    </w:p>
    <w:p w14:paraId="21068D80">
      <w:pPr>
        <w:spacing w:line="420" w:lineRule="exact"/>
        <w:ind w:firstLine="480" w:firstLineChars="200"/>
        <w:rPr>
          <w:rFonts w:ascii="宋体" w:hAnsi="宋体" w:eastAsia="宋体"/>
          <w:sz w:val="24"/>
        </w:rPr>
      </w:pPr>
      <w:r>
        <w:rPr>
          <w:rFonts w:ascii="宋体" w:hAnsi="宋体" w:eastAsia="宋体"/>
          <w:sz w:val="24"/>
        </w:rPr>
        <w:t>无</w:t>
      </w:r>
    </w:p>
    <w:p w14:paraId="3956967F">
      <w:pPr>
        <w:spacing w:line="420" w:lineRule="exact"/>
        <w:rPr>
          <w:rFonts w:ascii="微软雅黑" w:eastAsia="微软雅黑" w:cs="Times New Roman"/>
          <w:sz w:val="24"/>
          <w:szCs w:val="24"/>
        </w:rPr>
      </w:pPr>
      <w:r>
        <w:rPr>
          <w:rFonts w:ascii="宋体" w:hAnsi="宋体" w:cs="宋体"/>
          <w:b/>
          <w:bCs/>
          <w:sz w:val="24"/>
          <w:szCs w:val="24"/>
        </w:rPr>
        <w:t xml:space="preserve">28. </w:t>
      </w:r>
      <w:r>
        <w:rPr>
          <w:rFonts w:hint="eastAsia" w:ascii="微软雅黑" w:hAnsi="微软雅黑" w:cs="宋体"/>
          <w:sz w:val="24"/>
          <w:szCs w:val="24"/>
        </w:rPr>
        <w:t>其他</w:t>
      </w:r>
    </w:p>
    <w:p w14:paraId="69C4D219">
      <w:pPr>
        <w:spacing w:line="460" w:lineRule="exact"/>
        <w:ind w:firstLine="480" w:firstLineChars="200"/>
        <w:rPr>
          <w:rFonts w:ascii="宋体" w:cs="Times New Roman"/>
          <w:sz w:val="24"/>
          <w:szCs w:val="24"/>
        </w:rPr>
      </w:pPr>
      <w:r>
        <w:rPr>
          <w:rFonts w:ascii="宋体" w:hAnsi="宋体" w:cs="宋体"/>
          <w:sz w:val="24"/>
          <w:szCs w:val="24"/>
        </w:rPr>
        <w:t>28.1</w:t>
      </w:r>
      <w:r>
        <w:rPr>
          <w:rFonts w:hint="eastAsia" w:ascii="宋体" w:hAnsi="宋体" w:cs="宋体"/>
          <w:sz w:val="24"/>
          <w:szCs w:val="24"/>
        </w:rPr>
        <w:t>供应商有下列情形之一的，自愿接受取消磋商资格；如已成交的，自动放弃成交资格，并承担全部法律责任；给采购人造成损失的，依法承担赔偿责任：</w:t>
      </w:r>
    </w:p>
    <w:p w14:paraId="199D2ECA">
      <w:pPr>
        <w:spacing w:line="460" w:lineRule="exact"/>
        <w:ind w:firstLine="480" w:firstLineChars="200"/>
        <w:rPr>
          <w:rFonts w:ascii="宋体" w:cs="Times New Roman"/>
          <w:sz w:val="24"/>
          <w:szCs w:val="24"/>
        </w:rPr>
      </w:pPr>
      <w:r>
        <w:rPr>
          <w:rFonts w:ascii="宋体" w:hAnsi="宋体" w:cs="宋体"/>
          <w:sz w:val="24"/>
          <w:szCs w:val="24"/>
        </w:rPr>
        <w:t>28.1.1</w:t>
      </w:r>
      <w:r>
        <w:rPr>
          <w:rFonts w:hint="eastAsia" w:ascii="宋体" w:hAnsi="宋体" w:cs="宋体"/>
          <w:sz w:val="24"/>
          <w:szCs w:val="24"/>
        </w:rPr>
        <w:t>供应商在提交响应文件截止时间后撤回响应文件的；</w:t>
      </w:r>
    </w:p>
    <w:p w14:paraId="68A4A1FD">
      <w:pPr>
        <w:spacing w:line="460" w:lineRule="exact"/>
        <w:ind w:firstLine="480" w:firstLineChars="200"/>
        <w:rPr>
          <w:rFonts w:ascii="宋体" w:cs="Times New Roman"/>
          <w:sz w:val="24"/>
          <w:szCs w:val="24"/>
        </w:rPr>
      </w:pPr>
      <w:r>
        <w:rPr>
          <w:rFonts w:ascii="宋体" w:hAnsi="宋体" w:cs="宋体"/>
          <w:sz w:val="24"/>
          <w:szCs w:val="24"/>
        </w:rPr>
        <w:t>28.1.2</w:t>
      </w:r>
      <w:r>
        <w:rPr>
          <w:rFonts w:hint="eastAsia" w:ascii="宋体" w:hAnsi="宋体" w:cs="宋体"/>
          <w:sz w:val="24"/>
          <w:szCs w:val="24"/>
        </w:rPr>
        <w:t>供应商在响应文件中提交虚假材料的；</w:t>
      </w:r>
    </w:p>
    <w:p w14:paraId="607CF4C7">
      <w:pPr>
        <w:spacing w:line="460" w:lineRule="exact"/>
        <w:ind w:firstLine="480" w:firstLineChars="200"/>
        <w:rPr>
          <w:rFonts w:ascii="宋体" w:cs="Times New Roman"/>
          <w:sz w:val="24"/>
          <w:szCs w:val="24"/>
        </w:rPr>
      </w:pPr>
      <w:r>
        <w:rPr>
          <w:rFonts w:ascii="宋体" w:hAnsi="宋体" w:cs="宋体"/>
          <w:sz w:val="24"/>
          <w:szCs w:val="24"/>
        </w:rPr>
        <w:t>28.1.3</w:t>
      </w:r>
      <w:r>
        <w:rPr>
          <w:rFonts w:hint="eastAsia" w:ascii="宋体" w:hAnsi="宋体" w:cs="宋体"/>
          <w:sz w:val="24"/>
          <w:szCs w:val="24"/>
        </w:rPr>
        <w:t>除因不可抗力或磋商文件认可的情形以外，成交供应商不与采购人签订合同的；</w:t>
      </w:r>
    </w:p>
    <w:p w14:paraId="0AC12CE7">
      <w:pPr>
        <w:spacing w:line="460" w:lineRule="exact"/>
        <w:ind w:firstLine="480" w:firstLineChars="200"/>
        <w:rPr>
          <w:rFonts w:ascii="宋体" w:cs="Times New Roman"/>
          <w:sz w:val="24"/>
          <w:szCs w:val="24"/>
        </w:rPr>
      </w:pPr>
      <w:r>
        <w:rPr>
          <w:rFonts w:ascii="宋体" w:hAnsi="宋体" w:cs="宋体"/>
          <w:sz w:val="24"/>
          <w:szCs w:val="24"/>
        </w:rPr>
        <w:t>28.1.4</w:t>
      </w:r>
      <w:r>
        <w:rPr>
          <w:rFonts w:hint="eastAsia" w:ascii="宋体" w:hAnsi="宋体" w:cs="宋体"/>
          <w:sz w:val="24"/>
          <w:szCs w:val="24"/>
        </w:rPr>
        <w:t>供应商与采购人、其他供应商或者采购代理机构恶意串通的；</w:t>
      </w:r>
    </w:p>
    <w:p w14:paraId="29745F9D">
      <w:pPr>
        <w:spacing w:line="460" w:lineRule="exact"/>
        <w:ind w:firstLine="480" w:firstLineChars="200"/>
        <w:rPr>
          <w:rFonts w:ascii="宋体" w:hAnsi="宋体" w:cs="宋体"/>
          <w:sz w:val="24"/>
          <w:szCs w:val="24"/>
        </w:rPr>
      </w:pPr>
      <w:r>
        <w:rPr>
          <w:rFonts w:ascii="宋体" w:hAnsi="宋体" w:cs="宋体"/>
          <w:sz w:val="24"/>
          <w:szCs w:val="24"/>
        </w:rPr>
        <w:t>28.1.5</w:t>
      </w:r>
      <w:r>
        <w:rPr>
          <w:rFonts w:hint="eastAsia" w:ascii="宋体" w:hAnsi="宋体" w:cs="宋体"/>
          <w:sz w:val="24"/>
          <w:szCs w:val="24"/>
        </w:rPr>
        <w:t>磋商文件规定的其他情形。</w:t>
      </w:r>
    </w:p>
    <w:p w14:paraId="52A9794D">
      <w:pPr>
        <w:spacing w:line="460" w:lineRule="exact"/>
        <w:ind w:firstLine="480" w:firstLineChars="200"/>
        <w:rPr>
          <w:rFonts w:ascii="宋体" w:cs="Times New Roman"/>
          <w:sz w:val="24"/>
          <w:szCs w:val="24"/>
        </w:rPr>
      </w:pPr>
    </w:p>
    <w:p w14:paraId="00BF9BF3">
      <w:bookmarkStart w:id="63" w:name="_Toc69913495"/>
      <w:r>
        <w:rPr>
          <w:rFonts w:hint="eastAsia"/>
        </w:rPr>
        <w:br w:type="page"/>
      </w:r>
    </w:p>
    <w:p w14:paraId="35D507C9">
      <w:pPr>
        <w:pStyle w:val="2"/>
      </w:pPr>
      <w:r>
        <w:rPr>
          <w:rFonts w:hint="eastAsia"/>
        </w:rPr>
        <w:t>第二章磋商项目范围及要求</w:t>
      </w:r>
      <w:bookmarkEnd w:id="63"/>
    </w:p>
    <w:p w14:paraId="1282665B">
      <w:pPr>
        <w:rPr>
          <w:rFonts w:ascii="宋体" w:hAnsi="宋体" w:cs="Times New Roman"/>
        </w:rPr>
      </w:pPr>
    </w:p>
    <w:p w14:paraId="5A3C1351">
      <w:pPr>
        <w:spacing w:line="360" w:lineRule="auto"/>
        <w:rPr>
          <w:rFonts w:hint="eastAsia" w:ascii="宋体" w:hAnsi="宋体" w:cs="宋体" w:eastAsiaTheme="minorEastAsia"/>
          <w:b/>
          <w:bCs/>
          <w:sz w:val="24"/>
          <w:szCs w:val="24"/>
          <w:lang w:eastAsia="zh-CN"/>
        </w:rPr>
      </w:pPr>
      <w:r>
        <w:rPr>
          <w:rFonts w:hint="eastAsia" w:ascii="宋体" w:hAnsi="宋体" w:cs="宋体"/>
          <w:b/>
          <w:bCs/>
          <w:sz w:val="24"/>
          <w:szCs w:val="24"/>
        </w:rPr>
        <w:t>一、采购项目：</w:t>
      </w:r>
      <w:r>
        <w:rPr>
          <w:rFonts w:hint="eastAsia" w:ascii="宋体" w:hAnsi="宋体" w:cs="宋体"/>
          <w:b/>
          <w:bCs/>
          <w:sz w:val="24"/>
          <w:szCs w:val="24"/>
          <w:lang w:eastAsia="zh-CN"/>
        </w:rPr>
        <w:t>大气颗粒物组分手工监测项目</w:t>
      </w:r>
    </w:p>
    <w:p w14:paraId="2575B389">
      <w:pPr>
        <w:spacing w:line="360" w:lineRule="auto"/>
        <w:ind w:left="420" w:leftChars="200"/>
        <w:rPr>
          <w:rFonts w:ascii="宋体" w:hAnsi="宋体" w:cs="宋体"/>
          <w:b/>
          <w:bCs/>
          <w:sz w:val="24"/>
          <w:szCs w:val="24"/>
        </w:rPr>
      </w:pPr>
      <w:r>
        <w:rPr>
          <w:rFonts w:hint="eastAsia" w:ascii="宋体" w:hAnsi="宋体" w:cs="宋体"/>
          <w:b/>
          <w:bCs/>
          <w:sz w:val="24"/>
          <w:szCs w:val="24"/>
        </w:rPr>
        <w:t>采购预算：人民币57.8万元整</w:t>
      </w:r>
      <w:bookmarkStart w:id="64" w:name="_Toc152043787"/>
    </w:p>
    <w:p w14:paraId="2D987D3D">
      <w:pPr>
        <w:spacing w:line="360" w:lineRule="auto"/>
        <w:ind w:left="420" w:leftChars="200"/>
        <w:rPr>
          <w:rFonts w:ascii="宋体" w:hAnsi="宋体" w:cs="宋体"/>
          <w:b/>
          <w:bCs/>
          <w:sz w:val="24"/>
          <w:szCs w:val="24"/>
        </w:rPr>
      </w:pPr>
    </w:p>
    <w:p w14:paraId="71FF79DB">
      <w:pPr>
        <w:pStyle w:val="336"/>
        <w:numPr>
          <w:ilvl w:val="0"/>
          <w:numId w:val="1"/>
        </w:numPr>
        <w:spacing w:line="560" w:lineRule="exact"/>
        <w:ind w:firstLineChars="0"/>
        <w:jc w:val="left"/>
        <w:rPr>
          <w:rFonts w:cs="宋体" w:asciiTheme="majorEastAsia" w:hAnsiTheme="majorEastAsia" w:eastAsiaTheme="majorEastAsia"/>
          <w:b/>
          <w:bCs/>
          <w:sz w:val="24"/>
          <w:szCs w:val="24"/>
        </w:rPr>
      </w:pPr>
      <w:r>
        <w:rPr>
          <w:rFonts w:hint="eastAsia" w:cs="宋体" w:asciiTheme="majorEastAsia" w:hAnsiTheme="majorEastAsia" w:eastAsiaTheme="majorEastAsia"/>
          <w:b/>
          <w:bCs/>
          <w:sz w:val="24"/>
          <w:szCs w:val="24"/>
        </w:rPr>
        <w:t>采购内容</w:t>
      </w:r>
    </w:p>
    <w:p w14:paraId="35BCF0CE">
      <w:pPr>
        <w:ind w:firstLine="422" w:firstLineChars="200"/>
        <w:rPr>
          <w:rFonts w:cs="微软雅黑" w:asciiTheme="minorEastAsia" w:hAnsiTheme="minorEastAsia"/>
          <w:b/>
        </w:rPr>
      </w:pPr>
      <w:r>
        <w:rPr>
          <w:rFonts w:hint="eastAsia" w:cs="微软雅黑" w:asciiTheme="minorEastAsia" w:hAnsiTheme="minorEastAsia"/>
          <w:b/>
          <w:lang w:eastAsia="zh-CN"/>
        </w:rPr>
        <w:t>（</w:t>
      </w:r>
      <w:r>
        <w:rPr>
          <w:rFonts w:hint="eastAsia" w:cs="微软雅黑" w:asciiTheme="minorEastAsia" w:hAnsiTheme="minorEastAsia"/>
          <w:b/>
        </w:rPr>
        <w:t>一</w:t>
      </w:r>
      <w:r>
        <w:rPr>
          <w:rFonts w:hint="eastAsia" w:cs="微软雅黑" w:asciiTheme="minorEastAsia" w:hAnsiTheme="minorEastAsia"/>
          <w:b/>
          <w:lang w:eastAsia="zh-CN"/>
        </w:rPr>
        <w:t>）</w:t>
      </w:r>
      <w:r>
        <w:rPr>
          <w:rFonts w:hint="eastAsia" w:cs="微软雅黑" w:asciiTheme="minorEastAsia" w:hAnsiTheme="minorEastAsia"/>
          <w:b/>
        </w:rPr>
        <w:t>项目概况：</w:t>
      </w:r>
    </w:p>
    <w:p w14:paraId="60D047FA">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根据《2019年国家大气颗粒物组分监测方案》（环办监测函[2019]324号）、《2022年国家生态环境监测方案》（环办监测函[2022]58号）的要求，开展大气颗粒物组分的手工监测项目，监测项目为水溶性离子、无机元素及碳组分。</w:t>
      </w:r>
    </w:p>
    <w:p w14:paraId="104C4326">
      <w:pPr>
        <w:ind w:firstLine="422" w:firstLineChars="200"/>
        <w:rPr>
          <w:rFonts w:cs="微软雅黑" w:asciiTheme="minorEastAsia" w:hAnsiTheme="minorEastAsia"/>
          <w:b/>
        </w:rPr>
      </w:pPr>
      <w:r>
        <w:rPr>
          <w:rFonts w:hint="eastAsia" w:cs="微软雅黑" w:asciiTheme="minorEastAsia" w:hAnsiTheme="minorEastAsia"/>
          <w:b/>
        </w:rPr>
        <w:t>（二）服务要求：</w:t>
      </w:r>
    </w:p>
    <w:p w14:paraId="200B7844">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1、监测时间、点位与频次</w:t>
      </w:r>
    </w:p>
    <w:p w14:paraId="7E8FAC0A">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监测时间为一年（202</w:t>
      </w:r>
      <w:r>
        <w:rPr>
          <w:rFonts w:hint="eastAsia" w:cs="微软雅黑" w:asciiTheme="minorEastAsia" w:hAnsiTheme="minorEastAsia" w:eastAsiaTheme="minorEastAsia"/>
          <w:sz w:val="24"/>
          <w:szCs w:val="24"/>
          <w:lang w:val="en-US" w:eastAsia="zh-CN"/>
        </w:rPr>
        <w:t>4</w:t>
      </w:r>
      <w:r>
        <w:rPr>
          <w:rFonts w:hint="eastAsia" w:cs="微软雅黑" w:asciiTheme="minorEastAsia" w:hAnsiTheme="minorEastAsia" w:eastAsiaTheme="minorEastAsia"/>
          <w:sz w:val="24"/>
          <w:szCs w:val="24"/>
        </w:rPr>
        <w:t>.11.1-202</w:t>
      </w:r>
      <w:r>
        <w:rPr>
          <w:rFonts w:hint="eastAsia" w:cs="微软雅黑" w:asciiTheme="minorEastAsia" w:hAnsiTheme="minorEastAsia" w:eastAsiaTheme="minorEastAsia"/>
          <w:sz w:val="24"/>
          <w:szCs w:val="24"/>
          <w:lang w:val="en-US" w:eastAsia="zh-CN"/>
        </w:rPr>
        <w:t>5</w:t>
      </w:r>
      <w:r>
        <w:rPr>
          <w:rFonts w:hint="eastAsia" w:cs="微软雅黑" w:asciiTheme="minorEastAsia" w:hAnsiTheme="minorEastAsia" w:eastAsiaTheme="minorEastAsia"/>
          <w:sz w:val="24"/>
          <w:szCs w:val="24"/>
        </w:rPr>
        <w:t>.10.31），监测频次为1次/3天，监测点位1个，样品数量112个。如遇以</w:t>
      </w:r>
      <w:r>
        <w:rPr>
          <w:rFonts w:hint="eastAsia" w:cs="微软雅黑" w:asciiTheme="minorEastAsia" w:hAnsiTheme="minorEastAsia" w:eastAsiaTheme="minorEastAsia"/>
          <w:sz w:val="24"/>
          <w:szCs w:val="24"/>
          <w:lang w:val="en-US" w:eastAsia="zh-CN"/>
        </w:rPr>
        <w:t>pm2.5</w:t>
      </w:r>
      <w:r>
        <w:rPr>
          <w:rFonts w:hint="eastAsia" w:cs="微软雅黑" w:asciiTheme="minorEastAsia" w:hAnsiTheme="minorEastAsia" w:eastAsiaTheme="minorEastAsia"/>
          <w:sz w:val="24"/>
          <w:szCs w:val="24"/>
        </w:rPr>
        <w:t>为首要污染物的空气重污染过程，发生重污染的城市须开展加密监测，频次为1次/天。</w:t>
      </w:r>
    </w:p>
    <w:p w14:paraId="62A0D14D">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2、监测项目及方法</w:t>
      </w:r>
    </w:p>
    <w:p w14:paraId="2A8EEA61">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具体监测项目详见表1。</w:t>
      </w:r>
    </w:p>
    <w:p w14:paraId="458ED5CD">
      <w:pPr>
        <w:pStyle w:val="513"/>
        <w:spacing w:line="360" w:lineRule="auto"/>
        <w:ind w:firstLine="480" w:firstLineChars="200"/>
        <w:jc w:val="center"/>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表1  颗粒物组分手工监测项目</w:t>
      </w:r>
    </w:p>
    <w:tbl>
      <w:tblPr>
        <w:tblStyle w:val="63"/>
        <w:tblW w:w="483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19"/>
        <w:gridCol w:w="7167"/>
      </w:tblGrid>
      <w:tr w14:paraId="4766C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blHeader/>
          <w:jc w:val="center"/>
        </w:trPr>
        <w:tc>
          <w:tcPr>
            <w:tcW w:w="1056" w:type="pct"/>
            <w:tcBorders>
              <w:top w:val="single" w:color="auto" w:sz="4" w:space="0"/>
              <w:left w:val="single" w:color="auto" w:sz="4" w:space="0"/>
              <w:bottom w:val="single" w:color="auto" w:sz="4" w:space="0"/>
              <w:right w:val="single" w:color="auto" w:sz="4" w:space="0"/>
              <w:tl2br w:val="nil"/>
              <w:tr2bl w:val="nil"/>
            </w:tcBorders>
            <w:vAlign w:val="center"/>
          </w:tcPr>
          <w:p w14:paraId="294BD127">
            <w:pPr>
              <w:jc w:val="center"/>
              <w:rPr>
                <w:rFonts w:cs="微软雅黑" w:asciiTheme="minorEastAsia" w:hAnsiTheme="minorEastAsia"/>
              </w:rPr>
            </w:pPr>
            <w:r>
              <w:rPr>
                <w:rFonts w:hint="eastAsia" w:cs="微软雅黑" w:asciiTheme="minorEastAsia" w:hAnsiTheme="minorEastAsia"/>
              </w:rPr>
              <w:t>组分类别</w:t>
            </w:r>
          </w:p>
        </w:tc>
        <w:tc>
          <w:tcPr>
            <w:tcW w:w="3943" w:type="pct"/>
            <w:tcBorders>
              <w:top w:val="single" w:color="auto" w:sz="4" w:space="0"/>
              <w:left w:val="single" w:color="auto" w:sz="4" w:space="0"/>
              <w:bottom w:val="single" w:color="auto" w:sz="4" w:space="0"/>
              <w:right w:val="single" w:color="auto" w:sz="4" w:space="0"/>
              <w:tl2br w:val="nil"/>
              <w:tr2bl w:val="nil"/>
            </w:tcBorders>
            <w:vAlign w:val="center"/>
          </w:tcPr>
          <w:p w14:paraId="1A782F68">
            <w:pPr>
              <w:jc w:val="center"/>
              <w:rPr>
                <w:rFonts w:cs="微软雅黑" w:asciiTheme="minorEastAsia" w:hAnsiTheme="minorEastAsia"/>
              </w:rPr>
            </w:pPr>
            <w:r>
              <w:rPr>
                <w:rFonts w:hint="eastAsia" w:cs="微软雅黑" w:asciiTheme="minorEastAsia" w:hAnsiTheme="minorEastAsia"/>
              </w:rPr>
              <w:t>具 体 项 目</w:t>
            </w:r>
          </w:p>
        </w:tc>
      </w:tr>
      <w:tr w14:paraId="01730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1056" w:type="pct"/>
            <w:tcBorders>
              <w:top w:val="single" w:color="auto" w:sz="4" w:space="0"/>
              <w:left w:val="single" w:color="auto" w:sz="4" w:space="0"/>
              <w:bottom w:val="single" w:color="auto" w:sz="4" w:space="0"/>
              <w:right w:val="single" w:color="auto" w:sz="4" w:space="0"/>
              <w:tl2br w:val="nil"/>
              <w:tr2bl w:val="nil"/>
            </w:tcBorders>
            <w:vAlign w:val="center"/>
          </w:tcPr>
          <w:p w14:paraId="0F52E3BA">
            <w:pPr>
              <w:rPr>
                <w:rFonts w:cs="微软雅黑" w:asciiTheme="minorEastAsia" w:hAnsiTheme="minorEastAsia"/>
              </w:rPr>
            </w:pPr>
            <w:r>
              <w:rPr>
                <w:rFonts w:hint="eastAsia" w:cs="微软雅黑" w:asciiTheme="minorEastAsia" w:hAnsiTheme="minorEastAsia"/>
              </w:rPr>
              <w:t>水溶性离子</w:t>
            </w:r>
          </w:p>
        </w:tc>
        <w:tc>
          <w:tcPr>
            <w:tcW w:w="3943" w:type="pct"/>
            <w:tcBorders>
              <w:top w:val="single" w:color="auto" w:sz="4" w:space="0"/>
              <w:left w:val="single" w:color="auto" w:sz="4" w:space="0"/>
              <w:bottom w:val="single" w:color="auto" w:sz="4" w:space="0"/>
              <w:right w:val="single" w:color="auto" w:sz="4" w:space="0"/>
              <w:tl2br w:val="nil"/>
              <w:tr2bl w:val="nil"/>
            </w:tcBorders>
            <w:vAlign w:val="center"/>
          </w:tcPr>
          <w:p w14:paraId="7E0CB4E2">
            <w:pPr>
              <w:rPr>
                <w:rFonts w:cs="微软雅黑" w:asciiTheme="minorEastAsia" w:hAnsiTheme="minorEastAsia"/>
              </w:rPr>
            </w:pPr>
            <w:r>
              <w:rPr>
                <w:rFonts w:hint="eastAsia" w:cs="微软雅黑" w:asciiTheme="minorEastAsia" w:hAnsiTheme="minorEastAsia"/>
              </w:rPr>
              <w:t>SO</w:t>
            </w:r>
            <w:r>
              <w:rPr>
                <w:rFonts w:hint="eastAsia" w:cs="微软雅黑" w:asciiTheme="minorEastAsia" w:hAnsiTheme="minorEastAsia"/>
                <w:vertAlign w:val="subscript"/>
              </w:rPr>
              <w:t>4</w:t>
            </w:r>
            <w:r>
              <w:rPr>
                <w:rFonts w:hint="eastAsia" w:cs="微软雅黑" w:asciiTheme="minorEastAsia" w:hAnsiTheme="minorEastAsia"/>
                <w:vertAlign w:val="superscript"/>
              </w:rPr>
              <w:t>2-</w:t>
            </w:r>
            <w:r>
              <w:rPr>
                <w:rFonts w:hint="eastAsia" w:cs="微软雅黑" w:asciiTheme="minorEastAsia" w:hAnsiTheme="minorEastAsia"/>
              </w:rPr>
              <w:t>、NO</w:t>
            </w:r>
            <w:r>
              <w:rPr>
                <w:rFonts w:hint="eastAsia" w:cs="微软雅黑" w:asciiTheme="minorEastAsia" w:hAnsiTheme="minorEastAsia"/>
                <w:vertAlign w:val="subscript"/>
              </w:rPr>
              <w:t>3</w:t>
            </w:r>
            <w:r>
              <w:rPr>
                <w:rFonts w:hint="eastAsia" w:cs="微软雅黑" w:asciiTheme="minorEastAsia" w:hAnsiTheme="minorEastAsia"/>
                <w:vertAlign w:val="superscript"/>
              </w:rPr>
              <w:t>-</w:t>
            </w:r>
            <w:r>
              <w:rPr>
                <w:rFonts w:hint="eastAsia" w:cs="微软雅黑" w:asciiTheme="minorEastAsia" w:hAnsiTheme="minorEastAsia"/>
              </w:rPr>
              <w:t>、F</w:t>
            </w:r>
            <w:r>
              <w:rPr>
                <w:rFonts w:hint="eastAsia" w:cs="微软雅黑" w:asciiTheme="minorEastAsia" w:hAnsiTheme="minorEastAsia"/>
                <w:vertAlign w:val="superscript"/>
              </w:rPr>
              <w:t>-</w:t>
            </w:r>
            <w:r>
              <w:rPr>
                <w:rFonts w:hint="eastAsia" w:cs="微软雅黑" w:asciiTheme="minorEastAsia" w:hAnsiTheme="minorEastAsia"/>
              </w:rPr>
              <w:t>、Cl</w:t>
            </w:r>
            <w:r>
              <w:rPr>
                <w:rFonts w:hint="eastAsia" w:cs="微软雅黑" w:asciiTheme="minorEastAsia" w:hAnsiTheme="minorEastAsia"/>
                <w:vertAlign w:val="superscript"/>
              </w:rPr>
              <w:t>-</w:t>
            </w:r>
            <w:r>
              <w:rPr>
                <w:rFonts w:hint="eastAsia" w:cs="微软雅黑" w:asciiTheme="minorEastAsia" w:hAnsiTheme="minorEastAsia"/>
              </w:rPr>
              <w:t>、Na</w:t>
            </w:r>
            <w:r>
              <w:rPr>
                <w:rFonts w:hint="eastAsia" w:cs="微软雅黑" w:asciiTheme="minorEastAsia" w:hAnsiTheme="minorEastAsia"/>
                <w:vertAlign w:val="superscript"/>
              </w:rPr>
              <w:t>+</w:t>
            </w:r>
            <w:r>
              <w:rPr>
                <w:rFonts w:hint="eastAsia" w:cs="微软雅黑" w:asciiTheme="minorEastAsia" w:hAnsiTheme="minorEastAsia"/>
              </w:rPr>
              <w:t>、NH</w:t>
            </w:r>
            <w:r>
              <w:rPr>
                <w:rFonts w:hint="eastAsia" w:cs="微软雅黑" w:asciiTheme="minorEastAsia" w:hAnsiTheme="minorEastAsia"/>
                <w:vertAlign w:val="subscript"/>
              </w:rPr>
              <w:t>4</w:t>
            </w:r>
            <w:r>
              <w:rPr>
                <w:rFonts w:hint="eastAsia" w:cs="微软雅黑" w:asciiTheme="minorEastAsia" w:hAnsiTheme="minorEastAsia"/>
                <w:vertAlign w:val="superscript"/>
              </w:rPr>
              <w:t>+</w:t>
            </w:r>
            <w:r>
              <w:rPr>
                <w:rFonts w:hint="eastAsia" w:cs="微软雅黑" w:asciiTheme="minorEastAsia" w:hAnsiTheme="minorEastAsia"/>
              </w:rPr>
              <w:t>、K</w:t>
            </w:r>
            <w:r>
              <w:rPr>
                <w:rFonts w:hint="eastAsia" w:cs="微软雅黑" w:asciiTheme="minorEastAsia" w:hAnsiTheme="minorEastAsia"/>
                <w:vertAlign w:val="superscript"/>
              </w:rPr>
              <w:t>+</w:t>
            </w:r>
            <w:r>
              <w:rPr>
                <w:rFonts w:hint="eastAsia" w:cs="微软雅黑" w:asciiTheme="minorEastAsia" w:hAnsiTheme="minorEastAsia"/>
              </w:rPr>
              <w:t>、Mg</w:t>
            </w:r>
            <w:r>
              <w:rPr>
                <w:rFonts w:hint="eastAsia" w:cs="微软雅黑" w:asciiTheme="minorEastAsia" w:hAnsiTheme="minorEastAsia"/>
                <w:vertAlign w:val="superscript"/>
              </w:rPr>
              <w:t>2+</w:t>
            </w:r>
            <w:r>
              <w:rPr>
                <w:rFonts w:hint="eastAsia" w:cs="微软雅黑" w:asciiTheme="minorEastAsia" w:hAnsiTheme="minorEastAsia"/>
              </w:rPr>
              <w:t>、Ca</w:t>
            </w:r>
            <w:r>
              <w:rPr>
                <w:rFonts w:hint="eastAsia" w:cs="微软雅黑" w:asciiTheme="minorEastAsia" w:hAnsiTheme="minorEastAsia"/>
                <w:vertAlign w:val="superscript"/>
              </w:rPr>
              <w:t>2+</w:t>
            </w:r>
            <w:r>
              <w:rPr>
                <w:rFonts w:hint="eastAsia" w:cs="微软雅黑" w:asciiTheme="minorEastAsia" w:hAnsiTheme="minorEastAsia"/>
              </w:rPr>
              <w:t>等9种离子</w:t>
            </w:r>
          </w:p>
        </w:tc>
      </w:tr>
      <w:tr w14:paraId="0EAFB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jc w:val="center"/>
        </w:trPr>
        <w:tc>
          <w:tcPr>
            <w:tcW w:w="1056" w:type="pct"/>
            <w:tcBorders>
              <w:top w:val="single" w:color="auto" w:sz="4" w:space="0"/>
              <w:left w:val="single" w:color="auto" w:sz="4" w:space="0"/>
              <w:bottom w:val="single" w:color="auto" w:sz="4" w:space="0"/>
              <w:right w:val="single" w:color="auto" w:sz="4" w:space="0"/>
              <w:tl2br w:val="nil"/>
              <w:tr2bl w:val="nil"/>
            </w:tcBorders>
            <w:vAlign w:val="center"/>
          </w:tcPr>
          <w:p w14:paraId="75601069">
            <w:pPr>
              <w:rPr>
                <w:rFonts w:cs="微软雅黑" w:asciiTheme="minorEastAsia" w:hAnsiTheme="minorEastAsia"/>
              </w:rPr>
            </w:pPr>
            <w:r>
              <w:rPr>
                <w:rFonts w:hint="eastAsia" w:cs="微软雅黑" w:asciiTheme="minorEastAsia" w:hAnsiTheme="minorEastAsia"/>
              </w:rPr>
              <w:t>无机元素</w:t>
            </w:r>
          </w:p>
        </w:tc>
        <w:tc>
          <w:tcPr>
            <w:tcW w:w="3943" w:type="pct"/>
            <w:tcBorders>
              <w:top w:val="single" w:color="auto" w:sz="4" w:space="0"/>
              <w:left w:val="single" w:color="auto" w:sz="4" w:space="0"/>
              <w:bottom w:val="single" w:color="auto" w:sz="4" w:space="0"/>
              <w:right w:val="single" w:color="auto" w:sz="4" w:space="0"/>
              <w:tl2br w:val="nil"/>
              <w:tr2bl w:val="nil"/>
            </w:tcBorders>
            <w:vAlign w:val="center"/>
          </w:tcPr>
          <w:p w14:paraId="61C604F3">
            <w:pPr>
              <w:rPr>
                <w:rFonts w:cs="微软雅黑" w:asciiTheme="minorEastAsia" w:hAnsiTheme="minorEastAsia"/>
              </w:rPr>
            </w:pPr>
            <w:r>
              <w:rPr>
                <w:rFonts w:hint="eastAsia" w:cs="微软雅黑" w:asciiTheme="minorEastAsia" w:hAnsiTheme="minorEastAsia"/>
              </w:rPr>
              <w:t>钒（V）、铁（Fe）、锌（Zn）、镉（Cd）、铬（Cr）、钴（Co）、砷（As）、铝（Al）、锡（Sn）、锰（Mn）、镍（Ni）、硒（Se）、硅（Si）、钛（Ti）、钡（Ba）、铜（Cu）、铅（Pb）、钙（Ca）、镁（Mg）、钠（Na）、硫（S）、氯（Cl）、钾（K）、锑（Sb）等24种元素</w:t>
            </w:r>
          </w:p>
        </w:tc>
      </w:tr>
      <w:tr w14:paraId="3FBA9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056" w:type="pct"/>
            <w:tcBorders>
              <w:top w:val="single" w:color="auto" w:sz="4" w:space="0"/>
              <w:left w:val="single" w:color="auto" w:sz="4" w:space="0"/>
              <w:bottom w:val="single" w:color="auto" w:sz="4" w:space="0"/>
              <w:right w:val="single" w:color="auto" w:sz="4" w:space="0"/>
              <w:tl2br w:val="nil"/>
              <w:tr2bl w:val="nil"/>
            </w:tcBorders>
            <w:vAlign w:val="center"/>
          </w:tcPr>
          <w:p w14:paraId="1B4C2DB3">
            <w:pPr>
              <w:rPr>
                <w:rFonts w:cs="微软雅黑" w:asciiTheme="minorEastAsia" w:hAnsiTheme="minorEastAsia"/>
              </w:rPr>
            </w:pPr>
            <w:r>
              <w:rPr>
                <w:rFonts w:hint="eastAsia" w:cs="微软雅黑" w:asciiTheme="minorEastAsia" w:hAnsiTheme="minorEastAsia"/>
                <w:lang w:eastAsia="zh-CN"/>
              </w:rPr>
              <w:t>碳</w:t>
            </w:r>
            <w:r>
              <w:rPr>
                <w:rFonts w:hint="eastAsia" w:cs="微软雅黑" w:asciiTheme="minorEastAsia" w:hAnsiTheme="minorEastAsia"/>
              </w:rPr>
              <w:t>组分</w:t>
            </w:r>
          </w:p>
        </w:tc>
        <w:tc>
          <w:tcPr>
            <w:tcW w:w="3943" w:type="pct"/>
            <w:tcBorders>
              <w:top w:val="single" w:color="auto" w:sz="4" w:space="0"/>
              <w:left w:val="single" w:color="auto" w:sz="4" w:space="0"/>
              <w:bottom w:val="single" w:color="auto" w:sz="4" w:space="0"/>
              <w:right w:val="single" w:color="auto" w:sz="4" w:space="0"/>
              <w:tl2br w:val="nil"/>
              <w:tr2bl w:val="nil"/>
            </w:tcBorders>
            <w:vAlign w:val="center"/>
          </w:tcPr>
          <w:p w14:paraId="0B690759">
            <w:pPr>
              <w:rPr>
                <w:rFonts w:cs="微软雅黑" w:asciiTheme="minorEastAsia" w:hAnsiTheme="minorEastAsia"/>
              </w:rPr>
            </w:pPr>
            <w:r>
              <w:rPr>
                <w:rFonts w:hint="eastAsia" w:cs="微软雅黑" w:asciiTheme="minorEastAsia" w:hAnsiTheme="minorEastAsia"/>
              </w:rPr>
              <w:t>元素碳（EC）、有机碳（OC）</w:t>
            </w:r>
          </w:p>
        </w:tc>
      </w:tr>
    </w:tbl>
    <w:p w14:paraId="1813BC2C">
      <w:pPr>
        <w:ind w:firstLine="420" w:firstLineChars="200"/>
        <w:rPr>
          <w:rFonts w:asciiTheme="minorEastAsia" w:hAnsiTheme="minorEastAsia"/>
        </w:rPr>
      </w:pPr>
    </w:p>
    <w:p w14:paraId="1E2423C8">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手工监测分析测试方法选用国家或行业标准方法，若无标准方法可参照生态环境部的统一规定，具体要求详见表2。相关HJ标准方法必须具备CMA或CNAS资质。</w:t>
      </w:r>
    </w:p>
    <w:p w14:paraId="7991203F">
      <w:pPr>
        <w:pStyle w:val="513"/>
        <w:spacing w:line="360" w:lineRule="auto"/>
        <w:ind w:firstLine="480" w:firstLineChars="200"/>
        <w:jc w:val="center"/>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表2    分析测试方法</w:t>
      </w:r>
    </w:p>
    <w:tbl>
      <w:tblPr>
        <w:tblStyle w:val="63"/>
        <w:tblW w:w="488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568"/>
        <w:gridCol w:w="1563"/>
        <w:gridCol w:w="6039"/>
      </w:tblGrid>
      <w:tr w14:paraId="19464CB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855" w:type="pct"/>
            <w:tcBorders>
              <w:top w:val="single" w:color="auto" w:sz="8" w:space="0"/>
              <w:left w:val="single" w:color="auto" w:sz="8" w:space="0"/>
              <w:bottom w:val="single" w:color="auto" w:sz="4" w:space="0"/>
              <w:right w:val="single" w:color="auto" w:sz="4" w:space="0"/>
              <w:tl2br w:val="nil"/>
              <w:tr2bl w:val="nil"/>
            </w:tcBorders>
            <w:vAlign w:val="center"/>
          </w:tcPr>
          <w:p w14:paraId="1DF045E5">
            <w:pPr>
              <w:rPr>
                <w:rFonts w:cs="微软雅黑" w:asciiTheme="minorEastAsia" w:hAnsiTheme="minorEastAsia"/>
              </w:rPr>
            </w:pPr>
            <w:r>
              <w:rPr>
                <w:rFonts w:hint="eastAsia" w:cs="微软雅黑" w:asciiTheme="minorEastAsia" w:hAnsiTheme="minorEastAsia"/>
              </w:rPr>
              <w:t>分析项目</w:t>
            </w:r>
          </w:p>
        </w:tc>
        <w:tc>
          <w:tcPr>
            <w:tcW w:w="852" w:type="pct"/>
            <w:tcBorders>
              <w:top w:val="single" w:color="auto" w:sz="8" w:space="0"/>
              <w:left w:val="single" w:color="auto" w:sz="4" w:space="0"/>
              <w:bottom w:val="single" w:color="auto" w:sz="4" w:space="0"/>
              <w:right w:val="single" w:color="auto" w:sz="4" w:space="0"/>
              <w:tl2br w:val="nil"/>
              <w:tr2bl w:val="nil"/>
            </w:tcBorders>
            <w:vAlign w:val="center"/>
          </w:tcPr>
          <w:p w14:paraId="5CBC08DD">
            <w:pPr>
              <w:rPr>
                <w:rFonts w:cs="微软雅黑" w:asciiTheme="minorEastAsia" w:hAnsiTheme="minorEastAsia"/>
              </w:rPr>
            </w:pPr>
            <w:r>
              <w:rPr>
                <w:rFonts w:hint="eastAsia" w:cs="微软雅黑" w:asciiTheme="minorEastAsia" w:hAnsiTheme="minorEastAsia"/>
              </w:rPr>
              <w:t>方法</w:t>
            </w:r>
          </w:p>
        </w:tc>
        <w:tc>
          <w:tcPr>
            <w:tcW w:w="3292" w:type="pct"/>
            <w:tcBorders>
              <w:top w:val="single" w:color="auto" w:sz="8" w:space="0"/>
              <w:left w:val="single" w:color="auto" w:sz="4" w:space="0"/>
              <w:bottom w:val="single" w:color="auto" w:sz="4" w:space="0"/>
              <w:right w:val="single" w:color="auto" w:sz="8" w:space="0"/>
              <w:tl2br w:val="nil"/>
              <w:tr2bl w:val="nil"/>
            </w:tcBorders>
            <w:vAlign w:val="center"/>
          </w:tcPr>
          <w:p w14:paraId="0F1EFABD">
            <w:pPr>
              <w:rPr>
                <w:rFonts w:cs="微软雅黑" w:asciiTheme="minorEastAsia" w:hAnsiTheme="minorEastAsia"/>
              </w:rPr>
            </w:pPr>
            <w:r>
              <w:rPr>
                <w:rFonts w:hint="eastAsia" w:cs="微软雅黑" w:asciiTheme="minorEastAsia" w:hAnsiTheme="minorEastAsia"/>
              </w:rPr>
              <w:t>方 法 依 据</w:t>
            </w:r>
          </w:p>
        </w:tc>
      </w:tr>
      <w:tr w14:paraId="47C9AA3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4" w:hRule="atLeast"/>
          <w:tblHeader/>
          <w:jc w:val="center"/>
        </w:trPr>
        <w:tc>
          <w:tcPr>
            <w:tcW w:w="855" w:type="pct"/>
            <w:tcBorders>
              <w:top w:val="single" w:color="auto" w:sz="4" w:space="0"/>
              <w:left w:val="single" w:color="auto" w:sz="8" w:space="0"/>
              <w:bottom w:val="single" w:color="auto" w:sz="4" w:space="0"/>
              <w:right w:val="single" w:color="auto" w:sz="4" w:space="0"/>
              <w:tl2br w:val="nil"/>
              <w:tr2bl w:val="nil"/>
            </w:tcBorders>
            <w:vAlign w:val="center"/>
          </w:tcPr>
          <w:p w14:paraId="7645482B">
            <w:pPr>
              <w:rPr>
                <w:rFonts w:cs="微软雅黑" w:asciiTheme="minorEastAsia" w:hAnsiTheme="minorEastAsia"/>
              </w:rPr>
            </w:pPr>
            <w:r>
              <w:rPr>
                <w:rFonts w:hint="eastAsia" w:cs="微软雅黑" w:asciiTheme="minorEastAsia" w:hAnsiTheme="minorEastAsia"/>
              </w:rPr>
              <w:t>阳离子</w:t>
            </w:r>
          </w:p>
        </w:tc>
        <w:tc>
          <w:tcPr>
            <w:tcW w:w="852" w:type="pct"/>
            <w:tcBorders>
              <w:top w:val="single" w:color="auto" w:sz="4" w:space="0"/>
              <w:left w:val="single" w:color="auto" w:sz="4" w:space="0"/>
              <w:bottom w:val="single" w:color="auto" w:sz="4" w:space="0"/>
              <w:right w:val="single" w:color="auto" w:sz="4" w:space="0"/>
              <w:tl2br w:val="nil"/>
              <w:tr2bl w:val="nil"/>
            </w:tcBorders>
            <w:vAlign w:val="center"/>
          </w:tcPr>
          <w:p w14:paraId="64D1F197">
            <w:pPr>
              <w:rPr>
                <w:rFonts w:cs="微软雅黑" w:asciiTheme="minorEastAsia" w:hAnsiTheme="minorEastAsia"/>
              </w:rPr>
            </w:pPr>
            <w:r>
              <w:rPr>
                <w:rFonts w:hint="eastAsia" w:cs="微软雅黑" w:asciiTheme="minorEastAsia" w:hAnsiTheme="minorEastAsia"/>
              </w:rPr>
              <w:t>离子色谱法</w:t>
            </w:r>
          </w:p>
        </w:tc>
        <w:tc>
          <w:tcPr>
            <w:tcW w:w="3292" w:type="pct"/>
            <w:tcBorders>
              <w:top w:val="single" w:color="auto" w:sz="4" w:space="0"/>
              <w:left w:val="single" w:color="auto" w:sz="4" w:space="0"/>
              <w:bottom w:val="single" w:color="auto" w:sz="4" w:space="0"/>
              <w:right w:val="single" w:color="auto" w:sz="8" w:space="0"/>
              <w:tl2br w:val="nil"/>
              <w:tr2bl w:val="nil"/>
            </w:tcBorders>
            <w:vAlign w:val="center"/>
          </w:tcPr>
          <w:p w14:paraId="4A448523">
            <w:pPr>
              <w:rPr>
                <w:rFonts w:cs="微软雅黑" w:asciiTheme="minorEastAsia" w:hAnsiTheme="minorEastAsia"/>
              </w:rPr>
            </w:pPr>
            <w:r>
              <w:rPr>
                <w:rFonts w:hint="eastAsia" w:cs="微软雅黑" w:asciiTheme="minorEastAsia" w:hAnsiTheme="minorEastAsia"/>
              </w:rPr>
              <w:t>《环境空气 颗粒物中水溶性阳离子（Li</w:t>
            </w:r>
            <w:r>
              <w:rPr>
                <w:rFonts w:hint="eastAsia" w:cs="微软雅黑" w:asciiTheme="minorEastAsia" w:hAnsiTheme="minorEastAsia"/>
                <w:vertAlign w:val="superscript"/>
              </w:rPr>
              <w:t>+</w:t>
            </w:r>
            <w:r>
              <w:rPr>
                <w:rFonts w:hint="eastAsia" w:cs="微软雅黑" w:asciiTheme="minorEastAsia" w:hAnsiTheme="minorEastAsia"/>
              </w:rPr>
              <w:t>、Na</w:t>
            </w:r>
            <w:r>
              <w:rPr>
                <w:rFonts w:hint="eastAsia" w:cs="微软雅黑" w:asciiTheme="minorEastAsia" w:hAnsiTheme="minorEastAsia"/>
                <w:vertAlign w:val="superscript"/>
              </w:rPr>
              <w:t>+</w:t>
            </w:r>
            <w:r>
              <w:rPr>
                <w:rFonts w:hint="eastAsia" w:cs="微软雅黑" w:asciiTheme="minorEastAsia" w:hAnsiTheme="minorEastAsia"/>
              </w:rPr>
              <w:t>、NH</w:t>
            </w:r>
            <w:r>
              <w:rPr>
                <w:rFonts w:hint="eastAsia" w:cs="微软雅黑" w:asciiTheme="minorEastAsia" w:hAnsiTheme="minorEastAsia"/>
                <w:vertAlign w:val="subscript"/>
              </w:rPr>
              <w:t>4</w:t>
            </w:r>
            <w:r>
              <w:rPr>
                <w:rFonts w:hint="eastAsia" w:cs="微软雅黑" w:asciiTheme="minorEastAsia" w:hAnsiTheme="minorEastAsia"/>
                <w:vertAlign w:val="superscript"/>
              </w:rPr>
              <w:t>+</w:t>
            </w:r>
            <w:r>
              <w:rPr>
                <w:rFonts w:hint="eastAsia" w:cs="微软雅黑" w:asciiTheme="minorEastAsia" w:hAnsiTheme="minorEastAsia"/>
              </w:rPr>
              <w:t>、K</w:t>
            </w:r>
            <w:r>
              <w:rPr>
                <w:rFonts w:hint="eastAsia" w:cs="微软雅黑" w:asciiTheme="minorEastAsia" w:hAnsiTheme="minorEastAsia"/>
                <w:vertAlign w:val="superscript"/>
              </w:rPr>
              <w:t>+</w:t>
            </w:r>
            <w:r>
              <w:rPr>
                <w:rFonts w:hint="eastAsia" w:cs="微软雅黑" w:asciiTheme="minorEastAsia" w:hAnsiTheme="minorEastAsia"/>
              </w:rPr>
              <w:t>、Ca</w:t>
            </w:r>
            <w:r>
              <w:rPr>
                <w:rFonts w:hint="eastAsia" w:cs="微软雅黑" w:asciiTheme="minorEastAsia" w:hAnsiTheme="minorEastAsia"/>
                <w:vertAlign w:val="superscript"/>
              </w:rPr>
              <w:t>2+</w:t>
            </w:r>
            <w:r>
              <w:rPr>
                <w:rFonts w:hint="eastAsia" w:cs="微软雅黑" w:asciiTheme="minorEastAsia" w:hAnsiTheme="minorEastAsia"/>
              </w:rPr>
              <w:t>、Mg</w:t>
            </w:r>
            <w:r>
              <w:rPr>
                <w:rFonts w:hint="eastAsia" w:cs="微软雅黑" w:asciiTheme="minorEastAsia" w:hAnsiTheme="minorEastAsia"/>
                <w:vertAlign w:val="superscript"/>
              </w:rPr>
              <w:t>2+</w:t>
            </w:r>
            <w:r>
              <w:rPr>
                <w:rFonts w:hint="eastAsia" w:cs="微软雅黑" w:asciiTheme="minorEastAsia" w:hAnsiTheme="minorEastAsia"/>
              </w:rPr>
              <w:t>）的测定 离子色谱法》（HJ 800-2016）</w:t>
            </w:r>
          </w:p>
        </w:tc>
      </w:tr>
      <w:tr w14:paraId="05F465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1" w:hRule="atLeast"/>
          <w:tblHeader/>
          <w:jc w:val="center"/>
        </w:trPr>
        <w:tc>
          <w:tcPr>
            <w:tcW w:w="855" w:type="pct"/>
            <w:tcBorders>
              <w:top w:val="single" w:color="auto" w:sz="4" w:space="0"/>
              <w:left w:val="single" w:color="auto" w:sz="8" w:space="0"/>
              <w:bottom w:val="single" w:color="auto" w:sz="4" w:space="0"/>
              <w:right w:val="single" w:color="auto" w:sz="4" w:space="0"/>
              <w:tl2br w:val="nil"/>
              <w:tr2bl w:val="nil"/>
            </w:tcBorders>
            <w:vAlign w:val="center"/>
          </w:tcPr>
          <w:p w14:paraId="07B47359">
            <w:pPr>
              <w:rPr>
                <w:rFonts w:cs="微软雅黑" w:asciiTheme="minorEastAsia" w:hAnsiTheme="minorEastAsia"/>
              </w:rPr>
            </w:pPr>
            <w:r>
              <w:rPr>
                <w:rFonts w:hint="eastAsia" w:cs="微软雅黑" w:asciiTheme="minorEastAsia" w:hAnsiTheme="minorEastAsia"/>
              </w:rPr>
              <w:t>阴离子</w:t>
            </w:r>
          </w:p>
        </w:tc>
        <w:tc>
          <w:tcPr>
            <w:tcW w:w="852" w:type="pct"/>
            <w:tcBorders>
              <w:top w:val="single" w:color="auto" w:sz="4" w:space="0"/>
              <w:left w:val="single" w:color="auto" w:sz="4" w:space="0"/>
              <w:bottom w:val="single" w:color="auto" w:sz="4" w:space="0"/>
              <w:right w:val="single" w:color="auto" w:sz="4" w:space="0"/>
              <w:tl2br w:val="nil"/>
              <w:tr2bl w:val="nil"/>
            </w:tcBorders>
            <w:vAlign w:val="center"/>
          </w:tcPr>
          <w:p w14:paraId="6DB91690">
            <w:pPr>
              <w:rPr>
                <w:rFonts w:cs="微软雅黑" w:asciiTheme="minorEastAsia" w:hAnsiTheme="minorEastAsia"/>
              </w:rPr>
            </w:pPr>
            <w:r>
              <w:rPr>
                <w:rFonts w:hint="eastAsia" w:cs="微软雅黑" w:asciiTheme="minorEastAsia" w:hAnsiTheme="minorEastAsia"/>
              </w:rPr>
              <w:t>离子色谱法</w:t>
            </w:r>
          </w:p>
        </w:tc>
        <w:tc>
          <w:tcPr>
            <w:tcW w:w="3292" w:type="pct"/>
            <w:tcBorders>
              <w:top w:val="single" w:color="auto" w:sz="4" w:space="0"/>
              <w:left w:val="single" w:color="auto" w:sz="4" w:space="0"/>
              <w:bottom w:val="single" w:color="auto" w:sz="4" w:space="0"/>
              <w:right w:val="single" w:color="auto" w:sz="8" w:space="0"/>
              <w:tl2br w:val="nil"/>
              <w:tr2bl w:val="nil"/>
            </w:tcBorders>
            <w:vAlign w:val="center"/>
          </w:tcPr>
          <w:p w14:paraId="6E58B268">
            <w:pPr>
              <w:rPr>
                <w:rFonts w:cs="微软雅黑" w:asciiTheme="minorEastAsia" w:hAnsiTheme="minorEastAsia"/>
              </w:rPr>
            </w:pPr>
            <w:r>
              <w:rPr>
                <w:rFonts w:hint="eastAsia" w:cs="微软雅黑" w:asciiTheme="minorEastAsia" w:hAnsiTheme="minorEastAsia"/>
              </w:rPr>
              <w:t>《环境空气 颗粒物中水溶性阴离子（F</w:t>
            </w:r>
            <w:r>
              <w:rPr>
                <w:rFonts w:hint="eastAsia" w:cs="微软雅黑" w:asciiTheme="minorEastAsia" w:hAnsiTheme="minorEastAsia"/>
                <w:vertAlign w:val="superscript"/>
              </w:rPr>
              <w:t>-</w:t>
            </w:r>
            <w:r>
              <w:rPr>
                <w:rFonts w:hint="eastAsia" w:cs="微软雅黑" w:asciiTheme="minorEastAsia" w:hAnsiTheme="minorEastAsia"/>
              </w:rPr>
              <w:t>、Cl</w:t>
            </w:r>
            <w:r>
              <w:rPr>
                <w:rFonts w:hint="eastAsia" w:cs="微软雅黑" w:asciiTheme="minorEastAsia" w:hAnsiTheme="minorEastAsia"/>
                <w:vertAlign w:val="superscript"/>
              </w:rPr>
              <w:t>-</w:t>
            </w:r>
            <w:r>
              <w:rPr>
                <w:rFonts w:hint="eastAsia" w:cs="微软雅黑" w:asciiTheme="minorEastAsia" w:hAnsiTheme="minorEastAsia"/>
              </w:rPr>
              <w:t>、Br</w:t>
            </w:r>
            <w:r>
              <w:rPr>
                <w:rFonts w:hint="eastAsia" w:cs="微软雅黑" w:asciiTheme="minorEastAsia" w:hAnsiTheme="minorEastAsia"/>
                <w:vertAlign w:val="superscript"/>
              </w:rPr>
              <w:t>-</w:t>
            </w:r>
            <w:r>
              <w:rPr>
                <w:rFonts w:hint="eastAsia" w:cs="微软雅黑" w:asciiTheme="minorEastAsia" w:hAnsiTheme="minorEastAsia"/>
              </w:rPr>
              <w:t>、NO</w:t>
            </w:r>
            <w:r>
              <w:rPr>
                <w:rFonts w:hint="eastAsia" w:cs="微软雅黑" w:asciiTheme="minorEastAsia" w:hAnsiTheme="minorEastAsia"/>
                <w:vertAlign w:val="subscript"/>
              </w:rPr>
              <w:t>2</w:t>
            </w:r>
            <w:r>
              <w:rPr>
                <w:rFonts w:hint="eastAsia" w:cs="微软雅黑" w:asciiTheme="minorEastAsia" w:hAnsiTheme="minorEastAsia"/>
                <w:vertAlign w:val="superscript"/>
              </w:rPr>
              <w:t>-</w:t>
            </w:r>
            <w:r>
              <w:rPr>
                <w:rFonts w:hint="eastAsia" w:cs="微软雅黑" w:asciiTheme="minorEastAsia" w:hAnsiTheme="minorEastAsia"/>
              </w:rPr>
              <w:t>、NO</w:t>
            </w:r>
            <w:r>
              <w:rPr>
                <w:rFonts w:hint="eastAsia" w:cs="微软雅黑" w:asciiTheme="minorEastAsia" w:hAnsiTheme="minorEastAsia"/>
                <w:vertAlign w:val="subscript"/>
              </w:rPr>
              <w:t>3</w:t>
            </w:r>
            <w:r>
              <w:rPr>
                <w:rFonts w:hint="eastAsia" w:cs="微软雅黑" w:asciiTheme="minorEastAsia" w:hAnsiTheme="minorEastAsia"/>
                <w:vertAlign w:val="superscript"/>
              </w:rPr>
              <w:t>-</w:t>
            </w:r>
            <w:r>
              <w:rPr>
                <w:rFonts w:hint="eastAsia" w:cs="微软雅黑" w:asciiTheme="minorEastAsia" w:hAnsiTheme="minorEastAsia"/>
              </w:rPr>
              <w:t>、PO</w:t>
            </w:r>
            <w:r>
              <w:rPr>
                <w:rFonts w:hint="eastAsia" w:cs="微软雅黑" w:asciiTheme="minorEastAsia" w:hAnsiTheme="minorEastAsia"/>
                <w:vertAlign w:val="subscript"/>
              </w:rPr>
              <w:t>4</w:t>
            </w:r>
            <w:r>
              <w:rPr>
                <w:rFonts w:hint="eastAsia" w:cs="微软雅黑" w:asciiTheme="minorEastAsia" w:hAnsiTheme="minorEastAsia"/>
                <w:vertAlign w:val="superscript"/>
              </w:rPr>
              <w:t>3-</w:t>
            </w:r>
            <w:r>
              <w:rPr>
                <w:rFonts w:hint="eastAsia" w:cs="微软雅黑" w:asciiTheme="minorEastAsia" w:hAnsiTheme="minorEastAsia"/>
              </w:rPr>
              <w:t>、SO</w:t>
            </w:r>
            <w:r>
              <w:rPr>
                <w:rFonts w:hint="eastAsia" w:cs="微软雅黑" w:asciiTheme="minorEastAsia" w:hAnsiTheme="minorEastAsia"/>
                <w:vertAlign w:val="subscript"/>
              </w:rPr>
              <w:t>3</w:t>
            </w:r>
            <w:r>
              <w:rPr>
                <w:rFonts w:hint="eastAsia" w:cs="微软雅黑" w:asciiTheme="minorEastAsia" w:hAnsiTheme="minorEastAsia"/>
                <w:vertAlign w:val="superscript"/>
              </w:rPr>
              <w:t>2-</w:t>
            </w:r>
            <w:r>
              <w:rPr>
                <w:rFonts w:hint="eastAsia" w:cs="微软雅黑" w:asciiTheme="minorEastAsia" w:hAnsiTheme="minorEastAsia"/>
              </w:rPr>
              <w:t>、SO</w:t>
            </w:r>
            <w:r>
              <w:rPr>
                <w:rFonts w:hint="eastAsia" w:cs="微软雅黑" w:asciiTheme="minorEastAsia" w:hAnsiTheme="minorEastAsia"/>
                <w:vertAlign w:val="subscript"/>
              </w:rPr>
              <w:t>4</w:t>
            </w:r>
            <w:r>
              <w:rPr>
                <w:rFonts w:hint="eastAsia" w:cs="微软雅黑" w:asciiTheme="minorEastAsia" w:hAnsiTheme="minorEastAsia"/>
                <w:vertAlign w:val="superscript"/>
              </w:rPr>
              <w:t>2-</w:t>
            </w:r>
            <w:r>
              <w:rPr>
                <w:rFonts w:hint="eastAsia" w:cs="微软雅黑" w:asciiTheme="minorEastAsia" w:hAnsiTheme="minorEastAsia"/>
              </w:rPr>
              <w:t>）的测定 离子色谱法》（HJ 799-2016）</w:t>
            </w:r>
          </w:p>
        </w:tc>
      </w:tr>
      <w:tr w14:paraId="445A66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5" w:hRule="atLeast"/>
          <w:tblHeader/>
          <w:jc w:val="center"/>
        </w:trPr>
        <w:tc>
          <w:tcPr>
            <w:tcW w:w="855" w:type="pct"/>
            <w:tcBorders>
              <w:top w:val="single" w:color="auto" w:sz="4" w:space="0"/>
              <w:left w:val="single" w:color="auto" w:sz="8" w:space="0"/>
              <w:bottom w:val="single" w:color="auto" w:sz="4" w:space="0"/>
              <w:right w:val="single" w:color="auto" w:sz="4" w:space="0"/>
              <w:tl2br w:val="nil"/>
              <w:tr2bl w:val="nil"/>
            </w:tcBorders>
            <w:vAlign w:val="center"/>
          </w:tcPr>
          <w:p w14:paraId="5158A563">
            <w:pPr>
              <w:rPr>
                <w:rFonts w:cs="微软雅黑" w:asciiTheme="minorEastAsia" w:hAnsiTheme="minorEastAsia"/>
              </w:rPr>
            </w:pPr>
            <w:r>
              <w:rPr>
                <w:rFonts w:hint="eastAsia" w:cs="微软雅黑" w:asciiTheme="minorEastAsia" w:hAnsiTheme="minorEastAsia"/>
              </w:rPr>
              <w:t>碳组分</w:t>
            </w:r>
          </w:p>
        </w:tc>
        <w:tc>
          <w:tcPr>
            <w:tcW w:w="852" w:type="pct"/>
            <w:tcBorders>
              <w:top w:val="single" w:color="auto" w:sz="4" w:space="0"/>
              <w:left w:val="single" w:color="auto" w:sz="4" w:space="0"/>
              <w:bottom w:val="single" w:color="auto" w:sz="4" w:space="0"/>
              <w:right w:val="single" w:color="auto" w:sz="4" w:space="0"/>
              <w:tl2br w:val="nil"/>
              <w:tr2bl w:val="nil"/>
            </w:tcBorders>
            <w:vAlign w:val="center"/>
          </w:tcPr>
          <w:p w14:paraId="7CD822D6">
            <w:pPr>
              <w:rPr>
                <w:rFonts w:cs="微软雅黑" w:asciiTheme="minorEastAsia" w:hAnsiTheme="minorEastAsia"/>
              </w:rPr>
            </w:pPr>
            <w:r>
              <w:rPr>
                <w:rFonts w:hint="eastAsia" w:cs="微软雅黑" w:asciiTheme="minorEastAsia" w:hAnsiTheme="minorEastAsia"/>
              </w:rPr>
              <w:t>热光法</w:t>
            </w:r>
          </w:p>
        </w:tc>
        <w:tc>
          <w:tcPr>
            <w:tcW w:w="3292" w:type="pct"/>
            <w:tcBorders>
              <w:top w:val="single" w:color="auto" w:sz="4" w:space="0"/>
              <w:left w:val="single" w:color="auto" w:sz="4" w:space="0"/>
              <w:bottom w:val="single" w:color="auto" w:sz="4" w:space="0"/>
              <w:right w:val="single" w:color="auto" w:sz="8" w:space="0"/>
              <w:tl2br w:val="nil"/>
              <w:tr2bl w:val="nil"/>
            </w:tcBorders>
            <w:vAlign w:val="center"/>
          </w:tcPr>
          <w:p w14:paraId="7FA986C1">
            <w:pPr>
              <w:rPr>
                <w:rFonts w:cs="微软雅黑" w:asciiTheme="minorEastAsia" w:hAnsiTheme="minorEastAsia"/>
              </w:rPr>
            </w:pPr>
            <w:r>
              <w:rPr>
                <w:rFonts w:hint="eastAsia" w:cs="微软雅黑" w:asciiTheme="minorEastAsia" w:hAnsiTheme="minorEastAsia"/>
              </w:rPr>
              <w:t>《环境空气颗粒物源解析监测技术方法指南（试行）》（第二版）</w:t>
            </w:r>
          </w:p>
        </w:tc>
      </w:tr>
      <w:tr w14:paraId="06DD4B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853" w:hRule="atLeast"/>
          <w:tblHeader/>
          <w:jc w:val="center"/>
        </w:trPr>
        <w:tc>
          <w:tcPr>
            <w:tcW w:w="855" w:type="pct"/>
            <w:tcBorders>
              <w:top w:val="single" w:color="auto" w:sz="4" w:space="0"/>
              <w:left w:val="single" w:color="auto" w:sz="8" w:space="0"/>
              <w:bottom w:val="single" w:color="auto" w:sz="8" w:space="0"/>
              <w:right w:val="single" w:color="auto" w:sz="4" w:space="0"/>
              <w:tl2br w:val="nil"/>
              <w:tr2bl w:val="nil"/>
            </w:tcBorders>
            <w:vAlign w:val="center"/>
          </w:tcPr>
          <w:p w14:paraId="043C3C2A">
            <w:pPr>
              <w:rPr>
                <w:rFonts w:cs="微软雅黑" w:asciiTheme="minorEastAsia" w:hAnsiTheme="minorEastAsia"/>
              </w:rPr>
            </w:pPr>
            <w:r>
              <w:rPr>
                <w:rFonts w:hint="eastAsia" w:cs="微软雅黑" w:asciiTheme="minorEastAsia" w:hAnsiTheme="minorEastAsia"/>
              </w:rPr>
              <w:t>无机元素</w:t>
            </w:r>
          </w:p>
        </w:tc>
        <w:tc>
          <w:tcPr>
            <w:tcW w:w="852" w:type="pct"/>
            <w:tcBorders>
              <w:top w:val="single" w:color="auto" w:sz="4" w:space="0"/>
              <w:left w:val="single" w:color="auto" w:sz="4" w:space="0"/>
              <w:bottom w:val="single" w:color="auto" w:sz="8" w:space="0"/>
              <w:right w:val="single" w:color="auto" w:sz="4" w:space="0"/>
              <w:tl2br w:val="nil"/>
              <w:tr2bl w:val="nil"/>
            </w:tcBorders>
            <w:vAlign w:val="center"/>
          </w:tcPr>
          <w:p w14:paraId="7EFF613F">
            <w:pPr>
              <w:rPr>
                <w:rFonts w:cs="微软雅黑" w:asciiTheme="minorEastAsia" w:hAnsiTheme="minorEastAsia"/>
              </w:rPr>
            </w:pPr>
            <w:r>
              <w:rPr>
                <w:rFonts w:hint="eastAsia" w:cs="微软雅黑" w:asciiTheme="minorEastAsia" w:hAnsiTheme="minorEastAsia"/>
              </w:rPr>
              <w:t>XRF法、ICP法、ICP-MS法</w:t>
            </w:r>
          </w:p>
        </w:tc>
        <w:tc>
          <w:tcPr>
            <w:tcW w:w="3292" w:type="pct"/>
            <w:tcBorders>
              <w:top w:val="single" w:color="auto" w:sz="4" w:space="0"/>
              <w:left w:val="single" w:color="auto" w:sz="4" w:space="0"/>
              <w:bottom w:val="single" w:color="auto" w:sz="8" w:space="0"/>
              <w:right w:val="single" w:color="auto" w:sz="8" w:space="0"/>
              <w:tl2br w:val="nil"/>
              <w:tr2bl w:val="nil"/>
            </w:tcBorders>
            <w:vAlign w:val="center"/>
          </w:tcPr>
          <w:p w14:paraId="33F52B2C">
            <w:pPr>
              <w:rPr>
                <w:rFonts w:cs="微软雅黑" w:asciiTheme="minorEastAsia" w:hAnsiTheme="minorEastAsia"/>
              </w:rPr>
            </w:pPr>
            <w:r>
              <w:rPr>
                <w:rFonts w:hint="eastAsia" w:cs="微软雅黑" w:asciiTheme="minorEastAsia" w:hAnsiTheme="minorEastAsia"/>
              </w:rPr>
              <w:t>《环境空气 颗粒物中无机元素的测定 波长色散X射线荧光光谱法》（HJ 830-2017）、《环境空气 颗粒物中无机元素的测定 能量色散X射线荧光光谱法》（HJ 829-2017）、《空气和废气 颗粒物中金属元素的测定 电感耦合等离子体发射光谱法》（HJ 777-2015）、《空气和废气 颗粒物中铅等金属元素的测定 电感耦合等离子体质谱法》（HJ 657-2013）</w:t>
            </w:r>
          </w:p>
        </w:tc>
      </w:tr>
    </w:tbl>
    <w:p w14:paraId="67305F8E">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3、监测任务分工</w:t>
      </w:r>
    </w:p>
    <w:p w14:paraId="45DAD9B3">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（1）采购人：负责样品的采集、运输及保存等。</w:t>
      </w:r>
    </w:p>
    <w:p w14:paraId="1F050D52">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（2）中标人：负责所有采样耗材（滤膜等）提供及前处理准备、样品分析、数据汇总上报及报告出具等。</w:t>
      </w:r>
    </w:p>
    <w:p w14:paraId="5676766C">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4、质量保证和质量控制</w:t>
      </w:r>
    </w:p>
    <w:p w14:paraId="5FBA3D2B">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（1） 监测人员要求</w:t>
      </w:r>
    </w:p>
    <w:p w14:paraId="4A70DD48">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样品的采集和分析人员具有相关工作经验，并且均需持证上岗。</w:t>
      </w:r>
    </w:p>
    <w:p w14:paraId="0CECCB8F">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（2）监测仪器管理与定期检查</w:t>
      </w:r>
    </w:p>
    <w:p w14:paraId="67CD726B">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计量器具和设备应按有关规定定期校验和维护，检定合格后方可使用。</w:t>
      </w:r>
    </w:p>
    <w:p w14:paraId="5F932519">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（3）实验室一般性要求</w:t>
      </w:r>
    </w:p>
    <w:p w14:paraId="566344D8">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实验环境应远离有机溶剂，避免二氯甲烷、丙酮、正己烷等的干扰。</w:t>
      </w:r>
    </w:p>
    <w:p w14:paraId="06652F5F">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（4）监测分析的质量控制</w:t>
      </w:r>
    </w:p>
    <w:p w14:paraId="77A56515">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将本项分析测试工作</w:t>
      </w:r>
      <w:r>
        <w:rPr>
          <w:rFonts w:hint="eastAsia" w:cs="微软雅黑" w:asciiTheme="minorEastAsia" w:hAnsiTheme="minorEastAsia" w:eastAsiaTheme="minorEastAsia"/>
          <w:sz w:val="24"/>
          <w:szCs w:val="24"/>
          <w:lang w:eastAsia="zh-CN"/>
        </w:rPr>
        <w:t>纳入到</w:t>
      </w:r>
      <w:r>
        <w:rPr>
          <w:rFonts w:hint="eastAsia" w:cs="微软雅黑" w:asciiTheme="minorEastAsia" w:hAnsiTheme="minorEastAsia" w:eastAsiaTheme="minorEastAsia"/>
          <w:sz w:val="24"/>
          <w:szCs w:val="24"/>
        </w:rPr>
        <w:t>根据HJ630建立的质量管理体系中。监测单位开展监测前，应先按照HJ168的有关规定进行方法证实。手工监测质控手段均需按照《大气颗粒物组分手工监测质量保证与质量控制规定（第一版）》（总站气字[2019]425号）的要求执行。</w:t>
      </w:r>
    </w:p>
    <w:p w14:paraId="55D63ABE">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5、数据审核与提交</w:t>
      </w:r>
    </w:p>
    <w:p w14:paraId="5D69AEC5">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（1）分析结果的审核</w:t>
      </w:r>
    </w:p>
    <w:p w14:paraId="628F7DF1">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监测结果（包括实验记录、监测数据及质控数据等）审核主要包括：（1）实验室分析记录是否规范、完整，包括有效数字等；（2）质控指标复核，确保各项质控指标合格。对审核判定为无效的数据，应在数据提交委托方时加以说明。</w:t>
      </w:r>
    </w:p>
    <w:p w14:paraId="643A09E3">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（2）数据汇总及审定</w:t>
      </w:r>
    </w:p>
    <w:p w14:paraId="41F34298">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按照委托方规定的格式汇总监测结果，并经相关负责人审核审定后提交给委托方。</w:t>
      </w:r>
    </w:p>
    <w:p w14:paraId="1E7A3B24">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（3）数据提交</w:t>
      </w:r>
    </w:p>
    <w:p w14:paraId="763ED43E">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审定后的数据汇总表按照规定的格式、方式和时间签发报出，数据报送时间为监测月份次月的18日前。</w:t>
      </w:r>
    </w:p>
    <w:p w14:paraId="0FD50C44">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6、检测报告及质控报告</w:t>
      </w:r>
    </w:p>
    <w:p w14:paraId="7640FF76">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（1）检测报告</w:t>
      </w:r>
    </w:p>
    <w:p w14:paraId="25CD07B2">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服务期结束后两个月内，提供检测报告的纸质盖章版和电子版各1套。</w:t>
      </w:r>
    </w:p>
    <w:p w14:paraId="175EE18C">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（2）质控报告</w:t>
      </w:r>
    </w:p>
    <w:p w14:paraId="4BC725CB">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服务期结束后两个月内，提供服务期内质控报告的纸质盖章版和电子版各1份，对监测质量保证与质量控制进行总结，以体现监测工作的规范性和数据的科学性与准确性。</w:t>
      </w:r>
    </w:p>
    <w:p w14:paraId="65212FF6">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报告应包括以下内容：前言，概括阐述监测过程质量控制与质量保证情况；质控概况，简要说明监测点位、监测时间、质控措施、人员上岗、仪器设备检定等情况；结果与评价，说明质量控制的方式和方法，并对样品的受控情况进行统计，给出总体质控结论；问题与对策措施，如依据质量控制结果发现的问题，及时提出整改对策与措施。</w:t>
      </w:r>
    </w:p>
    <w:p w14:paraId="135E888B">
      <w:pPr>
        <w:spacing w:line="560" w:lineRule="exact"/>
        <w:ind w:firstLine="211" w:firstLineChars="100"/>
        <w:rPr>
          <w:rFonts w:asciiTheme="minorEastAsia" w:hAnsiTheme="minorEastAsia"/>
          <w:b/>
        </w:rPr>
      </w:pPr>
      <w:r>
        <w:rPr>
          <w:rFonts w:hint="eastAsia" w:cs="微软雅黑" w:asciiTheme="minorEastAsia" w:hAnsiTheme="minorEastAsia"/>
          <w:b/>
        </w:rPr>
        <w:t>四、</w:t>
      </w:r>
      <w:r>
        <w:rPr>
          <w:rFonts w:hint="eastAsia" w:asciiTheme="minorEastAsia" w:hAnsiTheme="minorEastAsia"/>
          <w:b/>
        </w:rPr>
        <w:t>付款方式：</w:t>
      </w:r>
    </w:p>
    <w:p w14:paraId="11A4D395">
      <w:pPr>
        <w:spacing w:line="560" w:lineRule="exact"/>
        <w:ind w:left="252" w:leftChars="120" w:firstLine="420" w:firstLineChars="200"/>
        <w:rPr>
          <w:rFonts w:asciiTheme="minorEastAsia" w:hAnsiTheme="minorEastAsia"/>
        </w:rPr>
      </w:pPr>
      <w:r>
        <w:rPr>
          <w:rFonts w:hint="eastAsia" w:asciiTheme="minorEastAsia" w:hAnsiTheme="minorEastAsia"/>
        </w:rPr>
        <w:t>在合同生效以及具备实施条件后7个工作日内采购人支付合同总价的40%作为预付款；余款待项目验收合格后付清。</w:t>
      </w:r>
    </w:p>
    <w:p w14:paraId="1B294298">
      <w:pPr>
        <w:spacing w:line="560" w:lineRule="exact"/>
        <w:ind w:left="252" w:leftChars="120" w:firstLine="420" w:firstLineChars="200"/>
        <w:rPr>
          <w:rFonts w:asciiTheme="minorEastAsia" w:hAnsiTheme="minorEastAsia"/>
        </w:rPr>
      </w:pPr>
      <w:r>
        <w:rPr>
          <w:rFonts w:hint="eastAsia" w:asciiTheme="minorEastAsia" w:hAnsiTheme="minorEastAsia"/>
        </w:rPr>
        <w:t xml:space="preserve">税费：本服务执行中相关的一切税费均由中标人承担。 </w:t>
      </w:r>
    </w:p>
    <w:p w14:paraId="175D44E1">
      <w:pPr>
        <w:spacing w:line="560" w:lineRule="exact"/>
        <w:ind w:left="252" w:leftChars="120" w:firstLine="420" w:firstLineChars="200"/>
        <w:rPr>
          <w:rFonts w:asciiTheme="minorEastAsia" w:hAnsiTheme="minorEastAsia"/>
        </w:rPr>
      </w:pPr>
      <w:r>
        <w:rPr>
          <w:rFonts w:hint="eastAsia" w:asciiTheme="minorEastAsia" w:hAnsiTheme="minorEastAsia"/>
        </w:rPr>
        <w:t>注：若中标人明确表示无需预付款或者主动要求降低预付款比例的（由供应商签订合同代表手抄并签字，手写文字上加盖供应商公章），可不参照上述付款执行。</w:t>
      </w:r>
    </w:p>
    <w:p w14:paraId="213BE087">
      <w:pPr>
        <w:rPr>
          <w:rFonts w:asciiTheme="minorEastAsia" w:hAnsiTheme="minorEastAsia"/>
        </w:rPr>
      </w:pPr>
    </w:p>
    <w:p w14:paraId="233454EB">
      <w:pPr>
        <w:pStyle w:val="34"/>
        <w:spacing w:beforeLines="0" w:afterLines="0" w:line="360" w:lineRule="auto"/>
        <w:outlineLvl w:val="0"/>
        <w:rPr>
          <w:rFonts w:ascii="黑体" w:hAnsi="黑体" w:eastAsia="黑体" w:cs="宋体"/>
          <w:b/>
          <w:bCs/>
          <w:sz w:val="30"/>
          <w:szCs w:val="30"/>
        </w:rPr>
      </w:pPr>
    </w:p>
    <w:p w14:paraId="00CE2405">
      <w:pPr>
        <w:pStyle w:val="34"/>
        <w:spacing w:beforeLines="0" w:afterLines="0" w:line="360" w:lineRule="auto"/>
        <w:outlineLvl w:val="0"/>
        <w:rPr>
          <w:rFonts w:hAnsi="宋体"/>
          <w:b/>
        </w:rPr>
      </w:pPr>
      <w:r>
        <w:rPr>
          <w:rFonts w:hint="eastAsia" w:ascii="黑体" w:hAnsi="黑体" w:eastAsia="黑体" w:cs="宋体"/>
          <w:b/>
          <w:bCs/>
          <w:sz w:val="30"/>
          <w:szCs w:val="30"/>
        </w:rPr>
        <w:t>三、商务要求</w:t>
      </w:r>
    </w:p>
    <w:tbl>
      <w:tblPr>
        <w:tblStyle w:val="63"/>
        <w:tblW w:w="10207" w:type="dxa"/>
        <w:tblInd w:w="-17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4"/>
        <w:gridCol w:w="8363"/>
      </w:tblGrid>
      <w:tr w14:paraId="4FE444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844" w:type="dxa"/>
            <w:tcBorders>
              <w:top w:val="single" w:color="auto" w:sz="4" w:space="0"/>
              <w:left w:val="single" w:color="auto" w:sz="4" w:space="0"/>
              <w:bottom w:val="single" w:color="auto" w:sz="4" w:space="0"/>
              <w:right w:val="single" w:color="auto" w:sz="4" w:space="0"/>
            </w:tcBorders>
            <w:vAlign w:val="center"/>
          </w:tcPr>
          <w:p w14:paraId="299E3522">
            <w:pPr>
              <w:rPr>
                <w:rFonts w:ascii="宋体" w:hAnsi="宋体" w:cs="宋体"/>
                <w:color w:val="auto"/>
                <w:sz w:val="24"/>
                <w:highlight w:val="none"/>
              </w:rPr>
            </w:pPr>
            <w:r>
              <w:rPr>
                <w:rFonts w:hint="eastAsia" w:ascii="宋体" w:hAnsi="宋体" w:cs="宋体"/>
                <w:color w:val="auto"/>
                <w:sz w:val="24"/>
                <w:highlight w:val="none"/>
              </w:rPr>
              <w:t>服务期及地点</w:t>
            </w:r>
          </w:p>
        </w:tc>
        <w:tc>
          <w:tcPr>
            <w:tcW w:w="8363" w:type="dxa"/>
            <w:tcBorders>
              <w:top w:val="single" w:color="auto" w:sz="4" w:space="0"/>
              <w:left w:val="single" w:color="auto" w:sz="4" w:space="0"/>
              <w:bottom w:val="single" w:color="auto" w:sz="4" w:space="0"/>
              <w:right w:val="single" w:color="auto" w:sz="4" w:space="0"/>
            </w:tcBorders>
            <w:vAlign w:val="center"/>
          </w:tcPr>
          <w:p w14:paraId="2345AFE3">
            <w:pPr>
              <w:spacing w:line="360" w:lineRule="auto"/>
              <w:rPr>
                <w:rFonts w:ascii="宋体" w:hAnsi="宋体" w:cs="宋体"/>
                <w:color w:val="auto"/>
                <w:sz w:val="24"/>
                <w:highlight w:val="none"/>
              </w:rPr>
            </w:pPr>
            <w:r>
              <w:rPr>
                <w:rFonts w:hint="eastAsia" w:ascii="宋体" w:hAnsi="宋体" w:cs="宋体"/>
                <w:color w:val="auto"/>
                <w:sz w:val="24"/>
                <w:highlight w:val="none"/>
              </w:rPr>
              <w:t>▲服务期：1年</w:t>
            </w:r>
          </w:p>
          <w:p w14:paraId="1F38E9A6">
            <w:pPr>
              <w:spacing w:line="360" w:lineRule="auto"/>
              <w:rPr>
                <w:rFonts w:ascii="宋体" w:hAnsi="宋体" w:cs="宋体"/>
                <w:color w:val="auto"/>
                <w:sz w:val="24"/>
                <w:highlight w:val="none"/>
              </w:rPr>
            </w:pPr>
            <w:r>
              <w:rPr>
                <w:rFonts w:hint="eastAsia" w:ascii="宋体" w:hAnsi="宋体" w:cs="宋体"/>
                <w:color w:val="auto"/>
                <w:sz w:val="24"/>
                <w:highlight w:val="none"/>
              </w:rPr>
              <w:t>地点：采购人指定地点；</w:t>
            </w:r>
          </w:p>
        </w:tc>
      </w:tr>
      <w:tr w14:paraId="5C3438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844" w:type="dxa"/>
            <w:tcBorders>
              <w:top w:val="single" w:color="auto" w:sz="4" w:space="0"/>
              <w:left w:val="single" w:color="auto" w:sz="4" w:space="0"/>
              <w:bottom w:val="single" w:color="auto" w:sz="4" w:space="0"/>
              <w:right w:val="single" w:color="auto" w:sz="4" w:space="0"/>
            </w:tcBorders>
          </w:tcPr>
          <w:p w14:paraId="57A976CE">
            <w:pPr>
              <w:rPr>
                <w:rFonts w:ascii="宋体" w:hAnsi="宋体" w:cs="宋体"/>
                <w:sz w:val="24"/>
              </w:rPr>
            </w:pPr>
            <w:r>
              <w:rPr>
                <w:rFonts w:hint="eastAsia" w:ascii="宋体" w:hAnsi="宋体" w:cs="宋体"/>
                <w:sz w:val="24"/>
              </w:rPr>
              <w:t>付款方式</w:t>
            </w:r>
          </w:p>
        </w:tc>
        <w:tc>
          <w:tcPr>
            <w:tcW w:w="8363" w:type="dxa"/>
            <w:tcBorders>
              <w:top w:val="single" w:color="auto" w:sz="4" w:space="0"/>
              <w:left w:val="single" w:color="auto" w:sz="4" w:space="0"/>
              <w:bottom w:val="single" w:color="auto" w:sz="4" w:space="0"/>
              <w:right w:val="single" w:color="auto" w:sz="4" w:space="0"/>
            </w:tcBorders>
          </w:tcPr>
          <w:p w14:paraId="778CBA58">
            <w:pPr>
              <w:spacing w:line="560" w:lineRule="exact"/>
              <w:rPr>
                <w:rFonts w:ascii="宋体" w:hAnsi="宋体" w:cs="宋体"/>
                <w:sz w:val="24"/>
              </w:rPr>
            </w:pPr>
            <w:r>
              <w:rPr>
                <w:rFonts w:hint="eastAsia" w:ascii="宋体" w:hAnsi="宋体" w:cs="宋体"/>
                <w:sz w:val="24"/>
              </w:rPr>
              <w:t>▲根据《保障中小企业款项支付条例》</w:t>
            </w:r>
            <w:r>
              <w:rPr>
                <w:rFonts w:ascii="宋体" w:hAnsi="宋体" w:cs="宋体"/>
                <w:sz w:val="24"/>
              </w:rPr>
              <w:t>、</w:t>
            </w:r>
            <w:r>
              <w:rPr>
                <w:rFonts w:hint="eastAsia" w:ascii="宋体" w:hAnsi="宋体" w:cs="宋体"/>
                <w:sz w:val="24"/>
              </w:rPr>
              <w:t>省财政厅《浙江省财政厅关于进一步发挥政府采购政策功能全力推动经济稳进提质的通知》（浙财采监【2022】3号）要求，制定如下付款方式：合同签订并具备实施条件后7个工作日内支付合同总价的40%作为预付款；余款待项目验收合格后付清。</w:t>
            </w:r>
          </w:p>
          <w:p w14:paraId="14BC6898">
            <w:pPr>
              <w:spacing w:line="560" w:lineRule="exact"/>
              <w:rPr>
                <w:rFonts w:ascii="宋体" w:hAnsi="宋体" w:cs="宋体"/>
                <w:sz w:val="24"/>
              </w:rPr>
            </w:pPr>
            <w:r>
              <w:rPr>
                <w:rFonts w:hint="eastAsia" w:ascii="宋体" w:hAnsi="宋体" w:cs="宋体"/>
                <w:sz w:val="24"/>
              </w:rPr>
              <w:t xml:space="preserve">税费：本服务执行中相关的一切税费均由中标人承担。 </w:t>
            </w:r>
          </w:p>
          <w:p w14:paraId="26B3D830">
            <w:pPr>
              <w:spacing w:line="560" w:lineRule="exact"/>
              <w:rPr>
                <w:rFonts w:ascii="宋体" w:hAnsi="宋体" w:cs="宋体"/>
                <w:sz w:val="24"/>
              </w:rPr>
            </w:pPr>
            <w:r>
              <w:rPr>
                <w:rFonts w:hint="eastAsia" w:ascii="宋体" w:hAnsi="宋体" w:cs="宋体"/>
                <w:sz w:val="24"/>
              </w:rPr>
              <w:t>注：若中标人明确表示无需预付款或者主动要求降低预付款比例的（由供应商签订合同代表手抄并签字，手写文字上加盖供应商公章），可不参照上述付款执行。</w:t>
            </w:r>
          </w:p>
        </w:tc>
      </w:tr>
    </w:tbl>
    <w:p w14:paraId="68412434">
      <w:pPr>
        <w:rPr>
          <w:rFonts w:ascii="宋体" w:hAnsi="宋体" w:cs="宋体"/>
          <w:sz w:val="24"/>
          <w:szCs w:val="24"/>
        </w:rPr>
      </w:pPr>
      <w:r>
        <w:rPr>
          <w:rFonts w:hint="eastAsia" w:ascii="宋体" w:hAnsi="宋体" w:cs="宋体"/>
          <w:sz w:val="24"/>
          <w:szCs w:val="24"/>
        </w:rPr>
        <w:t>注：1、本项目</w:t>
      </w:r>
      <w:r>
        <w:rPr>
          <w:rFonts w:ascii="宋体" w:hAnsi="宋体" w:cs="宋体"/>
          <w:sz w:val="24"/>
          <w:szCs w:val="24"/>
        </w:rPr>
        <w:t>采购标的对应的中小企业划分标准所属行业</w:t>
      </w:r>
      <w:r>
        <w:rPr>
          <w:rFonts w:hint="eastAsia" w:ascii="宋体" w:hAnsi="宋体" w:cs="宋体"/>
          <w:sz w:val="24"/>
          <w:szCs w:val="24"/>
        </w:rPr>
        <w:t>为其他未列明行业。</w:t>
      </w:r>
    </w:p>
    <w:p w14:paraId="2F426833">
      <w:pPr>
        <w:numPr>
          <w:ilvl w:val="0"/>
          <w:numId w:val="2"/>
        </w:numPr>
        <w:spacing w:line="360" w:lineRule="auto"/>
        <w:rPr>
          <w:rFonts w:ascii="宋体" w:hAnsi="宋体" w:cs="宋体"/>
          <w:sz w:val="24"/>
          <w:szCs w:val="24"/>
        </w:rPr>
      </w:pPr>
      <w:r>
        <w:rPr>
          <w:rFonts w:ascii="宋体" w:hAnsi="宋体" w:cs="宋体"/>
          <w:sz w:val="24"/>
          <w:szCs w:val="24"/>
        </w:rPr>
        <w:t>依据《</w:t>
      </w:r>
      <w:r>
        <w:rPr>
          <w:rFonts w:hint="eastAsia" w:ascii="宋体" w:hAnsi="宋体" w:cs="宋体"/>
          <w:sz w:val="24"/>
          <w:szCs w:val="24"/>
        </w:rPr>
        <w:t>政府采购促进中小企业发展管理办法</w:t>
      </w:r>
      <w:r>
        <w:rPr>
          <w:rFonts w:ascii="宋体" w:hAnsi="宋体" w:cs="宋体"/>
          <w:sz w:val="24"/>
          <w:szCs w:val="24"/>
        </w:rPr>
        <w:t>》</w:t>
      </w:r>
      <w:r>
        <w:rPr>
          <w:rFonts w:hint="eastAsia" w:ascii="宋体" w:hAnsi="宋体" w:cs="宋体"/>
          <w:sz w:val="24"/>
          <w:szCs w:val="24"/>
        </w:rPr>
        <w:t>（财库【2020】46号）</w:t>
      </w:r>
      <w:r>
        <w:rPr>
          <w:rFonts w:ascii="宋体" w:hAnsi="宋体" w:cs="宋体"/>
          <w:sz w:val="24"/>
          <w:szCs w:val="24"/>
        </w:rPr>
        <w:t>规定享受扶持政策获得政府采购合同的，小微企业不得将合同分包给大中型企业，中型企业不得将合同分包给大型企业。</w:t>
      </w:r>
    </w:p>
    <w:p w14:paraId="7DBEA3A8">
      <w:pPr>
        <w:widowControl/>
        <w:jc w:val="left"/>
        <w:rPr>
          <w:rFonts w:ascii="宋体" w:hAnsi="宋体" w:cs="宋体"/>
          <w:sz w:val="24"/>
          <w:szCs w:val="24"/>
        </w:rPr>
      </w:pPr>
      <w:r>
        <w:rPr>
          <w:rFonts w:ascii="宋体" w:hAnsi="宋体" w:cs="宋体"/>
          <w:sz w:val="24"/>
          <w:szCs w:val="24"/>
        </w:rPr>
        <w:br w:type="page"/>
      </w:r>
    </w:p>
    <w:p w14:paraId="020BA9EA">
      <w:pPr>
        <w:pStyle w:val="2"/>
      </w:pPr>
      <w:bookmarkStart w:id="65" w:name="_Toc69913496"/>
      <w:r>
        <w:rPr>
          <w:rFonts w:hint="eastAsia"/>
        </w:rPr>
        <w:t>第三章合同主要条款</w:t>
      </w:r>
      <w:bookmarkEnd w:id="64"/>
      <w:bookmarkEnd w:id="65"/>
    </w:p>
    <w:p w14:paraId="67E28769">
      <w:pPr>
        <w:spacing w:line="500" w:lineRule="exact"/>
        <w:ind w:right="420" w:rightChars="200"/>
        <w:jc w:val="center"/>
        <w:rPr>
          <w:rFonts w:cs="Times New Roman"/>
          <w:sz w:val="22"/>
        </w:rPr>
      </w:pPr>
      <w:r>
        <w:rPr>
          <w:rFonts w:hint="eastAsia" w:cs="宋体"/>
          <w:sz w:val="22"/>
        </w:rPr>
        <w:t>（仅供参考，以正式合同为准）</w:t>
      </w:r>
    </w:p>
    <w:p w14:paraId="78934F2B">
      <w:pPr>
        <w:spacing w:line="500" w:lineRule="exact"/>
        <w:ind w:right="420" w:rightChars="200"/>
        <w:jc w:val="right"/>
        <w:rPr>
          <w:rFonts w:ascii="宋体" w:cs="Times New Roman"/>
          <w:b/>
          <w:bCs/>
          <w:sz w:val="36"/>
          <w:szCs w:val="36"/>
        </w:rPr>
      </w:pPr>
    </w:p>
    <w:p w14:paraId="7A33D2AA">
      <w:pPr>
        <w:spacing w:line="360" w:lineRule="auto"/>
        <w:ind w:firstLine="480" w:firstLineChars="200"/>
        <w:rPr>
          <w:rFonts w:hint="eastAsia" w:ascii="Times New Roman Regular" w:hAnsi="Times New Roman Regular" w:cs="Times New Roman Regular" w:eastAsiaTheme="minorEastAsia"/>
          <w:sz w:val="24"/>
          <w:lang w:eastAsia="zh-CN"/>
        </w:rPr>
      </w:pPr>
      <w:r>
        <w:rPr>
          <w:rFonts w:ascii="Times New Roman Regular" w:hAnsi="Times New Roman Regular" w:cs="Times New Roman Regular"/>
          <w:sz w:val="24"/>
        </w:rPr>
        <w:t>项目名称：</w:t>
      </w:r>
      <w:r>
        <w:rPr>
          <w:rFonts w:hint="eastAsia" w:ascii="宋体" w:hAnsi="宋体" w:cs="宋体"/>
          <w:b/>
          <w:bCs/>
          <w:sz w:val="24"/>
          <w:szCs w:val="24"/>
          <w:lang w:eastAsia="zh-CN"/>
        </w:rPr>
        <w:t>大气颗粒物组分手工监测项目</w:t>
      </w:r>
    </w:p>
    <w:p w14:paraId="66E77DE8">
      <w:pPr>
        <w:spacing w:line="360" w:lineRule="auto"/>
        <w:ind w:firstLine="480" w:firstLineChars="200"/>
        <w:rPr>
          <w:rFonts w:ascii="Times New Roman Regular" w:hAnsi="Times New Roman Regular" w:cs="Times New Roman Regular"/>
          <w:sz w:val="24"/>
        </w:rPr>
      </w:pPr>
      <w:r>
        <w:rPr>
          <w:rFonts w:ascii="Times New Roman Regular" w:hAnsi="Times New Roman Regular" w:cs="Times New Roman Regular"/>
          <w:sz w:val="24"/>
        </w:rPr>
        <w:t>项目编号：</w:t>
      </w:r>
    </w:p>
    <w:p w14:paraId="6016A036">
      <w:pPr>
        <w:spacing w:line="360" w:lineRule="auto"/>
        <w:ind w:firstLine="480" w:firstLineChars="200"/>
        <w:rPr>
          <w:rFonts w:ascii="Times New Roman Regular" w:hAnsi="Times New Roman Regular" w:cs="Times New Roman Regular"/>
          <w:sz w:val="24"/>
        </w:rPr>
      </w:pPr>
      <w:r>
        <w:rPr>
          <w:rFonts w:ascii="Times New Roman Regular" w:hAnsi="Times New Roman Regular" w:cs="Times New Roman Regular"/>
          <w:sz w:val="24"/>
        </w:rPr>
        <w:t>甲方：</w:t>
      </w:r>
      <w:r>
        <w:rPr>
          <w:rFonts w:ascii="Times New Roman Regular" w:hAnsi="Times New Roman Regular" w:cs="Times New Roman Regular"/>
          <w:b/>
          <w:bCs/>
          <w:sz w:val="24"/>
        </w:rPr>
        <w:t>浙江省湖州生态环境监测中心</w:t>
      </w:r>
    </w:p>
    <w:p w14:paraId="41DE87AE">
      <w:pPr>
        <w:spacing w:line="360" w:lineRule="auto"/>
        <w:ind w:firstLine="480" w:firstLineChars="200"/>
        <w:rPr>
          <w:rFonts w:ascii="Times New Roman Regular" w:hAnsi="Times New Roman Regular" w:cs="Times New Roman Regular"/>
          <w:sz w:val="24"/>
        </w:rPr>
      </w:pPr>
      <w:r>
        <w:rPr>
          <w:rFonts w:ascii="Times New Roman Regular" w:hAnsi="Times New Roman Regular" w:cs="Times New Roman Regular"/>
          <w:sz w:val="24"/>
        </w:rPr>
        <w:t>乙方：</w:t>
      </w:r>
    </w:p>
    <w:p w14:paraId="3D4BFCD6">
      <w:pPr>
        <w:spacing w:line="360" w:lineRule="auto"/>
        <w:ind w:firstLine="480" w:firstLineChars="200"/>
        <w:rPr>
          <w:rFonts w:ascii="Times New Roman Regular" w:hAnsi="Times New Roman Regular" w:cs="Times New Roman Regular"/>
          <w:sz w:val="24"/>
        </w:rPr>
      </w:pPr>
      <w:r>
        <w:rPr>
          <w:rFonts w:ascii="Times New Roman Regular" w:hAnsi="Times New Roman Regular" w:cs="Times New Roman Regular"/>
          <w:sz w:val="24"/>
        </w:rPr>
        <w:t>甲乙双方根据</w:t>
      </w:r>
      <w:r>
        <w:rPr>
          <w:rFonts w:hint="eastAsia" w:ascii="宋体" w:hAnsi="宋体" w:cs="宋体"/>
          <w:b/>
          <w:bCs/>
          <w:sz w:val="24"/>
          <w:szCs w:val="24"/>
          <w:lang w:eastAsia="zh-CN"/>
        </w:rPr>
        <w:t>大气颗粒物组分手工监测项目</w:t>
      </w:r>
      <w:r>
        <w:rPr>
          <w:rFonts w:hint="eastAsia" w:ascii="Times New Roman Regular" w:hAnsi="Times New Roman Regular" w:cs="Times New Roman Regular"/>
          <w:sz w:val="24"/>
        </w:rPr>
        <w:t>公开</w:t>
      </w:r>
      <w:r>
        <w:rPr>
          <w:rFonts w:ascii="Times New Roman Regular" w:hAnsi="Times New Roman Regular" w:cs="Times New Roman Regular"/>
          <w:sz w:val="24"/>
        </w:rPr>
        <w:t>招标的结果，特签订本合同书。</w:t>
      </w:r>
    </w:p>
    <w:p w14:paraId="168151B3">
      <w:pPr>
        <w:spacing w:line="460" w:lineRule="exact"/>
        <w:ind w:firstLine="482" w:firstLineChars="200"/>
        <w:outlineLvl w:val="1"/>
        <w:rPr>
          <w:rFonts w:ascii="宋体"/>
          <w:b/>
          <w:bCs/>
          <w:sz w:val="24"/>
        </w:rPr>
      </w:pPr>
      <w:r>
        <w:rPr>
          <w:rFonts w:hint="eastAsia" w:ascii="宋体" w:hAnsi="宋体" w:cs="宋体"/>
          <w:b/>
          <w:bCs/>
          <w:sz w:val="24"/>
        </w:rPr>
        <w:t>一、服务内容</w:t>
      </w:r>
    </w:p>
    <w:p w14:paraId="75CC627C">
      <w:pPr>
        <w:ind w:firstLine="422" w:firstLineChars="200"/>
        <w:rPr>
          <w:rFonts w:cs="微软雅黑" w:asciiTheme="minorEastAsia" w:hAnsiTheme="minorEastAsia"/>
          <w:b/>
        </w:rPr>
      </w:pPr>
      <w:r>
        <w:rPr>
          <w:rFonts w:hint="eastAsia" w:cs="微软雅黑" w:asciiTheme="minorEastAsia" w:hAnsiTheme="minorEastAsia"/>
          <w:b/>
          <w:lang w:eastAsia="zh-CN"/>
        </w:rPr>
        <w:t>（</w:t>
      </w:r>
      <w:r>
        <w:rPr>
          <w:rFonts w:hint="eastAsia" w:cs="微软雅黑" w:asciiTheme="minorEastAsia" w:hAnsiTheme="minorEastAsia"/>
          <w:b/>
        </w:rPr>
        <w:t>一</w:t>
      </w:r>
      <w:r>
        <w:rPr>
          <w:rFonts w:hint="eastAsia" w:cs="微软雅黑" w:asciiTheme="minorEastAsia" w:hAnsiTheme="minorEastAsia"/>
          <w:b/>
          <w:lang w:eastAsia="zh-CN"/>
        </w:rPr>
        <w:t>）</w:t>
      </w:r>
      <w:r>
        <w:rPr>
          <w:rFonts w:hint="eastAsia" w:cs="微软雅黑" w:asciiTheme="minorEastAsia" w:hAnsiTheme="minorEastAsia"/>
          <w:b/>
        </w:rPr>
        <w:t>项目概况：</w:t>
      </w:r>
    </w:p>
    <w:p w14:paraId="09E9ECB7">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根据《2019年国家大气颗粒物组分监测方案》（环办监测函[2019]324号）、《2022年国家生态环境监测方案》（环办监测函[2022]58号）的要求，开展大气颗粒物组分的手工监测项目，监测项目为水溶性离子、无机元素及碳组分。</w:t>
      </w:r>
    </w:p>
    <w:p w14:paraId="63FA63D2">
      <w:pPr>
        <w:ind w:firstLine="422" w:firstLineChars="200"/>
        <w:rPr>
          <w:rFonts w:cs="微软雅黑" w:asciiTheme="minorEastAsia" w:hAnsiTheme="minorEastAsia"/>
          <w:b/>
        </w:rPr>
      </w:pPr>
      <w:r>
        <w:rPr>
          <w:rFonts w:hint="eastAsia" w:cs="微软雅黑" w:asciiTheme="minorEastAsia" w:hAnsiTheme="minorEastAsia"/>
          <w:b/>
        </w:rPr>
        <w:t>（二）服务要求：</w:t>
      </w:r>
    </w:p>
    <w:p w14:paraId="67D1D0D8">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1、监测时间、点位与频次</w:t>
      </w:r>
    </w:p>
    <w:p w14:paraId="7169E03A">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监测时间为一年（202</w:t>
      </w:r>
      <w:r>
        <w:rPr>
          <w:rFonts w:hint="eastAsia" w:cs="微软雅黑" w:asciiTheme="minorEastAsia" w:hAnsiTheme="minorEastAsia" w:eastAsiaTheme="minorEastAsia"/>
          <w:sz w:val="24"/>
          <w:szCs w:val="24"/>
          <w:lang w:val="en-US" w:eastAsia="zh-CN"/>
        </w:rPr>
        <w:t>4</w:t>
      </w:r>
      <w:r>
        <w:rPr>
          <w:rFonts w:hint="eastAsia" w:cs="微软雅黑" w:asciiTheme="minorEastAsia" w:hAnsiTheme="minorEastAsia" w:eastAsiaTheme="minorEastAsia"/>
          <w:sz w:val="24"/>
          <w:szCs w:val="24"/>
        </w:rPr>
        <w:t>.11.1-202</w:t>
      </w:r>
      <w:r>
        <w:rPr>
          <w:rFonts w:hint="eastAsia" w:cs="微软雅黑" w:asciiTheme="minorEastAsia" w:hAnsiTheme="minorEastAsia" w:eastAsiaTheme="minorEastAsia"/>
          <w:sz w:val="24"/>
          <w:szCs w:val="24"/>
          <w:lang w:val="en-US" w:eastAsia="zh-CN"/>
        </w:rPr>
        <w:t>5</w:t>
      </w:r>
      <w:r>
        <w:rPr>
          <w:rFonts w:hint="eastAsia" w:cs="微软雅黑" w:asciiTheme="minorEastAsia" w:hAnsiTheme="minorEastAsia" w:eastAsiaTheme="minorEastAsia"/>
          <w:sz w:val="24"/>
          <w:szCs w:val="24"/>
        </w:rPr>
        <w:t>.10.31），监测频次为1次/3天，监测点位1个，样品数量112个。如遇以</w:t>
      </w:r>
      <w:r>
        <w:rPr>
          <w:rFonts w:hint="eastAsia" w:cs="微软雅黑" w:asciiTheme="minorEastAsia" w:hAnsiTheme="minorEastAsia" w:eastAsiaTheme="minorEastAsia"/>
          <w:sz w:val="24"/>
          <w:szCs w:val="24"/>
          <w:lang w:val="en-US" w:eastAsia="zh-CN"/>
        </w:rPr>
        <w:t>pm2.5</w:t>
      </w:r>
      <w:r>
        <w:rPr>
          <w:rFonts w:hint="eastAsia" w:cs="微软雅黑" w:asciiTheme="minorEastAsia" w:hAnsiTheme="minorEastAsia" w:eastAsiaTheme="minorEastAsia"/>
          <w:sz w:val="24"/>
          <w:szCs w:val="24"/>
        </w:rPr>
        <w:t>为首要污染物的空气重污染过程，发生重污染的城市须开展加密监测，频次为1次/天。</w:t>
      </w:r>
    </w:p>
    <w:p w14:paraId="43741727">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2、监测项目及方法</w:t>
      </w:r>
    </w:p>
    <w:p w14:paraId="6CF2565F">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具体监测项目详见表1。</w:t>
      </w:r>
    </w:p>
    <w:p w14:paraId="3D1F106D">
      <w:pPr>
        <w:pStyle w:val="513"/>
        <w:spacing w:line="360" w:lineRule="auto"/>
        <w:ind w:firstLine="480" w:firstLineChars="200"/>
        <w:jc w:val="center"/>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表1  颗粒物组分手工监测项目</w:t>
      </w:r>
    </w:p>
    <w:tbl>
      <w:tblPr>
        <w:tblStyle w:val="63"/>
        <w:tblW w:w="483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19"/>
        <w:gridCol w:w="7167"/>
      </w:tblGrid>
      <w:tr w14:paraId="7CC56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blHeader/>
          <w:jc w:val="center"/>
        </w:trPr>
        <w:tc>
          <w:tcPr>
            <w:tcW w:w="1056" w:type="pct"/>
            <w:tcBorders>
              <w:top w:val="single" w:color="auto" w:sz="4" w:space="0"/>
              <w:left w:val="single" w:color="auto" w:sz="4" w:space="0"/>
              <w:bottom w:val="single" w:color="auto" w:sz="4" w:space="0"/>
              <w:right w:val="single" w:color="auto" w:sz="4" w:space="0"/>
              <w:tl2br w:val="nil"/>
              <w:tr2bl w:val="nil"/>
            </w:tcBorders>
            <w:vAlign w:val="center"/>
          </w:tcPr>
          <w:p w14:paraId="05319F38">
            <w:pPr>
              <w:jc w:val="center"/>
              <w:rPr>
                <w:rFonts w:cs="微软雅黑" w:asciiTheme="minorEastAsia" w:hAnsiTheme="minorEastAsia"/>
              </w:rPr>
            </w:pPr>
            <w:r>
              <w:rPr>
                <w:rFonts w:hint="eastAsia" w:cs="微软雅黑" w:asciiTheme="minorEastAsia" w:hAnsiTheme="minorEastAsia"/>
              </w:rPr>
              <w:t>组分类别</w:t>
            </w:r>
          </w:p>
        </w:tc>
        <w:tc>
          <w:tcPr>
            <w:tcW w:w="3943" w:type="pct"/>
            <w:tcBorders>
              <w:top w:val="single" w:color="auto" w:sz="4" w:space="0"/>
              <w:left w:val="single" w:color="auto" w:sz="4" w:space="0"/>
              <w:bottom w:val="single" w:color="auto" w:sz="4" w:space="0"/>
              <w:right w:val="single" w:color="auto" w:sz="4" w:space="0"/>
              <w:tl2br w:val="nil"/>
              <w:tr2bl w:val="nil"/>
            </w:tcBorders>
            <w:vAlign w:val="center"/>
          </w:tcPr>
          <w:p w14:paraId="294E0DD9">
            <w:pPr>
              <w:jc w:val="center"/>
              <w:rPr>
                <w:rFonts w:cs="微软雅黑" w:asciiTheme="minorEastAsia" w:hAnsiTheme="minorEastAsia"/>
              </w:rPr>
            </w:pPr>
            <w:r>
              <w:rPr>
                <w:rFonts w:hint="eastAsia" w:cs="微软雅黑" w:asciiTheme="minorEastAsia" w:hAnsiTheme="minorEastAsia"/>
              </w:rPr>
              <w:t>具 体 项 目</w:t>
            </w:r>
          </w:p>
        </w:tc>
      </w:tr>
      <w:tr w14:paraId="3AFCA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1056" w:type="pct"/>
            <w:tcBorders>
              <w:top w:val="single" w:color="auto" w:sz="4" w:space="0"/>
              <w:left w:val="single" w:color="auto" w:sz="4" w:space="0"/>
              <w:bottom w:val="single" w:color="auto" w:sz="4" w:space="0"/>
              <w:right w:val="single" w:color="auto" w:sz="4" w:space="0"/>
              <w:tl2br w:val="nil"/>
              <w:tr2bl w:val="nil"/>
            </w:tcBorders>
            <w:vAlign w:val="center"/>
          </w:tcPr>
          <w:p w14:paraId="4887981D">
            <w:pPr>
              <w:rPr>
                <w:rFonts w:cs="微软雅黑" w:asciiTheme="minorEastAsia" w:hAnsiTheme="minorEastAsia"/>
              </w:rPr>
            </w:pPr>
            <w:r>
              <w:rPr>
                <w:rFonts w:hint="eastAsia" w:cs="微软雅黑" w:asciiTheme="minorEastAsia" w:hAnsiTheme="minorEastAsia"/>
              </w:rPr>
              <w:t>水溶性离子</w:t>
            </w:r>
          </w:p>
        </w:tc>
        <w:tc>
          <w:tcPr>
            <w:tcW w:w="3943" w:type="pct"/>
            <w:tcBorders>
              <w:top w:val="single" w:color="auto" w:sz="4" w:space="0"/>
              <w:left w:val="single" w:color="auto" w:sz="4" w:space="0"/>
              <w:bottom w:val="single" w:color="auto" w:sz="4" w:space="0"/>
              <w:right w:val="single" w:color="auto" w:sz="4" w:space="0"/>
              <w:tl2br w:val="nil"/>
              <w:tr2bl w:val="nil"/>
            </w:tcBorders>
            <w:vAlign w:val="center"/>
          </w:tcPr>
          <w:p w14:paraId="618851E7">
            <w:pPr>
              <w:rPr>
                <w:rFonts w:cs="微软雅黑" w:asciiTheme="minorEastAsia" w:hAnsiTheme="minorEastAsia"/>
              </w:rPr>
            </w:pPr>
            <w:r>
              <w:rPr>
                <w:rFonts w:hint="eastAsia" w:cs="微软雅黑" w:asciiTheme="minorEastAsia" w:hAnsiTheme="minorEastAsia"/>
              </w:rPr>
              <w:t>SO</w:t>
            </w:r>
            <w:r>
              <w:rPr>
                <w:rFonts w:hint="eastAsia" w:cs="微软雅黑" w:asciiTheme="minorEastAsia" w:hAnsiTheme="minorEastAsia"/>
                <w:vertAlign w:val="subscript"/>
              </w:rPr>
              <w:t>4</w:t>
            </w:r>
            <w:r>
              <w:rPr>
                <w:rFonts w:hint="eastAsia" w:cs="微软雅黑" w:asciiTheme="minorEastAsia" w:hAnsiTheme="minorEastAsia"/>
                <w:vertAlign w:val="superscript"/>
              </w:rPr>
              <w:t>2-</w:t>
            </w:r>
            <w:r>
              <w:rPr>
                <w:rFonts w:hint="eastAsia" w:cs="微软雅黑" w:asciiTheme="minorEastAsia" w:hAnsiTheme="minorEastAsia"/>
              </w:rPr>
              <w:t>、NO</w:t>
            </w:r>
            <w:r>
              <w:rPr>
                <w:rFonts w:hint="eastAsia" w:cs="微软雅黑" w:asciiTheme="minorEastAsia" w:hAnsiTheme="minorEastAsia"/>
                <w:vertAlign w:val="subscript"/>
              </w:rPr>
              <w:t>3</w:t>
            </w:r>
            <w:r>
              <w:rPr>
                <w:rFonts w:hint="eastAsia" w:cs="微软雅黑" w:asciiTheme="minorEastAsia" w:hAnsiTheme="minorEastAsia"/>
                <w:vertAlign w:val="superscript"/>
              </w:rPr>
              <w:t>-</w:t>
            </w:r>
            <w:r>
              <w:rPr>
                <w:rFonts w:hint="eastAsia" w:cs="微软雅黑" w:asciiTheme="minorEastAsia" w:hAnsiTheme="minorEastAsia"/>
              </w:rPr>
              <w:t>、F</w:t>
            </w:r>
            <w:r>
              <w:rPr>
                <w:rFonts w:hint="eastAsia" w:cs="微软雅黑" w:asciiTheme="minorEastAsia" w:hAnsiTheme="minorEastAsia"/>
                <w:vertAlign w:val="superscript"/>
              </w:rPr>
              <w:t>-</w:t>
            </w:r>
            <w:r>
              <w:rPr>
                <w:rFonts w:hint="eastAsia" w:cs="微软雅黑" w:asciiTheme="minorEastAsia" w:hAnsiTheme="minorEastAsia"/>
              </w:rPr>
              <w:t>、Cl</w:t>
            </w:r>
            <w:r>
              <w:rPr>
                <w:rFonts w:hint="eastAsia" w:cs="微软雅黑" w:asciiTheme="minorEastAsia" w:hAnsiTheme="minorEastAsia"/>
                <w:vertAlign w:val="superscript"/>
              </w:rPr>
              <w:t>-</w:t>
            </w:r>
            <w:r>
              <w:rPr>
                <w:rFonts w:hint="eastAsia" w:cs="微软雅黑" w:asciiTheme="minorEastAsia" w:hAnsiTheme="minorEastAsia"/>
              </w:rPr>
              <w:t>、Na</w:t>
            </w:r>
            <w:r>
              <w:rPr>
                <w:rFonts w:hint="eastAsia" w:cs="微软雅黑" w:asciiTheme="minorEastAsia" w:hAnsiTheme="minorEastAsia"/>
                <w:vertAlign w:val="superscript"/>
              </w:rPr>
              <w:t>+</w:t>
            </w:r>
            <w:r>
              <w:rPr>
                <w:rFonts w:hint="eastAsia" w:cs="微软雅黑" w:asciiTheme="minorEastAsia" w:hAnsiTheme="minorEastAsia"/>
              </w:rPr>
              <w:t>、NH</w:t>
            </w:r>
            <w:r>
              <w:rPr>
                <w:rFonts w:hint="eastAsia" w:cs="微软雅黑" w:asciiTheme="minorEastAsia" w:hAnsiTheme="minorEastAsia"/>
                <w:vertAlign w:val="subscript"/>
              </w:rPr>
              <w:t>4</w:t>
            </w:r>
            <w:r>
              <w:rPr>
                <w:rFonts w:hint="eastAsia" w:cs="微软雅黑" w:asciiTheme="minorEastAsia" w:hAnsiTheme="minorEastAsia"/>
                <w:vertAlign w:val="superscript"/>
              </w:rPr>
              <w:t>+</w:t>
            </w:r>
            <w:r>
              <w:rPr>
                <w:rFonts w:hint="eastAsia" w:cs="微软雅黑" w:asciiTheme="minorEastAsia" w:hAnsiTheme="minorEastAsia"/>
              </w:rPr>
              <w:t>、K</w:t>
            </w:r>
            <w:r>
              <w:rPr>
                <w:rFonts w:hint="eastAsia" w:cs="微软雅黑" w:asciiTheme="minorEastAsia" w:hAnsiTheme="minorEastAsia"/>
                <w:vertAlign w:val="superscript"/>
              </w:rPr>
              <w:t>+</w:t>
            </w:r>
            <w:r>
              <w:rPr>
                <w:rFonts w:hint="eastAsia" w:cs="微软雅黑" w:asciiTheme="minorEastAsia" w:hAnsiTheme="minorEastAsia"/>
              </w:rPr>
              <w:t>、Mg</w:t>
            </w:r>
            <w:r>
              <w:rPr>
                <w:rFonts w:hint="eastAsia" w:cs="微软雅黑" w:asciiTheme="minorEastAsia" w:hAnsiTheme="minorEastAsia"/>
                <w:vertAlign w:val="superscript"/>
              </w:rPr>
              <w:t>2+</w:t>
            </w:r>
            <w:r>
              <w:rPr>
                <w:rFonts w:hint="eastAsia" w:cs="微软雅黑" w:asciiTheme="minorEastAsia" w:hAnsiTheme="minorEastAsia"/>
              </w:rPr>
              <w:t>、Ca</w:t>
            </w:r>
            <w:r>
              <w:rPr>
                <w:rFonts w:hint="eastAsia" w:cs="微软雅黑" w:asciiTheme="minorEastAsia" w:hAnsiTheme="minorEastAsia"/>
                <w:vertAlign w:val="superscript"/>
              </w:rPr>
              <w:t>2+</w:t>
            </w:r>
            <w:r>
              <w:rPr>
                <w:rFonts w:hint="eastAsia" w:cs="微软雅黑" w:asciiTheme="minorEastAsia" w:hAnsiTheme="minorEastAsia"/>
              </w:rPr>
              <w:t>等9种离子</w:t>
            </w:r>
          </w:p>
        </w:tc>
      </w:tr>
      <w:tr w14:paraId="1C75C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jc w:val="center"/>
        </w:trPr>
        <w:tc>
          <w:tcPr>
            <w:tcW w:w="1056" w:type="pct"/>
            <w:tcBorders>
              <w:top w:val="single" w:color="auto" w:sz="4" w:space="0"/>
              <w:left w:val="single" w:color="auto" w:sz="4" w:space="0"/>
              <w:bottom w:val="single" w:color="auto" w:sz="4" w:space="0"/>
              <w:right w:val="single" w:color="auto" w:sz="4" w:space="0"/>
              <w:tl2br w:val="nil"/>
              <w:tr2bl w:val="nil"/>
            </w:tcBorders>
            <w:vAlign w:val="center"/>
          </w:tcPr>
          <w:p w14:paraId="55F4E0E5">
            <w:pPr>
              <w:rPr>
                <w:rFonts w:cs="微软雅黑" w:asciiTheme="minorEastAsia" w:hAnsiTheme="minorEastAsia"/>
              </w:rPr>
            </w:pPr>
            <w:r>
              <w:rPr>
                <w:rFonts w:hint="eastAsia" w:cs="微软雅黑" w:asciiTheme="minorEastAsia" w:hAnsiTheme="minorEastAsia"/>
              </w:rPr>
              <w:t>无机元素</w:t>
            </w:r>
          </w:p>
        </w:tc>
        <w:tc>
          <w:tcPr>
            <w:tcW w:w="3943" w:type="pct"/>
            <w:tcBorders>
              <w:top w:val="single" w:color="auto" w:sz="4" w:space="0"/>
              <w:left w:val="single" w:color="auto" w:sz="4" w:space="0"/>
              <w:bottom w:val="single" w:color="auto" w:sz="4" w:space="0"/>
              <w:right w:val="single" w:color="auto" w:sz="4" w:space="0"/>
              <w:tl2br w:val="nil"/>
              <w:tr2bl w:val="nil"/>
            </w:tcBorders>
            <w:vAlign w:val="center"/>
          </w:tcPr>
          <w:p w14:paraId="7299598D">
            <w:pPr>
              <w:rPr>
                <w:rFonts w:cs="微软雅黑" w:asciiTheme="minorEastAsia" w:hAnsiTheme="minorEastAsia"/>
              </w:rPr>
            </w:pPr>
            <w:r>
              <w:rPr>
                <w:rFonts w:hint="eastAsia" w:cs="微软雅黑" w:asciiTheme="minorEastAsia" w:hAnsiTheme="minorEastAsia"/>
              </w:rPr>
              <w:t>钒（V）、铁（Fe）、锌（Zn）、镉（Cd）、铬（Cr）、钴（Co）、砷（As）、铝（Al）、锡（Sn）、锰（Mn）、镍（Ni）、硒（Se）、硅（Si）、钛（Ti）、钡（Ba）、铜（Cu）、铅（Pb）、钙（Ca）、镁（Mg）、钠（Na）、硫（S）、氯（Cl）、钾（K）、锑（Sb）等24种元素</w:t>
            </w:r>
          </w:p>
        </w:tc>
      </w:tr>
      <w:tr w14:paraId="2292F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056" w:type="pct"/>
            <w:tcBorders>
              <w:top w:val="single" w:color="auto" w:sz="4" w:space="0"/>
              <w:left w:val="single" w:color="auto" w:sz="4" w:space="0"/>
              <w:bottom w:val="single" w:color="auto" w:sz="4" w:space="0"/>
              <w:right w:val="single" w:color="auto" w:sz="4" w:space="0"/>
              <w:tl2br w:val="nil"/>
              <w:tr2bl w:val="nil"/>
            </w:tcBorders>
            <w:vAlign w:val="center"/>
          </w:tcPr>
          <w:p w14:paraId="1EFFCCEE">
            <w:pPr>
              <w:rPr>
                <w:rFonts w:cs="微软雅黑" w:asciiTheme="minorEastAsia" w:hAnsiTheme="minorEastAsia"/>
              </w:rPr>
            </w:pPr>
            <w:r>
              <w:rPr>
                <w:rFonts w:hint="eastAsia" w:cs="微软雅黑" w:asciiTheme="minorEastAsia" w:hAnsiTheme="minorEastAsia"/>
                <w:lang w:eastAsia="zh-CN"/>
              </w:rPr>
              <w:t>碳</w:t>
            </w:r>
            <w:r>
              <w:rPr>
                <w:rFonts w:hint="eastAsia" w:cs="微软雅黑" w:asciiTheme="minorEastAsia" w:hAnsiTheme="minorEastAsia"/>
              </w:rPr>
              <w:t>组分</w:t>
            </w:r>
          </w:p>
        </w:tc>
        <w:tc>
          <w:tcPr>
            <w:tcW w:w="3943" w:type="pct"/>
            <w:tcBorders>
              <w:top w:val="single" w:color="auto" w:sz="4" w:space="0"/>
              <w:left w:val="single" w:color="auto" w:sz="4" w:space="0"/>
              <w:bottom w:val="single" w:color="auto" w:sz="4" w:space="0"/>
              <w:right w:val="single" w:color="auto" w:sz="4" w:space="0"/>
              <w:tl2br w:val="nil"/>
              <w:tr2bl w:val="nil"/>
            </w:tcBorders>
            <w:vAlign w:val="center"/>
          </w:tcPr>
          <w:p w14:paraId="376CC7CF">
            <w:pPr>
              <w:rPr>
                <w:rFonts w:cs="微软雅黑" w:asciiTheme="minorEastAsia" w:hAnsiTheme="minorEastAsia"/>
              </w:rPr>
            </w:pPr>
            <w:r>
              <w:rPr>
                <w:rFonts w:hint="eastAsia" w:cs="微软雅黑" w:asciiTheme="minorEastAsia" w:hAnsiTheme="minorEastAsia"/>
              </w:rPr>
              <w:t>元素碳（EC）、有机碳（OC）</w:t>
            </w:r>
          </w:p>
        </w:tc>
      </w:tr>
    </w:tbl>
    <w:p w14:paraId="5BF3A036">
      <w:pPr>
        <w:ind w:firstLine="420" w:firstLineChars="200"/>
        <w:rPr>
          <w:rFonts w:asciiTheme="minorEastAsia" w:hAnsiTheme="minorEastAsia"/>
        </w:rPr>
      </w:pPr>
    </w:p>
    <w:p w14:paraId="31DBBEC9">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手工监测分析测试方法选用国家或行业标准方法，若无标准方法可参照生态环境部的统一规定，具体要求详见表2。相关HJ标准方法必须具备CMA或CNAS资质。</w:t>
      </w:r>
    </w:p>
    <w:p w14:paraId="1660E76A">
      <w:pPr>
        <w:pStyle w:val="513"/>
        <w:spacing w:line="360" w:lineRule="auto"/>
        <w:ind w:firstLine="480" w:firstLineChars="200"/>
        <w:jc w:val="center"/>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表2    分析测试方法</w:t>
      </w:r>
    </w:p>
    <w:tbl>
      <w:tblPr>
        <w:tblStyle w:val="63"/>
        <w:tblW w:w="4880"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568"/>
        <w:gridCol w:w="1563"/>
        <w:gridCol w:w="6039"/>
      </w:tblGrid>
      <w:tr w14:paraId="00AA8D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855" w:type="pct"/>
            <w:tcBorders>
              <w:top w:val="single" w:color="auto" w:sz="8" w:space="0"/>
              <w:left w:val="single" w:color="auto" w:sz="8" w:space="0"/>
              <w:bottom w:val="single" w:color="auto" w:sz="4" w:space="0"/>
              <w:right w:val="single" w:color="auto" w:sz="4" w:space="0"/>
              <w:tl2br w:val="nil"/>
              <w:tr2bl w:val="nil"/>
            </w:tcBorders>
            <w:vAlign w:val="center"/>
          </w:tcPr>
          <w:p w14:paraId="5C267FC6">
            <w:pPr>
              <w:rPr>
                <w:rFonts w:cs="微软雅黑" w:asciiTheme="minorEastAsia" w:hAnsiTheme="minorEastAsia"/>
              </w:rPr>
            </w:pPr>
            <w:r>
              <w:rPr>
                <w:rFonts w:hint="eastAsia" w:cs="微软雅黑" w:asciiTheme="minorEastAsia" w:hAnsiTheme="minorEastAsia"/>
              </w:rPr>
              <w:t>分析项目</w:t>
            </w:r>
          </w:p>
        </w:tc>
        <w:tc>
          <w:tcPr>
            <w:tcW w:w="852" w:type="pct"/>
            <w:tcBorders>
              <w:top w:val="single" w:color="auto" w:sz="8" w:space="0"/>
              <w:left w:val="single" w:color="auto" w:sz="4" w:space="0"/>
              <w:bottom w:val="single" w:color="auto" w:sz="4" w:space="0"/>
              <w:right w:val="single" w:color="auto" w:sz="4" w:space="0"/>
              <w:tl2br w:val="nil"/>
              <w:tr2bl w:val="nil"/>
            </w:tcBorders>
            <w:vAlign w:val="center"/>
          </w:tcPr>
          <w:p w14:paraId="6ED45ABE">
            <w:pPr>
              <w:rPr>
                <w:rFonts w:cs="微软雅黑" w:asciiTheme="minorEastAsia" w:hAnsiTheme="minorEastAsia"/>
              </w:rPr>
            </w:pPr>
            <w:r>
              <w:rPr>
                <w:rFonts w:hint="eastAsia" w:cs="微软雅黑" w:asciiTheme="minorEastAsia" w:hAnsiTheme="minorEastAsia"/>
              </w:rPr>
              <w:t>方法</w:t>
            </w:r>
          </w:p>
        </w:tc>
        <w:tc>
          <w:tcPr>
            <w:tcW w:w="3292" w:type="pct"/>
            <w:tcBorders>
              <w:top w:val="single" w:color="auto" w:sz="8" w:space="0"/>
              <w:left w:val="single" w:color="auto" w:sz="4" w:space="0"/>
              <w:bottom w:val="single" w:color="auto" w:sz="4" w:space="0"/>
              <w:right w:val="single" w:color="auto" w:sz="8" w:space="0"/>
              <w:tl2br w:val="nil"/>
              <w:tr2bl w:val="nil"/>
            </w:tcBorders>
            <w:vAlign w:val="center"/>
          </w:tcPr>
          <w:p w14:paraId="4305B771">
            <w:pPr>
              <w:rPr>
                <w:rFonts w:cs="微软雅黑" w:asciiTheme="minorEastAsia" w:hAnsiTheme="minorEastAsia"/>
              </w:rPr>
            </w:pPr>
            <w:r>
              <w:rPr>
                <w:rFonts w:hint="eastAsia" w:cs="微软雅黑" w:asciiTheme="minorEastAsia" w:hAnsiTheme="minorEastAsia"/>
              </w:rPr>
              <w:t>方 法 依 据</w:t>
            </w:r>
          </w:p>
        </w:tc>
      </w:tr>
      <w:tr w14:paraId="355333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4" w:hRule="atLeast"/>
          <w:tblHeader/>
          <w:jc w:val="center"/>
        </w:trPr>
        <w:tc>
          <w:tcPr>
            <w:tcW w:w="855" w:type="pct"/>
            <w:tcBorders>
              <w:top w:val="single" w:color="auto" w:sz="4" w:space="0"/>
              <w:left w:val="single" w:color="auto" w:sz="8" w:space="0"/>
              <w:bottom w:val="single" w:color="auto" w:sz="4" w:space="0"/>
              <w:right w:val="single" w:color="auto" w:sz="4" w:space="0"/>
              <w:tl2br w:val="nil"/>
              <w:tr2bl w:val="nil"/>
            </w:tcBorders>
            <w:vAlign w:val="center"/>
          </w:tcPr>
          <w:p w14:paraId="42A531CE">
            <w:pPr>
              <w:rPr>
                <w:rFonts w:cs="微软雅黑" w:asciiTheme="minorEastAsia" w:hAnsiTheme="minorEastAsia"/>
              </w:rPr>
            </w:pPr>
            <w:r>
              <w:rPr>
                <w:rFonts w:hint="eastAsia" w:cs="微软雅黑" w:asciiTheme="minorEastAsia" w:hAnsiTheme="minorEastAsia"/>
              </w:rPr>
              <w:t>阳离子</w:t>
            </w:r>
          </w:p>
        </w:tc>
        <w:tc>
          <w:tcPr>
            <w:tcW w:w="852" w:type="pct"/>
            <w:tcBorders>
              <w:top w:val="single" w:color="auto" w:sz="4" w:space="0"/>
              <w:left w:val="single" w:color="auto" w:sz="4" w:space="0"/>
              <w:bottom w:val="single" w:color="auto" w:sz="4" w:space="0"/>
              <w:right w:val="single" w:color="auto" w:sz="4" w:space="0"/>
              <w:tl2br w:val="nil"/>
              <w:tr2bl w:val="nil"/>
            </w:tcBorders>
            <w:vAlign w:val="center"/>
          </w:tcPr>
          <w:p w14:paraId="721D2B52">
            <w:pPr>
              <w:rPr>
                <w:rFonts w:cs="微软雅黑" w:asciiTheme="minorEastAsia" w:hAnsiTheme="minorEastAsia"/>
              </w:rPr>
            </w:pPr>
            <w:r>
              <w:rPr>
                <w:rFonts w:hint="eastAsia" w:cs="微软雅黑" w:asciiTheme="minorEastAsia" w:hAnsiTheme="minorEastAsia"/>
              </w:rPr>
              <w:t>离子色谱法</w:t>
            </w:r>
          </w:p>
        </w:tc>
        <w:tc>
          <w:tcPr>
            <w:tcW w:w="3292" w:type="pct"/>
            <w:tcBorders>
              <w:top w:val="single" w:color="auto" w:sz="4" w:space="0"/>
              <w:left w:val="single" w:color="auto" w:sz="4" w:space="0"/>
              <w:bottom w:val="single" w:color="auto" w:sz="4" w:space="0"/>
              <w:right w:val="single" w:color="auto" w:sz="8" w:space="0"/>
              <w:tl2br w:val="nil"/>
              <w:tr2bl w:val="nil"/>
            </w:tcBorders>
            <w:vAlign w:val="center"/>
          </w:tcPr>
          <w:p w14:paraId="16D71BE4">
            <w:pPr>
              <w:rPr>
                <w:rFonts w:cs="微软雅黑" w:asciiTheme="minorEastAsia" w:hAnsiTheme="minorEastAsia"/>
              </w:rPr>
            </w:pPr>
            <w:r>
              <w:rPr>
                <w:rFonts w:hint="eastAsia" w:cs="微软雅黑" w:asciiTheme="minorEastAsia" w:hAnsiTheme="minorEastAsia"/>
              </w:rPr>
              <w:t>《环境空气 颗粒物中水溶性阳离子（Li</w:t>
            </w:r>
            <w:r>
              <w:rPr>
                <w:rFonts w:hint="eastAsia" w:cs="微软雅黑" w:asciiTheme="minorEastAsia" w:hAnsiTheme="minorEastAsia"/>
                <w:vertAlign w:val="superscript"/>
              </w:rPr>
              <w:t>+</w:t>
            </w:r>
            <w:r>
              <w:rPr>
                <w:rFonts w:hint="eastAsia" w:cs="微软雅黑" w:asciiTheme="minorEastAsia" w:hAnsiTheme="minorEastAsia"/>
              </w:rPr>
              <w:t>、Na</w:t>
            </w:r>
            <w:r>
              <w:rPr>
                <w:rFonts w:hint="eastAsia" w:cs="微软雅黑" w:asciiTheme="minorEastAsia" w:hAnsiTheme="minorEastAsia"/>
                <w:vertAlign w:val="superscript"/>
              </w:rPr>
              <w:t>+</w:t>
            </w:r>
            <w:r>
              <w:rPr>
                <w:rFonts w:hint="eastAsia" w:cs="微软雅黑" w:asciiTheme="minorEastAsia" w:hAnsiTheme="minorEastAsia"/>
              </w:rPr>
              <w:t>、NH</w:t>
            </w:r>
            <w:r>
              <w:rPr>
                <w:rFonts w:hint="eastAsia" w:cs="微软雅黑" w:asciiTheme="minorEastAsia" w:hAnsiTheme="minorEastAsia"/>
                <w:vertAlign w:val="subscript"/>
              </w:rPr>
              <w:t>4</w:t>
            </w:r>
            <w:r>
              <w:rPr>
                <w:rFonts w:hint="eastAsia" w:cs="微软雅黑" w:asciiTheme="minorEastAsia" w:hAnsiTheme="minorEastAsia"/>
                <w:vertAlign w:val="superscript"/>
              </w:rPr>
              <w:t>+</w:t>
            </w:r>
            <w:r>
              <w:rPr>
                <w:rFonts w:hint="eastAsia" w:cs="微软雅黑" w:asciiTheme="minorEastAsia" w:hAnsiTheme="minorEastAsia"/>
              </w:rPr>
              <w:t>、K</w:t>
            </w:r>
            <w:r>
              <w:rPr>
                <w:rFonts w:hint="eastAsia" w:cs="微软雅黑" w:asciiTheme="minorEastAsia" w:hAnsiTheme="minorEastAsia"/>
                <w:vertAlign w:val="superscript"/>
              </w:rPr>
              <w:t>+</w:t>
            </w:r>
            <w:r>
              <w:rPr>
                <w:rFonts w:hint="eastAsia" w:cs="微软雅黑" w:asciiTheme="minorEastAsia" w:hAnsiTheme="minorEastAsia"/>
              </w:rPr>
              <w:t>、Ca</w:t>
            </w:r>
            <w:r>
              <w:rPr>
                <w:rFonts w:hint="eastAsia" w:cs="微软雅黑" w:asciiTheme="minorEastAsia" w:hAnsiTheme="minorEastAsia"/>
                <w:vertAlign w:val="superscript"/>
              </w:rPr>
              <w:t>2+</w:t>
            </w:r>
            <w:r>
              <w:rPr>
                <w:rFonts w:hint="eastAsia" w:cs="微软雅黑" w:asciiTheme="minorEastAsia" w:hAnsiTheme="minorEastAsia"/>
              </w:rPr>
              <w:t>、Mg</w:t>
            </w:r>
            <w:r>
              <w:rPr>
                <w:rFonts w:hint="eastAsia" w:cs="微软雅黑" w:asciiTheme="minorEastAsia" w:hAnsiTheme="minorEastAsia"/>
                <w:vertAlign w:val="superscript"/>
              </w:rPr>
              <w:t>2+</w:t>
            </w:r>
            <w:r>
              <w:rPr>
                <w:rFonts w:hint="eastAsia" w:cs="微软雅黑" w:asciiTheme="minorEastAsia" w:hAnsiTheme="minorEastAsia"/>
              </w:rPr>
              <w:t>）的测定 离子色谱法》（HJ 800-2016）</w:t>
            </w:r>
          </w:p>
        </w:tc>
      </w:tr>
      <w:tr w14:paraId="72825B1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21" w:hRule="atLeast"/>
          <w:tblHeader/>
          <w:jc w:val="center"/>
        </w:trPr>
        <w:tc>
          <w:tcPr>
            <w:tcW w:w="855" w:type="pct"/>
            <w:tcBorders>
              <w:top w:val="single" w:color="auto" w:sz="4" w:space="0"/>
              <w:left w:val="single" w:color="auto" w:sz="8" w:space="0"/>
              <w:bottom w:val="single" w:color="auto" w:sz="4" w:space="0"/>
              <w:right w:val="single" w:color="auto" w:sz="4" w:space="0"/>
              <w:tl2br w:val="nil"/>
              <w:tr2bl w:val="nil"/>
            </w:tcBorders>
            <w:vAlign w:val="center"/>
          </w:tcPr>
          <w:p w14:paraId="730B41A8">
            <w:pPr>
              <w:rPr>
                <w:rFonts w:cs="微软雅黑" w:asciiTheme="minorEastAsia" w:hAnsiTheme="minorEastAsia"/>
              </w:rPr>
            </w:pPr>
            <w:r>
              <w:rPr>
                <w:rFonts w:hint="eastAsia" w:cs="微软雅黑" w:asciiTheme="minorEastAsia" w:hAnsiTheme="minorEastAsia"/>
              </w:rPr>
              <w:t>阴离子</w:t>
            </w:r>
          </w:p>
        </w:tc>
        <w:tc>
          <w:tcPr>
            <w:tcW w:w="852" w:type="pct"/>
            <w:tcBorders>
              <w:top w:val="single" w:color="auto" w:sz="4" w:space="0"/>
              <w:left w:val="single" w:color="auto" w:sz="4" w:space="0"/>
              <w:bottom w:val="single" w:color="auto" w:sz="4" w:space="0"/>
              <w:right w:val="single" w:color="auto" w:sz="4" w:space="0"/>
              <w:tl2br w:val="nil"/>
              <w:tr2bl w:val="nil"/>
            </w:tcBorders>
            <w:vAlign w:val="center"/>
          </w:tcPr>
          <w:p w14:paraId="21C562D3">
            <w:pPr>
              <w:rPr>
                <w:rFonts w:cs="微软雅黑" w:asciiTheme="minorEastAsia" w:hAnsiTheme="minorEastAsia"/>
              </w:rPr>
            </w:pPr>
            <w:r>
              <w:rPr>
                <w:rFonts w:hint="eastAsia" w:cs="微软雅黑" w:asciiTheme="minorEastAsia" w:hAnsiTheme="minorEastAsia"/>
              </w:rPr>
              <w:t>离子色谱法</w:t>
            </w:r>
          </w:p>
        </w:tc>
        <w:tc>
          <w:tcPr>
            <w:tcW w:w="3292" w:type="pct"/>
            <w:tcBorders>
              <w:top w:val="single" w:color="auto" w:sz="4" w:space="0"/>
              <w:left w:val="single" w:color="auto" w:sz="4" w:space="0"/>
              <w:bottom w:val="single" w:color="auto" w:sz="4" w:space="0"/>
              <w:right w:val="single" w:color="auto" w:sz="8" w:space="0"/>
              <w:tl2br w:val="nil"/>
              <w:tr2bl w:val="nil"/>
            </w:tcBorders>
            <w:vAlign w:val="center"/>
          </w:tcPr>
          <w:p w14:paraId="1DFE26A9">
            <w:pPr>
              <w:rPr>
                <w:rFonts w:cs="微软雅黑" w:asciiTheme="minorEastAsia" w:hAnsiTheme="minorEastAsia"/>
              </w:rPr>
            </w:pPr>
            <w:r>
              <w:rPr>
                <w:rFonts w:hint="eastAsia" w:cs="微软雅黑" w:asciiTheme="minorEastAsia" w:hAnsiTheme="minorEastAsia"/>
              </w:rPr>
              <w:t>《环境空气 颗粒物中水溶性阴离子（F</w:t>
            </w:r>
            <w:r>
              <w:rPr>
                <w:rFonts w:hint="eastAsia" w:cs="微软雅黑" w:asciiTheme="minorEastAsia" w:hAnsiTheme="minorEastAsia"/>
                <w:vertAlign w:val="superscript"/>
              </w:rPr>
              <w:t>-</w:t>
            </w:r>
            <w:r>
              <w:rPr>
                <w:rFonts w:hint="eastAsia" w:cs="微软雅黑" w:asciiTheme="minorEastAsia" w:hAnsiTheme="minorEastAsia"/>
              </w:rPr>
              <w:t>、Cl</w:t>
            </w:r>
            <w:r>
              <w:rPr>
                <w:rFonts w:hint="eastAsia" w:cs="微软雅黑" w:asciiTheme="minorEastAsia" w:hAnsiTheme="minorEastAsia"/>
                <w:vertAlign w:val="superscript"/>
              </w:rPr>
              <w:t>-</w:t>
            </w:r>
            <w:r>
              <w:rPr>
                <w:rFonts w:hint="eastAsia" w:cs="微软雅黑" w:asciiTheme="minorEastAsia" w:hAnsiTheme="minorEastAsia"/>
              </w:rPr>
              <w:t>、Br</w:t>
            </w:r>
            <w:r>
              <w:rPr>
                <w:rFonts w:hint="eastAsia" w:cs="微软雅黑" w:asciiTheme="minorEastAsia" w:hAnsiTheme="minorEastAsia"/>
                <w:vertAlign w:val="superscript"/>
              </w:rPr>
              <w:t>-</w:t>
            </w:r>
            <w:r>
              <w:rPr>
                <w:rFonts w:hint="eastAsia" w:cs="微软雅黑" w:asciiTheme="minorEastAsia" w:hAnsiTheme="minorEastAsia"/>
              </w:rPr>
              <w:t>、NO</w:t>
            </w:r>
            <w:r>
              <w:rPr>
                <w:rFonts w:hint="eastAsia" w:cs="微软雅黑" w:asciiTheme="minorEastAsia" w:hAnsiTheme="minorEastAsia"/>
                <w:vertAlign w:val="subscript"/>
              </w:rPr>
              <w:t>2</w:t>
            </w:r>
            <w:r>
              <w:rPr>
                <w:rFonts w:hint="eastAsia" w:cs="微软雅黑" w:asciiTheme="minorEastAsia" w:hAnsiTheme="minorEastAsia"/>
                <w:vertAlign w:val="superscript"/>
              </w:rPr>
              <w:t>-</w:t>
            </w:r>
            <w:r>
              <w:rPr>
                <w:rFonts w:hint="eastAsia" w:cs="微软雅黑" w:asciiTheme="minorEastAsia" w:hAnsiTheme="minorEastAsia"/>
              </w:rPr>
              <w:t>、NO</w:t>
            </w:r>
            <w:r>
              <w:rPr>
                <w:rFonts w:hint="eastAsia" w:cs="微软雅黑" w:asciiTheme="minorEastAsia" w:hAnsiTheme="minorEastAsia"/>
                <w:vertAlign w:val="subscript"/>
              </w:rPr>
              <w:t>3</w:t>
            </w:r>
            <w:r>
              <w:rPr>
                <w:rFonts w:hint="eastAsia" w:cs="微软雅黑" w:asciiTheme="minorEastAsia" w:hAnsiTheme="minorEastAsia"/>
                <w:vertAlign w:val="superscript"/>
              </w:rPr>
              <w:t>-</w:t>
            </w:r>
            <w:r>
              <w:rPr>
                <w:rFonts w:hint="eastAsia" w:cs="微软雅黑" w:asciiTheme="minorEastAsia" w:hAnsiTheme="minorEastAsia"/>
              </w:rPr>
              <w:t>、PO</w:t>
            </w:r>
            <w:r>
              <w:rPr>
                <w:rFonts w:hint="eastAsia" w:cs="微软雅黑" w:asciiTheme="minorEastAsia" w:hAnsiTheme="minorEastAsia"/>
                <w:vertAlign w:val="subscript"/>
              </w:rPr>
              <w:t>4</w:t>
            </w:r>
            <w:r>
              <w:rPr>
                <w:rFonts w:hint="eastAsia" w:cs="微软雅黑" w:asciiTheme="minorEastAsia" w:hAnsiTheme="minorEastAsia"/>
                <w:vertAlign w:val="superscript"/>
              </w:rPr>
              <w:t>3-</w:t>
            </w:r>
            <w:r>
              <w:rPr>
                <w:rFonts w:hint="eastAsia" w:cs="微软雅黑" w:asciiTheme="minorEastAsia" w:hAnsiTheme="minorEastAsia"/>
              </w:rPr>
              <w:t>、SO</w:t>
            </w:r>
            <w:r>
              <w:rPr>
                <w:rFonts w:hint="eastAsia" w:cs="微软雅黑" w:asciiTheme="minorEastAsia" w:hAnsiTheme="minorEastAsia"/>
                <w:vertAlign w:val="subscript"/>
              </w:rPr>
              <w:t>3</w:t>
            </w:r>
            <w:r>
              <w:rPr>
                <w:rFonts w:hint="eastAsia" w:cs="微软雅黑" w:asciiTheme="minorEastAsia" w:hAnsiTheme="minorEastAsia"/>
                <w:vertAlign w:val="superscript"/>
              </w:rPr>
              <w:t>2-</w:t>
            </w:r>
            <w:r>
              <w:rPr>
                <w:rFonts w:hint="eastAsia" w:cs="微软雅黑" w:asciiTheme="minorEastAsia" w:hAnsiTheme="minorEastAsia"/>
              </w:rPr>
              <w:t>、SO</w:t>
            </w:r>
            <w:r>
              <w:rPr>
                <w:rFonts w:hint="eastAsia" w:cs="微软雅黑" w:asciiTheme="minorEastAsia" w:hAnsiTheme="minorEastAsia"/>
                <w:vertAlign w:val="subscript"/>
              </w:rPr>
              <w:t>4</w:t>
            </w:r>
            <w:r>
              <w:rPr>
                <w:rFonts w:hint="eastAsia" w:cs="微软雅黑" w:asciiTheme="minorEastAsia" w:hAnsiTheme="minorEastAsia"/>
                <w:vertAlign w:val="superscript"/>
              </w:rPr>
              <w:t>2-</w:t>
            </w:r>
            <w:r>
              <w:rPr>
                <w:rFonts w:hint="eastAsia" w:cs="微软雅黑" w:asciiTheme="minorEastAsia" w:hAnsiTheme="minorEastAsia"/>
              </w:rPr>
              <w:t>）的测定 离子色谱法》（HJ 799-2016）</w:t>
            </w:r>
          </w:p>
        </w:tc>
      </w:tr>
      <w:tr w14:paraId="1D912C5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5" w:hRule="atLeast"/>
          <w:tblHeader/>
          <w:jc w:val="center"/>
        </w:trPr>
        <w:tc>
          <w:tcPr>
            <w:tcW w:w="855" w:type="pct"/>
            <w:tcBorders>
              <w:top w:val="single" w:color="auto" w:sz="4" w:space="0"/>
              <w:left w:val="single" w:color="auto" w:sz="8" w:space="0"/>
              <w:bottom w:val="single" w:color="auto" w:sz="4" w:space="0"/>
              <w:right w:val="single" w:color="auto" w:sz="4" w:space="0"/>
              <w:tl2br w:val="nil"/>
              <w:tr2bl w:val="nil"/>
            </w:tcBorders>
            <w:vAlign w:val="center"/>
          </w:tcPr>
          <w:p w14:paraId="580B4223">
            <w:pPr>
              <w:rPr>
                <w:rFonts w:cs="微软雅黑" w:asciiTheme="minorEastAsia" w:hAnsiTheme="minorEastAsia"/>
              </w:rPr>
            </w:pPr>
            <w:r>
              <w:rPr>
                <w:rFonts w:hint="eastAsia" w:cs="微软雅黑" w:asciiTheme="minorEastAsia" w:hAnsiTheme="minorEastAsia"/>
              </w:rPr>
              <w:t>碳组分</w:t>
            </w:r>
          </w:p>
        </w:tc>
        <w:tc>
          <w:tcPr>
            <w:tcW w:w="852" w:type="pct"/>
            <w:tcBorders>
              <w:top w:val="single" w:color="auto" w:sz="4" w:space="0"/>
              <w:left w:val="single" w:color="auto" w:sz="4" w:space="0"/>
              <w:bottom w:val="single" w:color="auto" w:sz="4" w:space="0"/>
              <w:right w:val="single" w:color="auto" w:sz="4" w:space="0"/>
              <w:tl2br w:val="nil"/>
              <w:tr2bl w:val="nil"/>
            </w:tcBorders>
            <w:vAlign w:val="center"/>
          </w:tcPr>
          <w:p w14:paraId="16A21B02">
            <w:pPr>
              <w:rPr>
                <w:rFonts w:cs="微软雅黑" w:asciiTheme="minorEastAsia" w:hAnsiTheme="minorEastAsia"/>
              </w:rPr>
            </w:pPr>
            <w:r>
              <w:rPr>
                <w:rFonts w:hint="eastAsia" w:cs="微软雅黑" w:asciiTheme="minorEastAsia" w:hAnsiTheme="minorEastAsia"/>
              </w:rPr>
              <w:t>热光法</w:t>
            </w:r>
          </w:p>
        </w:tc>
        <w:tc>
          <w:tcPr>
            <w:tcW w:w="3292" w:type="pct"/>
            <w:tcBorders>
              <w:top w:val="single" w:color="auto" w:sz="4" w:space="0"/>
              <w:left w:val="single" w:color="auto" w:sz="4" w:space="0"/>
              <w:bottom w:val="single" w:color="auto" w:sz="4" w:space="0"/>
              <w:right w:val="single" w:color="auto" w:sz="8" w:space="0"/>
              <w:tl2br w:val="nil"/>
              <w:tr2bl w:val="nil"/>
            </w:tcBorders>
            <w:vAlign w:val="center"/>
          </w:tcPr>
          <w:p w14:paraId="257C09BC">
            <w:pPr>
              <w:rPr>
                <w:rFonts w:cs="微软雅黑" w:asciiTheme="minorEastAsia" w:hAnsiTheme="minorEastAsia"/>
              </w:rPr>
            </w:pPr>
            <w:r>
              <w:rPr>
                <w:rFonts w:hint="eastAsia" w:cs="微软雅黑" w:asciiTheme="minorEastAsia" w:hAnsiTheme="minorEastAsia"/>
              </w:rPr>
              <w:t>《环境空气颗粒物源解析监测技术方法指南（试行）》（第二版）</w:t>
            </w:r>
          </w:p>
        </w:tc>
      </w:tr>
      <w:tr w14:paraId="0B0E5A4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853" w:hRule="atLeast"/>
          <w:tblHeader/>
          <w:jc w:val="center"/>
        </w:trPr>
        <w:tc>
          <w:tcPr>
            <w:tcW w:w="855" w:type="pct"/>
            <w:tcBorders>
              <w:top w:val="single" w:color="auto" w:sz="4" w:space="0"/>
              <w:left w:val="single" w:color="auto" w:sz="8" w:space="0"/>
              <w:bottom w:val="single" w:color="auto" w:sz="8" w:space="0"/>
              <w:right w:val="single" w:color="auto" w:sz="4" w:space="0"/>
              <w:tl2br w:val="nil"/>
              <w:tr2bl w:val="nil"/>
            </w:tcBorders>
            <w:vAlign w:val="center"/>
          </w:tcPr>
          <w:p w14:paraId="02E62E7A">
            <w:pPr>
              <w:rPr>
                <w:rFonts w:cs="微软雅黑" w:asciiTheme="minorEastAsia" w:hAnsiTheme="minorEastAsia"/>
              </w:rPr>
            </w:pPr>
            <w:r>
              <w:rPr>
                <w:rFonts w:hint="eastAsia" w:cs="微软雅黑" w:asciiTheme="minorEastAsia" w:hAnsiTheme="minorEastAsia"/>
              </w:rPr>
              <w:t>无机元素</w:t>
            </w:r>
          </w:p>
        </w:tc>
        <w:tc>
          <w:tcPr>
            <w:tcW w:w="852" w:type="pct"/>
            <w:tcBorders>
              <w:top w:val="single" w:color="auto" w:sz="4" w:space="0"/>
              <w:left w:val="single" w:color="auto" w:sz="4" w:space="0"/>
              <w:bottom w:val="single" w:color="auto" w:sz="8" w:space="0"/>
              <w:right w:val="single" w:color="auto" w:sz="4" w:space="0"/>
              <w:tl2br w:val="nil"/>
              <w:tr2bl w:val="nil"/>
            </w:tcBorders>
            <w:vAlign w:val="center"/>
          </w:tcPr>
          <w:p w14:paraId="5F9B8D3A">
            <w:pPr>
              <w:rPr>
                <w:rFonts w:cs="微软雅黑" w:asciiTheme="minorEastAsia" w:hAnsiTheme="minorEastAsia"/>
              </w:rPr>
            </w:pPr>
            <w:r>
              <w:rPr>
                <w:rFonts w:hint="eastAsia" w:cs="微软雅黑" w:asciiTheme="minorEastAsia" w:hAnsiTheme="minorEastAsia"/>
              </w:rPr>
              <w:t>XRF法、ICP法、ICP-MS法</w:t>
            </w:r>
          </w:p>
        </w:tc>
        <w:tc>
          <w:tcPr>
            <w:tcW w:w="3292" w:type="pct"/>
            <w:tcBorders>
              <w:top w:val="single" w:color="auto" w:sz="4" w:space="0"/>
              <w:left w:val="single" w:color="auto" w:sz="4" w:space="0"/>
              <w:bottom w:val="single" w:color="auto" w:sz="8" w:space="0"/>
              <w:right w:val="single" w:color="auto" w:sz="8" w:space="0"/>
              <w:tl2br w:val="nil"/>
              <w:tr2bl w:val="nil"/>
            </w:tcBorders>
            <w:vAlign w:val="center"/>
          </w:tcPr>
          <w:p w14:paraId="4DB7D4A6">
            <w:pPr>
              <w:rPr>
                <w:rFonts w:cs="微软雅黑" w:asciiTheme="minorEastAsia" w:hAnsiTheme="minorEastAsia"/>
              </w:rPr>
            </w:pPr>
            <w:r>
              <w:rPr>
                <w:rFonts w:hint="eastAsia" w:cs="微软雅黑" w:asciiTheme="minorEastAsia" w:hAnsiTheme="minorEastAsia"/>
              </w:rPr>
              <w:t>《环境空气 颗粒物中无机元素的测定 波长色散X射线荧光光谱法》（HJ 830-2017）、《环境空气 颗粒物中无机元素的测定 能量色散X射线荧光光谱法》（HJ 829-2017）、《空气和废气 颗粒物中金属元素的测定 电感耦合等离子体发射光谱法》（HJ 777-2015）、《空气和废气 颗粒物中铅等金属元素的测定 电感耦合等离子体质谱法》（HJ 657-2013）</w:t>
            </w:r>
          </w:p>
        </w:tc>
      </w:tr>
    </w:tbl>
    <w:p w14:paraId="32C60A3E">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3、监测任务分工</w:t>
      </w:r>
    </w:p>
    <w:p w14:paraId="34085844">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（1）采购人：负责样品的采集、运输及保存等。</w:t>
      </w:r>
    </w:p>
    <w:p w14:paraId="3FB153EE">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（2）中标人：负责所有采样耗材（滤膜等）提供及前处理准备、样品分析、数据汇总上报及报告出具等。</w:t>
      </w:r>
    </w:p>
    <w:p w14:paraId="597CAC82">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4、质量保证和质量控制</w:t>
      </w:r>
    </w:p>
    <w:p w14:paraId="06FD41BB">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（1） 监测人员要求</w:t>
      </w:r>
    </w:p>
    <w:p w14:paraId="1822F4E4">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样品的采集和分析人员具有相关工作经验，并且均需持证上岗。</w:t>
      </w:r>
    </w:p>
    <w:p w14:paraId="3F3126BC">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（2）监测仪器管理与定期检查</w:t>
      </w:r>
    </w:p>
    <w:p w14:paraId="43C4EA71">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计量器具和设备应按有关规定定期校验和维护，检定合格后方可使用。</w:t>
      </w:r>
    </w:p>
    <w:p w14:paraId="73207CB2">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（3）实验室一般性要求</w:t>
      </w:r>
    </w:p>
    <w:p w14:paraId="7D9D56D7">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实验环境应远离有机溶剂，避免二氯甲烷、丙酮、正己烷等的干扰。</w:t>
      </w:r>
    </w:p>
    <w:p w14:paraId="7C043FC8">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（4）监测分析的质量控制</w:t>
      </w:r>
    </w:p>
    <w:p w14:paraId="63BBF6EC">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将本项分析测试工作</w:t>
      </w:r>
      <w:r>
        <w:rPr>
          <w:rFonts w:hint="eastAsia" w:cs="微软雅黑" w:asciiTheme="minorEastAsia" w:hAnsiTheme="minorEastAsia" w:eastAsiaTheme="minorEastAsia"/>
          <w:sz w:val="24"/>
          <w:szCs w:val="24"/>
          <w:lang w:eastAsia="zh-CN"/>
        </w:rPr>
        <w:t>纳入到</w:t>
      </w:r>
      <w:r>
        <w:rPr>
          <w:rFonts w:hint="eastAsia" w:cs="微软雅黑" w:asciiTheme="minorEastAsia" w:hAnsiTheme="minorEastAsia" w:eastAsiaTheme="minorEastAsia"/>
          <w:sz w:val="24"/>
          <w:szCs w:val="24"/>
        </w:rPr>
        <w:t>根据HJ630建立的质量管理体系中。监测单位开展监测前，应先按照HJ168的有关规定进行方法证实。手工监测质控手段均需按照《大气颗粒物组分手工监测质量保证与质量控制规定（第一版）》（总站气字[2019]425号）的要求执行。</w:t>
      </w:r>
    </w:p>
    <w:p w14:paraId="66F4EE48">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5、数据审核与提交</w:t>
      </w:r>
    </w:p>
    <w:p w14:paraId="1BD3A66B">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（1）分析结果的审核</w:t>
      </w:r>
    </w:p>
    <w:p w14:paraId="535AB439">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监测结果（包括实验记录、监测数据及质控数据等）审核主要包括：（1）实验室分析记录是否规范、完整，包括有效数字等；（2）质控指标复核，确保各项质控指标合格。对审核判定为无效的数据，应在数据提交委托方时加以说明。</w:t>
      </w:r>
    </w:p>
    <w:p w14:paraId="03CB433A">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（2）数据汇总及审定</w:t>
      </w:r>
    </w:p>
    <w:p w14:paraId="6B5C1F04">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按照委托方规定的格式汇总监测结果，并经相关负责人审核审定后提交给委托方。</w:t>
      </w:r>
    </w:p>
    <w:p w14:paraId="6F458A5C">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（3）数据提交</w:t>
      </w:r>
    </w:p>
    <w:p w14:paraId="677155E5">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审定后的数据汇总表按照规定的格式、方式和时间签发报出，数据报送时间为监测月份次月的18日前。</w:t>
      </w:r>
    </w:p>
    <w:p w14:paraId="0FE671AF">
      <w:pPr>
        <w:pStyle w:val="513"/>
        <w:spacing w:line="360" w:lineRule="auto"/>
        <w:ind w:firstLine="482" w:firstLineChars="200"/>
        <w:rPr>
          <w:rFonts w:cs="微软雅黑" w:asciiTheme="minorEastAsia" w:hAnsiTheme="minorEastAsia" w:eastAsiaTheme="minorEastAsia"/>
          <w:b/>
          <w:sz w:val="24"/>
          <w:szCs w:val="24"/>
        </w:rPr>
      </w:pPr>
      <w:r>
        <w:rPr>
          <w:rFonts w:hint="eastAsia" w:cs="微软雅黑" w:asciiTheme="minorEastAsia" w:hAnsiTheme="minorEastAsia" w:eastAsiaTheme="minorEastAsia"/>
          <w:b/>
          <w:sz w:val="24"/>
          <w:szCs w:val="24"/>
        </w:rPr>
        <w:t>6、检测报告及质控报告</w:t>
      </w:r>
    </w:p>
    <w:p w14:paraId="101B9740">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（1）检测报告</w:t>
      </w:r>
    </w:p>
    <w:p w14:paraId="4470DE56">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服务期结束后两个月内，提供检测报告的纸质盖章版和电子版各1套。</w:t>
      </w:r>
    </w:p>
    <w:p w14:paraId="7C581197">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（2）质控报告</w:t>
      </w:r>
    </w:p>
    <w:p w14:paraId="79A095D8">
      <w:pPr>
        <w:pStyle w:val="513"/>
        <w:spacing w:line="360" w:lineRule="auto"/>
        <w:ind w:firstLine="480" w:firstLineChars="200"/>
        <w:rPr>
          <w:rFonts w:cs="微软雅黑" w:asciiTheme="minorEastAsia" w:hAnsiTheme="minorEastAsia" w:eastAsiaTheme="minorEastAsia"/>
          <w:sz w:val="24"/>
          <w:szCs w:val="24"/>
        </w:rPr>
      </w:pPr>
      <w:r>
        <w:rPr>
          <w:rFonts w:hint="eastAsia" w:cs="微软雅黑" w:asciiTheme="minorEastAsia" w:hAnsiTheme="minorEastAsia" w:eastAsiaTheme="minorEastAsia"/>
          <w:sz w:val="24"/>
          <w:szCs w:val="24"/>
        </w:rPr>
        <w:t>服务期结束后两个月内，提供服务期内质控报告的纸质盖章版和电子版各1份，对监测质量保证与质量控制进行总结，以体现监测工作的规范性和数据的科学性与准确性。</w:t>
      </w:r>
    </w:p>
    <w:p w14:paraId="7047237F">
      <w:pPr>
        <w:pStyle w:val="513"/>
        <w:spacing w:line="360" w:lineRule="auto"/>
        <w:ind w:firstLine="480" w:firstLineChars="200"/>
        <w:rPr>
          <w:rFonts w:hint="eastAsia" w:ascii="宋体" w:hAnsi="宋体" w:cs="宋体" w:eastAsiaTheme="minorEastAsia"/>
          <w:b/>
          <w:bCs/>
          <w:sz w:val="24"/>
          <w:szCs w:val="24"/>
          <w:lang w:eastAsia="zh-CN"/>
        </w:rPr>
      </w:pPr>
      <w:r>
        <w:rPr>
          <w:rFonts w:hint="eastAsia" w:cs="微软雅黑" w:asciiTheme="minorEastAsia" w:hAnsiTheme="minorEastAsia" w:eastAsiaTheme="minorEastAsia"/>
          <w:sz w:val="24"/>
          <w:szCs w:val="24"/>
        </w:rPr>
        <w:t>报告应包括以下内容：前言，概括阐述监测过程质量控制与质量保证情况；质控概况，简要说明监测点位、监测时间、质控措施、人员上岗、仪器设备检定等情况；结果与评价，说明质量控制的方式和方法，并对样品的受控情况进行统计，给出总体质控结论；问题与对策措施，如依据质量控制结果发现的问题，及时提出整改对策与措施。</w:t>
      </w:r>
    </w:p>
    <w:p w14:paraId="4D9CD81C">
      <w:pPr>
        <w:spacing w:line="460" w:lineRule="exact"/>
        <w:ind w:left="420" w:leftChars="200"/>
        <w:outlineLvl w:val="1"/>
        <w:rPr>
          <w:rFonts w:ascii="宋体"/>
          <w:b/>
          <w:bCs/>
          <w:sz w:val="24"/>
        </w:rPr>
      </w:pPr>
      <w:r>
        <w:rPr>
          <w:rFonts w:hint="eastAsia" w:ascii="宋体" w:hAnsi="宋体" w:cs="宋体"/>
          <w:b/>
          <w:bCs/>
          <w:sz w:val="24"/>
        </w:rPr>
        <w:t>二、合同金额</w:t>
      </w:r>
    </w:p>
    <w:p w14:paraId="6E549AD5">
      <w:pPr>
        <w:spacing w:line="460" w:lineRule="exact"/>
        <w:ind w:firstLine="480" w:firstLineChars="200"/>
        <w:rPr>
          <w:rFonts w:hAnsi="宋体"/>
          <w:sz w:val="24"/>
        </w:rPr>
      </w:pPr>
      <w:r>
        <w:rPr>
          <w:rFonts w:hint="eastAsia" w:hAnsi="宋体" w:cs="宋体"/>
          <w:sz w:val="24"/>
        </w:rPr>
        <w:t>本合同金额为（大写）：</w:t>
      </w:r>
      <w:r>
        <w:rPr>
          <w:rFonts w:hAnsi="宋体"/>
          <w:sz w:val="24"/>
        </w:rPr>
        <w:t>_________________________________</w:t>
      </w:r>
      <w:r>
        <w:rPr>
          <w:rFonts w:hint="eastAsia" w:hAnsi="宋体" w:cs="宋体"/>
          <w:sz w:val="24"/>
        </w:rPr>
        <w:t>元（￥</w:t>
      </w:r>
      <w:r>
        <w:rPr>
          <w:rFonts w:hAnsi="宋体"/>
          <w:sz w:val="24"/>
        </w:rPr>
        <w:t>_______________</w:t>
      </w:r>
      <w:r>
        <w:rPr>
          <w:rFonts w:hint="eastAsia" w:hAnsi="宋体" w:cs="宋体"/>
          <w:sz w:val="24"/>
        </w:rPr>
        <w:t>元）人民币。</w:t>
      </w:r>
    </w:p>
    <w:p w14:paraId="1C1FABD4">
      <w:pPr>
        <w:spacing w:line="460" w:lineRule="exact"/>
        <w:ind w:firstLine="482" w:firstLineChars="200"/>
        <w:outlineLvl w:val="1"/>
        <w:rPr>
          <w:rFonts w:ascii="宋体"/>
          <w:sz w:val="24"/>
        </w:rPr>
      </w:pPr>
      <w:r>
        <w:rPr>
          <w:rFonts w:hint="eastAsia" w:ascii="宋体" w:hAnsi="宋体" w:cs="宋体"/>
          <w:b/>
          <w:bCs/>
          <w:sz w:val="24"/>
        </w:rPr>
        <w:t>三、技术资料</w:t>
      </w:r>
    </w:p>
    <w:p w14:paraId="2DDF0444">
      <w:pPr>
        <w:spacing w:line="460" w:lineRule="exact"/>
        <w:ind w:firstLine="480" w:firstLineChars="200"/>
        <w:outlineLvl w:val="2"/>
        <w:rPr>
          <w:rFonts w:ascii="宋体"/>
          <w:sz w:val="24"/>
        </w:rPr>
      </w:pPr>
      <w:r>
        <w:rPr>
          <w:rFonts w:ascii="宋体" w:hAnsi="宋体" w:cs="宋体"/>
          <w:sz w:val="24"/>
        </w:rPr>
        <w:t>1</w:t>
      </w:r>
      <w:r>
        <w:rPr>
          <w:rFonts w:ascii="宋体" w:cs="宋体"/>
          <w:sz w:val="24"/>
        </w:rPr>
        <w:t>.</w:t>
      </w:r>
      <w:r>
        <w:rPr>
          <w:rFonts w:hint="eastAsia" w:ascii="宋体" w:hAnsi="宋体" w:cs="宋体"/>
          <w:sz w:val="24"/>
        </w:rPr>
        <w:t>乙方应按招标文件规定的时间向甲方提供有关技术资料。</w:t>
      </w:r>
    </w:p>
    <w:p w14:paraId="71DC1CFD">
      <w:pPr>
        <w:spacing w:line="460" w:lineRule="exact"/>
        <w:ind w:firstLine="480" w:firstLineChars="200"/>
        <w:rPr>
          <w:rFonts w:ascii="宋体"/>
          <w:sz w:val="24"/>
        </w:rPr>
      </w:pPr>
      <w:r>
        <w:rPr>
          <w:rFonts w:ascii="宋体" w:hAnsi="宋体" w:cs="宋体"/>
          <w:sz w:val="24"/>
        </w:rPr>
        <w:t>2</w:t>
      </w:r>
      <w:r>
        <w:rPr>
          <w:rFonts w:ascii="宋体" w:cs="宋体"/>
          <w:sz w:val="24"/>
        </w:rPr>
        <w:t>.</w:t>
      </w:r>
      <w:r>
        <w:rPr>
          <w:rFonts w:hint="eastAsia" w:ascii="宋体" w:hAnsi="宋体" w:cs="宋体"/>
          <w:sz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04C7A88">
      <w:pPr>
        <w:spacing w:line="460" w:lineRule="exact"/>
        <w:ind w:firstLine="482" w:firstLineChars="200"/>
        <w:outlineLvl w:val="1"/>
        <w:rPr>
          <w:rFonts w:ascii="宋体"/>
          <w:b/>
          <w:bCs/>
          <w:sz w:val="24"/>
        </w:rPr>
      </w:pPr>
      <w:r>
        <w:rPr>
          <w:rFonts w:hint="eastAsia" w:ascii="宋体" w:hAnsi="宋体" w:cs="宋体"/>
          <w:b/>
          <w:bCs/>
          <w:sz w:val="24"/>
        </w:rPr>
        <w:t>四、知识产权</w:t>
      </w:r>
    </w:p>
    <w:p w14:paraId="3EE50B71">
      <w:pPr>
        <w:spacing w:line="460" w:lineRule="exact"/>
        <w:ind w:firstLine="480" w:firstLineChars="200"/>
        <w:rPr>
          <w:rFonts w:ascii="宋体"/>
          <w:sz w:val="24"/>
        </w:rPr>
      </w:pPr>
      <w:r>
        <w:rPr>
          <w:rFonts w:hint="eastAsia" w:ascii="宋体" w:hAnsi="宋体" w:cs="宋体"/>
          <w:sz w:val="24"/>
        </w:rPr>
        <w:t>乙方应保证提供服务过程中不会侵犯任何第三方的知识产权。</w:t>
      </w:r>
    </w:p>
    <w:p w14:paraId="38B7A28F">
      <w:pPr>
        <w:spacing w:line="460" w:lineRule="exact"/>
        <w:ind w:firstLine="482" w:firstLineChars="200"/>
        <w:outlineLvl w:val="1"/>
        <w:rPr>
          <w:rFonts w:ascii="宋体"/>
          <w:b/>
          <w:bCs/>
          <w:sz w:val="24"/>
        </w:rPr>
      </w:pPr>
      <w:r>
        <w:rPr>
          <w:rFonts w:hint="eastAsia" w:ascii="宋体" w:hAnsi="宋体" w:cs="宋体"/>
          <w:b/>
          <w:bCs/>
          <w:sz w:val="24"/>
        </w:rPr>
        <w:t>五、转包或分包</w:t>
      </w:r>
    </w:p>
    <w:p w14:paraId="7B144279">
      <w:pPr>
        <w:spacing w:line="460" w:lineRule="exact"/>
        <w:ind w:firstLine="480" w:firstLineChars="200"/>
        <w:outlineLvl w:val="2"/>
        <w:rPr>
          <w:rFonts w:ascii="宋体"/>
          <w:sz w:val="24"/>
        </w:rPr>
      </w:pPr>
      <w:r>
        <w:rPr>
          <w:rFonts w:ascii="宋体" w:hAnsi="宋体" w:cs="宋体"/>
          <w:sz w:val="24"/>
        </w:rPr>
        <w:t>1</w:t>
      </w:r>
      <w:r>
        <w:rPr>
          <w:rFonts w:ascii="宋体" w:cs="宋体"/>
          <w:sz w:val="24"/>
        </w:rPr>
        <w:t>.</w:t>
      </w:r>
      <w:r>
        <w:rPr>
          <w:rFonts w:hint="eastAsia" w:ascii="宋体" w:hAnsi="宋体" w:cs="宋体"/>
          <w:sz w:val="24"/>
        </w:rPr>
        <w:t>本合同范围的服务，应由乙方直接供应，不得转让他人供应。</w:t>
      </w:r>
    </w:p>
    <w:p w14:paraId="145E7940">
      <w:pPr>
        <w:spacing w:line="460" w:lineRule="exact"/>
        <w:ind w:firstLine="480" w:firstLineChars="200"/>
        <w:rPr>
          <w:rFonts w:ascii="宋体"/>
          <w:sz w:val="24"/>
        </w:rPr>
      </w:pPr>
      <w:r>
        <w:rPr>
          <w:rFonts w:ascii="宋体" w:hAnsi="宋体" w:cs="宋体"/>
          <w:sz w:val="24"/>
        </w:rPr>
        <w:t>2</w:t>
      </w:r>
      <w:r>
        <w:rPr>
          <w:rFonts w:ascii="宋体" w:cs="宋体"/>
          <w:sz w:val="24"/>
        </w:rPr>
        <w:t>.</w:t>
      </w:r>
      <w:r>
        <w:rPr>
          <w:rFonts w:hint="eastAsia" w:ascii="宋体" w:hAnsi="宋体" w:cs="宋体"/>
          <w:sz w:val="24"/>
        </w:rPr>
        <w:t>如有转让和未经甲方同意的分包行为，甲方有权解除合同并追究乙方的违约责任。</w:t>
      </w:r>
    </w:p>
    <w:p w14:paraId="34FA312F">
      <w:pPr>
        <w:spacing w:line="460" w:lineRule="exact"/>
        <w:ind w:firstLine="482" w:firstLineChars="200"/>
        <w:outlineLvl w:val="1"/>
        <w:rPr>
          <w:rFonts w:ascii="宋体" w:hAnsi="宋体" w:cs="宋体"/>
          <w:b/>
          <w:bCs/>
          <w:sz w:val="24"/>
        </w:rPr>
      </w:pPr>
      <w:r>
        <w:rPr>
          <w:rFonts w:hint="eastAsia" w:ascii="宋体" w:hAnsi="宋体" w:cs="宋体"/>
          <w:b/>
          <w:bCs/>
          <w:sz w:val="24"/>
        </w:rPr>
        <w:t>六、合同履行时间</w:t>
      </w:r>
    </w:p>
    <w:p w14:paraId="5BA9CA9B">
      <w:pPr>
        <w:spacing w:line="460" w:lineRule="exact"/>
        <w:ind w:firstLine="480" w:firstLineChars="200"/>
        <w:outlineLvl w:val="1"/>
        <w:rPr>
          <w:bCs/>
          <w:sz w:val="24"/>
        </w:rPr>
      </w:pPr>
      <w:r>
        <w:rPr>
          <w:rFonts w:ascii="宋体" w:hAnsi="宋体" w:cs="宋体"/>
          <w:sz w:val="24"/>
        </w:rPr>
        <w:t>1</w:t>
      </w:r>
      <w:r>
        <w:rPr>
          <w:rFonts w:ascii="宋体" w:cs="宋体"/>
          <w:sz w:val="24"/>
        </w:rPr>
        <w:t>.</w:t>
      </w:r>
      <w:r>
        <w:rPr>
          <w:rFonts w:hint="eastAsia" w:ascii="宋体" w:hAnsi="宋体" w:cs="宋体"/>
          <w:sz w:val="24"/>
        </w:rPr>
        <w:t>履行时间：</w:t>
      </w:r>
    </w:p>
    <w:p w14:paraId="4831E61B">
      <w:pPr>
        <w:spacing w:line="460" w:lineRule="exact"/>
        <w:ind w:firstLine="482" w:firstLineChars="200"/>
        <w:outlineLvl w:val="1"/>
        <w:rPr>
          <w:rFonts w:hAnsi="宋体" w:cs="宋体"/>
          <w:b/>
          <w:bCs/>
          <w:sz w:val="24"/>
        </w:rPr>
      </w:pPr>
      <w:r>
        <w:rPr>
          <w:rFonts w:hint="eastAsia" w:hAnsi="宋体" w:cs="宋体"/>
          <w:b/>
          <w:bCs/>
          <w:sz w:val="24"/>
        </w:rPr>
        <w:t>七、履约保证金</w:t>
      </w:r>
    </w:p>
    <w:p w14:paraId="478D62BE">
      <w:pPr>
        <w:spacing w:line="460" w:lineRule="exact"/>
        <w:ind w:firstLine="480" w:firstLineChars="200"/>
        <w:outlineLvl w:val="1"/>
        <w:rPr>
          <w:rFonts w:ascii="宋体" w:hAnsi="宋体" w:cs="宋体"/>
          <w:sz w:val="24"/>
        </w:rPr>
      </w:pPr>
      <w:r>
        <w:rPr>
          <w:rFonts w:hint="eastAsia" w:ascii="宋体" w:hAnsi="宋体" w:cs="宋体"/>
          <w:sz w:val="24"/>
        </w:rPr>
        <w:t>无</w:t>
      </w:r>
    </w:p>
    <w:p w14:paraId="2109EFBA">
      <w:pPr>
        <w:spacing w:line="360" w:lineRule="auto"/>
        <w:ind w:firstLine="482" w:firstLineChars="200"/>
        <w:outlineLvl w:val="1"/>
        <w:rPr>
          <w:rFonts w:ascii="宋体" w:hAnsi="宋体" w:cs="宋体"/>
          <w:b/>
          <w:bCs/>
          <w:sz w:val="24"/>
        </w:rPr>
      </w:pPr>
      <w:r>
        <w:rPr>
          <w:rFonts w:hint="eastAsia" w:ascii="宋体" w:hAnsi="宋体" w:cs="宋体"/>
          <w:b/>
          <w:bCs/>
          <w:sz w:val="24"/>
        </w:rPr>
        <w:t>八、款项支付</w:t>
      </w:r>
    </w:p>
    <w:p w14:paraId="44D41B87">
      <w:pPr>
        <w:spacing w:line="360" w:lineRule="auto"/>
        <w:ind w:firstLine="420" w:firstLineChars="200"/>
        <w:outlineLvl w:val="1"/>
        <w:rPr>
          <w:rFonts w:ascii="宋体" w:hAnsi="宋体" w:cs="宋体"/>
          <w:sz w:val="24"/>
        </w:rPr>
      </w:pPr>
      <w:r>
        <w:rPr>
          <w:rFonts w:ascii="宋体" w:hAnsi="宋体" w:cs="宋体"/>
        </w:rPr>
        <w:t>1.</w:t>
      </w:r>
      <w:r>
        <w:rPr>
          <w:rFonts w:hint="eastAsia" w:ascii="宋体" w:hAnsi="宋体" w:cs="宋体"/>
          <w:sz w:val="24"/>
        </w:rPr>
        <w:t xml:space="preserve"> 根据《保障中小企业款项支付条例》</w:t>
      </w:r>
      <w:r>
        <w:rPr>
          <w:rFonts w:ascii="宋体" w:hAnsi="宋体" w:cs="宋体"/>
          <w:sz w:val="24"/>
        </w:rPr>
        <w:t>、</w:t>
      </w:r>
      <w:r>
        <w:rPr>
          <w:rFonts w:hint="eastAsia" w:ascii="宋体" w:hAnsi="宋体" w:cs="宋体"/>
          <w:sz w:val="24"/>
        </w:rPr>
        <w:t>省财政厅《浙江省财政厅关于进一步发挥政府采购政策功能全力推动经济稳进提质的通知》（浙财采监【2022】3号）要求，制定如下付款方式：合同签订并具备实施条件后7个工作日内支付合同总价的40%作为预付款；余款待项目验收合格后付清。</w:t>
      </w:r>
    </w:p>
    <w:p w14:paraId="5E9D2CC3">
      <w:pPr>
        <w:spacing w:line="360" w:lineRule="auto"/>
        <w:ind w:firstLine="480" w:firstLineChars="200"/>
        <w:outlineLvl w:val="1"/>
        <w:rPr>
          <w:rFonts w:ascii="宋体" w:hAnsi="宋体" w:cs="宋体"/>
          <w:sz w:val="24"/>
        </w:rPr>
      </w:pPr>
      <w:r>
        <w:rPr>
          <w:rFonts w:hint="eastAsia" w:ascii="宋体" w:hAnsi="宋体" w:cs="宋体"/>
          <w:sz w:val="24"/>
        </w:rPr>
        <w:t>注：</w:t>
      </w:r>
      <w:r>
        <w:rPr>
          <w:rFonts w:ascii="宋体" w:hAnsi="宋体" w:cs="宋体"/>
          <w:sz w:val="24"/>
        </w:rPr>
        <w:t>若成交供应商明确表示无需预付款或者主动要求降低预付款比例的，采购人可不适用前述规定。</w:t>
      </w:r>
    </w:p>
    <w:p w14:paraId="3D05FC3B">
      <w:pPr>
        <w:spacing w:line="360" w:lineRule="auto"/>
        <w:ind w:firstLine="480" w:firstLineChars="200"/>
        <w:rPr>
          <w:rFonts w:ascii="宋体" w:hAnsi="宋体" w:cs="宋体"/>
          <w:sz w:val="24"/>
        </w:rPr>
      </w:pPr>
      <w:r>
        <w:rPr>
          <w:rFonts w:ascii="宋体" w:hAnsi="宋体" w:cs="宋体"/>
          <w:sz w:val="24"/>
        </w:rPr>
        <w:t>2.</w:t>
      </w:r>
      <w:r>
        <w:rPr>
          <w:rFonts w:hint="eastAsia" w:ascii="宋体" w:hAnsi="宋体" w:cs="宋体"/>
          <w:sz w:val="24"/>
        </w:rPr>
        <w:t>当采购数量与实际使用不一致时，乙方应根据实际情况，合同的最终结算金额按实际使用量乘以成交单价进行计算。</w:t>
      </w:r>
    </w:p>
    <w:p w14:paraId="3488C28F">
      <w:pPr>
        <w:pStyle w:val="135"/>
        <w:tabs>
          <w:tab w:val="left" w:pos="900"/>
          <w:tab w:val="left" w:pos="980"/>
          <w:tab w:val="left" w:pos="1710"/>
          <w:tab w:val="clear" w:pos="360"/>
        </w:tabs>
        <w:spacing w:before="156" w:after="156" w:line="360" w:lineRule="auto"/>
        <w:ind w:left="2" w:firstLine="0"/>
        <w:outlineLvl w:val="1"/>
        <w:rPr>
          <w:rFonts w:ascii="宋体"/>
          <w:b/>
          <w:bCs/>
        </w:rPr>
      </w:pPr>
      <w:r>
        <w:rPr>
          <w:rFonts w:hint="eastAsia" w:ascii="宋体" w:hAnsi="宋体" w:cs="宋体"/>
          <w:b/>
          <w:bCs/>
        </w:rPr>
        <w:t>九、税费</w:t>
      </w:r>
    </w:p>
    <w:p w14:paraId="31008028">
      <w:pPr>
        <w:spacing w:line="360" w:lineRule="auto"/>
        <w:ind w:firstLine="480" w:firstLineChars="200"/>
        <w:rPr>
          <w:rFonts w:ascii="宋体"/>
          <w:sz w:val="24"/>
        </w:rPr>
      </w:pPr>
      <w:r>
        <w:rPr>
          <w:rFonts w:hint="eastAsia" w:ascii="宋体" w:hAnsi="宋体" w:cs="宋体"/>
          <w:sz w:val="24"/>
        </w:rPr>
        <w:t>本合同执行中相关的一切税费均由乙方负担。</w:t>
      </w:r>
    </w:p>
    <w:p w14:paraId="567C0CFE">
      <w:pPr>
        <w:spacing w:line="360" w:lineRule="auto"/>
        <w:outlineLvl w:val="1"/>
        <w:rPr>
          <w:rFonts w:ascii="宋体"/>
          <w:b/>
          <w:bCs/>
          <w:sz w:val="24"/>
        </w:rPr>
      </w:pPr>
      <w:r>
        <w:rPr>
          <w:rFonts w:hint="eastAsia" w:ascii="宋体" w:hAnsi="宋体" w:cs="宋体"/>
          <w:b/>
          <w:bCs/>
          <w:sz w:val="24"/>
        </w:rPr>
        <w:t>十、质量保证及后续服务</w:t>
      </w:r>
    </w:p>
    <w:p w14:paraId="477721E7">
      <w:pPr>
        <w:spacing w:line="460" w:lineRule="exact"/>
        <w:ind w:firstLine="480" w:firstLineChars="200"/>
        <w:outlineLvl w:val="2"/>
        <w:rPr>
          <w:rFonts w:ascii="宋体"/>
          <w:sz w:val="24"/>
        </w:rPr>
      </w:pPr>
      <w:r>
        <w:rPr>
          <w:rFonts w:ascii="宋体" w:hAnsi="宋体" w:cs="宋体"/>
          <w:sz w:val="24"/>
        </w:rPr>
        <w:t>1</w:t>
      </w:r>
      <w:r>
        <w:rPr>
          <w:rFonts w:hint="eastAsia" w:ascii="宋体" w:hAnsi="宋体" w:cs="宋体"/>
          <w:sz w:val="24"/>
        </w:rPr>
        <w:t>．乙方应按招标文件规定向甲方提供服务。</w:t>
      </w:r>
    </w:p>
    <w:p w14:paraId="60B10E87">
      <w:pPr>
        <w:spacing w:line="460" w:lineRule="exact"/>
        <w:ind w:firstLine="480" w:firstLineChars="200"/>
        <w:rPr>
          <w:rFonts w:ascii="宋体"/>
          <w:sz w:val="24"/>
        </w:rPr>
      </w:pPr>
      <w:r>
        <w:rPr>
          <w:rFonts w:ascii="宋体" w:hAnsi="宋体" w:cs="宋体"/>
          <w:sz w:val="24"/>
        </w:rPr>
        <w:t>2</w:t>
      </w:r>
      <w:r>
        <w:rPr>
          <w:rFonts w:hint="eastAsia" w:ascii="宋体" w:hAnsi="宋体" w:cs="宋体"/>
          <w:sz w:val="24"/>
        </w:rPr>
        <w:t>．乙方提供的服务不到要求者，根据实际情况，经双方协商，可按以下办法处理：</w:t>
      </w:r>
    </w:p>
    <w:p w14:paraId="1583C6E2">
      <w:pPr>
        <w:spacing w:line="460" w:lineRule="exact"/>
        <w:ind w:firstLine="480" w:firstLineChars="200"/>
        <w:rPr>
          <w:rFonts w:ascii="宋体"/>
          <w:sz w:val="24"/>
        </w:rPr>
      </w:pPr>
      <w:r>
        <w:rPr>
          <w:rFonts w:hint="eastAsia" w:ascii="宋体" w:cs="宋体"/>
          <w:sz w:val="24"/>
        </w:rPr>
        <w:t>⑴</w:t>
      </w:r>
      <w:r>
        <w:rPr>
          <w:rFonts w:hint="eastAsia" w:ascii="宋体" w:hAnsi="宋体" w:cs="宋体"/>
          <w:sz w:val="24"/>
        </w:rPr>
        <w:t>重做：由乙方承担所发生的全部费用。</w:t>
      </w:r>
    </w:p>
    <w:p w14:paraId="3D49A385">
      <w:pPr>
        <w:spacing w:line="460" w:lineRule="exact"/>
        <w:ind w:firstLine="480" w:firstLineChars="200"/>
        <w:rPr>
          <w:rFonts w:ascii="宋体"/>
          <w:sz w:val="24"/>
        </w:rPr>
      </w:pPr>
      <w:r>
        <w:rPr>
          <w:rFonts w:hint="eastAsia" w:ascii="宋体" w:cs="宋体"/>
          <w:sz w:val="24"/>
        </w:rPr>
        <w:t>⑵</w:t>
      </w:r>
      <w:r>
        <w:rPr>
          <w:rFonts w:hint="eastAsia" w:ascii="宋体" w:hAnsi="宋体" w:cs="宋体"/>
          <w:sz w:val="24"/>
        </w:rPr>
        <w:t>贬值处理：由甲乙双方合议定价。</w:t>
      </w:r>
    </w:p>
    <w:p w14:paraId="630B550E">
      <w:pPr>
        <w:spacing w:line="460" w:lineRule="exact"/>
        <w:ind w:firstLine="480" w:firstLineChars="200"/>
        <w:rPr>
          <w:rFonts w:ascii="宋体"/>
          <w:sz w:val="24"/>
        </w:rPr>
      </w:pPr>
      <w:r>
        <w:rPr>
          <w:rFonts w:hint="eastAsia" w:ascii="宋体" w:cs="宋体"/>
          <w:sz w:val="24"/>
        </w:rPr>
        <w:t>⑶</w:t>
      </w:r>
      <w:r>
        <w:rPr>
          <w:rFonts w:hint="eastAsia" w:ascii="宋体" w:hAnsi="宋体" w:cs="宋体"/>
          <w:sz w:val="24"/>
        </w:rPr>
        <w:t>解除合同。</w:t>
      </w:r>
    </w:p>
    <w:p w14:paraId="293F4A0A">
      <w:pPr>
        <w:spacing w:line="460" w:lineRule="exact"/>
        <w:outlineLvl w:val="1"/>
        <w:rPr>
          <w:rFonts w:ascii="宋体"/>
          <w:b/>
          <w:bCs/>
          <w:sz w:val="24"/>
        </w:rPr>
      </w:pPr>
      <w:r>
        <w:rPr>
          <w:rFonts w:hint="eastAsia" w:ascii="宋体" w:hAnsi="宋体" w:cs="宋体"/>
          <w:b/>
          <w:bCs/>
          <w:sz w:val="24"/>
        </w:rPr>
        <w:t>十一、违约责任</w:t>
      </w:r>
    </w:p>
    <w:p w14:paraId="123AC76A">
      <w:pPr>
        <w:spacing w:line="460" w:lineRule="exact"/>
        <w:ind w:firstLine="480" w:firstLineChars="200"/>
        <w:rPr>
          <w:rFonts w:ascii="宋体"/>
          <w:color w:val="auto"/>
          <w:sz w:val="24"/>
        </w:rPr>
      </w:pPr>
      <w:r>
        <w:rPr>
          <w:rFonts w:ascii="宋体" w:hAnsi="宋体" w:cs="宋体"/>
          <w:color w:val="auto"/>
          <w:sz w:val="24"/>
        </w:rPr>
        <w:t>1</w:t>
      </w:r>
      <w:r>
        <w:rPr>
          <w:rFonts w:hint="eastAsia" w:ascii="宋体" w:hAnsi="宋体" w:cs="宋体"/>
          <w:color w:val="auto"/>
          <w:sz w:val="24"/>
        </w:rPr>
        <w:t>．甲方无正当理由拒绝接受服务的，甲方向乙方偿付合同款项百分之五作为违约金。</w:t>
      </w:r>
    </w:p>
    <w:p w14:paraId="73C363CB">
      <w:pPr>
        <w:spacing w:line="460" w:lineRule="exact"/>
        <w:ind w:firstLine="480" w:firstLineChars="200"/>
        <w:rPr>
          <w:rFonts w:ascii="宋体"/>
          <w:color w:val="auto"/>
          <w:sz w:val="24"/>
        </w:rPr>
      </w:pPr>
      <w:r>
        <w:rPr>
          <w:rFonts w:ascii="宋体" w:hAnsi="宋体" w:cs="宋体"/>
          <w:color w:val="auto"/>
          <w:sz w:val="24"/>
        </w:rPr>
        <w:t>2</w:t>
      </w:r>
      <w:r>
        <w:rPr>
          <w:rFonts w:hint="eastAsia" w:ascii="宋体" w:hAnsi="宋体" w:cs="宋体"/>
          <w:color w:val="auto"/>
          <w:sz w:val="24"/>
        </w:rPr>
        <w:t>．甲方无故逾期验收和办理款项支付手续的，甲方应按逾期付款总额每日万分之五向乙方支付违约金。</w:t>
      </w:r>
    </w:p>
    <w:p w14:paraId="211156F3">
      <w:pPr>
        <w:spacing w:line="460" w:lineRule="exact"/>
        <w:ind w:firstLine="480" w:firstLineChars="200"/>
        <w:rPr>
          <w:rFonts w:ascii="宋体"/>
          <w:sz w:val="24"/>
        </w:rPr>
      </w:pPr>
      <w:r>
        <w:rPr>
          <w:rFonts w:ascii="宋体" w:hAnsi="宋体" w:cs="宋体"/>
          <w:color w:val="auto"/>
          <w:sz w:val="24"/>
        </w:rPr>
        <w:t>3</w:t>
      </w:r>
      <w:r>
        <w:rPr>
          <w:rFonts w:hint="eastAsia" w:ascii="宋体" w:hAnsi="宋体" w:cs="宋体"/>
          <w:color w:val="auto"/>
          <w:sz w:val="24"/>
        </w:rPr>
        <w:t>．乙方未能如期提供服务的，每日向甲方支付合同款项的千分之六作为违约金。</w:t>
      </w:r>
      <w:r>
        <w:rPr>
          <w:rFonts w:hint="eastAsia" w:ascii="宋体" w:hAnsi="宋体" w:cs="宋体"/>
          <w:sz w:val="24"/>
        </w:rPr>
        <w:t>乙方超过约定日期</w:t>
      </w:r>
      <w:r>
        <w:rPr>
          <w:rFonts w:ascii="宋体" w:hAnsi="宋体" w:cs="宋体"/>
          <w:sz w:val="24"/>
        </w:rPr>
        <w:t>10</w:t>
      </w:r>
      <w:r>
        <w:rPr>
          <w:rFonts w:hint="eastAsia" w:ascii="宋体" w:hAnsi="宋体" w:cs="宋体"/>
          <w:sz w:val="24"/>
        </w:rPr>
        <w:t>个工作日仍不能提供服务的，甲方可解除本合同。乙方因未能如期提供服务或因其他违约行为导致甲方解除合同的，乙方应向甲方支付合同总值</w:t>
      </w:r>
      <w:r>
        <w:rPr>
          <w:rFonts w:ascii="宋体" w:hAnsi="宋体" w:cs="宋体"/>
          <w:sz w:val="24"/>
        </w:rPr>
        <w:t>5%</w:t>
      </w:r>
      <w:r>
        <w:rPr>
          <w:rFonts w:hint="eastAsia" w:ascii="宋体" w:hAnsi="宋体" w:cs="宋体"/>
          <w:sz w:val="24"/>
        </w:rPr>
        <w:t>的违约金，如造成甲方损失超过违约金的，超出部分由乙方继续承担赔偿责任。</w:t>
      </w:r>
    </w:p>
    <w:p w14:paraId="5E77512F">
      <w:pPr>
        <w:spacing w:line="460" w:lineRule="exact"/>
        <w:outlineLvl w:val="1"/>
        <w:rPr>
          <w:rFonts w:ascii="宋体"/>
          <w:b/>
          <w:bCs/>
          <w:sz w:val="24"/>
        </w:rPr>
      </w:pPr>
      <w:r>
        <w:rPr>
          <w:rFonts w:hint="eastAsia" w:ascii="宋体" w:hAnsi="宋体" w:cs="宋体"/>
          <w:b/>
          <w:bCs/>
          <w:sz w:val="24"/>
        </w:rPr>
        <w:t>十二、不可抗力事件处理</w:t>
      </w:r>
    </w:p>
    <w:p w14:paraId="08634B92">
      <w:pPr>
        <w:spacing w:line="460" w:lineRule="exact"/>
        <w:ind w:firstLine="480" w:firstLineChars="200"/>
        <w:rPr>
          <w:rFonts w:ascii="宋体"/>
          <w:sz w:val="24"/>
        </w:rPr>
      </w:pPr>
      <w:r>
        <w:rPr>
          <w:rFonts w:ascii="宋体" w:hAnsi="宋体" w:cs="宋体"/>
          <w:sz w:val="24"/>
        </w:rPr>
        <w:t>1</w:t>
      </w:r>
      <w:r>
        <w:rPr>
          <w:rFonts w:hint="eastAsia" w:ascii="宋体" w:hAnsi="宋体" w:cs="宋体"/>
          <w:sz w:val="24"/>
        </w:rPr>
        <w:t>．在合同有效期内，任何一方因不可抗力事件导致不能履行合同，则合同履行期可延长，其延长期与不可抗力影响期相同。</w:t>
      </w:r>
    </w:p>
    <w:p w14:paraId="411FA5C3">
      <w:pPr>
        <w:spacing w:line="460" w:lineRule="exact"/>
        <w:ind w:firstLine="480" w:firstLineChars="200"/>
        <w:rPr>
          <w:rFonts w:ascii="宋体"/>
          <w:sz w:val="24"/>
        </w:rPr>
      </w:pPr>
      <w:r>
        <w:rPr>
          <w:rFonts w:ascii="宋体" w:hAnsi="宋体" w:cs="宋体"/>
          <w:sz w:val="24"/>
        </w:rPr>
        <w:t>2</w:t>
      </w:r>
      <w:r>
        <w:rPr>
          <w:rFonts w:hint="eastAsia" w:ascii="宋体" w:hAnsi="宋体" w:cs="宋体"/>
          <w:sz w:val="24"/>
        </w:rPr>
        <w:t>．不可抗力事件发生后，应立即通知对方，并寄送有关权威机构出具的证明。</w:t>
      </w:r>
    </w:p>
    <w:p w14:paraId="6C4F7BDB">
      <w:pPr>
        <w:spacing w:line="460" w:lineRule="exact"/>
        <w:ind w:firstLine="480" w:firstLineChars="200"/>
        <w:rPr>
          <w:rFonts w:ascii="宋体"/>
          <w:sz w:val="24"/>
        </w:rPr>
      </w:pPr>
      <w:r>
        <w:rPr>
          <w:rFonts w:ascii="宋体" w:hAnsi="宋体" w:cs="宋体"/>
          <w:sz w:val="24"/>
        </w:rPr>
        <w:t>3</w:t>
      </w:r>
      <w:r>
        <w:rPr>
          <w:rFonts w:hint="eastAsia" w:ascii="宋体" w:hAnsi="宋体" w:cs="宋体"/>
          <w:sz w:val="24"/>
        </w:rPr>
        <w:t>．不可抗力事件延续</w:t>
      </w:r>
      <w:r>
        <w:rPr>
          <w:rFonts w:ascii="宋体" w:hAnsi="宋体" w:cs="宋体"/>
          <w:sz w:val="24"/>
        </w:rPr>
        <w:t>120</w:t>
      </w:r>
      <w:r>
        <w:rPr>
          <w:rFonts w:hint="eastAsia" w:ascii="宋体" w:hAnsi="宋体" w:cs="宋体"/>
          <w:sz w:val="24"/>
        </w:rPr>
        <w:t>天以上，双方应通过友好协商，确定是否继续履行合同。</w:t>
      </w:r>
    </w:p>
    <w:p w14:paraId="7DCB2CA4">
      <w:pPr>
        <w:spacing w:line="460" w:lineRule="exact"/>
        <w:outlineLvl w:val="1"/>
        <w:rPr>
          <w:rFonts w:ascii="宋体"/>
          <w:b/>
          <w:bCs/>
          <w:sz w:val="24"/>
        </w:rPr>
      </w:pPr>
      <w:r>
        <w:rPr>
          <w:rFonts w:hint="eastAsia" w:ascii="宋体" w:hAnsi="宋体" w:cs="宋体"/>
          <w:b/>
          <w:bCs/>
          <w:sz w:val="24"/>
        </w:rPr>
        <w:t>十三、诉讼</w:t>
      </w:r>
    </w:p>
    <w:p w14:paraId="745500CC">
      <w:pPr>
        <w:spacing w:line="460" w:lineRule="exact"/>
        <w:ind w:firstLine="480" w:firstLineChars="200"/>
        <w:rPr>
          <w:rFonts w:ascii="宋体"/>
          <w:sz w:val="24"/>
        </w:rPr>
      </w:pPr>
      <w:r>
        <w:rPr>
          <w:rFonts w:hint="eastAsia" w:ascii="宋体" w:hAnsi="宋体" w:cs="宋体"/>
          <w:sz w:val="24"/>
        </w:rPr>
        <w:t>双方在执行合同中所发生的一切争议，应通过协商解决。如协商不成，可向甲方所在地法院起诉。</w:t>
      </w:r>
    </w:p>
    <w:p w14:paraId="09EF14AC">
      <w:pPr>
        <w:spacing w:line="460" w:lineRule="exact"/>
        <w:outlineLvl w:val="1"/>
        <w:rPr>
          <w:rFonts w:ascii="宋体"/>
          <w:b/>
          <w:bCs/>
          <w:sz w:val="24"/>
        </w:rPr>
      </w:pPr>
      <w:r>
        <w:rPr>
          <w:rFonts w:hint="eastAsia" w:ascii="宋体" w:hAnsi="宋体" w:cs="宋体"/>
          <w:b/>
          <w:bCs/>
          <w:sz w:val="24"/>
        </w:rPr>
        <w:t>十四、合同生效及其他</w:t>
      </w:r>
    </w:p>
    <w:p w14:paraId="6E156822">
      <w:pPr>
        <w:spacing w:line="460" w:lineRule="exact"/>
        <w:ind w:firstLine="480" w:firstLineChars="200"/>
        <w:outlineLvl w:val="2"/>
        <w:rPr>
          <w:rFonts w:ascii="宋体"/>
          <w:sz w:val="24"/>
        </w:rPr>
      </w:pPr>
      <w:r>
        <w:rPr>
          <w:rFonts w:ascii="宋体" w:hAnsi="宋体" w:cs="宋体"/>
          <w:sz w:val="24"/>
        </w:rPr>
        <w:t>1</w:t>
      </w:r>
      <w:r>
        <w:rPr>
          <w:rFonts w:hint="eastAsia" w:ascii="宋体" w:hAnsi="宋体" w:cs="宋体"/>
          <w:sz w:val="24"/>
        </w:rPr>
        <w:t>．合同经双方法定代表人或授权代表签字并加盖单位公章后生效。</w:t>
      </w:r>
    </w:p>
    <w:p w14:paraId="588AD731">
      <w:pPr>
        <w:spacing w:line="460" w:lineRule="exact"/>
        <w:ind w:firstLine="480" w:firstLineChars="200"/>
        <w:rPr>
          <w:rFonts w:ascii="宋体"/>
          <w:sz w:val="24"/>
        </w:rPr>
      </w:pPr>
      <w:r>
        <w:rPr>
          <w:rFonts w:ascii="宋体" w:hAnsi="宋体" w:cs="宋体"/>
          <w:sz w:val="24"/>
        </w:rPr>
        <w:t>2</w:t>
      </w:r>
      <w:r>
        <w:rPr>
          <w:rFonts w:hint="eastAsia" w:ascii="宋体" w:hAnsi="宋体" w:cs="宋体"/>
          <w:sz w:val="24"/>
        </w:rPr>
        <w:t>．合同执行中涉及采购资金和采购内容修改或补充的，须经财政部门审批，并签书面补充协议报政府采购监督管理部门备案，方可作为主合同不可分割的一部分。</w:t>
      </w:r>
    </w:p>
    <w:p w14:paraId="7A2E65F4">
      <w:pPr>
        <w:spacing w:line="460" w:lineRule="exact"/>
        <w:ind w:firstLine="480" w:firstLineChars="200"/>
        <w:rPr>
          <w:rFonts w:ascii="宋体"/>
          <w:sz w:val="24"/>
        </w:rPr>
      </w:pPr>
      <w:r>
        <w:rPr>
          <w:rFonts w:ascii="宋体" w:hAnsi="宋体" w:cs="宋体"/>
          <w:sz w:val="24"/>
        </w:rPr>
        <w:t>3</w:t>
      </w:r>
      <w:r>
        <w:rPr>
          <w:rFonts w:hint="eastAsia" w:ascii="宋体" w:hAnsi="宋体" w:cs="宋体"/>
          <w:sz w:val="24"/>
        </w:rPr>
        <w:t>．本合同未尽事宜，遵照《中华人民共和国民法典》有关条文执行。</w:t>
      </w:r>
    </w:p>
    <w:p w14:paraId="20EA3500">
      <w:pPr>
        <w:spacing w:line="460" w:lineRule="exact"/>
        <w:ind w:firstLine="480" w:firstLineChars="200"/>
        <w:rPr>
          <w:rFonts w:ascii="宋体"/>
          <w:sz w:val="24"/>
        </w:rPr>
      </w:pPr>
      <w:r>
        <w:rPr>
          <w:rFonts w:ascii="宋体" w:hAnsi="宋体" w:cs="宋体"/>
          <w:sz w:val="24"/>
        </w:rPr>
        <w:t>4</w:t>
      </w:r>
      <w:r>
        <w:rPr>
          <w:rFonts w:hint="eastAsia" w:ascii="宋体" w:hAnsi="宋体" w:cs="宋体"/>
          <w:sz w:val="24"/>
        </w:rPr>
        <w:t>．合同正本一式五份，甲乙双方各执两份，</w:t>
      </w:r>
      <w:r>
        <w:rPr>
          <w:rFonts w:hint="eastAsia" w:ascii="宋体" w:hAnsi="宋体" w:cs="宋体"/>
          <w:kern w:val="0"/>
          <w:sz w:val="24"/>
        </w:rPr>
        <w:t>浙江华耀建设咨询有限公司</w:t>
      </w:r>
      <w:r>
        <w:rPr>
          <w:rFonts w:hint="eastAsia" w:ascii="宋体" w:hAnsi="宋体" w:cs="宋体"/>
          <w:sz w:val="24"/>
        </w:rPr>
        <w:t>（招标代理机构）执一份备案。</w:t>
      </w:r>
    </w:p>
    <w:p w14:paraId="4DAE9E58">
      <w:pPr>
        <w:spacing w:line="460" w:lineRule="exact"/>
        <w:ind w:firstLine="482" w:firstLineChars="200"/>
        <w:rPr>
          <w:rFonts w:ascii="宋体"/>
          <w:b/>
          <w:bCs/>
          <w:sz w:val="24"/>
        </w:rPr>
      </w:pPr>
    </w:p>
    <w:p w14:paraId="58F8A616">
      <w:pPr>
        <w:spacing w:line="460" w:lineRule="exact"/>
        <w:outlineLvl w:val="1"/>
        <w:rPr>
          <w:rFonts w:ascii="宋体"/>
          <w:b/>
          <w:bCs/>
          <w:sz w:val="24"/>
        </w:rPr>
      </w:pPr>
      <w:r>
        <w:rPr>
          <w:rFonts w:hint="eastAsia" w:ascii="宋体" w:hAnsi="宋体" w:cs="宋体"/>
          <w:b/>
          <w:bCs/>
          <w:sz w:val="24"/>
        </w:rPr>
        <w:t>十五、补充条款</w:t>
      </w:r>
    </w:p>
    <w:p w14:paraId="42F9D0B9">
      <w:pPr>
        <w:tabs>
          <w:tab w:val="left" w:pos="1440"/>
        </w:tabs>
        <w:spacing w:line="460" w:lineRule="exact"/>
        <w:rPr>
          <w:rFonts w:ascii="宋体"/>
          <w:sz w:val="24"/>
        </w:rPr>
      </w:pPr>
      <w:r>
        <w:rPr>
          <w:rFonts w:hint="eastAsia" w:ascii="宋体" w:hAnsi="宋体" w:cs="宋体"/>
          <w:sz w:val="24"/>
        </w:rPr>
        <w:t>甲方：                         乙方：</w:t>
      </w:r>
    </w:p>
    <w:p w14:paraId="7653C58D">
      <w:pPr>
        <w:tabs>
          <w:tab w:val="left" w:pos="1440"/>
        </w:tabs>
        <w:spacing w:line="460" w:lineRule="exact"/>
        <w:rPr>
          <w:rFonts w:ascii="宋体"/>
          <w:sz w:val="24"/>
        </w:rPr>
      </w:pPr>
      <w:r>
        <w:rPr>
          <w:rFonts w:hint="eastAsia" w:ascii="宋体" w:hAnsi="宋体" w:cs="宋体"/>
          <w:sz w:val="24"/>
        </w:rPr>
        <w:t>地址：                         地址：</w:t>
      </w:r>
    </w:p>
    <w:p w14:paraId="49E61E28">
      <w:pPr>
        <w:tabs>
          <w:tab w:val="left" w:pos="1440"/>
        </w:tabs>
        <w:spacing w:line="460" w:lineRule="exact"/>
        <w:rPr>
          <w:rFonts w:ascii="宋体" w:hAnsi="宋体" w:cs="宋体"/>
          <w:sz w:val="24"/>
        </w:rPr>
      </w:pPr>
      <w:r>
        <w:rPr>
          <w:rFonts w:hint="eastAsia" w:ascii="宋体" w:hAnsi="宋体" w:cs="宋体"/>
          <w:sz w:val="24"/>
        </w:rPr>
        <w:t>法定（授权）代表人：           法定（授权）代表人：</w:t>
      </w:r>
    </w:p>
    <w:p w14:paraId="61B9ABC5">
      <w:pPr>
        <w:tabs>
          <w:tab w:val="left" w:pos="1440"/>
        </w:tabs>
        <w:spacing w:line="460" w:lineRule="exact"/>
        <w:rPr>
          <w:rFonts w:ascii="宋体" w:hAnsi="宋体" w:cs="宋体"/>
          <w:sz w:val="24"/>
        </w:rPr>
      </w:pPr>
      <w:r>
        <w:rPr>
          <w:rFonts w:hint="eastAsia" w:ascii="宋体" w:hAnsi="宋体" w:cs="宋体"/>
          <w:sz w:val="24"/>
        </w:rPr>
        <w:t>邮编：                         邮编：</w:t>
      </w:r>
    </w:p>
    <w:p w14:paraId="5593C392">
      <w:pPr>
        <w:tabs>
          <w:tab w:val="left" w:pos="1440"/>
        </w:tabs>
        <w:spacing w:line="460" w:lineRule="exact"/>
        <w:rPr>
          <w:rFonts w:hAnsi="宋体" w:cs="宋体"/>
        </w:rPr>
      </w:pPr>
      <w:r>
        <w:rPr>
          <w:rFonts w:hint="eastAsia" w:hAnsi="宋体" w:cs="宋体"/>
        </w:rPr>
        <w:t>日期：                              日期：</w:t>
      </w:r>
    </w:p>
    <w:p w14:paraId="1069900D">
      <w:pPr>
        <w:pStyle w:val="34"/>
        <w:snapToGrid w:val="0"/>
        <w:spacing w:beforeLines="0" w:afterLines="0" w:line="360" w:lineRule="auto"/>
        <w:rPr>
          <w:rFonts w:hAnsi="宋体" w:cs="宋体"/>
        </w:rPr>
      </w:pPr>
    </w:p>
    <w:p w14:paraId="25929603">
      <w:pPr>
        <w:pStyle w:val="34"/>
        <w:snapToGrid w:val="0"/>
        <w:spacing w:beforeLines="0" w:afterLines="0" w:line="360" w:lineRule="auto"/>
        <w:rPr>
          <w:rFonts w:hAnsi="宋体" w:cs="宋体"/>
        </w:rPr>
      </w:pPr>
    </w:p>
    <w:p w14:paraId="1018518A">
      <w:pPr>
        <w:pStyle w:val="34"/>
        <w:snapToGrid w:val="0"/>
        <w:spacing w:beforeLines="0" w:afterLines="0" w:line="360" w:lineRule="auto"/>
        <w:rPr>
          <w:rFonts w:hAnsi="宋体" w:cs="宋体"/>
        </w:rPr>
      </w:pPr>
    </w:p>
    <w:p w14:paraId="6237A4D6">
      <w:pPr>
        <w:pStyle w:val="34"/>
        <w:snapToGrid w:val="0"/>
        <w:spacing w:beforeLines="0" w:afterLines="0" w:line="360" w:lineRule="auto"/>
        <w:rPr>
          <w:rFonts w:hAnsi="宋体" w:cs="宋体"/>
        </w:rPr>
      </w:pPr>
    </w:p>
    <w:p w14:paraId="16F557CE">
      <w:pPr>
        <w:pStyle w:val="34"/>
        <w:snapToGrid w:val="0"/>
        <w:spacing w:beforeLines="0" w:afterLines="0" w:line="360" w:lineRule="auto"/>
        <w:rPr>
          <w:rFonts w:hAnsi="宋体" w:cs="宋体"/>
        </w:rPr>
      </w:pPr>
    </w:p>
    <w:p w14:paraId="218B24B4">
      <w:pPr>
        <w:pStyle w:val="34"/>
        <w:snapToGrid w:val="0"/>
        <w:spacing w:beforeLines="0" w:afterLines="0" w:line="360" w:lineRule="auto"/>
        <w:rPr>
          <w:rFonts w:hAnsi="宋体" w:cs="宋体"/>
        </w:rPr>
      </w:pPr>
    </w:p>
    <w:p w14:paraId="6FC9B205">
      <w:pPr>
        <w:pStyle w:val="34"/>
        <w:snapToGrid w:val="0"/>
        <w:spacing w:beforeLines="0" w:afterLines="0" w:line="360" w:lineRule="auto"/>
        <w:rPr>
          <w:rFonts w:hAnsi="宋体" w:cs="宋体"/>
        </w:rPr>
      </w:pPr>
    </w:p>
    <w:p w14:paraId="1E244A20">
      <w:pPr>
        <w:pStyle w:val="34"/>
        <w:snapToGrid w:val="0"/>
        <w:spacing w:beforeLines="0" w:afterLines="0" w:line="360" w:lineRule="auto"/>
        <w:rPr>
          <w:rFonts w:hAnsi="宋体" w:cs="宋体"/>
        </w:rPr>
      </w:pPr>
    </w:p>
    <w:p w14:paraId="454FC3A9">
      <w:pPr>
        <w:pStyle w:val="34"/>
        <w:snapToGrid w:val="0"/>
        <w:spacing w:beforeLines="0" w:afterLines="0" w:line="360" w:lineRule="auto"/>
        <w:rPr>
          <w:rFonts w:hAnsi="宋体" w:cs="宋体"/>
        </w:rPr>
      </w:pPr>
    </w:p>
    <w:p w14:paraId="4B2BEF27">
      <w:pPr>
        <w:rPr>
          <w:rFonts w:hint="eastAsia"/>
        </w:rPr>
      </w:pPr>
      <w:bookmarkStart w:id="66" w:name="_Toc69913497"/>
      <w:bookmarkStart w:id="71" w:name="_GoBack"/>
      <w:bookmarkEnd w:id="71"/>
    </w:p>
    <w:p w14:paraId="22C0422E">
      <w:pPr>
        <w:pStyle w:val="2"/>
      </w:pPr>
      <w:r>
        <w:rPr>
          <w:rFonts w:hint="eastAsia"/>
        </w:rPr>
        <w:t>第四章响应文件格式</w:t>
      </w:r>
      <w:bookmarkEnd w:id="66"/>
    </w:p>
    <w:p w14:paraId="3B6C8E1A">
      <w:pPr>
        <w:snapToGrid w:val="0"/>
        <w:spacing w:before="156" w:beforeLines="50" w:after="50" w:line="400" w:lineRule="exact"/>
        <w:outlineLvl w:val="1"/>
        <w:rPr>
          <w:rFonts w:ascii="宋体" w:cs="Times New Roman"/>
          <w:b/>
          <w:bCs/>
          <w:sz w:val="24"/>
          <w:szCs w:val="24"/>
        </w:rPr>
      </w:pPr>
      <w:bookmarkStart w:id="67" w:name="_Toc69913498"/>
      <w:r>
        <w:rPr>
          <w:rFonts w:hint="eastAsia" w:ascii="宋体" w:hAnsi="宋体" w:cs="宋体"/>
          <w:b/>
          <w:bCs/>
          <w:sz w:val="24"/>
          <w:szCs w:val="24"/>
        </w:rPr>
        <w:t>一、响应文件封面格式</w:t>
      </w:r>
      <w:bookmarkEnd w:id="67"/>
    </w:p>
    <w:p w14:paraId="114C5E86">
      <w:pPr>
        <w:snapToGrid w:val="0"/>
        <w:spacing w:before="156" w:beforeLines="50" w:after="50" w:line="400" w:lineRule="exact"/>
        <w:jc w:val="center"/>
        <w:rPr>
          <w:rFonts w:ascii="宋体" w:cs="Times New Roman"/>
          <w:sz w:val="24"/>
          <w:szCs w:val="24"/>
        </w:rPr>
      </w:pPr>
    </w:p>
    <w:p w14:paraId="69510ADF">
      <w:pPr>
        <w:snapToGrid w:val="0"/>
        <w:spacing w:before="156" w:beforeLines="50" w:after="50" w:line="400" w:lineRule="exact"/>
        <w:jc w:val="center"/>
        <w:rPr>
          <w:rFonts w:ascii="宋体" w:cs="Times New Roman"/>
          <w:sz w:val="24"/>
          <w:szCs w:val="24"/>
        </w:rPr>
      </w:pPr>
    </w:p>
    <w:p w14:paraId="58A76260">
      <w:pPr>
        <w:snapToGrid w:val="0"/>
        <w:spacing w:before="156" w:beforeLines="50" w:after="50" w:line="400" w:lineRule="exact"/>
        <w:jc w:val="center"/>
        <w:rPr>
          <w:rFonts w:ascii="宋体" w:cs="Times New Roman"/>
          <w:b/>
          <w:bCs/>
          <w:sz w:val="36"/>
          <w:szCs w:val="36"/>
        </w:rPr>
      </w:pPr>
      <w:r>
        <w:rPr>
          <w:rFonts w:hint="eastAsia" w:ascii="宋体" w:hAnsi="宋体" w:cs="宋体"/>
          <w:b/>
          <w:bCs/>
          <w:sz w:val="36"/>
          <w:szCs w:val="36"/>
        </w:rPr>
        <w:t>响应文件</w:t>
      </w:r>
    </w:p>
    <w:p w14:paraId="29623C65">
      <w:pPr>
        <w:snapToGrid w:val="0"/>
        <w:spacing w:before="156" w:beforeLines="50" w:after="50" w:line="400" w:lineRule="exact"/>
        <w:rPr>
          <w:rFonts w:ascii="宋体" w:cs="Times New Roman"/>
          <w:sz w:val="24"/>
          <w:szCs w:val="24"/>
        </w:rPr>
      </w:pPr>
    </w:p>
    <w:p w14:paraId="29C71ED3">
      <w:pPr>
        <w:snapToGrid w:val="0"/>
        <w:spacing w:before="156" w:beforeLines="50" w:after="50" w:line="400" w:lineRule="exact"/>
        <w:rPr>
          <w:rFonts w:ascii="宋体" w:cs="Times New Roman"/>
          <w:sz w:val="24"/>
          <w:szCs w:val="24"/>
        </w:rPr>
      </w:pPr>
    </w:p>
    <w:p w14:paraId="7DB85928">
      <w:pPr>
        <w:snapToGrid w:val="0"/>
        <w:spacing w:before="156" w:beforeLines="50" w:after="50" w:line="400" w:lineRule="exact"/>
        <w:rPr>
          <w:rFonts w:ascii="宋体" w:cs="Times New Roman"/>
          <w:sz w:val="24"/>
          <w:szCs w:val="24"/>
        </w:rPr>
      </w:pPr>
      <w:r>
        <w:rPr>
          <w:rFonts w:hint="eastAsia" w:ascii="宋体" w:hAnsi="宋体" w:cs="宋体"/>
          <w:sz w:val="24"/>
          <w:szCs w:val="24"/>
        </w:rPr>
        <w:t>项目名称：</w:t>
      </w:r>
    </w:p>
    <w:p w14:paraId="5C622BC5">
      <w:pPr>
        <w:snapToGrid w:val="0"/>
        <w:spacing w:before="156" w:beforeLines="50" w:after="50" w:line="400" w:lineRule="exact"/>
        <w:rPr>
          <w:rFonts w:ascii="宋体" w:cs="Times New Roman"/>
          <w:sz w:val="24"/>
          <w:szCs w:val="24"/>
        </w:rPr>
      </w:pPr>
    </w:p>
    <w:p w14:paraId="42518993">
      <w:pPr>
        <w:snapToGrid w:val="0"/>
        <w:spacing w:before="156" w:beforeLines="50" w:after="50" w:line="400" w:lineRule="exact"/>
        <w:rPr>
          <w:rFonts w:ascii="宋体" w:cs="Times New Roman"/>
          <w:sz w:val="24"/>
          <w:szCs w:val="24"/>
        </w:rPr>
      </w:pPr>
      <w:r>
        <w:rPr>
          <w:rFonts w:hint="eastAsia" w:ascii="宋体" w:hAnsi="宋体" w:cs="宋体"/>
          <w:sz w:val="24"/>
          <w:szCs w:val="24"/>
        </w:rPr>
        <w:t>项目编号：</w:t>
      </w:r>
    </w:p>
    <w:p w14:paraId="4E50FDCF">
      <w:pPr>
        <w:snapToGrid w:val="0"/>
        <w:spacing w:before="156" w:beforeLines="50" w:after="50" w:line="400" w:lineRule="exact"/>
        <w:rPr>
          <w:rFonts w:ascii="宋体" w:cs="Times New Roman"/>
          <w:sz w:val="24"/>
          <w:szCs w:val="24"/>
        </w:rPr>
      </w:pPr>
    </w:p>
    <w:p w14:paraId="60AF972F">
      <w:pPr>
        <w:snapToGrid w:val="0"/>
        <w:spacing w:before="156" w:beforeLines="50" w:after="50" w:line="400" w:lineRule="exact"/>
        <w:rPr>
          <w:rFonts w:ascii="宋体" w:cs="Times New Roman"/>
          <w:sz w:val="24"/>
          <w:szCs w:val="24"/>
        </w:rPr>
      </w:pPr>
      <w:r>
        <w:rPr>
          <w:rFonts w:hint="eastAsia" w:ascii="宋体" w:hAnsi="宋体" w:cs="宋体"/>
          <w:sz w:val="24"/>
          <w:szCs w:val="24"/>
        </w:rPr>
        <w:t>响应文件名称：</w:t>
      </w:r>
    </w:p>
    <w:p w14:paraId="0908FE60">
      <w:pPr>
        <w:snapToGrid w:val="0"/>
        <w:spacing w:before="156" w:beforeLines="50" w:after="50" w:line="400" w:lineRule="exact"/>
        <w:rPr>
          <w:rFonts w:ascii="宋体" w:cs="Times New Roman"/>
          <w:sz w:val="24"/>
          <w:szCs w:val="24"/>
        </w:rPr>
      </w:pPr>
    </w:p>
    <w:p w14:paraId="15A1AEF5">
      <w:pPr>
        <w:snapToGrid w:val="0"/>
        <w:spacing w:before="156" w:beforeLines="50" w:after="50" w:line="400" w:lineRule="exact"/>
        <w:rPr>
          <w:rFonts w:ascii="宋体" w:cs="Times New Roman"/>
          <w:sz w:val="24"/>
          <w:szCs w:val="24"/>
        </w:rPr>
      </w:pPr>
      <w:r>
        <w:rPr>
          <w:rFonts w:hint="eastAsia" w:ascii="宋体" w:hAnsi="宋体" w:cs="宋体"/>
          <w:sz w:val="24"/>
          <w:szCs w:val="24"/>
        </w:rPr>
        <w:t>供应商名称：</w:t>
      </w:r>
    </w:p>
    <w:p w14:paraId="0BE393B6">
      <w:pPr>
        <w:snapToGrid w:val="0"/>
        <w:spacing w:before="156" w:beforeLines="50" w:after="50" w:line="400" w:lineRule="exact"/>
        <w:rPr>
          <w:rFonts w:ascii="宋体" w:cs="Times New Roman"/>
          <w:sz w:val="24"/>
          <w:szCs w:val="24"/>
        </w:rPr>
      </w:pPr>
    </w:p>
    <w:p w14:paraId="244D28C4">
      <w:pPr>
        <w:snapToGrid w:val="0"/>
        <w:spacing w:before="156" w:beforeLines="50" w:after="50" w:line="400" w:lineRule="exact"/>
        <w:rPr>
          <w:rFonts w:ascii="宋体" w:cs="Times New Roman"/>
          <w:sz w:val="24"/>
          <w:szCs w:val="24"/>
        </w:rPr>
      </w:pPr>
      <w:r>
        <w:rPr>
          <w:rFonts w:hint="eastAsia" w:ascii="宋体" w:hAnsi="宋体" w:cs="宋体"/>
          <w:sz w:val="24"/>
          <w:szCs w:val="24"/>
        </w:rPr>
        <w:t>供应商地址：</w:t>
      </w:r>
    </w:p>
    <w:p w14:paraId="6EB3FF20">
      <w:pPr>
        <w:snapToGrid w:val="0"/>
        <w:spacing w:before="156" w:beforeLines="50" w:after="50" w:line="400" w:lineRule="exact"/>
        <w:rPr>
          <w:rFonts w:ascii="宋体" w:cs="Times New Roman"/>
          <w:sz w:val="24"/>
          <w:szCs w:val="24"/>
        </w:rPr>
      </w:pPr>
    </w:p>
    <w:p w14:paraId="77B34B66">
      <w:pPr>
        <w:snapToGrid w:val="0"/>
        <w:spacing w:before="156" w:beforeLines="50" w:after="50" w:line="400" w:lineRule="exact"/>
        <w:rPr>
          <w:rFonts w:ascii="宋体" w:cs="Times New Roman"/>
          <w:sz w:val="24"/>
          <w:szCs w:val="24"/>
        </w:rPr>
      </w:pPr>
      <w:r>
        <w:rPr>
          <w:rFonts w:hint="eastAsia" w:ascii="宋体" w:hAnsi="宋体" w:cs="宋体"/>
          <w:sz w:val="24"/>
          <w:szCs w:val="24"/>
        </w:rPr>
        <w:t>在年月日时分之前不得启封</w:t>
      </w:r>
    </w:p>
    <w:p w14:paraId="4CB69A23">
      <w:pPr>
        <w:snapToGrid w:val="0"/>
        <w:spacing w:before="156" w:beforeLines="50" w:after="50" w:line="400" w:lineRule="exact"/>
        <w:ind w:firstLine="4080" w:firstLineChars="1700"/>
        <w:rPr>
          <w:rFonts w:ascii="宋体" w:cs="Times New Roman"/>
          <w:sz w:val="24"/>
          <w:szCs w:val="24"/>
        </w:rPr>
      </w:pPr>
    </w:p>
    <w:p w14:paraId="51FEC20E">
      <w:pPr>
        <w:snapToGrid w:val="0"/>
        <w:spacing w:before="156" w:beforeLines="50" w:after="50" w:line="400" w:lineRule="exact"/>
        <w:ind w:firstLine="645"/>
        <w:jc w:val="center"/>
        <w:rPr>
          <w:rFonts w:ascii="宋体" w:cs="Times New Roman"/>
          <w:sz w:val="24"/>
          <w:szCs w:val="24"/>
        </w:rPr>
      </w:pPr>
    </w:p>
    <w:p w14:paraId="6B6CF0C3">
      <w:pPr>
        <w:snapToGrid w:val="0"/>
        <w:spacing w:before="156" w:beforeLines="50" w:after="50" w:line="400" w:lineRule="exact"/>
        <w:ind w:right="480" w:firstLine="645"/>
        <w:jc w:val="right"/>
        <w:rPr>
          <w:rFonts w:ascii="宋体" w:cs="Times New Roman"/>
          <w:sz w:val="24"/>
          <w:szCs w:val="24"/>
        </w:rPr>
      </w:pPr>
      <w:r>
        <w:rPr>
          <w:rFonts w:hint="eastAsia" w:ascii="宋体" w:hAnsi="宋体" w:cs="宋体"/>
          <w:sz w:val="24"/>
          <w:szCs w:val="24"/>
        </w:rPr>
        <w:t>年月日</w:t>
      </w:r>
    </w:p>
    <w:p w14:paraId="67B9B2C1">
      <w:pPr>
        <w:snapToGrid w:val="0"/>
        <w:spacing w:before="156" w:beforeLines="50" w:after="50" w:line="400" w:lineRule="exact"/>
        <w:rPr>
          <w:rFonts w:ascii="宋体" w:cs="Times New Roman"/>
          <w:b/>
          <w:bCs/>
          <w:sz w:val="24"/>
          <w:szCs w:val="24"/>
        </w:rPr>
      </w:pPr>
    </w:p>
    <w:p w14:paraId="14C6C429">
      <w:pPr>
        <w:snapToGrid w:val="0"/>
        <w:spacing w:before="156" w:beforeLines="50" w:after="50" w:line="400" w:lineRule="exact"/>
        <w:rPr>
          <w:rFonts w:ascii="宋体" w:cs="Times New Roman"/>
          <w:b/>
          <w:bCs/>
          <w:sz w:val="24"/>
          <w:szCs w:val="24"/>
        </w:rPr>
      </w:pPr>
    </w:p>
    <w:p w14:paraId="74B1DA9A">
      <w:pPr>
        <w:widowControl/>
        <w:spacing w:line="400" w:lineRule="exact"/>
        <w:rPr>
          <w:rFonts w:ascii="宋体" w:cs="Times New Roman"/>
        </w:rPr>
      </w:pPr>
      <w:r>
        <w:rPr>
          <w:rFonts w:ascii="宋体" w:cs="Times New Roman"/>
        </w:rPr>
        <w:br w:type="page"/>
      </w:r>
    </w:p>
    <w:p w14:paraId="681196C6">
      <w:pPr>
        <w:widowControl/>
        <w:spacing w:line="400" w:lineRule="exact"/>
        <w:rPr>
          <w:rFonts w:ascii="宋体" w:hAnsi="宋体" w:cs="仿宋"/>
          <w:sz w:val="24"/>
        </w:rPr>
      </w:pPr>
      <w:r>
        <w:rPr>
          <w:rFonts w:hint="eastAsia" w:ascii="宋体" w:hAnsi="宋体" w:cs="仿宋"/>
          <w:sz w:val="24"/>
        </w:rPr>
        <w:t>二、报价文件目录：</w:t>
      </w:r>
    </w:p>
    <w:p w14:paraId="750902E0">
      <w:pPr>
        <w:spacing w:line="460" w:lineRule="exact"/>
        <w:jc w:val="left"/>
        <w:rPr>
          <w:rFonts w:ascii="宋体" w:hAnsi="宋体" w:cs="仿宋"/>
          <w:sz w:val="24"/>
        </w:rPr>
      </w:pPr>
      <w:r>
        <w:rPr>
          <w:rFonts w:hint="eastAsia" w:ascii="宋体" w:hAnsi="宋体" w:cs="仿宋"/>
          <w:sz w:val="24"/>
        </w:rPr>
        <w:t>（</w:t>
      </w:r>
      <w:r>
        <w:rPr>
          <w:rFonts w:ascii="宋体" w:hAnsi="宋体" w:cs="仿宋"/>
          <w:sz w:val="24"/>
        </w:rPr>
        <w:t>1</w:t>
      </w:r>
      <w:r>
        <w:rPr>
          <w:rFonts w:hint="eastAsia" w:ascii="宋体" w:hAnsi="宋体" w:cs="仿宋"/>
          <w:sz w:val="24"/>
        </w:rPr>
        <w:t>）磋商报价一览表（首次报价）；</w:t>
      </w:r>
    </w:p>
    <w:p w14:paraId="4A98B1F4">
      <w:pPr>
        <w:spacing w:line="460" w:lineRule="exact"/>
        <w:jc w:val="left"/>
        <w:rPr>
          <w:rFonts w:ascii="宋体" w:hAnsi="宋体" w:cs="仿宋"/>
          <w:sz w:val="24"/>
        </w:rPr>
      </w:pPr>
      <w:r>
        <w:rPr>
          <w:rFonts w:hint="eastAsia" w:ascii="宋体" w:hAnsi="宋体" w:cs="仿宋"/>
          <w:sz w:val="24"/>
        </w:rPr>
        <w:t>（</w:t>
      </w:r>
      <w:r>
        <w:rPr>
          <w:rFonts w:ascii="宋体" w:hAnsi="宋体" w:cs="仿宋"/>
          <w:sz w:val="24"/>
        </w:rPr>
        <w:t>2</w:t>
      </w:r>
      <w:r>
        <w:rPr>
          <w:rFonts w:hint="eastAsia" w:ascii="宋体" w:hAnsi="宋体" w:cs="仿宋"/>
          <w:sz w:val="24"/>
        </w:rPr>
        <w:t>）磋商报价明细表；</w:t>
      </w:r>
    </w:p>
    <w:p w14:paraId="60DC475E">
      <w:pPr>
        <w:spacing w:line="460" w:lineRule="exact"/>
        <w:jc w:val="left"/>
        <w:rPr>
          <w:rFonts w:ascii="宋体" w:hAnsi="宋体" w:cs="仿宋"/>
          <w:sz w:val="24"/>
        </w:rPr>
      </w:pPr>
      <w:r>
        <w:rPr>
          <w:rFonts w:hint="eastAsia" w:ascii="宋体" w:hAnsi="宋体" w:cs="仿宋"/>
          <w:sz w:val="24"/>
        </w:rPr>
        <w:t>（</w:t>
      </w:r>
      <w:r>
        <w:rPr>
          <w:rFonts w:ascii="宋体" w:hAnsi="宋体" w:cs="仿宋"/>
          <w:sz w:val="24"/>
        </w:rPr>
        <w:t>3</w:t>
      </w:r>
      <w:r>
        <w:rPr>
          <w:rFonts w:hint="eastAsia" w:ascii="宋体" w:hAnsi="宋体" w:cs="仿宋"/>
          <w:sz w:val="24"/>
        </w:rPr>
        <w:t>）中小企业声明函（如有，格式见附件）；</w:t>
      </w:r>
    </w:p>
    <w:p w14:paraId="63301273">
      <w:pPr>
        <w:spacing w:line="460" w:lineRule="exact"/>
        <w:jc w:val="left"/>
        <w:rPr>
          <w:rFonts w:ascii="宋体" w:hAnsi="宋体" w:cs="仿宋"/>
          <w:sz w:val="24"/>
        </w:rPr>
      </w:pPr>
      <w:r>
        <w:rPr>
          <w:rFonts w:hint="eastAsia" w:ascii="宋体" w:hAnsi="宋体" w:cs="仿宋"/>
          <w:sz w:val="24"/>
        </w:rPr>
        <w:t>（4）残疾人福利企业声明函（如有，格式见附件）；</w:t>
      </w:r>
    </w:p>
    <w:p w14:paraId="160F306E">
      <w:pPr>
        <w:spacing w:line="460" w:lineRule="exact"/>
        <w:jc w:val="left"/>
        <w:rPr>
          <w:rFonts w:ascii="宋体" w:hAnsi="宋体" w:cs="仿宋"/>
          <w:sz w:val="24"/>
        </w:rPr>
      </w:pPr>
      <w:r>
        <w:rPr>
          <w:rFonts w:hint="eastAsia" w:ascii="宋体" w:hAnsi="宋体" w:cs="仿宋"/>
          <w:sz w:val="24"/>
        </w:rPr>
        <w:t>（5）属于监狱企业的证明文件（如有）；</w:t>
      </w:r>
    </w:p>
    <w:p w14:paraId="3CF7622C">
      <w:pPr>
        <w:spacing w:line="460" w:lineRule="exact"/>
        <w:jc w:val="left"/>
        <w:rPr>
          <w:rFonts w:ascii="宋体" w:hAnsi="宋体" w:cs="仿宋"/>
          <w:sz w:val="24"/>
        </w:rPr>
      </w:pPr>
      <w:r>
        <w:rPr>
          <w:rFonts w:hint="eastAsia" w:ascii="宋体" w:hAnsi="宋体" w:cs="宋体"/>
          <w:sz w:val="24"/>
          <w:szCs w:val="24"/>
        </w:rPr>
        <w:t>（6）</w:t>
      </w:r>
      <w:r>
        <w:rPr>
          <w:rFonts w:hint="eastAsia" w:ascii="宋体" w:hAnsi="宋体" w:cs="仿宋"/>
          <w:sz w:val="24"/>
        </w:rPr>
        <w:t>联合体各方共同磋商协议或分包意向协议（如有，格式自拟）；</w:t>
      </w:r>
    </w:p>
    <w:p w14:paraId="6452667F">
      <w:pPr>
        <w:spacing w:line="460" w:lineRule="exact"/>
        <w:jc w:val="left"/>
        <w:rPr>
          <w:rFonts w:ascii="宋体" w:hAnsi="宋体" w:cs="宋体"/>
          <w:sz w:val="24"/>
          <w:szCs w:val="24"/>
        </w:rPr>
      </w:pPr>
      <w:r>
        <w:rPr>
          <w:rFonts w:hint="eastAsia" w:ascii="宋体" w:hAnsi="宋体" w:cs="宋体"/>
          <w:sz w:val="24"/>
          <w:szCs w:val="24"/>
        </w:rPr>
        <w:t>（7）采购代理服务费承诺函；</w:t>
      </w:r>
    </w:p>
    <w:p w14:paraId="16A7E8FB">
      <w:pPr>
        <w:spacing w:line="460" w:lineRule="exact"/>
        <w:jc w:val="left"/>
        <w:rPr>
          <w:rFonts w:ascii="宋体" w:cs="Times New Roman"/>
          <w:sz w:val="24"/>
          <w:szCs w:val="24"/>
        </w:rPr>
      </w:pPr>
      <w:r>
        <w:rPr>
          <w:rFonts w:hint="eastAsia" w:ascii="宋体" w:hAnsi="宋体" w:cs="宋体"/>
          <w:sz w:val="24"/>
          <w:szCs w:val="24"/>
        </w:rPr>
        <w:t>（8）供应商针对报价需要说明的其他材料（格式自拟）。</w:t>
      </w:r>
    </w:p>
    <w:p w14:paraId="24952B59">
      <w:pPr>
        <w:snapToGrid w:val="0"/>
        <w:spacing w:before="156" w:beforeLines="50" w:after="50" w:line="400" w:lineRule="exact"/>
        <w:rPr>
          <w:rFonts w:ascii="宋体" w:cs="Times New Roman"/>
        </w:rPr>
      </w:pPr>
    </w:p>
    <w:p w14:paraId="1F721876">
      <w:pPr>
        <w:snapToGrid w:val="0"/>
        <w:spacing w:before="156" w:beforeLines="50" w:after="50" w:line="400" w:lineRule="exact"/>
        <w:rPr>
          <w:rFonts w:ascii="宋体" w:cs="Times New Roman"/>
        </w:rPr>
      </w:pPr>
    </w:p>
    <w:p w14:paraId="7AED141D">
      <w:pPr>
        <w:snapToGrid w:val="0"/>
        <w:spacing w:before="156" w:beforeLines="50" w:after="50" w:line="400" w:lineRule="exact"/>
        <w:rPr>
          <w:rFonts w:ascii="宋体" w:cs="Times New Roman"/>
        </w:rPr>
      </w:pPr>
    </w:p>
    <w:p w14:paraId="3D163A9C">
      <w:pPr>
        <w:snapToGrid w:val="0"/>
        <w:spacing w:before="156" w:beforeLines="50" w:after="50" w:line="400" w:lineRule="exact"/>
        <w:rPr>
          <w:rFonts w:ascii="宋体" w:cs="Times New Roman"/>
        </w:rPr>
      </w:pPr>
    </w:p>
    <w:p w14:paraId="7EE5D69F">
      <w:pPr>
        <w:snapToGrid w:val="0"/>
        <w:spacing w:before="156" w:beforeLines="50" w:after="50" w:line="400" w:lineRule="exact"/>
        <w:rPr>
          <w:rFonts w:ascii="宋体" w:cs="Times New Roman"/>
        </w:rPr>
      </w:pPr>
    </w:p>
    <w:p w14:paraId="5B5C39B6">
      <w:pPr>
        <w:snapToGrid w:val="0"/>
        <w:spacing w:before="156" w:beforeLines="50" w:after="50" w:line="400" w:lineRule="exact"/>
        <w:rPr>
          <w:rFonts w:ascii="宋体" w:cs="Times New Roman"/>
        </w:rPr>
      </w:pPr>
    </w:p>
    <w:p w14:paraId="128FB7DE">
      <w:pPr>
        <w:snapToGrid w:val="0"/>
        <w:spacing w:before="156" w:beforeLines="50" w:after="50" w:line="400" w:lineRule="exact"/>
        <w:rPr>
          <w:rFonts w:ascii="宋体" w:cs="Times New Roman"/>
        </w:rPr>
      </w:pPr>
    </w:p>
    <w:p w14:paraId="3EEF7FA5">
      <w:pPr>
        <w:snapToGrid w:val="0"/>
        <w:spacing w:before="156" w:beforeLines="50" w:after="50" w:line="400" w:lineRule="exact"/>
        <w:rPr>
          <w:rFonts w:ascii="宋体" w:cs="Times New Roman"/>
        </w:rPr>
      </w:pPr>
    </w:p>
    <w:p w14:paraId="76F168B4">
      <w:pPr>
        <w:snapToGrid w:val="0"/>
        <w:spacing w:before="156" w:beforeLines="50" w:after="50" w:line="400" w:lineRule="exact"/>
        <w:rPr>
          <w:rFonts w:ascii="宋体" w:cs="Times New Roman"/>
        </w:rPr>
      </w:pPr>
    </w:p>
    <w:p w14:paraId="2648DA55">
      <w:pPr>
        <w:snapToGrid w:val="0"/>
        <w:spacing w:before="156" w:beforeLines="50" w:after="50" w:line="400" w:lineRule="exact"/>
        <w:rPr>
          <w:rFonts w:ascii="宋体" w:cs="Times New Roman"/>
        </w:rPr>
      </w:pPr>
    </w:p>
    <w:p w14:paraId="1D1E4C99">
      <w:pPr>
        <w:snapToGrid w:val="0"/>
        <w:spacing w:before="156" w:beforeLines="50" w:after="50" w:line="400" w:lineRule="exact"/>
        <w:rPr>
          <w:rFonts w:ascii="宋体" w:cs="Times New Roman"/>
        </w:rPr>
      </w:pPr>
    </w:p>
    <w:p w14:paraId="1D1E260B">
      <w:pPr>
        <w:snapToGrid w:val="0"/>
        <w:spacing w:before="156" w:beforeLines="50" w:after="50" w:line="400" w:lineRule="exact"/>
        <w:rPr>
          <w:rFonts w:ascii="宋体" w:cs="Times New Roman"/>
        </w:rPr>
      </w:pPr>
    </w:p>
    <w:p w14:paraId="3818B728">
      <w:pPr>
        <w:snapToGrid w:val="0"/>
        <w:spacing w:before="156" w:beforeLines="50" w:after="50" w:line="400" w:lineRule="exact"/>
        <w:rPr>
          <w:rFonts w:ascii="宋体" w:cs="Times New Roman"/>
        </w:rPr>
      </w:pPr>
    </w:p>
    <w:p w14:paraId="5B7F48C0">
      <w:pPr>
        <w:snapToGrid w:val="0"/>
        <w:spacing w:before="156" w:beforeLines="50" w:after="50" w:line="400" w:lineRule="exact"/>
        <w:rPr>
          <w:rFonts w:ascii="宋体" w:cs="Times New Roman"/>
        </w:rPr>
      </w:pPr>
    </w:p>
    <w:p w14:paraId="29BC66CE">
      <w:pPr>
        <w:snapToGrid w:val="0"/>
        <w:spacing w:before="156" w:beforeLines="50" w:after="50" w:line="400" w:lineRule="exact"/>
        <w:rPr>
          <w:rFonts w:ascii="宋体" w:cs="Times New Roman"/>
        </w:rPr>
      </w:pPr>
    </w:p>
    <w:p w14:paraId="410853C8">
      <w:pPr>
        <w:snapToGrid w:val="0"/>
        <w:spacing w:before="156" w:beforeLines="50" w:after="50" w:line="400" w:lineRule="exact"/>
        <w:rPr>
          <w:rFonts w:ascii="宋体" w:cs="Times New Roman"/>
        </w:rPr>
      </w:pPr>
    </w:p>
    <w:p w14:paraId="6D7EDE03">
      <w:pPr>
        <w:snapToGrid w:val="0"/>
        <w:spacing w:before="156" w:beforeLines="50" w:after="50" w:line="400" w:lineRule="exact"/>
        <w:rPr>
          <w:rFonts w:ascii="宋体" w:cs="Times New Roman"/>
        </w:rPr>
      </w:pPr>
    </w:p>
    <w:p w14:paraId="45BDDCCA">
      <w:pPr>
        <w:snapToGrid w:val="0"/>
        <w:spacing w:before="156" w:beforeLines="50" w:after="50" w:line="400" w:lineRule="exact"/>
        <w:rPr>
          <w:rFonts w:ascii="宋体" w:hAnsi="宋体" w:cs="宋体"/>
          <w:b/>
          <w:bCs/>
          <w:sz w:val="36"/>
          <w:szCs w:val="36"/>
        </w:rPr>
      </w:pPr>
      <w:r>
        <w:rPr>
          <w:rFonts w:ascii="宋体" w:hAnsi="宋体" w:cs="宋体"/>
          <w:b/>
          <w:bCs/>
          <w:sz w:val="36"/>
          <w:szCs w:val="36"/>
        </w:rPr>
        <w:t>1</w:t>
      </w:r>
      <w:r>
        <w:rPr>
          <w:rFonts w:hint="eastAsia" w:ascii="宋体" w:hAnsi="宋体" w:cs="宋体"/>
          <w:b/>
          <w:bCs/>
          <w:sz w:val="36"/>
          <w:szCs w:val="36"/>
        </w:rPr>
        <w:t>、磋商报价一览表（首次报价）</w:t>
      </w:r>
    </w:p>
    <w:p w14:paraId="1F2BD72B">
      <w:pPr>
        <w:spacing w:line="360" w:lineRule="auto"/>
        <w:jc w:val="center"/>
        <w:rPr>
          <w:rFonts w:ascii="宋体" w:cs="Times New Roman"/>
          <w:b/>
          <w:bCs/>
          <w:sz w:val="36"/>
          <w:szCs w:val="36"/>
        </w:rPr>
      </w:pPr>
      <w:r>
        <w:rPr>
          <w:rFonts w:hint="eastAsia" w:ascii="宋体" w:hAnsi="宋体" w:cs="宋体"/>
          <w:b/>
          <w:bCs/>
          <w:sz w:val="36"/>
          <w:szCs w:val="36"/>
        </w:rPr>
        <w:t>（该表格装入响应文件正本内）</w:t>
      </w:r>
    </w:p>
    <w:p w14:paraId="1574605C">
      <w:pPr>
        <w:spacing w:line="360" w:lineRule="auto"/>
        <w:rPr>
          <w:rFonts w:ascii="宋体" w:cs="Times New Roman"/>
          <w:sz w:val="28"/>
          <w:szCs w:val="28"/>
        </w:rPr>
      </w:pPr>
    </w:p>
    <w:p w14:paraId="53FFD2AE">
      <w:pPr>
        <w:ind w:firstLine="309"/>
        <w:rPr>
          <w:rFonts w:ascii="宋体" w:cs="宋体"/>
          <w:sz w:val="28"/>
          <w:szCs w:val="28"/>
        </w:rPr>
      </w:pPr>
      <w:r>
        <w:rPr>
          <w:rFonts w:hint="eastAsia" w:ascii="宋体" w:hAnsi="宋体" w:cs="宋体"/>
          <w:sz w:val="28"/>
          <w:szCs w:val="28"/>
        </w:rPr>
        <w:t>供应商全称（加盖公章）：磋商文件编号：</w:t>
      </w:r>
    </w:p>
    <w:tbl>
      <w:tblPr>
        <w:tblStyle w:val="63"/>
        <w:tblW w:w="8343"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7"/>
        <w:gridCol w:w="672"/>
        <w:gridCol w:w="5974"/>
      </w:tblGrid>
      <w:tr w14:paraId="3254C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6" w:hRule="atLeast"/>
        </w:trPr>
        <w:tc>
          <w:tcPr>
            <w:tcW w:w="2369" w:type="dxa"/>
            <w:gridSpan w:val="2"/>
            <w:vAlign w:val="center"/>
          </w:tcPr>
          <w:p w14:paraId="413A4A3B">
            <w:pPr>
              <w:jc w:val="center"/>
              <w:rPr>
                <w:rFonts w:ascii="宋体" w:cs="宋体"/>
                <w:sz w:val="28"/>
                <w:szCs w:val="28"/>
              </w:rPr>
            </w:pPr>
            <w:r>
              <w:rPr>
                <w:rFonts w:hint="eastAsia" w:ascii="宋体" w:hAnsi="宋体" w:cs="宋体"/>
                <w:sz w:val="28"/>
                <w:szCs w:val="28"/>
              </w:rPr>
              <w:t>项目名称</w:t>
            </w:r>
          </w:p>
        </w:tc>
        <w:tc>
          <w:tcPr>
            <w:tcW w:w="5974" w:type="dxa"/>
            <w:vAlign w:val="center"/>
          </w:tcPr>
          <w:p w14:paraId="7B873F2B">
            <w:pPr>
              <w:jc w:val="center"/>
              <w:rPr>
                <w:rFonts w:ascii="宋体" w:cs="宋体"/>
                <w:sz w:val="28"/>
                <w:szCs w:val="28"/>
              </w:rPr>
            </w:pPr>
          </w:p>
        </w:tc>
      </w:tr>
      <w:tr w14:paraId="12CB1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0" w:hRule="atLeast"/>
        </w:trPr>
        <w:tc>
          <w:tcPr>
            <w:tcW w:w="1697" w:type="dxa"/>
            <w:vMerge w:val="restart"/>
            <w:vAlign w:val="center"/>
          </w:tcPr>
          <w:p w14:paraId="7B97DF7E">
            <w:pPr>
              <w:jc w:val="center"/>
              <w:rPr>
                <w:rFonts w:ascii="宋体" w:cs="宋体"/>
                <w:sz w:val="28"/>
                <w:szCs w:val="28"/>
              </w:rPr>
            </w:pPr>
            <w:r>
              <w:rPr>
                <w:rFonts w:hint="eastAsia" w:ascii="宋体" w:hAnsi="宋体" w:cs="宋体"/>
                <w:sz w:val="28"/>
                <w:szCs w:val="28"/>
              </w:rPr>
              <w:t>磋商总报价</w:t>
            </w:r>
          </w:p>
          <w:p w14:paraId="31FCBAFD">
            <w:pPr>
              <w:jc w:val="center"/>
              <w:rPr>
                <w:rFonts w:ascii="宋体" w:cs="宋体"/>
                <w:sz w:val="28"/>
                <w:szCs w:val="28"/>
              </w:rPr>
            </w:pPr>
            <w:r>
              <w:rPr>
                <w:rFonts w:hint="eastAsia" w:ascii="宋体" w:hAnsi="宋体" w:cs="宋体"/>
                <w:sz w:val="28"/>
                <w:szCs w:val="28"/>
              </w:rPr>
              <w:t>人民币（元）</w:t>
            </w:r>
          </w:p>
        </w:tc>
        <w:tc>
          <w:tcPr>
            <w:tcW w:w="672" w:type="dxa"/>
            <w:vAlign w:val="center"/>
          </w:tcPr>
          <w:p w14:paraId="634A765B">
            <w:pPr>
              <w:jc w:val="center"/>
              <w:rPr>
                <w:rFonts w:ascii="宋体" w:cs="宋体"/>
                <w:sz w:val="28"/>
                <w:szCs w:val="28"/>
              </w:rPr>
            </w:pPr>
            <w:r>
              <w:rPr>
                <w:rFonts w:hint="eastAsia" w:ascii="宋体" w:hAnsi="宋体" w:cs="宋体"/>
                <w:sz w:val="28"/>
                <w:szCs w:val="28"/>
              </w:rPr>
              <w:t>小写</w:t>
            </w:r>
          </w:p>
        </w:tc>
        <w:tc>
          <w:tcPr>
            <w:tcW w:w="5974" w:type="dxa"/>
            <w:vAlign w:val="center"/>
          </w:tcPr>
          <w:p w14:paraId="20E81864">
            <w:pPr>
              <w:jc w:val="center"/>
              <w:rPr>
                <w:rFonts w:ascii="宋体" w:cs="宋体"/>
                <w:b/>
                <w:sz w:val="28"/>
                <w:szCs w:val="28"/>
              </w:rPr>
            </w:pPr>
          </w:p>
        </w:tc>
      </w:tr>
      <w:tr w14:paraId="05025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trPr>
        <w:tc>
          <w:tcPr>
            <w:tcW w:w="1697" w:type="dxa"/>
            <w:vMerge w:val="continue"/>
            <w:vAlign w:val="center"/>
          </w:tcPr>
          <w:p w14:paraId="36151288">
            <w:pPr>
              <w:jc w:val="center"/>
              <w:rPr>
                <w:rFonts w:ascii="宋体" w:cs="宋体"/>
                <w:sz w:val="28"/>
                <w:szCs w:val="28"/>
              </w:rPr>
            </w:pPr>
          </w:p>
        </w:tc>
        <w:tc>
          <w:tcPr>
            <w:tcW w:w="672" w:type="dxa"/>
            <w:vAlign w:val="center"/>
          </w:tcPr>
          <w:p w14:paraId="75D4555D">
            <w:pPr>
              <w:jc w:val="center"/>
              <w:rPr>
                <w:rFonts w:ascii="宋体" w:cs="宋体"/>
                <w:sz w:val="28"/>
                <w:szCs w:val="28"/>
              </w:rPr>
            </w:pPr>
            <w:r>
              <w:rPr>
                <w:rFonts w:hint="eastAsia" w:ascii="宋体" w:hAnsi="宋体" w:cs="宋体"/>
                <w:sz w:val="28"/>
                <w:szCs w:val="28"/>
              </w:rPr>
              <w:t>大写</w:t>
            </w:r>
          </w:p>
        </w:tc>
        <w:tc>
          <w:tcPr>
            <w:tcW w:w="5974" w:type="dxa"/>
            <w:vAlign w:val="center"/>
          </w:tcPr>
          <w:p w14:paraId="6FE09D31">
            <w:pPr>
              <w:jc w:val="center"/>
              <w:rPr>
                <w:rFonts w:ascii="宋体" w:cs="宋体"/>
                <w:b/>
                <w:sz w:val="28"/>
                <w:szCs w:val="28"/>
              </w:rPr>
            </w:pPr>
          </w:p>
        </w:tc>
      </w:tr>
    </w:tbl>
    <w:p w14:paraId="5C2CCCC4">
      <w:pPr>
        <w:spacing w:line="360" w:lineRule="auto"/>
        <w:rPr>
          <w:rFonts w:ascii="宋体" w:cs="宋体"/>
          <w:sz w:val="28"/>
          <w:szCs w:val="28"/>
        </w:rPr>
      </w:pPr>
      <w:r>
        <w:rPr>
          <w:rFonts w:hint="eastAsia" w:ascii="宋体" w:hAnsi="宋体" w:cs="宋体"/>
          <w:sz w:val="28"/>
          <w:szCs w:val="28"/>
        </w:rPr>
        <w:t>法定代表人或其授权代理人签字或盖章：</w:t>
      </w:r>
    </w:p>
    <w:p w14:paraId="2231E36C">
      <w:pPr>
        <w:spacing w:line="360" w:lineRule="auto"/>
        <w:rPr>
          <w:rFonts w:ascii="宋体" w:cs="Times New Roman"/>
          <w:sz w:val="28"/>
          <w:szCs w:val="28"/>
        </w:rPr>
      </w:pPr>
      <w:r>
        <w:rPr>
          <w:rFonts w:hint="eastAsia" w:ascii="宋体" w:hAnsi="宋体" w:cs="宋体"/>
          <w:sz w:val="28"/>
          <w:szCs w:val="28"/>
        </w:rPr>
        <w:t>日期：年月日</w:t>
      </w:r>
    </w:p>
    <w:p w14:paraId="1F4E4887">
      <w:pPr>
        <w:rPr>
          <w:rFonts w:ascii="宋体" w:cs="Times New Roman"/>
          <w:sz w:val="28"/>
          <w:szCs w:val="28"/>
        </w:rPr>
      </w:pPr>
    </w:p>
    <w:p w14:paraId="5F79AF39">
      <w:pPr>
        <w:snapToGrid w:val="0"/>
        <w:spacing w:before="156" w:after="50" w:line="320" w:lineRule="exact"/>
        <w:jc w:val="left"/>
        <w:rPr>
          <w:rFonts w:cs="Times New Roman"/>
          <w:sz w:val="24"/>
          <w:szCs w:val="24"/>
        </w:rPr>
      </w:pPr>
    </w:p>
    <w:p w14:paraId="66FB5342">
      <w:pPr>
        <w:snapToGrid w:val="0"/>
        <w:spacing w:before="156" w:after="50" w:line="320" w:lineRule="exact"/>
        <w:jc w:val="left"/>
        <w:rPr>
          <w:rFonts w:cs="Times New Roman"/>
          <w:sz w:val="24"/>
          <w:szCs w:val="24"/>
        </w:rPr>
      </w:pPr>
    </w:p>
    <w:p w14:paraId="1E7FAE0A">
      <w:pPr>
        <w:snapToGrid w:val="0"/>
        <w:spacing w:before="156" w:after="50" w:line="320" w:lineRule="exact"/>
        <w:jc w:val="left"/>
        <w:rPr>
          <w:rFonts w:cs="Times New Roman"/>
          <w:sz w:val="24"/>
          <w:szCs w:val="24"/>
        </w:rPr>
      </w:pPr>
    </w:p>
    <w:p w14:paraId="68395ED7">
      <w:pPr>
        <w:snapToGrid w:val="0"/>
        <w:spacing w:before="156" w:after="50" w:line="320" w:lineRule="exact"/>
        <w:jc w:val="left"/>
        <w:rPr>
          <w:rFonts w:cs="Times New Roman"/>
          <w:sz w:val="24"/>
          <w:szCs w:val="24"/>
        </w:rPr>
      </w:pPr>
    </w:p>
    <w:p w14:paraId="47C29667">
      <w:pPr>
        <w:snapToGrid w:val="0"/>
        <w:spacing w:before="156" w:after="50" w:line="320" w:lineRule="exact"/>
        <w:jc w:val="left"/>
        <w:rPr>
          <w:rFonts w:cs="Times New Roman"/>
          <w:sz w:val="24"/>
          <w:szCs w:val="24"/>
        </w:rPr>
      </w:pPr>
    </w:p>
    <w:p w14:paraId="0AC04BCB">
      <w:pPr>
        <w:snapToGrid w:val="0"/>
        <w:spacing w:before="156" w:after="50" w:line="320" w:lineRule="exact"/>
        <w:jc w:val="left"/>
        <w:rPr>
          <w:rFonts w:cs="Times New Roman"/>
          <w:sz w:val="24"/>
          <w:szCs w:val="24"/>
        </w:rPr>
      </w:pPr>
    </w:p>
    <w:p w14:paraId="34161C97">
      <w:pPr>
        <w:snapToGrid w:val="0"/>
        <w:spacing w:before="156" w:after="50" w:line="320" w:lineRule="exact"/>
        <w:jc w:val="left"/>
        <w:rPr>
          <w:rFonts w:cs="Times New Roman"/>
          <w:sz w:val="24"/>
          <w:szCs w:val="24"/>
        </w:rPr>
      </w:pPr>
    </w:p>
    <w:p w14:paraId="146E1CE6">
      <w:pPr>
        <w:widowControl/>
        <w:spacing w:line="400" w:lineRule="exact"/>
        <w:rPr>
          <w:rFonts w:hAnsi="宋体" w:cs="宋体"/>
          <w:sz w:val="24"/>
          <w:szCs w:val="24"/>
        </w:rPr>
      </w:pPr>
      <w:r>
        <w:rPr>
          <w:rFonts w:ascii="宋体" w:hAnsi="宋体" w:cs="宋体"/>
          <w:sz w:val="24"/>
          <w:szCs w:val="24"/>
        </w:rPr>
        <w:t>2</w:t>
      </w:r>
      <w:r>
        <w:rPr>
          <w:rFonts w:hint="eastAsia" w:ascii="宋体" w:hAnsi="宋体" w:cs="宋体"/>
          <w:sz w:val="24"/>
          <w:szCs w:val="24"/>
        </w:rPr>
        <w:t>、磋商报价明细表</w:t>
      </w:r>
      <w:r>
        <w:rPr>
          <w:rFonts w:hint="eastAsia" w:hAnsi="宋体" w:cs="宋体"/>
          <w:sz w:val="24"/>
          <w:szCs w:val="24"/>
        </w:rPr>
        <w:t>格式：</w:t>
      </w:r>
    </w:p>
    <w:p w14:paraId="682035D4">
      <w:pPr>
        <w:widowControl/>
        <w:spacing w:line="400" w:lineRule="exact"/>
        <w:rPr>
          <w:rFonts w:hAnsi="宋体" w:cs="宋体"/>
          <w:sz w:val="24"/>
          <w:szCs w:val="24"/>
        </w:rPr>
      </w:pPr>
    </w:p>
    <w:p w14:paraId="63F317F8">
      <w:pPr>
        <w:widowControl/>
        <w:spacing w:line="400" w:lineRule="exact"/>
        <w:rPr>
          <w:rFonts w:ascii="宋体" w:cs="Times New Roman"/>
          <w:sz w:val="24"/>
          <w:szCs w:val="24"/>
        </w:rPr>
      </w:pPr>
    </w:p>
    <w:p w14:paraId="52B60054">
      <w:pPr>
        <w:jc w:val="center"/>
        <w:rPr>
          <w:rFonts w:ascii="宋体" w:cs="Times New Roman"/>
          <w:b/>
          <w:bCs/>
          <w:sz w:val="24"/>
          <w:szCs w:val="24"/>
        </w:rPr>
      </w:pPr>
      <w:r>
        <w:rPr>
          <w:rFonts w:hint="eastAsia" w:ascii="宋体" w:hAnsi="宋体" w:cs="宋体"/>
          <w:b/>
          <w:bCs/>
          <w:sz w:val="36"/>
          <w:szCs w:val="36"/>
        </w:rPr>
        <w:t>磋商报价明细表</w:t>
      </w:r>
    </w:p>
    <w:p w14:paraId="3FF9FCBB">
      <w:pPr>
        <w:snapToGrid w:val="0"/>
        <w:spacing w:before="156" w:after="50"/>
        <w:rPr>
          <w:rFonts w:ascii="宋体" w:cs="Times New Roman"/>
          <w:b/>
          <w:bCs/>
          <w:sz w:val="24"/>
          <w:szCs w:val="24"/>
        </w:rPr>
      </w:pPr>
    </w:p>
    <w:p w14:paraId="377B1109">
      <w:pPr>
        <w:pStyle w:val="512"/>
        <w:spacing w:line="360" w:lineRule="auto"/>
        <w:ind w:firstLine="4337" w:firstLineChars="1800"/>
        <w:rPr>
          <w:rFonts w:cs="华文仿宋" w:asciiTheme="majorEastAsia" w:hAnsiTheme="majorEastAsia" w:eastAsiaTheme="majorEastAsia"/>
          <w:bCs/>
          <w:sz w:val="24"/>
          <w:lang w:val="en-US"/>
        </w:rPr>
      </w:pPr>
      <w:r>
        <w:rPr>
          <w:rFonts w:hint="eastAsia" w:ascii="宋体" w:hAnsiTheme="minorHAnsi" w:eastAsiaTheme="minorEastAsia"/>
          <w:b/>
          <w:bCs/>
          <w:sz w:val="24"/>
          <w:lang w:val="en-US"/>
        </w:rPr>
        <w:t>格式</w:t>
      </w:r>
      <w:r>
        <w:rPr>
          <w:rFonts w:ascii="宋体" w:hAnsiTheme="minorHAnsi" w:eastAsiaTheme="minorEastAsia"/>
          <w:b/>
          <w:bCs/>
          <w:sz w:val="24"/>
          <w:lang w:val="en-US"/>
        </w:rPr>
        <w:t>自拟</w:t>
      </w:r>
    </w:p>
    <w:p w14:paraId="4D9A34BE">
      <w:pPr>
        <w:pStyle w:val="512"/>
        <w:spacing w:line="360" w:lineRule="auto"/>
        <w:ind w:firstLine="0" w:firstLineChars="0"/>
        <w:rPr>
          <w:rFonts w:cs="华文仿宋" w:asciiTheme="majorEastAsia" w:hAnsiTheme="majorEastAsia" w:eastAsiaTheme="majorEastAsia"/>
          <w:b/>
          <w:sz w:val="24"/>
          <w:lang w:val="en-US"/>
        </w:rPr>
      </w:pPr>
    </w:p>
    <w:p w14:paraId="6F62F248">
      <w:pPr>
        <w:pStyle w:val="512"/>
        <w:spacing w:line="360" w:lineRule="auto"/>
        <w:ind w:firstLine="0" w:firstLineChars="0"/>
        <w:rPr>
          <w:rFonts w:cs="华文仿宋" w:asciiTheme="majorEastAsia" w:hAnsiTheme="majorEastAsia" w:eastAsiaTheme="majorEastAsia"/>
          <w:b/>
          <w:sz w:val="24"/>
          <w:lang w:val="en-US"/>
        </w:rPr>
      </w:pPr>
    </w:p>
    <w:p w14:paraId="4E2485A8">
      <w:pPr>
        <w:pStyle w:val="512"/>
        <w:spacing w:line="360" w:lineRule="auto"/>
        <w:ind w:firstLine="0" w:firstLineChars="0"/>
        <w:rPr>
          <w:rFonts w:cs="华文仿宋" w:asciiTheme="majorEastAsia" w:hAnsiTheme="majorEastAsia" w:eastAsiaTheme="majorEastAsia"/>
          <w:b/>
          <w:sz w:val="24"/>
          <w:lang w:val="en-US"/>
        </w:rPr>
      </w:pPr>
    </w:p>
    <w:p w14:paraId="46D51471">
      <w:pPr>
        <w:snapToGrid w:val="0"/>
        <w:spacing w:before="156" w:after="50" w:line="360" w:lineRule="auto"/>
        <w:ind w:left="-3" w:leftChars="-72" w:right="-817" w:rightChars="-389" w:hanging="148" w:hangingChars="62"/>
        <w:rPr>
          <w:rFonts w:cs="华文仿宋" w:asciiTheme="majorEastAsia" w:hAnsiTheme="majorEastAsia" w:eastAsiaTheme="majorEastAsia"/>
          <w:sz w:val="24"/>
          <w:szCs w:val="24"/>
        </w:rPr>
      </w:pPr>
      <w:r>
        <w:rPr>
          <w:rFonts w:hint="eastAsia" w:cs="华文仿宋" w:asciiTheme="majorEastAsia" w:hAnsiTheme="majorEastAsia" w:eastAsiaTheme="majorEastAsia"/>
          <w:sz w:val="24"/>
          <w:szCs w:val="24"/>
        </w:rPr>
        <w:t xml:space="preserve">法定代表人或授权代表（签字或盖章）： </w:t>
      </w:r>
    </w:p>
    <w:p w14:paraId="413FE959">
      <w:pPr>
        <w:snapToGrid w:val="0"/>
        <w:spacing w:before="156" w:after="50" w:line="360" w:lineRule="auto"/>
        <w:ind w:left="-3" w:leftChars="-72" w:right="-817" w:rightChars="-389" w:hanging="148" w:hangingChars="62"/>
        <w:rPr>
          <w:rFonts w:cs="华文仿宋" w:asciiTheme="majorEastAsia" w:hAnsiTheme="majorEastAsia" w:eastAsiaTheme="majorEastAsia"/>
          <w:sz w:val="24"/>
          <w:szCs w:val="24"/>
        </w:rPr>
      </w:pPr>
      <w:r>
        <w:rPr>
          <w:rFonts w:hint="eastAsia" w:cs="华文仿宋" w:asciiTheme="majorEastAsia" w:hAnsiTheme="majorEastAsia" w:eastAsiaTheme="majorEastAsia"/>
          <w:sz w:val="24"/>
          <w:szCs w:val="24"/>
        </w:rPr>
        <w:t>供应商名称（盖章）：</w:t>
      </w:r>
    </w:p>
    <w:p w14:paraId="5C2594D9">
      <w:pPr>
        <w:rPr>
          <w:rFonts w:cs="华文仿宋" w:asciiTheme="majorEastAsia" w:hAnsiTheme="majorEastAsia" w:eastAsiaTheme="majorEastAsia"/>
          <w:sz w:val="24"/>
          <w:szCs w:val="24"/>
        </w:rPr>
      </w:pPr>
    </w:p>
    <w:p w14:paraId="29F7BB9A">
      <w:pPr>
        <w:rPr>
          <w:rFonts w:ascii="宋体" w:cs="Times New Roman"/>
          <w:b/>
          <w:bCs/>
          <w:sz w:val="36"/>
          <w:szCs w:val="36"/>
        </w:rPr>
      </w:pPr>
    </w:p>
    <w:p w14:paraId="049C0E45">
      <w:pPr>
        <w:rPr>
          <w:rFonts w:ascii="宋体" w:cs="Times New Roman"/>
          <w:b/>
          <w:bCs/>
          <w:sz w:val="36"/>
          <w:szCs w:val="36"/>
        </w:rPr>
      </w:pPr>
    </w:p>
    <w:p w14:paraId="1DD30F7E">
      <w:pPr>
        <w:rPr>
          <w:rFonts w:ascii="宋体" w:cs="Times New Roman"/>
          <w:b/>
          <w:bCs/>
          <w:sz w:val="36"/>
          <w:szCs w:val="36"/>
        </w:rPr>
      </w:pPr>
    </w:p>
    <w:p w14:paraId="1162132A">
      <w:pPr>
        <w:rPr>
          <w:rFonts w:ascii="宋体" w:cs="Times New Roman"/>
          <w:b/>
          <w:bCs/>
          <w:sz w:val="36"/>
          <w:szCs w:val="36"/>
        </w:rPr>
      </w:pPr>
    </w:p>
    <w:p w14:paraId="14CD6AF7">
      <w:pPr>
        <w:rPr>
          <w:rFonts w:ascii="宋体" w:cs="Times New Roman"/>
          <w:b/>
          <w:bCs/>
          <w:sz w:val="36"/>
          <w:szCs w:val="36"/>
        </w:rPr>
      </w:pPr>
    </w:p>
    <w:p w14:paraId="7A0A67F4">
      <w:pPr>
        <w:rPr>
          <w:rFonts w:ascii="宋体" w:cs="Times New Roman"/>
          <w:b/>
          <w:bCs/>
          <w:sz w:val="36"/>
          <w:szCs w:val="36"/>
        </w:rPr>
      </w:pPr>
    </w:p>
    <w:p w14:paraId="0A1890CA">
      <w:pPr>
        <w:rPr>
          <w:rFonts w:ascii="宋体" w:cs="Times New Roman"/>
          <w:b/>
          <w:bCs/>
          <w:sz w:val="36"/>
          <w:szCs w:val="36"/>
        </w:rPr>
      </w:pPr>
    </w:p>
    <w:p w14:paraId="2575B1A8">
      <w:pPr>
        <w:rPr>
          <w:rFonts w:ascii="宋体" w:cs="Times New Roman"/>
          <w:b/>
          <w:bCs/>
          <w:sz w:val="36"/>
          <w:szCs w:val="36"/>
        </w:rPr>
      </w:pPr>
    </w:p>
    <w:p w14:paraId="3CD95667">
      <w:pPr>
        <w:rPr>
          <w:rFonts w:ascii="宋体" w:cs="Times New Roman"/>
          <w:b/>
          <w:bCs/>
          <w:sz w:val="36"/>
          <w:szCs w:val="36"/>
        </w:rPr>
      </w:pPr>
    </w:p>
    <w:p w14:paraId="572374DD">
      <w:pPr>
        <w:rPr>
          <w:rFonts w:ascii="宋体" w:cs="Times New Roman"/>
          <w:b/>
          <w:bCs/>
          <w:sz w:val="36"/>
          <w:szCs w:val="36"/>
        </w:rPr>
      </w:pPr>
    </w:p>
    <w:p w14:paraId="002566B0">
      <w:pPr>
        <w:rPr>
          <w:rFonts w:ascii="宋体" w:cs="Times New Roman"/>
          <w:b/>
          <w:bCs/>
          <w:sz w:val="36"/>
          <w:szCs w:val="36"/>
        </w:rPr>
      </w:pPr>
    </w:p>
    <w:p w14:paraId="725ED248">
      <w:pPr>
        <w:rPr>
          <w:rFonts w:ascii="宋体" w:cs="Times New Roman"/>
          <w:b/>
          <w:bCs/>
          <w:sz w:val="36"/>
          <w:szCs w:val="36"/>
        </w:rPr>
      </w:pPr>
    </w:p>
    <w:p w14:paraId="41EEDA4A">
      <w:pPr>
        <w:rPr>
          <w:rFonts w:ascii="宋体" w:cs="Times New Roman"/>
          <w:b/>
          <w:bCs/>
          <w:sz w:val="36"/>
          <w:szCs w:val="36"/>
        </w:rPr>
      </w:pPr>
    </w:p>
    <w:p w14:paraId="1E937212">
      <w:pPr>
        <w:spacing w:line="360" w:lineRule="auto"/>
        <w:outlineLvl w:val="2"/>
        <w:rPr>
          <w:rFonts w:ascii="宋体" w:hAnsi="宋体"/>
          <w:b/>
          <w:sz w:val="28"/>
          <w:szCs w:val="28"/>
        </w:rPr>
      </w:pPr>
      <w:r>
        <w:rPr>
          <w:rFonts w:hint="eastAsia" w:ascii="宋体" w:hAnsi="宋体"/>
          <w:b/>
          <w:sz w:val="28"/>
          <w:szCs w:val="28"/>
        </w:rPr>
        <w:t>3. 中小企业声明函（工程、服务）</w:t>
      </w:r>
    </w:p>
    <w:p w14:paraId="33BB1DAD">
      <w:pPr>
        <w:spacing w:line="360" w:lineRule="auto"/>
        <w:ind w:firstLine="480" w:firstLineChars="200"/>
        <w:rPr>
          <w:rFonts w:ascii="宋体" w:hAnsi="宋体" w:cs="仿宋"/>
          <w:kern w:val="0"/>
          <w:sz w:val="24"/>
        </w:rPr>
      </w:pPr>
    </w:p>
    <w:p w14:paraId="7653602E">
      <w:pPr>
        <w:spacing w:line="360" w:lineRule="auto"/>
        <w:ind w:firstLine="480" w:firstLineChars="200"/>
        <w:rPr>
          <w:rFonts w:ascii="宋体" w:hAnsi="宋体" w:cs="仿宋"/>
          <w:kern w:val="0"/>
          <w:sz w:val="24"/>
        </w:rPr>
      </w:pPr>
      <w:r>
        <w:rPr>
          <w:rFonts w:hint="eastAsia" w:ascii="宋体" w:hAnsi="宋体" w:cs="仿宋"/>
          <w:kern w:val="0"/>
          <w:sz w:val="24"/>
        </w:rPr>
        <w:t>本公司郑重声明，根据《政府采购促进中小企业发展管理办法》（财库﹝2020﹞46 号）的规定，本公司参加（单位名称）的（项目名称）采购活动，工程的施工单位全部为符合政策要求的中小企业（或者：服务全部由符合政策要求的中小企业承接）。相关企业（含签订分包意向协议的中小企业）的具体情况如下：</w:t>
      </w:r>
    </w:p>
    <w:p w14:paraId="365E1694">
      <w:pPr>
        <w:spacing w:line="360" w:lineRule="auto"/>
        <w:ind w:firstLine="480" w:firstLineChars="200"/>
        <w:rPr>
          <w:rFonts w:ascii="宋体" w:hAnsi="宋体" w:cs="仿宋"/>
          <w:kern w:val="0"/>
          <w:sz w:val="24"/>
        </w:rPr>
      </w:pPr>
      <w:r>
        <w:rPr>
          <w:rFonts w:hint="eastAsia" w:ascii="宋体" w:hAnsi="宋体" w:cs="仿宋"/>
          <w:kern w:val="0"/>
          <w:sz w:val="24"/>
        </w:rPr>
        <w:t xml:space="preserve">1. </w:t>
      </w:r>
      <w:r>
        <w:rPr>
          <w:rFonts w:hint="eastAsia" w:ascii="宋体" w:hAnsi="宋体" w:cs="仿宋"/>
          <w:kern w:val="0"/>
          <w:sz w:val="24"/>
          <w:u w:val="single"/>
        </w:rPr>
        <w:t xml:space="preserve">（标的名称） </w:t>
      </w:r>
      <w:r>
        <w:rPr>
          <w:rFonts w:hint="eastAsia" w:ascii="宋体" w:hAnsi="宋体" w:cs="仿宋"/>
          <w:kern w:val="0"/>
          <w:sz w:val="24"/>
        </w:rPr>
        <w:t>，属于</w:t>
      </w:r>
      <w:r>
        <w:rPr>
          <w:rFonts w:hint="eastAsia" w:ascii="宋体" w:hAnsi="宋体" w:cs="仿宋"/>
          <w:kern w:val="0"/>
          <w:sz w:val="24"/>
          <w:u w:val="single"/>
        </w:rPr>
        <w:t>（采购文件中明确的所属行业）</w:t>
      </w:r>
      <w:r>
        <w:rPr>
          <w:rFonts w:hint="eastAsia" w:ascii="宋体" w:hAnsi="宋体" w:cs="仿宋"/>
          <w:kern w:val="0"/>
          <w:sz w:val="24"/>
        </w:rPr>
        <w:t>；承建（承接）企业为</w:t>
      </w:r>
      <w:r>
        <w:rPr>
          <w:rFonts w:hint="eastAsia" w:ascii="宋体" w:hAnsi="宋体" w:cs="仿宋"/>
          <w:kern w:val="0"/>
          <w:sz w:val="24"/>
          <w:u w:val="single"/>
        </w:rPr>
        <w:t>（企业名称）</w:t>
      </w:r>
      <w:r>
        <w:rPr>
          <w:rFonts w:hint="eastAsia" w:ascii="宋体" w:hAnsi="宋体" w:cs="仿宋"/>
          <w:kern w:val="0"/>
          <w:sz w:val="24"/>
        </w:rPr>
        <w:t>，从业人员___人，营业收入为___万元，资产总额为___万元①，属于</w:t>
      </w:r>
      <w:r>
        <w:rPr>
          <w:rFonts w:hint="eastAsia" w:ascii="宋体" w:hAnsi="宋体" w:cs="仿宋"/>
          <w:kern w:val="0"/>
          <w:sz w:val="24"/>
          <w:u w:val="single"/>
        </w:rPr>
        <w:t>（中型企业、小型企业、微型企业）</w:t>
      </w:r>
      <w:r>
        <w:rPr>
          <w:rFonts w:hint="eastAsia" w:ascii="宋体" w:hAnsi="宋体" w:cs="仿宋"/>
          <w:kern w:val="0"/>
          <w:sz w:val="24"/>
        </w:rPr>
        <w:t>；</w:t>
      </w:r>
    </w:p>
    <w:p w14:paraId="21AA21C6">
      <w:pPr>
        <w:spacing w:line="360" w:lineRule="auto"/>
        <w:ind w:firstLine="480" w:firstLineChars="200"/>
        <w:rPr>
          <w:rFonts w:ascii="宋体" w:hAnsi="宋体" w:cs="仿宋"/>
          <w:kern w:val="0"/>
          <w:sz w:val="24"/>
        </w:rPr>
      </w:pPr>
      <w:r>
        <w:rPr>
          <w:rFonts w:hint="eastAsia" w:ascii="宋体" w:hAnsi="宋体" w:cs="仿宋"/>
          <w:kern w:val="0"/>
          <w:sz w:val="24"/>
        </w:rPr>
        <w:t>2.</w:t>
      </w:r>
    </w:p>
    <w:p w14:paraId="389B7491">
      <w:pPr>
        <w:spacing w:line="360" w:lineRule="auto"/>
        <w:ind w:firstLine="480" w:firstLineChars="200"/>
        <w:rPr>
          <w:rFonts w:ascii="宋体" w:hAnsi="宋体" w:cs="仿宋"/>
          <w:kern w:val="0"/>
          <w:sz w:val="24"/>
        </w:rPr>
      </w:pPr>
      <w:r>
        <w:rPr>
          <w:rFonts w:hint="eastAsia" w:ascii="宋体" w:hAnsi="宋体" w:cs="仿宋"/>
          <w:kern w:val="0"/>
          <w:sz w:val="24"/>
        </w:rPr>
        <w:t>……</w:t>
      </w:r>
    </w:p>
    <w:p w14:paraId="40D471C5">
      <w:pPr>
        <w:spacing w:line="360" w:lineRule="auto"/>
        <w:ind w:firstLine="480" w:firstLineChars="200"/>
        <w:rPr>
          <w:rFonts w:ascii="宋体" w:hAnsi="宋体" w:cs="仿宋"/>
          <w:kern w:val="0"/>
          <w:sz w:val="24"/>
        </w:rPr>
      </w:pPr>
      <w:r>
        <w:rPr>
          <w:rFonts w:hint="eastAsia" w:ascii="宋体" w:hAnsi="宋体" w:cs="仿宋"/>
          <w:kern w:val="0"/>
          <w:sz w:val="24"/>
        </w:rPr>
        <w:t>以上企业，不属于大企业的分支机构，不存在控股股东为大企业的情形，也不存在与大企业的负责人为同一人的情形。</w:t>
      </w:r>
    </w:p>
    <w:p w14:paraId="433C957A">
      <w:pPr>
        <w:spacing w:line="360" w:lineRule="auto"/>
        <w:ind w:firstLine="480" w:firstLineChars="200"/>
        <w:rPr>
          <w:rFonts w:ascii="宋体" w:hAnsi="宋体" w:cs="仿宋"/>
          <w:kern w:val="0"/>
          <w:sz w:val="24"/>
        </w:rPr>
      </w:pPr>
      <w:r>
        <w:rPr>
          <w:rFonts w:hint="eastAsia" w:ascii="宋体" w:hAnsi="宋体" w:cs="仿宋"/>
          <w:kern w:val="0"/>
          <w:sz w:val="24"/>
        </w:rPr>
        <w:t>本企业对上述声明内容的真实性负责。如有虚假，将依法承担相应责任。</w:t>
      </w:r>
    </w:p>
    <w:p w14:paraId="75AD5102"/>
    <w:p w14:paraId="122A87C0">
      <w:pPr>
        <w:spacing w:line="360" w:lineRule="auto"/>
        <w:ind w:firstLine="5640" w:firstLineChars="2350"/>
        <w:rPr>
          <w:rFonts w:ascii="宋体" w:hAnsi="宋体" w:cs="仿宋"/>
          <w:kern w:val="0"/>
          <w:sz w:val="24"/>
        </w:rPr>
      </w:pPr>
    </w:p>
    <w:p w14:paraId="0F4F73EF">
      <w:pPr>
        <w:spacing w:line="360" w:lineRule="auto"/>
        <w:ind w:firstLine="5640" w:firstLineChars="2350"/>
        <w:rPr>
          <w:rFonts w:ascii="宋体" w:hAnsi="宋体" w:cs="仿宋"/>
          <w:kern w:val="0"/>
          <w:sz w:val="24"/>
        </w:rPr>
      </w:pPr>
    </w:p>
    <w:p w14:paraId="50748397">
      <w:pPr>
        <w:spacing w:line="360" w:lineRule="auto"/>
        <w:ind w:firstLine="5640" w:firstLineChars="2350"/>
        <w:rPr>
          <w:rFonts w:ascii="宋体" w:hAnsi="宋体" w:cs="仿宋"/>
          <w:kern w:val="0"/>
          <w:sz w:val="24"/>
        </w:rPr>
      </w:pPr>
    </w:p>
    <w:p w14:paraId="7444B71C">
      <w:pPr>
        <w:spacing w:line="360" w:lineRule="auto"/>
        <w:ind w:firstLine="5640" w:firstLineChars="2350"/>
        <w:rPr>
          <w:rFonts w:ascii="宋体" w:hAnsi="宋体" w:cs="仿宋"/>
          <w:kern w:val="0"/>
          <w:sz w:val="24"/>
        </w:rPr>
      </w:pPr>
      <w:r>
        <w:rPr>
          <w:rFonts w:hint="eastAsia" w:ascii="宋体" w:hAnsi="宋体" w:cs="仿宋"/>
          <w:kern w:val="0"/>
          <w:sz w:val="24"/>
        </w:rPr>
        <w:t>企业名称（盖章）：</w:t>
      </w:r>
    </w:p>
    <w:p w14:paraId="4D4B068D">
      <w:pPr>
        <w:spacing w:line="360" w:lineRule="auto"/>
        <w:ind w:firstLine="5640" w:firstLineChars="2350"/>
        <w:rPr>
          <w:rFonts w:ascii="宋体" w:hAnsi="宋体" w:cs="仿宋"/>
          <w:kern w:val="0"/>
          <w:sz w:val="24"/>
        </w:rPr>
      </w:pPr>
      <w:r>
        <w:rPr>
          <w:rFonts w:hint="eastAsia" w:ascii="宋体" w:hAnsi="宋体" w:cs="仿宋"/>
          <w:kern w:val="0"/>
          <w:sz w:val="24"/>
        </w:rPr>
        <w:t>日期：</w:t>
      </w:r>
    </w:p>
    <w:p w14:paraId="3F888B00">
      <w:pPr>
        <w:spacing w:line="360" w:lineRule="auto"/>
        <w:ind w:firstLine="5640" w:firstLineChars="2350"/>
        <w:rPr>
          <w:rFonts w:ascii="宋体" w:hAnsi="宋体" w:cs="仿宋"/>
          <w:kern w:val="0"/>
          <w:sz w:val="24"/>
        </w:rPr>
      </w:pPr>
    </w:p>
    <w:p w14:paraId="4D11BFAE">
      <w:pPr>
        <w:spacing w:line="360" w:lineRule="auto"/>
        <w:ind w:firstLine="5640" w:firstLineChars="2350"/>
        <w:rPr>
          <w:rFonts w:ascii="宋体" w:hAnsi="宋体" w:cs="Times New Roman"/>
          <w:bCs/>
          <w:sz w:val="24"/>
        </w:rPr>
      </w:pPr>
    </w:p>
    <w:p w14:paraId="22E06654">
      <w:pPr>
        <w:numPr>
          <w:ilvl w:val="0"/>
          <w:numId w:val="3"/>
        </w:numPr>
        <w:snapToGrid w:val="0"/>
        <w:spacing w:before="156" w:after="50" w:line="360" w:lineRule="auto"/>
        <w:jc w:val="left"/>
        <w:rPr>
          <w:rFonts w:ascii="宋体" w:hAnsi="宋体" w:cs="仿宋"/>
          <w:sz w:val="24"/>
        </w:rPr>
      </w:pPr>
      <w:r>
        <w:rPr>
          <w:rFonts w:hint="eastAsia" w:ascii="宋体" w:cs="宋体"/>
          <w:kern w:val="0"/>
          <w:sz w:val="18"/>
          <w:szCs w:val="18"/>
        </w:rPr>
        <w:t>注从业人员、营业收入、资产总额填报上一年度数据，无上一年度数据的新成立企业可不填报。</w:t>
      </w:r>
    </w:p>
    <w:p w14:paraId="03A67E0B">
      <w:pPr>
        <w:widowControl/>
        <w:spacing w:line="360" w:lineRule="auto"/>
        <w:ind w:left="720"/>
        <w:rPr>
          <w:rFonts w:ascii="宋体" w:cs="Times New Roman"/>
          <w:b/>
          <w:bCs/>
          <w:sz w:val="24"/>
          <w:szCs w:val="24"/>
        </w:rPr>
      </w:pPr>
    </w:p>
    <w:p w14:paraId="0287CA00">
      <w:pPr>
        <w:widowControl/>
        <w:spacing w:line="360" w:lineRule="auto"/>
        <w:ind w:left="720"/>
        <w:rPr>
          <w:rFonts w:ascii="宋体" w:cs="Times New Roman"/>
          <w:b/>
          <w:bCs/>
          <w:sz w:val="24"/>
          <w:szCs w:val="24"/>
        </w:rPr>
      </w:pPr>
    </w:p>
    <w:p w14:paraId="26123905">
      <w:pPr>
        <w:widowControl/>
        <w:spacing w:line="360" w:lineRule="auto"/>
        <w:ind w:left="720"/>
        <w:rPr>
          <w:rFonts w:ascii="宋体" w:cs="Times New Roman"/>
          <w:b/>
          <w:bCs/>
          <w:sz w:val="24"/>
          <w:szCs w:val="24"/>
        </w:rPr>
      </w:pPr>
    </w:p>
    <w:p w14:paraId="08A696CF">
      <w:pPr>
        <w:widowControl/>
        <w:spacing w:line="360" w:lineRule="auto"/>
        <w:ind w:left="720"/>
        <w:rPr>
          <w:rFonts w:ascii="宋体" w:cs="Times New Roman"/>
          <w:b/>
          <w:bCs/>
          <w:sz w:val="24"/>
          <w:szCs w:val="24"/>
        </w:rPr>
      </w:pPr>
    </w:p>
    <w:p w14:paraId="32F29337">
      <w:pPr>
        <w:widowControl/>
        <w:spacing w:line="360" w:lineRule="auto"/>
        <w:ind w:left="720"/>
        <w:rPr>
          <w:rFonts w:ascii="宋体" w:cs="Times New Roman"/>
          <w:b/>
          <w:bCs/>
          <w:sz w:val="24"/>
          <w:szCs w:val="24"/>
        </w:rPr>
      </w:pPr>
    </w:p>
    <w:p w14:paraId="4966CC05">
      <w:pPr>
        <w:widowControl/>
        <w:spacing w:line="360" w:lineRule="auto"/>
        <w:ind w:left="720"/>
        <w:rPr>
          <w:rFonts w:ascii="宋体" w:cs="Times New Roman"/>
          <w:b/>
          <w:bCs/>
          <w:sz w:val="24"/>
          <w:szCs w:val="24"/>
        </w:rPr>
      </w:pPr>
    </w:p>
    <w:p w14:paraId="3FC17402">
      <w:pPr>
        <w:spacing w:line="588" w:lineRule="exact"/>
        <w:jc w:val="center"/>
        <w:outlineLvl w:val="3"/>
        <w:rPr>
          <w:rFonts w:ascii="宋体" w:hAnsi="宋体"/>
          <w:b/>
          <w:bCs/>
          <w:sz w:val="30"/>
        </w:rPr>
      </w:pPr>
      <w:r>
        <w:rPr>
          <w:rFonts w:hint="eastAsia" w:ascii="宋体" w:hAnsi="宋体"/>
          <w:b/>
          <w:bCs/>
          <w:sz w:val="30"/>
        </w:rPr>
        <w:t>残疾人福利性单位声明函</w:t>
      </w:r>
    </w:p>
    <w:p w14:paraId="653D95AF">
      <w:pPr>
        <w:spacing w:line="588" w:lineRule="exact"/>
        <w:jc w:val="center"/>
        <w:rPr>
          <w:rFonts w:ascii="宋体" w:hAnsi="宋体"/>
          <w:b/>
          <w:spacing w:val="6"/>
          <w:sz w:val="24"/>
        </w:rPr>
      </w:pPr>
    </w:p>
    <w:p w14:paraId="33C5223D">
      <w:pPr>
        <w:snapToGrid w:val="0"/>
        <w:spacing w:line="360" w:lineRule="auto"/>
        <w:ind w:firstLine="480" w:firstLineChars="200"/>
        <w:rPr>
          <w:rFonts w:ascii="宋体" w:hAnsi="宋体"/>
          <w:sz w:val="24"/>
        </w:rPr>
      </w:pPr>
      <w:r>
        <w:rPr>
          <w:rFonts w:hint="eastAsia" w:ascii="宋体" w:hAnsi="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45AB117">
      <w:pPr>
        <w:snapToGrid w:val="0"/>
        <w:spacing w:line="360" w:lineRule="auto"/>
        <w:ind w:firstLine="480" w:firstLineChars="200"/>
        <w:rPr>
          <w:rFonts w:ascii="宋体" w:hAnsi="宋体"/>
          <w:sz w:val="24"/>
        </w:rPr>
      </w:pPr>
      <w:r>
        <w:rPr>
          <w:rFonts w:hint="eastAsia" w:ascii="宋体" w:hAnsi="宋体"/>
          <w:sz w:val="24"/>
        </w:rPr>
        <w:t>本单位对上述声明的真实性负责。如有虚假，将依法承担相应责任。</w:t>
      </w:r>
    </w:p>
    <w:p w14:paraId="6DA503B4">
      <w:pPr>
        <w:snapToGrid w:val="0"/>
        <w:spacing w:line="360" w:lineRule="auto"/>
        <w:ind w:firstLine="480" w:firstLineChars="200"/>
        <w:rPr>
          <w:rFonts w:ascii="宋体" w:hAnsi="宋体"/>
          <w:sz w:val="24"/>
        </w:rPr>
      </w:pPr>
    </w:p>
    <w:p w14:paraId="2665E7F6">
      <w:pPr>
        <w:spacing w:line="588" w:lineRule="exact"/>
        <w:ind w:firstLine="504" w:firstLineChars="200"/>
        <w:rPr>
          <w:rFonts w:ascii="宋体" w:hAnsi="宋体"/>
          <w:spacing w:val="6"/>
          <w:sz w:val="24"/>
        </w:rPr>
      </w:pPr>
    </w:p>
    <w:p w14:paraId="21CC0F68">
      <w:pPr>
        <w:snapToGrid w:val="0"/>
        <w:spacing w:line="360" w:lineRule="auto"/>
        <w:ind w:firstLine="480" w:firstLineChars="200"/>
        <w:jc w:val="right"/>
        <w:rPr>
          <w:rFonts w:ascii="宋体" w:hAnsi="宋体"/>
          <w:sz w:val="24"/>
        </w:rPr>
      </w:pPr>
      <w:r>
        <w:rPr>
          <w:rFonts w:hint="eastAsia" w:ascii="宋体" w:hAnsi="宋体"/>
          <w:sz w:val="24"/>
        </w:rPr>
        <w:t xml:space="preserve">      单位名称（盖章）：</w:t>
      </w:r>
    </w:p>
    <w:p w14:paraId="1AB8AA4A">
      <w:pPr>
        <w:snapToGrid w:val="0"/>
        <w:spacing w:line="360" w:lineRule="auto"/>
        <w:ind w:firstLine="480" w:firstLineChars="200"/>
        <w:jc w:val="right"/>
        <w:rPr>
          <w:rFonts w:ascii="宋体" w:hAnsi="宋体"/>
          <w:sz w:val="24"/>
        </w:rPr>
      </w:pPr>
      <w:r>
        <w:rPr>
          <w:rFonts w:hint="eastAsia" w:ascii="宋体" w:hAnsi="宋体"/>
          <w:sz w:val="24"/>
        </w:rPr>
        <w:t xml:space="preserve">       日  期：</w:t>
      </w:r>
    </w:p>
    <w:p w14:paraId="4F38ACCC">
      <w:pPr>
        <w:snapToGrid w:val="0"/>
        <w:spacing w:line="360" w:lineRule="auto"/>
        <w:ind w:firstLine="480" w:firstLineChars="200"/>
        <w:jc w:val="right"/>
        <w:rPr>
          <w:rFonts w:ascii="宋体" w:hAnsi="宋体"/>
          <w:sz w:val="24"/>
        </w:rPr>
      </w:pPr>
    </w:p>
    <w:p w14:paraId="0C1DEC29">
      <w:pPr>
        <w:snapToGrid w:val="0"/>
        <w:spacing w:line="360" w:lineRule="auto"/>
        <w:ind w:firstLine="480" w:firstLineChars="200"/>
        <w:jc w:val="right"/>
        <w:rPr>
          <w:rFonts w:ascii="宋体" w:hAnsi="宋体"/>
          <w:sz w:val="24"/>
        </w:rPr>
      </w:pPr>
    </w:p>
    <w:p w14:paraId="5D392199">
      <w:pPr>
        <w:snapToGrid w:val="0"/>
        <w:spacing w:line="360" w:lineRule="auto"/>
        <w:ind w:firstLine="480" w:firstLineChars="200"/>
        <w:jc w:val="right"/>
        <w:rPr>
          <w:rFonts w:ascii="宋体" w:hAnsi="宋体"/>
          <w:sz w:val="24"/>
        </w:rPr>
      </w:pPr>
    </w:p>
    <w:p w14:paraId="5414BB68">
      <w:pPr>
        <w:snapToGrid w:val="0"/>
        <w:spacing w:line="360" w:lineRule="auto"/>
        <w:ind w:firstLine="480" w:firstLineChars="200"/>
        <w:jc w:val="right"/>
        <w:rPr>
          <w:rFonts w:ascii="宋体" w:hAnsi="宋体"/>
          <w:sz w:val="24"/>
        </w:rPr>
      </w:pPr>
    </w:p>
    <w:p w14:paraId="1DC62C29">
      <w:pPr>
        <w:snapToGrid w:val="0"/>
        <w:spacing w:before="156"/>
        <w:rPr>
          <w:rFonts w:ascii="宋体" w:hAnsi="宋体"/>
          <w:b/>
          <w:spacing w:val="40"/>
          <w:kern w:val="0"/>
          <w:sz w:val="24"/>
        </w:rPr>
      </w:pPr>
      <w:r>
        <w:rPr>
          <w:rFonts w:hint="eastAsia" w:ascii="宋体" w:hAnsi="宋体"/>
          <w:sz w:val="24"/>
          <w:u w:val="single"/>
        </w:rPr>
        <w:t>注：若不是残疾人福利性单位，请勿填写此表。</w:t>
      </w:r>
    </w:p>
    <w:p w14:paraId="6D483B5C">
      <w:pPr>
        <w:snapToGrid w:val="0"/>
        <w:spacing w:line="360" w:lineRule="auto"/>
        <w:ind w:firstLine="480" w:firstLineChars="200"/>
        <w:jc w:val="right"/>
        <w:rPr>
          <w:rFonts w:ascii="宋体" w:hAnsi="宋体"/>
          <w:sz w:val="24"/>
        </w:rPr>
      </w:pPr>
    </w:p>
    <w:p w14:paraId="6E72C0D9">
      <w:pPr>
        <w:spacing w:line="360" w:lineRule="auto"/>
        <w:rPr>
          <w:rFonts w:cs="宋体"/>
          <w:sz w:val="24"/>
          <w:szCs w:val="24"/>
        </w:rPr>
      </w:pPr>
    </w:p>
    <w:p w14:paraId="3A128491">
      <w:pPr>
        <w:spacing w:line="360" w:lineRule="auto"/>
        <w:rPr>
          <w:rFonts w:cs="宋体"/>
          <w:sz w:val="24"/>
          <w:szCs w:val="24"/>
        </w:rPr>
      </w:pPr>
    </w:p>
    <w:p w14:paraId="58E06D05">
      <w:pPr>
        <w:spacing w:line="360" w:lineRule="auto"/>
        <w:rPr>
          <w:rFonts w:cs="宋体"/>
          <w:sz w:val="24"/>
          <w:szCs w:val="24"/>
        </w:rPr>
      </w:pPr>
    </w:p>
    <w:p w14:paraId="18E1F97B">
      <w:pPr>
        <w:spacing w:line="360" w:lineRule="auto"/>
        <w:rPr>
          <w:rFonts w:cs="宋体"/>
          <w:sz w:val="24"/>
          <w:szCs w:val="24"/>
        </w:rPr>
      </w:pPr>
    </w:p>
    <w:p w14:paraId="4890D9CD">
      <w:pPr>
        <w:spacing w:line="360" w:lineRule="auto"/>
        <w:rPr>
          <w:rFonts w:cs="宋体"/>
          <w:sz w:val="24"/>
          <w:szCs w:val="24"/>
        </w:rPr>
      </w:pPr>
    </w:p>
    <w:p w14:paraId="6AFFBDD0">
      <w:pPr>
        <w:spacing w:line="360" w:lineRule="auto"/>
        <w:rPr>
          <w:rFonts w:cs="宋体"/>
          <w:sz w:val="24"/>
          <w:szCs w:val="24"/>
        </w:rPr>
      </w:pPr>
    </w:p>
    <w:p w14:paraId="4C344442">
      <w:pPr>
        <w:spacing w:line="360" w:lineRule="auto"/>
        <w:rPr>
          <w:rFonts w:cs="宋体"/>
          <w:sz w:val="24"/>
          <w:szCs w:val="24"/>
        </w:rPr>
      </w:pPr>
    </w:p>
    <w:p w14:paraId="36352696">
      <w:pPr>
        <w:spacing w:line="360" w:lineRule="auto"/>
        <w:rPr>
          <w:rFonts w:cs="宋体"/>
          <w:sz w:val="24"/>
          <w:szCs w:val="24"/>
        </w:rPr>
      </w:pPr>
    </w:p>
    <w:p w14:paraId="2E7E52BB">
      <w:pPr>
        <w:spacing w:line="360" w:lineRule="auto"/>
        <w:rPr>
          <w:rFonts w:cs="宋体"/>
          <w:sz w:val="24"/>
          <w:szCs w:val="24"/>
        </w:rPr>
      </w:pPr>
    </w:p>
    <w:p w14:paraId="1A530A4E">
      <w:pPr>
        <w:spacing w:line="360" w:lineRule="auto"/>
        <w:rPr>
          <w:rFonts w:cs="宋体"/>
          <w:sz w:val="24"/>
          <w:szCs w:val="24"/>
        </w:rPr>
      </w:pPr>
    </w:p>
    <w:p w14:paraId="49836227">
      <w:pPr>
        <w:spacing w:line="360" w:lineRule="auto"/>
        <w:rPr>
          <w:rFonts w:cs="宋体"/>
          <w:sz w:val="24"/>
          <w:szCs w:val="24"/>
        </w:rPr>
      </w:pPr>
    </w:p>
    <w:p w14:paraId="31D9EE7C">
      <w:pPr>
        <w:spacing w:line="360" w:lineRule="auto"/>
        <w:rPr>
          <w:rFonts w:cs="Times New Roman"/>
          <w:sz w:val="24"/>
          <w:szCs w:val="24"/>
        </w:rPr>
      </w:pPr>
      <w:r>
        <w:rPr>
          <w:rFonts w:hint="eastAsia" w:cs="宋体"/>
          <w:sz w:val="24"/>
          <w:szCs w:val="24"/>
        </w:rPr>
        <w:t>4.采购代理服务费承诺函</w:t>
      </w:r>
    </w:p>
    <w:p w14:paraId="7FF993D9">
      <w:pPr>
        <w:spacing w:line="760" w:lineRule="exact"/>
        <w:jc w:val="center"/>
        <w:rPr>
          <w:rFonts w:cs="Times New Roman"/>
          <w:b/>
          <w:bCs/>
          <w:sz w:val="32"/>
          <w:szCs w:val="32"/>
        </w:rPr>
      </w:pPr>
    </w:p>
    <w:p w14:paraId="600C2174">
      <w:pPr>
        <w:tabs>
          <w:tab w:val="left" w:pos="2996"/>
        </w:tabs>
        <w:spacing w:line="360" w:lineRule="auto"/>
        <w:ind w:firstLine="480" w:firstLineChars="200"/>
        <w:rPr>
          <w:rFonts w:cs="Times New Roman"/>
          <w:sz w:val="24"/>
          <w:szCs w:val="24"/>
        </w:rPr>
      </w:pPr>
      <w:r>
        <w:rPr>
          <w:rFonts w:hint="eastAsia" w:cs="宋体"/>
          <w:sz w:val="24"/>
          <w:szCs w:val="24"/>
        </w:rPr>
        <w:t>根据国家计委、物价局文件和磋商文件的规定，一旦我公司成交，我公司同意按本磋商文件规定向政府采购代理机构交纳采购代理服务费，在收到成交通知书当日一次性向代理机构缴清采购代理服务费。本承诺函自开标之日起至本次采购期满有效。</w:t>
      </w:r>
    </w:p>
    <w:p w14:paraId="7689B16A">
      <w:pPr>
        <w:spacing w:line="480" w:lineRule="auto"/>
        <w:rPr>
          <w:rFonts w:cs="Times New Roman"/>
          <w:sz w:val="24"/>
          <w:szCs w:val="24"/>
        </w:rPr>
      </w:pPr>
    </w:p>
    <w:p w14:paraId="3B875B6B">
      <w:pPr>
        <w:spacing w:line="480" w:lineRule="auto"/>
        <w:rPr>
          <w:rFonts w:cs="Times New Roman"/>
          <w:sz w:val="24"/>
          <w:szCs w:val="24"/>
        </w:rPr>
      </w:pPr>
    </w:p>
    <w:p w14:paraId="5D64EAAD">
      <w:pPr>
        <w:spacing w:line="360" w:lineRule="auto"/>
        <w:rPr>
          <w:rFonts w:cs="Times New Roman"/>
          <w:sz w:val="24"/>
          <w:szCs w:val="24"/>
        </w:rPr>
      </w:pPr>
    </w:p>
    <w:p w14:paraId="1BA75524">
      <w:pPr>
        <w:pStyle w:val="18"/>
        <w:spacing w:line="500" w:lineRule="exact"/>
        <w:ind w:firstLine="1454" w:firstLineChars="606"/>
        <w:rPr>
          <w:rFonts w:ascii="宋体"/>
          <w:sz w:val="24"/>
          <w:szCs w:val="24"/>
        </w:rPr>
      </w:pPr>
      <w:r>
        <w:rPr>
          <w:rFonts w:hint="eastAsia" w:ascii="宋体" w:hAnsi="宋体" w:cs="宋体"/>
          <w:sz w:val="24"/>
          <w:szCs w:val="24"/>
        </w:rPr>
        <w:t>供应商：（盖章）</w:t>
      </w:r>
    </w:p>
    <w:p w14:paraId="163BADAB">
      <w:pPr>
        <w:pStyle w:val="18"/>
        <w:spacing w:line="500" w:lineRule="exact"/>
        <w:ind w:firstLine="374" w:firstLineChars="156"/>
        <w:rPr>
          <w:rFonts w:ascii="宋体"/>
          <w:sz w:val="24"/>
          <w:szCs w:val="24"/>
        </w:rPr>
      </w:pPr>
    </w:p>
    <w:p w14:paraId="7EBB5097">
      <w:pPr>
        <w:pStyle w:val="18"/>
        <w:spacing w:line="500" w:lineRule="exact"/>
        <w:ind w:firstLine="1334" w:firstLineChars="556"/>
        <w:rPr>
          <w:rFonts w:ascii="宋体"/>
          <w:sz w:val="24"/>
          <w:szCs w:val="24"/>
        </w:rPr>
      </w:pPr>
      <w:r>
        <w:rPr>
          <w:rFonts w:hint="eastAsia" w:ascii="宋体" w:hAnsi="宋体" w:cs="宋体"/>
          <w:sz w:val="24"/>
          <w:szCs w:val="24"/>
        </w:rPr>
        <w:t>法定代表人或其授权代理人（签名或盖章）</w:t>
      </w:r>
    </w:p>
    <w:p w14:paraId="53265E73">
      <w:pPr>
        <w:pStyle w:val="18"/>
        <w:spacing w:line="500" w:lineRule="exact"/>
        <w:ind w:firstLine="374" w:firstLineChars="156"/>
        <w:jc w:val="center"/>
        <w:rPr>
          <w:rFonts w:ascii="宋体"/>
          <w:sz w:val="24"/>
          <w:szCs w:val="24"/>
        </w:rPr>
      </w:pPr>
    </w:p>
    <w:p w14:paraId="41BE0A5F">
      <w:pPr>
        <w:pStyle w:val="18"/>
        <w:spacing w:line="500" w:lineRule="exact"/>
        <w:ind w:left="840" w:firstLine="374" w:firstLineChars="156"/>
        <w:rPr>
          <w:rFonts w:ascii="宋体"/>
          <w:sz w:val="24"/>
          <w:szCs w:val="24"/>
        </w:rPr>
      </w:pPr>
      <w:r>
        <w:rPr>
          <w:rFonts w:hint="eastAsia" w:ascii="宋体" w:hAnsi="宋体" w:cs="宋体"/>
          <w:sz w:val="24"/>
          <w:szCs w:val="24"/>
        </w:rPr>
        <w:t>日期：年月日</w:t>
      </w:r>
    </w:p>
    <w:p w14:paraId="7332E4D6">
      <w:pPr>
        <w:pStyle w:val="18"/>
        <w:spacing w:line="500" w:lineRule="exact"/>
        <w:ind w:left="840" w:firstLine="374" w:firstLineChars="156"/>
        <w:rPr>
          <w:rFonts w:ascii="宋体"/>
          <w:sz w:val="24"/>
          <w:szCs w:val="24"/>
        </w:rPr>
      </w:pPr>
    </w:p>
    <w:p w14:paraId="400358B3">
      <w:pPr>
        <w:pStyle w:val="18"/>
        <w:spacing w:line="500" w:lineRule="exact"/>
        <w:ind w:left="840" w:firstLine="374" w:firstLineChars="156"/>
        <w:rPr>
          <w:rFonts w:ascii="宋体"/>
          <w:sz w:val="24"/>
          <w:szCs w:val="24"/>
        </w:rPr>
      </w:pPr>
    </w:p>
    <w:p w14:paraId="005AC0D2">
      <w:pPr>
        <w:pStyle w:val="34"/>
        <w:snapToGrid w:val="0"/>
        <w:spacing w:beforeLines="0" w:afterLines="0" w:line="360" w:lineRule="auto"/>
      </w:pPr>
    </w:p>
    <w:p w14:paraId="2686D517">
      <w:pPr>
        <w:pStyle w:val="18"/>
        <w:pBdr>
          <w:bottom w:val="single" w:color="auto" w:sz="6" w:space="1"/>
        </w:pBdr>
        <w:spacing w:line="500" w:lineRule="exact"/>
        <w:ind w:firstLine="0"/>
        <w:jc w:val="left"/>
        <w:rPr>
          <w:rFonts w:ascii="宋体" w:hAnsi="宋体"/>
          <w:sz w:val="24"/>
          <w:szCs w:val="24"/>
          <w:u w:val="single"/>
        </w:rPr>
      </w:pPr>
    </w:p>
    <w:p w14:paraId="73C55A05">
      <w:pPr>
        <w:pStyle w:val="18"/>
        <w:pBdr>
          <w:bottom w:val="single" w:color="auto" w:sz="6" w:space="1"/>
        </w:pBdr>
        <w:spacing w:line="500" w:lineRule="exact"/>
        <w:ind w:firstLine="0"/>
        <w:jc w:val="left"/>
        <w:rPr>
          <w:rFonts w:ascii="宋体" w:hAnsi="宋体"/>
          <w:sz w:val="24"/>
          <w:szCs w:val="24"/>
          <w:u w:val="single"/>
        </w:rPr>
      </w:pPr>
    </w:p>
    <w:p w14:paraId="69FF9E8D">
      <w:pPr>
        <w:pStyle w:val="18"/>
        <w:pBdr>
          <w:bottom w:val="single" w:color="auto" w:sz="6" w:space="1"/>
        </w:pBdr>
        <w:spacing w:line="500" w:lineRule="exact"/>
        <w:ind w:firstLine="0"/>
        <w:jc w:val="left"/>
        <w:rPr>
          <w:rFonts w:ascii="宋体" w:hAnsi="宋体"/>
          <w:sz w:val="24"/>
          <w:szCs w:val="24"/>
          <w:u w:val="single"/>
        </w:rPr>
      </w:pPr>
    </w:p>
    <w:p w14:paraId="2D8D732B">
      <w:pPr>
        <w:pStyle w:val="18"/>
        <w:pBdr>
          <w:bottom w:val="single" w:color="auto" w:sz="6" w:space="1"/>
        </w:pBdr>
        <w:spacing w:line="500" w:lineRule="exact"/>
        <w:ind w:firstLine="0"/>
        <w:jc w:val="left"/>
        <w:rPr>
          <w:rFonts w:ascii="宋体" w:hAnsi="宋体"/>
          <w:sz w:val="24"/>
          <w:szCs w:val="24"/>
          <w:u w:val="single"/>
        </w:rPr>
      </w:pPr>
    </w:p>
    <w:p w14:paraId="62CFC472">
      <w:pPr>
        <w:widowControl/>
        <w:jc w:val="left"/>
      </w:pPr>
    </w:p>
    <w:p w14:paraId="2DE4D2BA">
      <w:pPr>
        <w:pStyle w:val="18"/>
        <w:spacing w:line="500" w:lineRule="exact"/>
        <w:ind w:firstLine="0"/>
        <w:jc w:val="left"/>
        <w:rPr>
          <w:rFonts w:ascii="宋体" w:hAnsi="宋体"/>
          <w:sz w:val="24"/>
          <w:szCs w:val="24"/>
        </w:rPr>
      </w:pPr>
      <w:r>
        <w:rPr>
          <w:rFonts w:hint="eastAsia" w:ascii="宋体" w:hAnsi="宋体"/>
          <w:sz w:val="24"/>
          <w:szCs w:val="24"/>
        </w:rPr>
        <w:t>代理费汇款账号：</w:t>
      </w:r>
    </w:p>
    <w:p w14:paraId="239320ED">
      <w:pPr>
        <w:snapToGrid w:val="0"/>
        <w:jc w:val="left"/>
        <w:rPr>
          <w:rFonts w:ascii="宋体" w:hAnsi="宋体"/>
          <w:sz w:val="24"/>
        </w:rPr>
      </w:pPr>
    </w:p>
    <w:p w14:paraId="7D82D624">
      <w:pPr>
        <w:snapToGrid w:val="0"/>
        <w:rPr>
          <w:rFonts w:ascii="宋体" w:hAnsi="宋体" w:eastAsia="宋体" w:cs="Times New Roman"/>
          <w:kern w:val="0"/>
          <w:sz w:val="24"/>
          <w:szCs w:val="24"/>
        </w:rPr>
      </w:pPr>
    </w:p>
    <w:p w14:paraId="325B1BED">
      <w:pPr>
        <w:snapToGrid w:val="0"/>
        <w:rPr>
          <w:rFonts w:ascii="宋体" w:hAnsi="宋体" w:eastAsia="宋体" w:cs="Times New Roman"/>
          <w:kern w:val="0"/>
          <w:sz w:val="24"/>
          <w:szCs w:val="24"/>
        </w:rPr>
      </w:pPr>
      <w:r>
        <w:rPr>
          <w:rFonts w:hint="eastAsia" w:ascii="宋体" w:hAnsi="宋体" w:eastAsia="宋体" w:cs="Times New Roman"/>
          <w:kern w:val="0"/>
          <w:sz w:val="24"/>
          <w:szCs w:val="24"/>
        </w:rPr>
        <w:t>单位名称：浙江华耀建设咨询有限公司龙溪北路分公司</w:t>
      </w:r>
    </w:p>
    <w:p w14:paraId="79ABEEF1">
      <w:pPr>
        <w:snapToGrid w:val="0"/>
        <w:rPr>
          <w:rFonts w:ascii="宋体" w:hAnsi="宋体" w:eastAsia="宋体" w:cs="Times New Roman"/>
          <w:kern w:val="0"/>
          <w:sz w:val="24"/>
          <w:szCs w:val="24"/>
        </w:rPr>
      </w:pPr>
      <w:r>
        <w:rPr>
          <w:rFonts w:hint="eastAsia" w:ascii="宋体" w:hAnsi="宋体" w:eastAsia="宋体" w:cs="Times New Roman"/>
          <w:kern w:val="0"/>
          <w:sz w:val="24"/>
          <w:szCs w:val="24"/>
        </w:rPr>
        <w:t>开户银行：中国工商银行股份有限公司湖州经济开发区支行</w:t>
      </w:r>
    </w:p>
    <w:p w14:paraId="60140B89">
      <w:pPr>
        <w:snapToGrid w:val="0"/>
        <w:rPr>
          <w:rFonts w:ascii="宋体" w:hAnsi="宋体" w:eastAsia="宋体" w:cs="Times New Roman"/>
          <w:kern w:val="0"/>
          <w:sz w:val="24"/>
          <w:szCs w:val="24"/>
        </w:rPr>
      </w:pPr>
      <w:r>
        <w:rPr>
          <w:rFonts w:hint="eastAsia" w:ascii="宋体" w:hAnsi="宋体" w:eastAsia="宋体" w:cs="Times New Roman"/>
          <w:kern w:val="0"/>
          <w:sz w:val="24"/>
          <w:szCs w:val="24"/>
        </w:rPr>
        <w:t>银行账号：1205210409001029749</w:t>
      </w:r>
    </w:p>
    <w:p w14:paraId="5129EE9B">
      <w:pPr>
        <w:snapToGrid w:val="0"/>
        <w:rPr>
          <w:rFonts w:ascii="宋体" w:hAnsi="宋体" w:eastAsia="宋体" w:cs="Times New Roman"/>
          <w:kern w:val="0"/>
          <w:sz w:val="24"/>
          <w:szCs w:val="24"/>
        </w:rPr>
      </w:pPr>
    </w:p>
    <w:p w14:paraId="559534F4">
      <w:pPr>
        <w:snapToGrid w:val="0"/>
        <w:rPr>
          <w:rFonts w:ascii="宋体" w:hAnsi="宋体" w:eastAsia="宋体" w:cs="Times New Roman"/>
          <w:kern w:val="0"/>
          <w:sz w:val="24"/>
          <w:szCs w:val="24"/>
        </w:rPr>
      </w:pPr>
    </w:p>
    <w:p w14:paraId="273A13DA">
      <w:pPr>
        <w:rPr>
          <w:rFonts w:ascii="宋体" w:cs="Times New Roman"/>
          <w:sz w:val="24"/>
          <w:szCs w:val="24"/>
        </w:rPr>
      </w:pPr>
    </w:p>
    <w:p w14:paraId="6F441954">
      <w:pPr>
        <w:widowControl/>
        <w:numPr>
          <w:ilvl w:val="0"/>
          <w:numId w:val="4"/>
        </w:numPr>
        <w:spacing w:line="360" w:lineRule="auto"/>
        <w:rPr>
          <w:rFonts w:ascii="宋体" w:cs="Times New Roman"/>
          <w:b/>
          <w:bCs/>
          <w:sz w:val="24"/>
          <w:szCs w:val="24"/>
        </w:rPr>
      </w:pPr>
      <w:r>
        <w:rPr>
          <w:rFonts w:hint="eastAsia" w:ascii="宋体" w:hAnsi="宋体" w:cs="宋体"/>
          <w:b/>
          <w:bCs/>
          <w:sz w:val="24"/>
          <w:szCs w:val="24"/>
        </w:rPr>
        <w:t>资格文件（参考第三章磋商须知“响应文件的组成”）</w:t>
      </w:r>
    </w:p>
    <w:p w14:paraId="02124DBD">
      <w:pPr>
        <w:snapToGrid w:val="0"/>
        <w:spacing w:before="156" w:after="156" w:afterLines="50" w:line="400" w:lineRule="exact"/>
        <w:jc w:val="left"/>
        <w:rPr>
          <w:rFonts w:ascii="宋体" w:cs="Times New Roman"/>
          <w:sz w:val="24"/>
          <w:szCs w:val="24"/>
        </w:rPr>
      </w:pPr>
      <w:r>
        <w:rPr>
          <w:rFonts w:ascii="宋体" w:hAnsi="宋体" w:cs="宋体"/>
          <w:sz w:val="24"/>
          <w:szCs w:val="24"/>
        </w:rPr>
        <w:t>1.</w:t>
      </w:r>
      <w:r>
        <w:rPr>
          <w:rFonts w:hint="eastAsia" w:ascii="宋体" w:hAnsi="宋体" w:cs="宋体"/>
          <w:sz w:val="24"/>
          <w:szCs w:val="24"/>
        </w:rPr>
        <w:t>磋商声明书格式：</w:t>
      </w:r>
    </w:p>
    <w:p w14:paraId="7EE143ED">
      <w:pPr>
        <w:snapToGrid w:val="0"/>
        <w:spacing w:before="156" w:beforeLines="50" w:after="50" w:line="400" w:lineRule="exact"/>
        <w:jc w:val="center"/>
        <w:rPr>
          <w:rFonts w:ascii="宋体" w:cs="Times New Roman"/>
          <w:b/>
          <w:bCs/>
          <w:sz w:val="36"/>
          <w:szCs w:val="36"/>
        </w:rPr>
      </w:pPr>
      <w:r>
        <w:rPr>
          <w:rFonts w:hint="eastAsia" w:ascii="宋体" w:hAnsi="宋体" w:cs="宋体"/>
          <w:b/>
          <w:bCs/>
          <w:sz w:val="36"/>
          <w:szCs w:val="36"/>
        </w:rPr>
        <w:t>磋商声明书</w:t>
      </w:r>
    </w:p>
    <w:p w14:paraId="2E30B5C8">
      <w:pPr>
        <w:snapToGrid w:val="0"/>
        <w:spacing w:before="156" w:beforeLines="50" w:after="50" w:line="440" w:lineRule="exact"/>
        <w:rPr>
          <w:rFonts w:ascii="宋体" w:cs="Times New Roman"/>
          <w:sz w:val="24"/>
          <w:szCs w:val="24"/>
        </w:rPr>
      </w:pPr>
      <w:r>
        <w:rPr>
          <w:rFonts w:hint="eastAsia" w:ascii="宋体" w:hAnsi="宋体" w:cs="宋体"/>
          <w:sz w:val="24"/>
          <w:szCs w:val="24"/>
        </w:rPr>
        <w:t>致：</w:t>
      </w:r>
      <w:r>
        <w:rPr>
          <w:rFonts w:ascii="宋体" w:hAnsi="宋体" w:cs="宋体"/>
          <w:sz w:val="24"/>
          <w:szCs w:val="24"/>
        </w:rPr>
        <w:t>______</w:t>
      </w:r>
      <w:r>
        <w:rPr>
          <w:rFonts w:ascii="宋体" w:hAnsi="宋体" w:cs="宋体"/>
          <w:sz w:val="24"/>
          <w:szCs w:val="24"/>
          <w:u w:val="single"/>
        </w:rPr>
        <w:t>_     _</w:t>
      </w:r>
      <w:r>
        <w:rPr>
          <w:rFonts w:ascii="宋体" w:hAnsi="宋体" w:cs="宋体"/>
          <w:sz w:val="24"/>
          <w:szCs w:val="24"/>
        </w:rPr>
        <w:t>_</w:t>
      </w:r>
      <w:r>
        <w:rPr>
          <w:rFonts w:hint="eastAsia" w:ascii="宋体" w:hAnsi="宋体" w:cs="宋体"/>
          <w:sz w:val="24"/>
          <w:szCs w:val="24"/>
        </w:rPr>
        <w:t>（磋商采购单位名称）：</w:t>
      </w:r>
    </w:p>
    <w:p w14:paraId="3CEFA924">
      <w:pPr>
        <w:snapToGrid w:val="0"/>
        <w:spacing w:before="156" w:beforeLines="50" w:after="50" w:line="440" w:lineRule="exact"/>
        <w:ind w:firstLine="720" w:firstLineChars="300"/>
        <w:rPr>
          <w:rFonts w:ascii="宋体" w:cs="Times New Roman"/>
          <w:sz w:val="24"/>
          <w:szCs w:val="24"/>
        </w:rPr>
      </w:pPr>
      <w:r>
        <w:rPr>
          <w:rFonts w:ascii="宋体" w:hAnsi="宋体" w:cs="宋体"/>
          <w:sz w:val="24"/>
          <w:szCs w:val="24"/>
        </w:rPr>
        <w:t>______</w:t>
      </w:r>
      <w:r>
        <w:rPr>
          <w:rFonts w:ascii="宋体" w:hAnsi="宋体" w:cs="宋体"/>
          <w:sz w:val="24"/>
          <w:szCs w:val="24"/>
          <w:u w:val="single"/>
        </w:rPr>
        <w:t>_     _</w:t>
      </w:r>
      <w:r>
        <w:rPr>
          <w:rFonts w:ascii="宋体" w:hAnsi="宋体" w:cs="宋体"/>
          <w:sz w:val="24"/>
          <w:szCs w:val="24"/>
        </w:rPr>
        <w:t>_</w:t>
      </w:r>
      <w:r>
        <w:rPr>
          <w:rFonts w:hint="eastAsia" w:ascii="宋体" w:hAnsi="宋体" w:cs="宋体"/>
          <w:sz w:val="24"/>
          <w:szCs w:val="24"/>
        </w:rPr>
        <w:t>（供应商名称）系中华人民共和国合法企业，经营地址。</w:t>
      </w:r>
    </w:p>
    <w:p w14:paraId="5CFA90FB">
      <w:pPr>
        <w:snapToGrid w:val="0"/>
        <w:spacing w:before="156" w:beforeLines="50" w:after="50" w:line="440" w:lineRule="exact"/>
        <w:ind w:firstLine="645"/>
        <w:rPr>
          <w:rFonts w:ascii="宋体" w:cs="Times New Roman"/>
          <w:sz w:val="24"/>
          <w:szCs w:val="24"/>
        </w:rPr>
      </w:pPr>
      <w:r>
        <w:rPr>
          <w:rFonts w:hint="eastAsia" w:ascii="宋体" w:hAnsi="宋体" w:cs="宋体"/>
          <w:sz w:val="24"/>
          <w:szCs w:val="24"/>
        </w:rPr>
        <w:t>我</w:t>
      </w:r>
      <w:r>
        <w:rPr>
          <w:rFonts w:ascii="宋体" w:hAnsi="宋体" w:cs="宋体"/>
          <w:sz w:val="24"/>
          <w:szCs w:val="24"/>
        </w:rPr>
        <w:t>___</w:t>
      </w:r>
      <w:r>
        <w:rPr>
          <w:rFonts w:ascii="宋体" w:hAnsi="宋体" w:cs="宋体"/>
          <w:sz w:val="24"/>
          <w:szCs w:val="24"/>
          <w:u w:val="single"/>
        </w:rPr>
        <w:t xml:space="preserve">    _</w:t>
      </w:r>
      <w:r>
        <w:rPr>
          <w:rFonts w:ascii="宋体" w:hAnsi="宋体" w:cs="宋体"/>
          <w:sz w:val="24"/>
          <w:szCs w:val="24"/>
        </w:rPr>
        <w:t>_</w:t>
      </w:r>
      <w:r>
        <w:rPr>
          <w:rFonts w:hint="eastAsia" w:ascii="宋体" w:hAnsi="宋体" w:cs="宋体"/>
          <w:sz w:val="24"/>
          <w:szCs w:val="24"/>
        </w:rPr>
        <w:t>（姓名）系</w:t>
      </w:r>
      <w:r>
        <w:rPr>
          <w:rFonts w:ascii="宋体" w:hAnsi="宋体" w:cs="宋体"/>
          <w:sz w:val="24"/>
          <w:szCs w:val="24"/>
        </w:rPr>
        <w:t>______</w:t>
      </w:r>
      <w:r>
        <w:rPr>
          <w:rFonts w:ascii="宋体" w:hAnsi="宋体" w:cs="宋体"/>
          <w:sz w:val="24"/>
          <w:szCs w:val="24"/>
          <w:u w:val="single"/>
        </w:rPr>
        <w:t>_     _</w:t>
      </w:r>
      <w:r>
        <w:rPr>
          <w:rFonts w:ascii="宋体" w:hAnsi="宋体" w:cs="宋体"/>
          <w:sz w:val="24"/>
          <w:szCs w:val="24"/>
        </w:rPr>
        <w:t>_</w:t>
      </w:r>
      <w:r>
        <w:rPr>
          <w:rFonts w:hint="eastAsia" w:ascii="宋体" w:hAnsi="宋体" w:cs="宋体"/>
          <w:sz w:val="24"/>
          <w:szCs w:val="24"/>
        </w:rPr>
        <w:t>（供应商名称）的法定代表人，我方愿意参加贵方组织的</w:t>
      </w:r>
      <w:r>
        <w:rPr>
          <w:rFonts w:ascii="宋体" w:hAnsi="宋体" w:cs="宋体"/>
          <w:sz w:val="24"/>
          <w:szCs w:val="24"/>
        </w:rPr>
        <w:t>_____</w:t>
      </w:r>
      <w:r>
        <w:rPr>
          <w:rFonts w:ascii="宋体" w:hAnsi="宋体" w:cs="宋体"/>
          <w:sz w:val="24"/>
          <w:szCs w:val="24"/>
          <w:u w:val="single"/>
        </w:rPr>
        <w:t>_              _     _</w:t>
      </w:r>
      <w:r>
        <w:rPr>
          <w:rFonts w:ascii="宋体" w:hAnsi="宋体" w:cs="宋体"/>
          <w:sz w:val="24"/>
          <w:szCs w:val="24"/>
        </w:rPr>
        <w:t>_</w:t>
      </w:r>
      <w:r>
        <w:rPr>
          <w:rFonts w:hint="eastAsia" w:ascii="宋体" w:hAnsi="宋体" w:cs="宋体"/>
          <w:sz w:val="24"/>
          <w:szCs w:val="24"/>
        </w:rPr>
        <w:t>项目的磋商，为便于贵方公正、择优地确定成交人及其磋商产品和服务，我方就本次磋商有关事项郑重声明如下：</w:t>
      </w:r>
    </w:p>
    <w:p w14:paraId="47F89F4A">
      <w:pPr>
        <w:pStyle w:val="34"/>
        <w:spacing w:before="156" w:after="156" w:line="500" w:lineRule="exact"/>
        <w:ind w:firstLine="420" w:firstLineChars="200"/>
        <w:rPr>
          <w:rFonts w:hAnsi="宋体"/>
        </w:rPr>
      </w:pPr>
      <w:r>
        <w:rPr>
          <w:rFonts w:hAnsi="宋体"/>
        </w:rPr>
        <w:t>1</w:t>
      </w:r>
      <w:r>
        <w:rPr>
          <w:rFonts w:hint="eastAsia" w:hAnsi="宋体"/>
        </w:rPr>
        <w:t>、我方已详细审查全部竞争性磋商文件，同意竞争性磋商文件的各项要求。</w:t>
      </w:r>
    </w:p>
    <w:p w14:paraId="661DA6EC">
      <w:pPr>
        <w:pStyle w:val="34"/>
        <w:spacing w:before="156" w:after="156" w:line="500" w:lineRule="exact"/>
        <w:ind w:firstLine="420" w:firstLineChars="200"/>
        <w:rPr>
          <w:rFonts w:hAnsi="宋体"/>
        </w:rPr>
      </w:pPr>
      <w:r>
        <w:rPr>
          <w:rFonts w:hAnsi="宋体"/>
        </w:rPr>
        <w:t>2</w:t>
      </w:r>
      <w:r>
        <w:rPr>
          <w:rFonts w:hint="eastAsia" w:hAnsi="宋体"/>
        </w:rPr>
        <w:t>、我方向贵方提交的所有响应文件、资料都是准确的和真实的。</w:t>
      </w:r>
    </w:p>
    <w:p w14:paraId="6531F84D">
      <w:pPr>
        <w:pStyle w:val="34"/>
        <w:spacing w:before="156" w:after="156" w:line="500" w:lineRule="exact"/>
        <w:ind w:firstLine="420" w:firstLineChars="200"/>
        <w:rPr>
          <w:rFonts w:hAnsi="宋体"/>
        </w:rPr>
      </w:pPr>
      <w:r>
        <w:rPr>
          <w:rFonts w:hAnsi="宋体"/>
        </w:rPr>
        <w:t>3</w:t>
      </w:r>
      <w:r>
        <w:rPr>
          <w:rFonts w:hint="eastAsia" w:hAnsi="宋体"/>
        </w:rPr>
        <w:t>、若成交，我方将按竞争性磋商文件规定履行合同责任和义务。</w:t>
      </w:r>
    </w:p>
    <w:p w14:paraId="69C117F3">
      <w:pPr>
        <w:pStyle w:val="34"/>
        <w:spacing w:before="156" w:after="156" w:line="500" w:lineRule="exact"/>
        <w:ind w:firstLine="420" w:firstLineChars="200"/>
        <w:rPr>
          <w:rFonts w:hAnsi="宋体"/>
        </w:rPr>
      </w:pPr>
      <w:r>
        <w:rPr>
          <w:rFonts w:hAnsi="宋体"/>
        </w:rPr>
        <w:t>4</w:t>
      </w:r>
      <w:r>
        <w:rPr>
          <w:rFonts w:hint="eastAsia" w:hAnsi="宋体"/>
        </w:rPr>
        <w:t>、我方不是采购人的附属机构；在获知本项目采购信息后，与采购人聘请的为此项目提供咨询服务的公司及其附属机构没有任何联系。</w:t>
      </w:r>
    </w:p>
    <w:p w14:paraId="77DE8C7F">
      <w:pPr>
        <w:pStyle w:val="34"/>
        <w:spacing w:before="156" w:after="156" w:line="500" w:lineRule="exact"/>
        <w:ind w:firstLine="420" w:firstLineChars="200"/>
        <w:rPr>
          <w:rFonts w:hAnsi="宋体"/>
        </w:rPr>
      </w:pPr>
      <w:r>
        <w:rPr>
          <w:rFonts w:hAnsi="宋体"/>
        </w:rPr>
        <w:t>5</w:t>
      </w:r>
      <w:r>
        <w:rPr>
          <w:rFonts w:hint="eastAsia" w:hAnsi="宋体"/>
        </w:rPr>
        <w:t>、响应文件自开标日起有效期为</w:t>
      </w:r>
      <w:r>
        <w:rPr>
          <w:rFonts w:hAnsi="宋体"/>
        </w:rPr>
        <w:t>60</w:t>
      </w:r>
      <w:r>
        <w:rPr>
          <w:rFonts w:hint="eastAsia" w:hAnsi="宋体"/>
        </w:rPr>
        <w:t>天。</w:t>
      </w:r>
    </w:p>
    <w:p w14:paraId="3CE33F51">
      <w:pPr>
        <w:pStyle w:val="34"/>
        <w:spacing w:before="156" w:after="156" w:line="500" w:lineRule="exact"/>
        <w:ind w:firstLine="420" w:firstLineChars="200"/>
        <w:rPr>
          <w:rFonts w:hAnsi="宋体"/>
        </w:rPr>
      </w:pPr>
      <w:r>
        <w:rPr>
          <w:rFonts w:hint="eastAsia" w:hAnsi="宋体"/>
        </w:rPr>
        <w:t>6、我方参与本项目前3年内的经营活动中没有重大违法记录；</w:t>
      </w:r>
    </w:p>
    <w:p w14:paraId="08E7DDBE">
      <w:pPr>
        <w:pStyle w:val="34"/>
        <w:spacing w:before="156" w:after="156" w:line="500" w:lineRule="exact"/>
        <w:ind w:firstLine="420" w:firstLineChars="200"/>
        <w:rPr>
          <w:rFonts w:hAnsi="宋体"/>
        </w:rPr>
      </w:pPr>
      <w:r>
        <w:rPr>
          <w:rFonts w:hint="eastAsia" w:hAnsi="宋体"/>
        </w:rPr>
        <w:t>7、我方通过“信用中国”网站</w:t>
      </w:r>
      <w:r>
        <w:rPr>
          <w:rFonts w:hAnsi="宋体"/>
        </w:rPr>
        <w:t>（www.creditchina.gov.cn）、中国政府采购网（www.ccgp.gov.cn）查询，未被列入失信被执行人、重大税收违法案件当事人名单、政府采购严重违</w:t>
      </w:r>
      <w:r>
        <w:rPr>
          <w:rFonts w:hint="eastAsia" w:hAnsi="宋体"/>
        </w:rPr>
        <w:t>法失信行为记录名单。</w:t>
      </w:r>
    </w:p>
    <w:p w14:paraId="24F5AE9C">
      <w:pPr>
        <w:pStyle w:val="34"/>
        <w:spacing w:before="156" w:after="156" w:line="500" w:lineRule="exact"/>
        <w:ind w:firstLine="420" w:firstLineChars="200"/>
        <w:rPr>
          <w:rFonts w:hAnsi="宋体"/>
        </w:rPr>
      </w:pPr>
      <w:r>
        <w:rPr>
          <w:rFonts w:hint="eastAsia" w:hAnsi="宋体"/>
        </w:rPr>
        <w:t>8、以上事项如有虚假或隐瞒，我方愿意承担一切后果，并不再寻求任何旨在减轻或免除法律责任的辩解。</w:t>
      </w:r>
    </w:p>
    <w:p w14:paraId="0A9A00E9">
      <w:pPr>
        <w:widowControl/>
        <w:jc w:val="left"/>
      </w:pPr>
    </w:p>
    <w:p w14:paraId="285F9A72">
      <w:pPr>
        <w:snapToGrid w:val="0"/>
        <w:spacing w:before="156" w:beforeLines="50" w:line="400" w:lineRule="exact"/>
        <w:ind w:firstLine="200"/>
        <w:rPr>
          <w:rFonts w:ascii="宋体" w:cs="Times New Roman"/>
          <w:sz w:val="24"/>
          <w:szCs w:val="24"/>
          <w:u w:val="single"/>
        </w:rPr>
      </w:pPr>
      <w:r>
        <w:rPr>
          <w:rFonts w:hint="eastAsia" w:ascii="宋体" w:hAnsi="宋体" w:cs="宋体"/>
          <w:sz w:val="24"/>
          <w:szCs w:val="24"/>
        </w:rPr>
        <w:t>法定代表人签字：</w:t>
      </w:r>
    </w:p>
    <w:p w14:paraId="7607753C">
      <w:pPr>
        <w:snapToGrid w:val="0"/>
        <w:spacing w:before="156" w:beforeLines="50" w:after="50" w:line="400" w:lineRule="exact"/>
        <w:ind w:firstLine="240" w:firstLineChars="100"/>
        <w:rPr>
          <w:rFonts w:ascii="宋体" w:hAnsi="宋体" w:cs="宋体"/>
          <w:sz w:val="24"/>
          <w:szCs w:val="24"/>
        </w:rPr>
      </w:pPr>
      <w:r>
        <w:rPr>
          <w:rFonts w:hint="eastAsia" w:ascii="宋体" w:hAnsi="宋体" w:cs="宋体"/>
          <w:sz w:val="24"/>
          <w:szCs w:val="24"/>
        </w:rPr>
        <w:t>供应商公章：年月日</w:t>
      </w:r>
    </w:p>
    <w:p w14:paraId="304AF2D8">
      <w:pPr>
        <w:snapToGrid w:val="0"/>
        <w:spacing w:before="156" w:after="156" w:afterLines="50" w:line="400" w:lineRule="exact"/>
        <w:jc w:val="left"/>
        <w:rPr>
          <w:rFonts w:ascii="宋体" w:hAnsi="宋体" w:cs="宋体"/>
          <w:sz w:val="24"/>
          <w:szCs w:val="24"/>
        </w:rPr>
      </w:pPr>
    </w:p>
    <w:p w14:paraId="7E652B82">
      <w:pPr>
        <w:snapToGrid w:val="0"/>
        <w:spacing w:before="156" w:after="156" w:afterLines="50" w:line="400" w:lineRule="exact"/>
        <w:jc w:val="left"/>
        <w:rPr>
          <w:rFonts w:ascii="宋体" w:hAnsi="宋体" w:cs="宋体"/>
          <w:sz w:val="24"/>
          <w:szCs w:val="24"/>
        </w:rPr>
      </w:pPr>
    </w:p>
    <w:p w14:paraId="423E2610">
      <w:pPr>
        <w:snapToGrid w:val="0"/>
        <w:spacing w:before="156" w:after="156" w:afterLines="50" w:line="400" w:lineRule="exact"/>
        <w:jc w:val="left"/>
        <w:rPr>
          <w:rFonts w:ascii="宋体" w:cs="Times New Roman"/>
          <w:sz w:val="24"/>
          <w:szCs w:val="24"/>
        </w:rPr>
      </w:pPr>
      <w:r>
        <w:rPr>
          <w:rFonts w:ascii="宋体" w:hAnsi="宋体" w:cs="宋体"/>
          <w:sz w:val="24"/>
          <w:szCs w:val="24"/>
        </w:rPr>
        <w:t>2.</w:t>
      </w:r>
      <w:r>
        <w:rPr>
          <w:rFonts w:hint="eastAsia" w:ascii="宋体" w:hAnsi="宋体" w:cs="宋体"/>
          <w:sz w:val="24"/>
          <w:szCs w:val="24"/>
        </w:rPr>
        <w:t>法定代表人授权委托书格式：</w:t>
      </w:r>
    </w:p>
    <w:p w14:paraId="5FC66C0B">
      <w:pPr>
        <w:snapToGrid w:val="0"/>
        <w:spacing w:before="156" w:beforeLines="50" w:after="50" w:line="400" w:lineRule="exact"/>
        <w:jc w:val="center"/>
        <w:rPr>
          <w:rFonts w:ascii="宋体" w:cs="Times New Roman"/>
          <w:sz w:val="30"/>
          <w:szCs w:val="30"/>
        </w:rPr>
      </w:pPr>
    </w:p>
    <w:p w14:paraId="7EA532BE">
      <w:pPr>
        <w:snapToGrid w:val="0"/>
        <w:spacing w:before="156" w:beforeLines="50" w:after="50" w:line="400" w:lineRule="exact"/>
        <w:jc w:val="center"/>
        <w:rPr>
          <w:rFonts w:ascii="宋体" w:cs="Times New Roman"/>
          <w:b/>
          <w:bCs/>
          <w:sz w:val="36"/>
          <w:szCs w:val="36"/>
        </w:rPr>
      </w:pPr>
      <w:r>
        <w:rPr>
          <w:rFonts w:hint="eastAsia" w:ascii="宋体" w:hAnsi="宋体" w:cs="宋体"/>
          <w:b/>
          <w:bCs/>
          <w:sz w:val="36"/>
          <w:szCs w:val="36"/>
        </w:rPr>
        <w:t>法定代表人授权委托书</w:t>
      </w:r>
    </w:p>
    <w:p w14:paraId="692FA3BD">
      <w:pPr>
        <w:snapToGrid w:val="0"/>
        <w:spacing w:before="156" w:beforeLines="50" w:after="50" w:line="400" w:lineRule="exact"/>
        <w:jc w:val="center"/>
        <w:rPr>
          <w:rFonts w:ascii="宋体" w:cs="Times New Roman"/>
          <w:b/>
          <w:bCs/>
          <w:sz w:val="36"/>
          <w:szCs w:val="36"/>
        </w:rPr>
      </w:pPr>
    </w:p>
    <w:p w14:paraId="20171EAC">
      <w:pPr>
        <w:snapToGrid w:val="0"/>
        <w:spacing w:before="156" w:beforeLines="50" w:after="50" w:line="400" w:lineRule="exact"/>
        <w:rPr>
          <w:rFonts w:ascii="宋体" w:cs="Times New Roman"/>
          <w:b/>
          <w:bCs/>
          <w:sz w:val="24"/>
          <w:szCs w:val="24"/>
        </w:rPr>
      </w:pPr>
      <w:r>
        <w:rPr>
          <w:rFonts w:hint="eastAsia" w:ascii="宋体" w:hAnsi="宋体" w:cs="宋体"/>
          <w:sz w:val="24"/>
          <w:szCs w:val="24"/>
        </w:rPr>
        <w:t>致：（磋商采购单位名称）：</w:t>
      </w:r>
    </w:p>
    <w:p w14:paraId="10EB7A8F">
      <w:pPr>
        <w:snapToGrid w:val="0"/>
        <w:spacing w:before="156" w:beforeLines="50" w:after="50" w:line="460" w:lineRule="exact"/>
        <w:ind w:firstLine="600" w:firstLineChars="250"/>
        <w:rPr>
          <w:rFonts w:ascii="宋体" w:cs="Times New Roman"/>
          <w:sz w:val="24"/>
          <w:szCs w:val="24"/>
        </w:rPr>
      </w:pPr>
      <w:r>
        <w:rPr>
          <w:rFonts w:hint="eastAsia" w:ascii="宋体" w:hAnsi="宋体" w:cs="宋体"/>
          <w:sz w:val="24"/>
          <w:szCs w:val="24"/>
        </w:rPr>
        <w:t>我（姓名）系（供应商名称）的法定代表人，现授权委托（姓名）以我方的名义参加项目的磋商活动，并代表我方全权办理针对上述项目的磋商、开标、评标、签约等具体事务和签署相关文件。</w:t>
      </w:r>
    </w:p>
    <w:p w14:paraId="514647E7">
      <w:pPr>
        <w:snapToGrid w:val="0"/>
        <w:spacing w:before="156" w:beforeLines="50" w:after="50" w:line="400" w:lineRule="exact"/>
        <w:rPr>
          <w:rFonts w:ascii="宋体" w:cs="Times New Roman"/>
          <w:sz w:val="24"/>
          <w:szCs w:val="24"/>
        </w:rPr>
      </w:pPr>
      <w:r>
        <w:rPr>
          <w:rFonts w:hint="eastAsia" w:ascii="宋体" w:hAnsi="宋体" w:cs="宋体"/>
          <w:sz w:val="24"/>
          <w:szCs w:val="24"/>
        </w:rPr>
        <w:t>我方对被授权人的签名事项负全部责任。</w:t>
      </w:r>
    </w:p>
    <w:p w14:paraId="6E9B39E9">
      <w:pPr>
        <w:snapToGrid w:val="0"/>
        <w:spacing w:before="156" w:beforeLines="50" w:after="50" w:line="460" w:lineRule="exact"/>
        <w:ind w:firstLine="482"/>
        <w:rPr>
          <w:rFonts w:ascii="宋体" w:cs="Times New Roman"/>
          <w:sz w:val="24"/>
          <w:szCs w:val="24"/>
        </w:rPr>
      </w:pPr>
      <w:r>
        <w:rPr>
          <w:rFonts w:hint="eastAsia" w:ascii="宋体" w:hAnsi="宋体" w:cs="宋体"/>
          <w:sz w:val="24"/>
          <w:szCs w:val="24"/>
        </w:rPr>
        <w:t>在撤销授权的书面通知以前，本授权书一直有效。被授权人在授权书有效期内签署的所有文件不因授权的撤销而失效。</w:t>
      </w:r>
    </w:p>
    <w:p w14:paraId="47CC03D3">
      <w:pPr>
        <w:snapToGrid w:val="0"/>
        <w:spacing w:before="156" w:beforeLines="50" w:after="50" w:line="400" w:lineRule="exact"/>
        <w:ind w:firstLine="480"/>
        <w:rPr>
          <w:rFonts w:ascii="宋体" w:cs="Times New Roman"/>
          <w:sz w:val="24"/>
          <w:szCs w:val="24"/>
        </w:rPr>
      </w:pPr>
      <w:r>
        <w:rPr>
          <w:rFonts w:hint="eastAsia" w:ascii="宋体" w:hAnsi="宋体" w:cs="宋体"/>
          <w:sz w:val="24"/>
          <w:szCs w:val="24"/>
        </w:rPr>
        <w:t>被授权人无转委托权，特此委托。</w:t>
      </w:r>
    </w:p>
    <w:p w14:paraId="43BCE578">
      <w:pPr>
        <w:snapToGrid w:val="0"/>
        <w:spacing w:before="156" w:beforeLines="50" w:after="50" w:line="400" w:lineRule="exact"/>
        <w:rPr>
          <w:rFonts w:ascii="宋体" w:cs="Times New Roman"/>
          <w:sz w:val="24"/>
          <w:szCs w:val="24"/>
        </w:rPr>
      </w:pPr>
    </w:p>
    <w:p w14:paraId="27A8FD69">
      <w:pPr>
        <w:snapToGrid w:val="0"/>
        <w:spacing w:before="156" w:beforeLines="50" w:after="50" w:line="400" w:lineRule="exact"/>
        <w:rPr>
          <w:rFonts w:ascii="宋体" w:cs="Times New Roman"/>
          <w:sz w:val="24"/>
          <w:szCs w:val="24"/>
          <w:u w:val="single"/>
        </w:rPr>
      </w:pPr>
      <w:r>
        <w:rPr>
          <w:rFonts w:hint="eastAsia" w:ascii="宋体" w:hAnsi="宋体" w:cs="宋体"/>
          <w:sz w:val="24"/>
          <w:szCs w:val="24"/>
        </w:rPr>
        <w:t>被授权人签名：法定代表人签名：</w:t>
      </w:r>
    </w:p>
    <w:p w14:paraId="49D01AB0">
      <w:pPr>
        <w:snapToGrid w:val="0"/>
        <w:spacing w:before="156" w:beforeLines="50" w:after="50" w:line="400" w:lineRule="exact"/>
        <w:rPr>
          <w:rFonts w:ascii="宋体" w:cs="Times New Roman"/>
          <w:sz w:val="24"/>
          <w:szCs w:val="24"/>
          <w:u w:val="single"/>
        </w:rPr>
      </w:pPr>
    </w:p>
    <w:p w14:paraId="2EA9F20C">
      <w:pPr>
        <w:snapToGrid w:val="0"/>
        <w:spacing w:before="156" w:beforeLines="50" w:after="50" w:line="400" w:lineRule="exact"/>
        <w:ind w:firstLine="960" w:firstLineChars="400"/>
        <w:rPr>
          <w:rFonts w:ascii="宋体" w:cs="Times New Roman"/>
          <w:sz w:val="24"/>
          <w:szCs w:val="24"/>
          <w:u w:val="single"/>
        </w:rPr>
      </w:pPr>
      <w:r>
        <w:rPr>
          <w:rFonts w:hint="eastAsia" w:ascii="宋体" w:hAnsi="宋体" w:cs="宋体"/>
          <w:sz w:val="24"/>
          <w:szCs w:val="24"/>
        </w:rPr>
        <w:t>职务：职务：</w:t>
      </w:r>
    </w:p>
    <w:p w14:paraId="729D6890">
      <w:pPr>
        <w:snapToGrid w:val="0"/>
        <w:spacing w:before="156" w:beforeLines="50" w:after="50" w:line="400" w:lineRule="exact"/>
        <w:ind w:firstLine="960" w:firstLineChars="400"/>
        <w:rPr>
          <w:rFonts w:ascii="宋体" w:cs="Times New Roman"/>
          <w:sz w:val="24"/>
          <w:szCs w:val="24"/>
        </w:rPr>
      </w:pPr>
    </w:p>
    <w:p w14:paraId="5F777619">
      <w:pPr>
        <w:snapToGrid w:val="0"/>
        <w:spacing w:before="156" w:beforeLines="50" w:after="50" w:line="400" w:lineRule="exact"/>
        <w:rPr>
          <w:rFonts w:ascii="宋体" w:cs="Times New Roman"/>
          <w:sz w:val="24"/>
          <w:szCs w:val="24"/>
        </w:rPr>
      </w:pPr>
      <w:r>
        <w:rPr>
          <w:rFonts w:hint="eastAsia" w:ascii="宋体" w:hAnsi="宋体" w:cs="宋体"/>
          <w:sz w:val="24"/>
          <w:szCs w:val="24"/>
        </w:rPr>
        <w:t>被授权人身份证号码：</w:t>
      </w:r>
    </w:p>
    <w:p w14:paraId="1CA8E613">
      <w:pPr>
        <w:snapToGrid w:val="0"/>
        <w:spacing w:before="156" w:beforeLines="50" w:after="50" w:line="400" w:lineRule="exact"/>
        <w:rPr>
          <w:rFonts w:ascii="宋体" w:cs="Times New Roman"/>
          <w:sz w:val="24"/>
          <w:szCs w:val="24"/>
        </w:rPr>
      </w:pPr>
    </w:p>
    <w:p w14:paraId="67B4F24C">
      <w:pPr>
        <w:snapToGrid w:val="0"/>
        <w:spacing w:before="156" w:beforeLines="50" w:after="50" w:line="400" w:lineRule="exact"/>
        <w:rPr>
          <w:rFonts w:ascii="宋体" w:cs="Times New Roman"/>
          <w:sz w:val="24"/>
          <w:szCs w:val="24"/>
        </w:rPr>
      </w:pPr>
      <w:r>
        <w:rPr>
          <w:rFonts w:hint="eastAsia" w:ascii="宋体" w:hAnsi="宋体" w:cs="宋体"/>
          <w:sz w:val="24"/>
          <w:szCs w:val="24"/>
        </w:rPr>
        <w:t>供应商公章：</w:t>
      </w:r>
    </w:p>
    <w:p w14:paraId="73049C1B">
      <w:pPr>
        <w:snapToGrid w:val="0"/>
        <w:spacing w:before="156" w:beforeLines="50" w:after="50" w:line="400" w:lineRule="exact"/>
        <w:rPr>
          <w:rFonts w:ascii="宋体" w:cs="Times New Roman"/>
          <w:sz w:val="24"/>
          <w:szCs w:val="24"/>
        </w:rPr>
      </w:pPr>
    </w:p>
    <w:p w14:paraId="6BBAE07F">
      <w:pPr>
        <w:snapToGrid w:val="0"/>
        <w:spacing w:before="156" w:beforeLines="50" w:after="50" w:line="400" w:lineRule="exact"/>
        <w:jc w:val="center"/>
        <w:rPr>
          <w:rFonts w:ascii="宋体" w:hAnsi="宋体" w:cs="宋体"/>
          <w:sz w:val="24"/>
          <w:szCs w:val="24"/>
        </w:rPr>
      </w:pPr>
      <w:r>
        <w:rPr>
          <w:rFonts w:hint="eastAsia" w:ascii="宋体" w:hAnsi="宋体" w:cs="宋体"/>
          <w:sz w:val="24"/>
          <w:szCs w:val="24"/>
        </w:rPr>
        <w:t>年月日</w:t>
      </w:r>
    </w:p>
    <w:p w14:paraId="05FE63BB">
      <w:pPr>
        <w:snapToGrid w:val="0"/>
        <w:spacing w:before="156" w:after="156" w:afterLines="50" w:line="400" w:lineRule="exact"/>
        <w:jc w:val="left"/>
        <w:rPr>
          <w:rFonts w:ascii="宋体" w:cs="Times New Roman"/>
          <w:sz w:val="24"/>
          <w:szCs w:val="24"/>
        </w:rPr>
      </w:pPr>
    </w:p>
    <w:p w14:paraId="2A2D43A8">
      <w:pPr>
        <w:widowControl/>
        <w:spacing w:line="360" w:lineRule="auto"/>
        <w:ind w:left="720"/>
        <w:rPr>
          <w:rFonts w:ascii="宋体" w:cs="Times New Roman"/>
          <w:b/>
          <w:bCs/>
          <w:sz w:val="24"/>
          <w:szCs w:val="24"/>
        </w:rPr>
      </w:pPr>
    </w:p>
    <w:p w14:paraId="1278E005">
      <w:pPr>
        <w:widowControl/>
        <w:spacing w:line="360" w:lineRule="auto"/>
        <w:ind w:left="720"/>
        <w:rPr>
          <w:rFonts w:ascii="宋体" w:cs="Times New Roman"/>
          <w:b/>
          <w:bCs/>
          <w:sz w:val="24"/>
          <w:szCs w:val="24"/>
        </w:rPr>
      </w:pPr>
    </w:p>
    <w:p w14:paraId="7B98ED4B">
      <w:pPr>
        <w:widowControl/>
        <w:spacing w:line="360" w:lineRule="auto"/>
        <w:ind w:left="720"/>
        <w:rPr>
          <w:rFonts w:ascii="宋体" w:cs="Times New Roman"/>
          <w:b/>
          <w:bCs/>
          <w:sz w:val="24"/>
          <w:szCs w:val="24"/>
        </w:rPr>
      </w:pPr>
    </w:p>
    <w:p w14:paraId="45024143">
      <w:pPr>
        <w:snapToGrid w:val="0"/>
        <w:spacing w:line="360" w:lineRule="auto"/>
        <w:jc w:val="left"/>
        <w:rPr>
          <w:rFonts w:ascii="宋体" w:cs="Times New Roman"/>
          <w:b/>
          <w:bCs/>
          <w:sz w:val="24"/>
          <w:szCs w:val="24"/>
        </w:rPr>
      </w:pPr>
      <w:r>
        <w:rPr>
          <w:rFonts w:hint="eastAsia" w:ascii="宋体" w:hAnsi="宋体" w:cs="宋体"/>
          <w:b/>
          <w:bCs/>
          <w:sz w:val="24"/>
          <w:szCs w:val="24"/>
        </w:rPr>
        <w:t>三、技术文件：（参考第三章磋商须知“响应文件的组成”）</w:t>
      </w:r>
    </w:p>
    <w:p w14:paraId="6CC2E911">
      <w:pPr>
        <w:spacing w:line="460" w:lineRule="exact"/>
        <w:jc w:val="left"/>
        <w:rPr>
          <w:rFonts w:ascii="宋体" w:cs="Times New Roman"/>
          <w:sz w:val="24"/>
          <w:szCs w:val="24"/>
        </w:rPr>
      </w:pPr>
      <w:r>
        <w:rPr>
          <w:rFonts w:ascii="宋体" w:hAnsi="宋体" w:cs="宋体"/>
          <w:sz w:val="24"/>
          <w:szCs w:val="24"/>
        </w:rPr>
        <w:t>1.</w:t>
      </w:r>
      <w:r>
        <w:rPr>
          <w:rFonts w:hint="eastAsia" w:ascii="宋体" w:hAnsi="宋体" w:cs="宋体"/>
          <w:sz w:val="24"/>
          <w:szCs w:val="24"/>
        </w:rPr>
        <w:t>项目实施人员一览表格式：</w:t>
      </w:r>
    </w:p>
    <w:p w14:paraId="38992835">
      <w:pPr>
        <w:snapToGrid w:val="0"/>
        <w:spacing w:before="156" w:beforeLines="50" w:after="50"/>
        <w:jc w:val="center"/>
        <w:rPr>
          <w:rFonts w:ascii="宋体" w:cs="Times New Roman"/>
          <w:b/>
          <w:bCs/>
          <w:sz w:val="24"/>
          <w:szCs w:val="24"/>
        </w:rPr>
      </w:pPr>
      <w:r>
        <w:rPr>
          <w:rFonts w:hint="eastAsia" w:ascii="宋体" w:hAnsi="宋体" w:cs="宋体"/>
          <w:b/>
          <w:bCs/>
          <w:sz w:val="24"/>
          <w:szCs w:val="24"/>
        </w:rPr>
        <w:t>项目实施人员（主要从业人员及其技术资格）一览表</w:t>
      </w:r>
    </w:p>
    <w:p w14:paraId="4D5C78C7">
      <w:pPr>
        <w:snapToGrid w:val="0"/>
        <w:spacing w:before="156" w:beforeLines="50" w:after="50"/>
        <w:rPr>
          <w:rFonts w:ascii="宋体" w:cs="Times New Roman"/>
          <w:sz w:val="24"/>
          <w:szCs w:val="24"/>
        </w:rPr>
      </w:pPr>
      <w:r>
        <w:rPr>
          <w:rFonts w:hint="eastAsia" w:ascii="宋体" w:hAnsi="宋体" w:cs="宋体"/>
        </w:rPr>
        <w:t>项目名称：</w:t>
      </w:r>
    </w:p>
    <w:tbl>
      <w:tblPr>
        <w:tblStyle w:val="63"/>
        <w:tblW w:w="8531" w:type="dxa"/>
        <w:tblInd w:w="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620"/>
        <w:gridCol w:w="1980"/>
      </w:tblGrid>
      <w:tr w14:paraId="554537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vAlign w:val="bottom"/>
          </w:tcPr>
          <w:p w14:paraId="5C249D2B">
            <w:pPr>
              <w:snapToGrid w:val="0"/>
              <w:spacing w:before="156" w:beforeLines="50" w:after="50"/>
              <w:rPr>
                <w:rFonts w:ascii="宋体" w:cs="宋体"/>
                <w:sz w:val="24"/>
                <w:szCs w:val="24"/>
              </w:rPr>
            </w:pPr>
            <w:r>
              <w:rPr>
                <w:rFonts w:hint="eastAsia" w:ascii="宋体" w:hAnsi="宋体" w:cs="宋体"/>
                <w:sz w:val="24"/>
                <w:szCs w:val="24"/>
              </w:rPr>
              <w:t>姓名</w:t>
            </w:r>
          </w:p>
        </w:tc>
        <w:tc>
          <w:tcPr>
            <w:tcW w:w="1004" w:type="dxa"/>
            <w:tcBorders>
              <w:top w:val="single" w:color="auto" w:sz="4" w:space="0"/>
              <w:left w:val="single" w:color="auto" w:sz="4" w:space="0"/>
              <w:bottom w:val="single" w:color="auto" w:sz="4" w:space="0"/>
              <w:right w:val="single" w:color="auto" w:sz="4" w:space="0"/>
            </w:tcBorders>
            <w:vAlign w:val="bottom"/>
          </w:tcPr>
          <w:p w14:paraId="17C28C20">
            <w:pPr>
              <w:snapToGrid w:val="0"/>
              <w:spacing w:before="156" w:beforeLines="50" w:after="50"/>
              <w:rPr>
                <w:rFonts w:ascii="宋体" w:cs="宋体"/>
                <w:sz w:val="24"/>
                <w:szCs w:val="24"/>
              </w:rPr>
            </w:pPr>
            <w:r>
              <w:rPr>
                <w:rFonts w:hint="eastAsia" w:ascii="宋体" w:hAnsi="宋体" w:cs="宋体"/>
                <w:sz w:val="24"/>
                <w:szCs w:val="24"/>
              </w:rPr>
              <w:t>职务</w:t>
            </w:r>
          </w:p>
        </w:tc>
        <w:tc>
          <w:tcPr>
            <w:tcW w:w="1663" w:type="dxa"/>
            <w:tcBorders>
              <w:top w:val="single" w:color="auto" w:sz="4" w:space="0"/>
              <w:left w:val="single" w:color="auto" w:sz="4" w:space="0"/>
              <w:bottom w:val="single" w:color="auto" w:sz="4" w:space="0"/>
              <w:right w:val="single" w:color="auto" w:sz="4" w:space="0"/>
            </w:tcBorders>
            <w:vAlign w:val="bottom"/>
          </w:tcPr>
          <w:p w14:paraId="0F637EB3">
            <w:pPr>
              <w:snapToGrid w:val="0"/>
              <w:spacing w:before="156" w:beforeLines="50" w:after="50"/>
              <w:jc w:val="center"/>
              <w:rPr>
                <w:rFonts w:ascii="宋体" w:cs="宋体"/>
                <w:sz w:val="24"/>
                <w:szCs w:val="24"/>
              </w:rPr>
            </w:pPr>
            <w:r>
              <w:rPr>
                <w:rFonts w:hint="eastAsia" w:ascii="宋体" w:hAnsi="宋体" w:cs="宋体"/>
                <w:sz w:val="24"/>
                <w:szCs w:val="24"/>
              </w:rPr>
              <w:t>专业技术资格</w:t>
            </w:r>
          </w:p>
        </w:tc>
        <w:tc>
          <w:tcPr>
            <w:tcW w:w="1260" w:type="dxa"/>
            <w:tcBorders>
              <w:top w:val="single" w:color="auto" w:sz="4" w:space="0"/>
              <w:left w:val="single" w:color="auto" w:sz="4" w:space="0"/>
              <w:bottom w:val="single" w:color="auto" w:sz="4" w:space="0"/>
              <w:right w:val="single" w:color="auto" w:sz="4" w:space="0"/>
            </w:tcBorders>
            <w:vAlign w:val="bottom"/>
          </w:tcPr>
          <w:p w14:paraId="712928F3">
            <w:pPr>
              <w:snapToGrid w:val="0"/>
              <w:spacing w:before="156" w:beforeLines="50" w:after="50"/>
              <w:rPr>
                <w:rFonts w:ascii="宋体" w:cs="宋体"/>
                <w:sz w:val="24"/>
                <w:szCs w:val="24"/>
              </w:rPr>
            </w:pPr>
            <w:r>
              <w:rPr>
                <w:rFonts w:hint="eastAsia" w:ascii="宋体" w:hAnsi="宋体" w:cs="宋体"/>
                <w:sz w:val="24"/>
                <w:szCs w:val="24"/>
              </w:rPr>
              <w:t>证书编号</w:t>
            </w:r>
          </w:p>
        </w:tc>
        <w:tc>
          <w:tcPr>
            <w:tcW w:w="1620" w:type="dxa"/>
            <w:tcBorders>
              <w:top w:val="single" w:color="auto" w:sz="4" w:space="0"/>
              <w:left w:val="single" w:color="auto" w:sz="4" w:space="0"/>
              <w:bottom w:val="single" w:color="auto" w:sz="4" w:space="0"/>
              <w:right w:val="single" w:color="auto" w:sz="4" w:space="0"/>
            </w:tcBorders>
            <w:vAlign w:val="bottom"/>
          </w:tcPr>
          <w:p w14:paraId="5522A239">
            <w:pPr>
              <w:snapToGrid w:val="0"/>
              <w:spacing w:before="156" w:beforeLines="50" w:after="50"/>
              <w:rPr>
                <w:rFonts w:ascii="宋体" w:cs="宋体"/>
                <w:sz w:val="24"/>
                <w:szCs w:val="24"/>
              </w:rPr>
            </w:pPr>
            <w:r>
              <w:rPr>
                <w:rFonts w:hint="eastAsia" w:ascii="宋体" w:hAnsi="宋体" w:cs="宋体"/>
                <w:sz w:val="24"/>
                <w:szCs w:val="24"/>
              </w:rPr>
              <w:t>参加本单位工作时间</w:t>
            </w:r>
          </w:p>
        </w:tc>
        <w:tc>
          <w:tcPr>
            <w:tcW w:w="1980" w:type="dxa"/>
            <w:tcBorders>
              <w:top w:val="single" w:color="auto" w:sz="4" w:space="0"/>
              <w:left w:val="single" w:color="auto" w:sz="4" w:space="0"/>
              <w:bottom w:val="single" w:color="auto" w:sz="4" w:space="0"/>
            </w:tcBorders>
            <w:vAlign w:val="bottom"/>
          </w:tcPr>
          <w:p w14:paraId="00405FBC">
            <w:pPr>
              <w:snapToGrid w:val="0"/>
              <w:spacing w:before="156" w:beforeLines="50" w:after="50"/>
              <w:rPr>
                <w:rFonts w:ascii="宋体" w:cs="宋体"/>
                <w:sz w:val="24"/>
                <w:szCs w:val="24"/>
              </w:rPr>
            </w:pPr>
            <w:r>
              <w:rPr>
                <w:rFonts w:hint="eastAsia" w:ascii="宋体" w:hAnsi="宋体" w:cs="宋体"/>
                <w:sz w:val="24"/>
                <w:szCs w:val="24"/>
              </w:rPr>
              <w:t>劳动合同编号</w:t>
            </w:r>
          </w:p>
        </w:tc>
      </w:tr>
      <w:tr w14:paraId="57D709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14:paraId="44E4ECE7">
            <w:pPr>
              <w:snapToGrid w:val="0"/>
              <w:spacing w:before="156" w:beforeLines="50" w:after="50"/>
              <w:rPr>
                <w:rFonts w:ascii="宋体" w:cs="宋体"/>
                <w:sz w:val="24"/>
                <w:szCs w:val="24"/>
              </w:rPr>
            </w:pPr>
          </w:p>
        </w:tc>
        <w:tc>
          <w:tcPr>
            <w:tcW w:w="1004" w:type="dxa"/>
            <w:tcBorders>
              <w:top w:val="single" w:color="auto" w:sz="4" w:space="0"/>
              <w:left w:val="single" w:color="auto" w:sz="4" w:space="0"/>
              <w:bottom w:val="single" w:color="auto" w:sz="4" w:space="0"/>
              <w:right w:val="single" w:color="auto" w:sz="4" w:space="0"/>
            </w:tcBorders>
          </w:tcPr>
          <w:p w14:paraId="3A9ABB2B">
            <w:pPr>
              <w:snapToGrid w:val="0"/>
              <w:spacing w:before="156" w:beforeLines="50" w:after="50"/>
              <w:rPr>
                <w:rFonts w:ascii="宋体" w:cs="宋体"/>
                <w:sz w:val="24"/>
                <w:szCs w:val="24"/>
              </w:rPr>
            </w:pPr>
          </w:p>
        </w:tc>
        <w:tc>
          <w:tcPr>
            <w:tcW w:w="1663" w:type="dxa"/>
            <w:tcBorders>
              <w:top w:val="single" w:color="auto" w:sz="4" w:space="0"/>
              <w:left w:val="single" w:color="auto" w:sz="4" w:space="0"/>
              <w:bottom w:val="single" w:color="auto" w:sz="4" w:space="0"/>
              <w:right w:val="single" w:color="auto" w:sz="4" w:space="0"/>
            </w:tcBorders>
          </w:tcPr>
          <w:p w14:paraId="260EAECA">
            <w:pPr>
              <w:snapToGrid w:val="0"/>
              <w:spacing w:before="156" w:beforeLines="50" w:after="50"/>
              <w:rPr>
                <w:rFonts w:ascii="宋体" w:cs="宋体"/>
                <w:sz w:val="24"/>
                <w:szCs w:val="24"/>
              </w:rPr>
            </w:pPr>
          </w:p>
        </w:tc>
        <w:tc>
          <w:tcPr>
            <w:tcW w:w="1260" w:type="dxa"/>
            <w:tcBorders>
              <w:top w:val="single" w:color="auto" w:sz="4" w:space="0"/>
              <w:left w:val="single" w:color="auto" w:sz="4" w:space="0"/>
              <w:bottom w:val="single" w:color="auto" w:sz="4" w:space="0"/>
              <w:right w:val="single" w:color="auto" w:sz="4" w:space="0"/>
            </w:tcBorders>
          </w:tcPr>
          <w:p w14:paraId="1EBE84D3">
            <w:pPr>
              <w:snapToGrid w:val="0"/>
              <w:spacing w:before="156" w:beforeLines="50" w:after="50"/>
              <w:rPr>
                <w:rFonts w:ascii="宋体" w:cs="宋体"/>
                <w:sz w:val="24"/>
                <w:szCs w:val="24"/>
              </w:rPr>
            </w:pPr>
          </w:p>
        </w:tc>
        <w:tc>
          <w:tcPr>
            <w:tcW w:w="1620" w:type="dxa"/>
            <w:tcBorders>
              <w:top w:val="single" w:color="auto" w:sz="4" w:space="0"/>
              <w:left w:val="single" w:color="auto" w:sz="4" w:space="0"/>
              <w:bottom w:val="single" w:color="auto" w:sz="4" w:space="0"/>
              <w:right w:val="single" w:color="auto" w:sz="4" w:space="0"/>
            </w:tcBorders>
          </w:tcPr>
          <w:p w14:paraId="2009CC48">
            <w:pPr>
              <w:snapToGrid w:val="0"/>
              <w:spacing w:before="156" w:beforeLines="50" w:after="50"/>
              <w:rPr>
                <w:rFonts w:ascii="宋体" w:cs="宋体"/>
                <w:sz w:val="24"/>
                <w:szCs w:val="24"/>
              </w:rPr>
            </w:pPr>
          </w:p>
        </w:tc>
        <w:tc>
          <w:tcPr>
            <w:tcW w:w="1980" w:type="dxa"/>
            <w:tcBorders>
              <w:top w:val="single" w:color="auto" w:sz="4" w:space="0"/>
              <w:left w:val="single" w:color="auto" w:sz="4" w:space="0"/>
              <w:bottom w:val="single" w:color="auto" w:sz="4" w:space="0"/>
            </w:tcBorders>
          </w:tcPr>
          <w:p w14:paraId="726501ED">
            <w:pPr>
              <w:snapToGrid w:val="0"/>
              <w:spacing w:before="156" w:beforeLines="50" w:after="50"/>
              <w:rPr>
                <w:rFonts w:ascii="宋体" w:cs="宋体"/>
                <w:sz w:val="24"/>
                <w:szCs w:val="24"/>
              </w:rPr>
            </w:pPr>
          </w:p>
        </w:tc>
      </w:tr>
      <w:tr w14:paraId="1DFD9D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14:paraId="64F617E5">
            <w:pPr>
              <w:snapToGrid w:val="0"/>
              <w:spacing w:before="156" w:beforeLines="50" w:after="50"/>
              <w:rPr>
                <w:rFonts w:ascii="宋体" w:cs="宋体"/>
                <w:sz w:val="24"/>
                <w:szCs w:val="24"/>
              </w:rPr>
            </w:pPr>
          </w:p>
        </w:tc>
        <w:tc>
          <w:tcPr>
            <w:tcW w:w="1004" w:type="dxa"/>
            <w:tcBorders>
              <w:top w:val="single" w:color="auto" w:sz="4" w:space="0"/>
              <w:left w:val="single" w:color="auto" w:sz="4" w:space="0"/>
              <w:bottom w:val="single" w:color="auto" w:sz="4" w:space="0"/>
              <w:right w:val="single" w:color="auto" w:sz="4" w:space="0"/>
            </w:tcBorders>
          </w:tcPr>
          <w:p w14:paraId="752EC611">
            <w:pPr>
              <w:snapToGrid w:val="0"/>
              <w:spacing w:before="156" w:beforeLines="50" w:after="50"/>
              <w:rPr>
                <w:rFonts w:ascii="宋体" w:cs="宋体"/>
                <w:sz w:val="24"/>
                <w:szCs w:val="24"/>
              </w:rPr>
            </w:pPr>
          </w:p>
        </w:tc>
        <w:tc>
          <w:tcPr>
            <w:tcW w:w="1663" w:type="dxa"/>
            <w:tcBorders>
              <w:top w:val="single" w:color="auto" w:sz="4" w:space="0"/>
              <w:left w:val="single" w:color="auto" w:sz="4" w:space="0"/>
              <w:bottom w:val="single" w:color="auto" w:sz="4" w:space="0"/>
              <w:right w:val="single" w:color="auto" w:sz="4" w:space="0"/>
            </w:tcBorders>
          </w:tcPr>
          <w:p w14:paraId="45B79291">
            <w:pPr>
              <w:snapToGrid w:val="0"/>
              <w:spacing w:before="156" w:beforeLines="50" w:after="50"/>
              <w:rPr>
                <w:rFonts w:ascii="宋体" w:cs="宋体"/>
                <w:sz w:val="24"/>
                <w:szCs w:val="24"/>
              </w:rPr>
            </w:pPr>
          </w:p>
        </w:tc>
        <w:tc>
          <w:tcPr>
            <w:tcW w:w="1260" w:type="dxa"/>
            <w:tcBorders>
              <w:top w:val="single" w:color="auto" w:sz="4" w:space="0"/>
              <w:left w:val="single" w:color="auto" w:sz="4" w:space="0"/>
              <w:bottom w:val="single" w:color="auto" w:sz="4" w:space="0"/>
              <w:right w:val="single" w:color="auto" w:sz="4" w:space="0"/>
            </w:tcBorders>
          </w:tcPr>
          <w:p w14:paraId="3A23B3E7">
            <w:pPr>
              <w:snapToGrid w:val="0"/>
              <w:spacing w:before="156" w:beforeLines="50" w:after="50"/>
              <w:rPr>
                <w:rFonts w:ascii="宋体" w:cs="宋体"/>
                <w:sz w:val="24"/>
                <w:szCs w:val="24"/>
              </w:rPr>
            </w:pPr>
          </w:p>
        </w:tc>
        <w:tc>
          <w:tcPr>
            <w:tcW w:w="1620" w:type="dxa"/>
            <w:tcBorders>
              <w:top w:val="single" w:color="auto" w:sz="4" w:space="0"/>
              <w:left w:val="single" w:color="auto" w:sz="4" w:space="0"/>
              <w:bottom w:val="single" w:color="auto" w:sz="4" w:space="0"/>
              <w:right w:val="single" w:color="auto" w:sz="4" w:space="0"/>
            </w:tcBorders>
          </w:tcPr>
          <w:p w14:paraId="624E655E">
            <w:pPr>
              <w:snapToGrid w:val="0"/>
              <w:spacing w:before="156" w:beforeLines="50" w:after="50"/>
              <w:rPr>
                <w:rFonts w:ascii="宋体" w:cs="宋体"/>
                <w:sz w:val="24"/>
                <w:szCs w:val="24"/>
              </w:rPr>
            </w:pPr>
          </w:p>
        </w:tc>
        <w:tc>
          <w:tcPr>
            <w:tcW w:w="1980" w:type="dxa"/>
            <w:tcBorders>
              <w:top w:val="single" w:color="auto" w:sz="4" w:space="0"/>
              <w:left w:val="single" w:color="auto" w:sz="4" w:space="0"/>
              <w:bottom w:val="single" w:color="auto" w:sz="4" w:space="0"/>
            </w:tcBorders>
          </w:tcPr>
          <w:p w14:paraId="7A657CEF">
            <w:pPr>
              <w:snapToGrid w:val="0"/>
              <w:spacing w:before="156" w:beforeLines="50" w:after="50"/>
              <w:rPr>
                <w:rFonts w:ascii="宋体" w:cs="宋体"/>
                <w:sz w:val="24"/>
                <w:szCs w:val="24"/>
              </w:rPr>
            </w:pPr>
          </w:p>
        </w:tc>
      </w:tr>
      <w:tr w14:paraId="69FCB5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14:paraId="4B865014">
            <w:pPr>
              <w:snapToGrid w:val="0"/>
              <w:spacing w:before="156" w:beforeLines="50" w:after="50"/>
              <w:rPr>
                <w:rFonts w:ascii="宋体" w:cs="宋体"/>
                <w:sz w:val="24"/>
                <w:szCs w:val="24"/>
              </w:rPr>
            </w:pPr>
          </w:p>
        </w:tc>
        <w:tc>
          <w:tcPr>
            <w:tcW w:w="1004" w:type="dxa"/>
            <w:tcBorders>
              <w:top w:val="single" w:color="auto" w:sz="4" w:space="0"/>
              <w:left w:val="single" w:color="auto" w:sz="4" w:space="0"/>
              <w:bottom w:val="single" w:color="auto" w:sz="4" w:space="0"/>
              <w:right w:val="single" w:color="auto" w:sz="4" w:space="0"/>
            </w:tcBorders>
          </w:tcPr>
          <w:p w14:paraId="3C2ED6C3">
            <w:pPr>
              <w:snapToGrid w:val="0"/>
              <w:spacing w:before="156" w:beforeLines="50" w:after="50"/>
              <w:rPr>
                <w:rFonts w:ascii="宋体" w:cs="宋体"/>
                <w:sz w:val="24"/>
                <w:szCs w:val="24"/>
              </w:rPr>
            </w:pPr>
          </w:p>
        </w:tc>
        <w:tc>
          <w:tcPr>
            <w:tcW w:w="1663" w:type="dxa"/>
            <w:tcBorders>
              <w:top w:val="single" w:color="auto" w:sz="4" w:space="0"/>
              <w:left w:val="single" w:color="auto" w:sz="4" w:space="0"/>
              <w:bottom w:val="single" w:color="auto" w:sz="4" w:space="0"/>
              <w:right w:val="single" w:color="auto" w:sz="4" w:space="0"/>
            </w:tcBorders>
          </w:tcPr>
          <w:p w14:paraId="26BB2805">
            <w:pPr>
              <w:pStyle w:val="38"/>
              <w:snapToGrid w:val="0"/>
              <w:spacing w:before="156" w:beforeLines="50" w:after="50"/>
              <w:ind w:left="5250"/>
              <w:rPr>
                <w:rFonts w:ascii="宋体"/>
                <w:kern w:val="2"/>
                <w:sz w:val="24"/>
                <w:szCs w:val="24"/>
              </w:rPr>
            </w:pPr>
          </w:p>
        </w:tc>
        <w:tc>
          <w:tcPr>
            <w:tcW w:w="1260" w:type="dxa"/>
            <w:tcBorders>
              <w:top w:val="single" w:color="auto" w:sz="4" w:space="0"/>
              <w:left w:val="single" w:color="auto" w:sz="4" w:space="0"/>
              <w:bottom w:val="single" w:color="auto" w:sz="4" w:space="0"/>
              <w:right w:val="single" w:color="auto" w:sz="4" w:space="0"/>
            </w:tcBorders>
          </w:tcPr>
          <w:p w14:paraId="22B4EA7A">
            <w:pPr>
              <w:snapToGrid w:val="0"/>
              <w:spacing w:before="156" w:beforeLines="50" w:after="50"/>
              <w:rPr>
                <w:rFonts w:ascii="宋体" w:cs="宋体"/>
                <w:sz w:val="24"/>
                <w:szCs w:val="24"/>
              </w:rPr>
            </w:pPr>
          </w:p>
        </w:tc>
        <w:tc>
          <w:tcPr>
            <w:tcW w:w="1620" w:type="dxa"/>
            <w:tcBorders>
              <w:top w:val="single" w:color="auto" w:sz="4" w:space="0"/>
              <w:left w:val="single" w:color="auto" w:sz="4" w:space="0"/>
              <w:bottom w:val="single" w:color="auto" w:sz="4" w:space="0"/>
              <w:right w:val="single" w:color="auto" w:sz="4" w:space="0"/>
            </w:tcBorders>
          </w:tcPr>
          <w:p w14:paraId="571F0D5A">
            <w:pPr>
              <w:snapToGrid w:val="0"/>
              <w:spacing w:before="156" w:beforeLines="50" w:after="50"/>
              <w:rPr>
                <w:rFonts w:ascii="宋体" w:cs="宋体"/>
                <w:sz w:val="24"/>
                <w:szCs w:val="24"/>
              </w:rPr>
            </w:pPr>
          </w:p>
        </w:tc>
        <w:tc>
          <w:tcPr>
            <w:tcW w:w="1980" w:type="dxa"/>
            <w:tcBorders>
              <w:top w:val="single" w:color="auto" w:sz="4" w:space="0"/>
              <w:left w:val="single" w:color="auto" w:sz="4" w:space="0"/>
              <w:bottom w:val="single" w:color="auto" w:sz="4" w:space="0"/>
            </w:tcBorders>
          </w:tcPr>
          <w:p w14:paraId="0930E351">
            <w:pPr>
              <w:snapToGrid w:val="0"/>
              <w:spacing w:before="156" w:beforeLines="50" w:after="50"/>
              <w:rPr>
                <w:rFonts w:ascii="宋体" w:cs="宋体"/>
                <w:sz w:val="24"/>
                <w:szCs w:val="24"/>
              </w:rPr>
            </w:pPr>
          </w:p>
        </w:tc>
      </w:tr>
      <w:tr w14:paraId="4D7537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14:paraId="72A54B78">
            <w:pPr>
              <w:snapToGrid w:val="0"/>
              <w:spacing w:before="156" w:beforeLines="50" w:after="50"/>
              <w:rPr>
                <w:rFonts w:ascii="宋体" w:cs="宋体"/>
                <w:sz w:val="24"/>
                <w:szCs w:val="24"/>
              </w:rPr>
            </w:pPr>
          </w:p>
        </w:tc>
        <w:tc>
          <w:tcPr>
            <w:tcW w:w="1004" w:type="dxa"/>
            <w:tcBorders>
              <w:top w:val="single" w:color="auto" w:sz="4" w:space="0"/>
              <w:left w:val="single" w:color="auto" w:sz="4" w:space="0"/>
              <w:bottom w:val="single" w:color="auto" w:sz="4" w:space="0"/>
              <w:right w:val="single" w:color="auto" w:sz="4" w:space="0"/>
            </w:tcBorders>
          </w:tcPr>
          <w:p w14:paraId="219E80E2">
            <w:pPr>
              <w:snapToGrid w:val="0"/>
              <w:spacing w:before="156" w:beforeLines="50" w:after="50"/>
              <w:rPr>
                <w:rFonts w:ascii="宋体" w:cs="宋体"/>
                <w:sz w:val="24"/>
                <w:szCs w:val="24"/>
              </w:rPr>
            </w:pPr>
          </w:p>
        </w:tc>
        <w:tc>
          <w:tcPr>
            <w:tcW w:w="1663" w:type="dxa"/>
            <w:tcBorders>
              <w:top w:val="single" w:color="auto" w:sz="4" w:space="0"/>
              <w:left w:val="single" w:color="auto" w:sz="4" w:space="0"/>
              <w:bottom w:val="single" w:color="auto" w:sz="4" w:space="0"/>
              <w:right w:val="single" w:color="auto" w:sz="4" w:space="0"/>
            </w:tcBorders>
          </w:tcPr>
          <w:p w14:paraId="4CE491B7">
            <w:pPr>
              <w:snapToGrid w:val="0"/>
              <w:spacing w:before="156" w:beforeLines="50" w:after="50"/>
              <w:rPr>
                <w:rFonts w:ascii="宋体" w:cs="宋体"/>
                <w:sz w:val="24"/>
                <w:szCs w:val="24"/>
              </w:rPr>
            </w:pPr>
          </w:p>
        </w:tc>
        <w:tc>
          <w:tcPr>
            <w:tcW w:w="1260" w:type="dxa"/>
            <w:tcBorders>
              <w:top w:val="single" w:color="auto" w:sz="4" w:space="0"/>
              <w:left w:val="single" w:color="auto" w:sz="4" w:space="0"/>
              <w:bottom w:val="single" w:color="auto" w:sz="4" w:space="0"/>
              <w:right w:val="single" w:color="auto" w:sz="4" w:space="0"/>
            </w:tcBorders>
          </w:tcPr>
          <w:p w14:paraId="0188EFC2">
            <w:pPr>
              <w:snapToGrid w:val="0"/>
              <w:spacing w:before="156" w:beforeLines="50" w:after="50"/>
              <w:rPr>
                <w:rFonts w:ascii="宋体" w:cs="宋体"/>
                <w:sz w:val="24"/>
                <w:szCs w:val="24"/>
              </w:rPr>
            </w:pPr>
          </w:p>
        </w:tc>
        <w:tc>
          <w:tcPr>
            <w:tcW w:w="1620" w:type="dxa"/>
            <w:tcBorders>
              <w:top w:val="single" w:color="auto" w:sz="4" w:space="0"/>
              <w:left w:val="single" w:color="auto" w:sz="4" w:space="0"/>
              <w:bottom w:val="single" w:color="auto" w:sz="4" w:space="0"/>
              <w:right w:val="single" w:color="auto" w:sz="4" w:space="0"/>
            </w:tcBorders>
          </w:tcPr>
          <w:p w14:paraId="22BA7063">
            <w:pPr>
              <w:snapToGrid w:val="0"/>
              <w:spacing w:before="156" w:beforeLines="50" w:after="50"/>
              <w:rPr>
                <w:rFonts w:ascii="宋体" w:cs="宋体"/>
                <w:sz w:val="24"/>
                <w:szCs w:val="24"/>
              </w:rPr>
            </w:pPr>
          </w:p>
        </w:tc>
        <w:tc>
          <w:tcPr>
            <w:tcW w:w="1980" w:type="dxa"/>
            <w:tcBorders>
              <w:top w:val="single" w:color="auto" w:sz="4" w:space="0"/>
              <w:left w:val="single" w:color="auto" w:sz="4" w:space="0"/>
              <w:bottom w:val="single" w:color="auto" w:sz="4" w:space="0"/>
            </w:tcBorders>
          </w:tcPr>
          <w:p w14:paraId="4D335A8F">
            <w:pPr>
              <w:snapToGrid w:val="0"/>
              <w:spacing w:before="156" w:beforeLines="50" w:after="50"/>
              <w:rPr>
                <w:rFonts w:ascii="宋体" w:cs="宋体"/>
                <w:sz w:val="24"/>
                <w:szCs w:val="24"/>
              </w:rPr>
            </w:pPr>
          </w:p>
        </w:tc>
      </w:tr>
      <w:tr w14:paraId="4A38AC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14:paraId="24085A7D">
            <w:pPr>
              <w:snapToGrid w:val="0"/>
              <w:spacing w:before="156" w:beforeLines="50" w:after="50"/>
              <w:rPr>
                <w:rFonts w:ascii="宋体" w:cs="宋体"/>
                <w:sz w:val="24"/>
                <w:szCs w:val="24"/>
              </w:rPr>
            </w:pPr>
          </w:p>
        </w:tc>
        <w:tc>
          <w:tcPr>
            <w:tcW w:w="1004" w:type="dxa"/>
            <w:tcBorders>
              <w:top w:val="single" w:color="auto" w:sz="4" w:space="0"/>
              <w:left w:val="single" w:color="auto" w:sz="4" w:space="0"/>
              <w:bottom w:val="single" w:color="auto" w:sz="4" w:space="0"/>
              <w:right w:val="single" w:color="auto" w:sz="4" w:space="0"/>
            </w:tcBorders>
          </w:tcPr>
          <w:p w14:paraId="03C10432">
            <w:pPr>
              <w:snapToGrid w:val="0"/>
              <w:spacing w:before="156" w:beforeLines="50" w:after="50"/>
              <w:rPr>
                <w:rFonts w:ascii="宋体" w:cs="宋体"/>
                <w:sz w:val="24"/>
                <w:szCs w:val="24"/>
              </w:rPr>
            </w:pPr>
          </w:p>
        </w:tc>
        <w:tc>
          <w:tcPr>
            <w:tcW w:w="1663" w:type="dxa"/>
            <w:tcBorders>
              <w:top w:val="single" w:color="auto" w:sz="4" w:space="0"/>
              <w:left w:val="single" w:color="auto" w:sz="4" w:space="0"/>
              <w:bottom w:val="single" w:color="auto" w:sz="4" w:space="0"/>
              <w:right w:val="single" w:color="auto" w:sz="4" w:space="0"/>
            </w:tcBorders>
          </w:tcPr>
          <w:p w14:paraId="6E82E563">
            <w:pPr>
              <w:snapToGrid w:val="0"/>
              <w:spacing w:before="156" w:beforeLines="50" w:after="50"/>
              <w:rPr>
                <w:rFonts w:ascii="宋体" w:cs="宋体"/>
                <w:sz w:val="24"/>
                <w:szCs w:val="24"/>
              </w:rPr>
            </w:pPr>
          </w:p>
        </w:tc>
        <w:tc>
          <w:tcPr>
            <w:tcW w:w="1260" w:type="dxa"/>
            <w:tcBorders>
              <w:top w:val="single" w:color="auto" w:sz="4" w:space="0"/>
              <w:left w:val="single" w:color="auto" w:sz="4" w:space="0"/>
              <w:bottom w:val="single" w:color="auto" w:sz="4" w:space="0"/>
              <w:right w:val="single" w:color="auto" w:sz="4" w:space="0"/>
            </w:tcBorders>
          </w:tcPr>
          <w:p w14:paraId="4A52AA76">
            <w:pPr>
              <w:snapToGrid w:val="0"/>
              <w:spacing w:before="156" w:beforeLines="50" w:after="50"/>
              <w:rPr>
                <w:rFonts w:ascii="宋体" w:cs="宋体"/>
                <w:sz w:val="24"/>
                <w:szCs w:val="24"/>
              </w:rPr>
            </w:pPr>
          </w:p>
        </w:tc>
        <w:tc>
          <w:tcPr>
            <w:tcW w:w="1620" w:type="dxa"/>
            <w:tcBorders>
              <w:top w:val="single" w:color="auto" w:sz="4" w:space="0"/>
              <w:left w:val="single" w:color="auto" w:sz="4" w:space="0"/>
              <w:bottom w:val="single" w:color="auto" w:sz="4" w:space="0"/>
              <w:right w:val="single" w:color="auto" w:sz="4" w:space="0"/>
            </w:tcBorders>
          </w:tcPr>
          <w:p w14:paraId="547F8D87">
            <w:pPr>
              <w:snapToGrid w:val="0"/>
              <w:spacing w:before="156" w:beforeLines="50" w:after="50"/>
              <w:rPr>
                <w:rFonts w:ascii="宋体" w:cs="宋体"/>
                <w:sz w:val="24"/>
                <w:szCs w:val="24"/>
              </w:rPr>
            </w:pPr>
          </w:p>
        </w:tc>
        <w:tc>
          <w:tcPr>
            <w:tcW w:w="1980" w:type="dxa"/>
            <w:tcBorders>
              <w:top w:val="single" w:color="auto" w:sz="4" w:space="0"/>
              <w:left w:val="single" w:color="auto" w:sz="4" w:space="0"/>
              <w:bottom w:val="single" w:color="auto" w:sz="4" w:space="0"/>
            </w:tcBorders>
          </w:tcPr>
          <w:p w14:paraId="1639804A">
            <w:pPr>
              <w:snapToGrid w:val="0"/>
              <w:spacing w:before="156" w:beforeLines="50" w:after="50"/>
              <w:rPr>
                <w:rFonts w:ascii="宋体" w:cs="宋体"/>
                <w:sz w:val="24"/>
                <w:szCs w:val="24"/>
              </w:rPr>
            </w:pPr>
          </w:p>
        </w:tc>
      </w:tr>
      <w:tr w14:paraId="44340A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14:paraId="496E153C">
            <w:pPr>
              <w:snapToGrid w:val="0"/>
              <w:spacing w:before="156" w:beforeLines="50" w:after="50"/>
              <w:rPr>
                <w:rFonts w:ascii="宋体" w:cs="宋体"/>
                <w:sz w:val="24"/>
                <w:szCs w:val="24"/>
              </w:rPr>
            </w:pPr>
          </w:p>
        </w:tc>
        <w:tc>
          <w:tcPr>
            <w:tcW w:w="1004" w:type="dxa"/>
            <w:tcBorders>
              <w:top w:val="single" w:color="auto" w:sz="4" w:space="0"/>
              <w:left w:val="single" w:color="auto" w:sz="4" w:space="0"/>
              <w:bottom w:val="single" w:color="auto" w:sz="4" w:space="0"/>
              <w:right w:val="single" w:color="auto" w:sz="4" w:space="0"/>
            </w:tcBorders>
          </w:tcPr>
          <w:p w14:paraId="5E7E475B">
            <w:pPr>
              <w:snapToGrid w:val="0"/>
              <w:spacing w:before="156" w:beforeLines="50" w:after="50"/>
              <w:rPr>
                <w:rFonts w:ascii="宋体" w:cs="宋体"/>
                <w:sz w:val="24"/>
                <w:szCs w:val="24"/>
              </w:rPr>
            </w:pPr>
          </w:p>
        </w:tc>
        <w:tc>
          <w:tcPr>
            <w:tcW w:w="1663" w:type="dxa"/>
            <w:tcBorders>
              <w:top w:val="single" w:color="auto" w:sz="4" w:space="0"/>
              <w:left w:val="single" w:color="auto" w:sz="4" w:space="0"/>
              <w:bottom w:val="single" w:color="auto" w:sz="4" w:space="0"/>
              <w:right w:val="single" w:color="auto" w:sz="4" w:space="0"/>
            </w:tcBorders>
          </w:tcPr>
          <w:p w14:paraId="113A3B2C">
            <w:pPr>
              <w:snapToGrid w:val="0"/>
              <w:spacing w:before="156" w:beforeLines="50" w:after="50"/>
              <w:rPr>
                <w:rFonts w:ascii="宋体" w:cs="宋体"/>
                <w:sz w:val="24"/>
                <w:szCs w:val="24"/>
              </w:rPr>
            </w:pPr>
          </w:p>
        </w:tc>
        <w:tc>
          <w:tcPr>
            <w:tcW w:w="1260" w:type="dxa"/>
            <w:tcBorders>
              <w:top w:val="single" w:color="auto" w:sz="4" w:space="0"/>
              <w:left w:val="single" w:color="auto" w:sz="4" w:space="0"/>
              <w:bottom w:val="single" w:color="auto" w:sz="4" w:space="0"/>
              <w:right w:val="single" w:color="auto" w:sz="4" w:space="0"/>
            </w:tcBorders>
          </w:tcPr>
          <w:p w14:paraId="5A6B3825">
            <w:pPr>
              <w:snapToGrid w:val="0"/>
              <w:spacing w:before="156" w:beforeLines="50" w:after="50"/>
              <w:rPr>
                <w:rFonts w:ascii="宋体" w:cs="宋体"/>
                <w:sz w:val="24"/>
                <w:szCs w:val="24"/>
              </w:rPr>
            </w:pPr>
          </w:p>
        </w:tc>
        <w:tc>
          <w:tcPr>
            <w:tcW w:w="1620" w:type="dxa"/>
            <w:tcBorders>
              <w:top w:val="single" w:color="auto" w:sz="4" w:space="0"/>
              <w:left w:val="single" w:color="auto" w:sz="4" w:space="0"/>
              <w:bottom w:val="single" w:color="auto" w:sz="4" w:space="0"/>
              <w:right w:val="single" w:color="auto" w:sz="4" w:space="0"/>
            </w:tcBorders>
          </w:tcPr>
          <w:p w14:paraId="027A2DD8">
            <w:pPr>
              <w:snapToGrid w:val="0"/>
              <w:spacing w:before="156" w:beforeLines="50" w:after="50"/>
              <w:rPr>
                <w:rFonts w:ascii="宋体" w:cs="宋体"/>
                <w:sz w:val="24"/>
                <w:szCs w:val="24"/>
              </w:rPr>
            </w:pPr>
          </w:p>
        </w:tc>
        <w:tc>
          <w:tcPr>
            <w:tcW w:w="1980" w:type="dxa"/>
            <w:tcBorders>
              <w:top w:val="single" w:color="auto" w:sz="4" w:space="0"/>
              <w:left w:val="single" w:color="auto" w:sz="4" w:space="0"/>
              <w:bottom w:val="single" w:color="auto" w:sz="4" w:space="0"/>
            </w:tcBorders>
          </w:tcPr>
          <w:p w14:paraId="6F53664F">
            <w:pPr>
              <w:snapToGrid w:val="0"/>
              <w:spacing w:before="156" w:beforeLines="50" w:after="50"/>
              <w:rPr>
                <w:rFonts w:ascii="宋体" w:cs="宋体"/>
                <w:sz w:val="24"/>
                <w:szCs w:val="24"/>
              </w:rPr>
            </w:pPr>
          </w:p>
        </w:tc>
      </w:tr>
      <w:tr w14:paraId="4DF1FC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14:paraId="443E4822">
            <w:pPr>
              <w:snapToGrid w:val="0"/>
              <w:spacing w:before="156" w:beforeLines="50" w:after="50"/>
              <w:rPr>
                <w:rFonts w:ascii="宋体" w:cs="宋体"/>
                <w:sz w:val="24"/>
                <w:szCs w:val="24"/>
              </w:rPr>
            </w:pPr>
          </w:p>
        </w:tc>
        <w:tc>
          <w:tcPr>
            <w:tcW w:w="1004" w:type="dxa"/>
            <w:tcBorders>
              <w:top w:val="single" w:color="auto" w:sz="4" w:space="0"/>
              <w:left w:val="single" w:color="auto" w:sz="4" w:space="0"/>
              <w:bottom w:val="single" w:color="auto" w:sz="4" w:space="0"/>
              <w:right w:val="single" w:color="auto" w:sz="4" w:space="0"/>
            </w:tcBorders>
          </w:tcPr>
          <w:p w14:paraId="7922580F">
            <w:pPr>
              <w:snapToGrid w:val="0"/>
              <w:spacing w:before="156" w:beforeLines="50" w:after="50"/>
              <w:rPr>
                <w:rFonts w:ascii="宋体" w:cs="宋体"/>
                <w:sz w:val="24"/>
                <w:szCs w:val="24"/>
              </w:rPr>
            </w:pPr>
          </w:p>
        </w:tc>
        <w:tc>
          <w:tcPr>
            <w:tcW w:w="1663" w:type="dxa"/>
            <w:tcBorders>
              <w:top w:val="single" w:color="auto" w:sz="4" w:space="0"/>
              <w:left w:val="single" w:color="auto" w:sz="4" w:space="0"/>
              <w:bottom w:val="single" w:color="auto" w:sz="4" w:space="0"/>
              <w:right w:val="single" w:color="auto" w:sz="4" w:space="0"/>
            </w:tcBorders>
          </w:tcPr>
          <w:p w14:paraId="70103F19">
            <w:pPr>
              <w:snapToGrid w:val="0"/>
              <w:spacing w:before="156" w:beforeLines="50" w:after="50"/>
              <w:rPr>
                <w:rFonts w:ascii="宋体" w:cs="宋体"/>
                <w:sz w:val="24"/>
                <w:szCs w:val="24"/>
              </w:rPr>
            </w:pPr>
          </w:p>
        </w:tc>
        <w:tc>
          <w:tcPr>
            <w:tcW w:w="1260" w:type="dxa"/>
            <w:tcBorders>
              <w:top w:val="single" w:color="auto" w:sz="4" w:space="0"/>
              <w:left w:val="single" w:color="auto" w:sz="4" w:space="0"/>
              <w:bottom w:val="single" w:color="auto" w:sz="4" w:space="0"/>
              <w:right w:val="single" w:color="auto" w:sz="4" w:space="0"/>
            </w:tcBorders>
          </w:tcPr>
          <w:p w14:paraId="5A8FB5A6">
            <w:pPr>
              <w:snapToGrid w:val="0"/>
              <w:spacing w:before="156" w:beforeLines="50" w:after="50"/>
              <w:rPr>
                <w:rFonts w:ascii="宋体" w:cs="宋体"/>
                <w:sz w:val="24"/>
                <w:szCs w:val="24"/>
              </w:rPr>
            </w:pPr>
          </w:p>
        </w:tc>
        <w:tc>
          <w:tcPr>
            <w:tcW w:w="1620" w:type="dxa"/>
            <w:tcBorders>
              <w:top w:val="single" w:color="auto" w:sz="4" w:space="0"/>
              <w:left w:val="single" w:color="auto" w:sz="4" w:space="0"/>
              <w:bottom w:val="single" w:color="auto" w:sz="4" w:space="0"/>
              <w:right w:val="single" w:color="auto" w:sz="4" w:space="0"/>
            </w:tcBorders>
          </w:tcPr>
          <w:p w14:paraId="3B282DC5">
            <w:pPr>
              <w:snapToGrid w:val="0"/>
              <w:spacing w:before="156" w:beforeLines="50" w:after="50"/>
              <w:rPr>
                <w:rFonts w:ascii="宋体" w:cs="宋体"/>
                <w:sz w:val="24"/>
                <w:szCs w:val="24"/>
              </w:rPr>
            </w:pPr>
          </w:p>
        </w:tc>
        <w:tc>
          <w:tcPr>
            <w:tcW w:w="1980" w:type="dxa"/>
            <w:tcBorders>
              <w:top w:val="single" w:color="auto" w:sz="4" w:space="0"/>
              <w:left w:val="single" w:color="auto" w:sz="4" w:space="0"/>
              <w:bottom w:val="single" w:color="auto" w:sz="4" w:space="0"/>
            </w:tcBorders>
          </w:tcPr>
          <w:p w14:paraId="5B60E48B">
            <w:pPr>
              <w:snapToGrid w:val="0"/>
              <w:spacing w:before="156" w:beforeLines="50" w:after="50"/>
              <w:rPr>
                <w:rFonts w:ascii="宋体" w:cs="宋体"/>
                <w:sz w:val="24"/>
                <w:szCs w:val="24"/>
              </w:rPr>
            </w:pPr>
          </w:p>
        </w:tc>
      </w:tr>
      <w:tr w14:paraId="672B4B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14:paraId="40B92F72">
            <w:pPr>
              <w:snapToGrid w:val="0"/>
              <w:spacing w:before="156" w:beforeLines="50" w:after="50"/>
              <w:rPr>
                <w:rFonts w:ascii="宋体" w:cs="宋体"/>
                <w:sz w:val="24"/>
                <w:szCs w:val="24"/>
              </w:rPr>
            </w:pPr>
          </w:p>
        </w:tc>
        <w:tc>
          <w:tcPr>
            <w:tcW w:w="1004" w:type="dxa"/>
            <w:tcBorders>
              <w:top w:val="single" w:color="auto" w:sz="4" w:space="0"/>
              <w:left w:val="single" w:color="auto" w:sz="4" w:space="0"/>
              <w:bottom w:val="single" w:color="auto" w:sz="4" w:space="0"/>
              <w:right w:val="single" w:color="auto" w:sz="4" w:space="0"/>
            </w:tcBorders>
          </w:tcPr>
          <w:p w14:paraId="17A434C3">
            <w:pPr>
              <w:snapToGrid w:val="0"/>
              <w:spacing w:before="156" w:beforeLines="50" w:after="50"/>
              <w:rPr>
                <w:rFonts w:ascii="宋体" w:cs="宋体"/>
                <w:sz w:val="24"/>
                <w:szCs w:val="24"/>
              </w:rPr>
            </w:pPr>
          </w:p>
        </w:tc>
        <w:tc>
          <w:tcPr>
            <w:tcW w:w="1663" w:type="dxa"/>
            <w:tcBorders>
              <w:top w:val="single" w:color="auto" w:sz="4" w:space="0"/>
              <w:left w:val="single" w:color="auto" w:sz="4" w:space="0"/>
              <w:bottom w:val="single" w:color="auto" w:sz="4" w:space="0"/>
              <w:right w:val="single" w:color="auto" w:sz="4" w:space="0"/>
            </w:tcBorders>
          </w:tcPr>
          <w:p w14:paraId="246003C2">
            <w:pPr>
              <w:snapToGrid w:val="0"/>
              <w:spacing w:before="156" w:beforeLines="50" w:after="50"/>
              <w:rPr>
                <w:rFonts w:ascii="宋体" w:cs="宋体"/>
                <w:sz w:val="24"/>
                <w:szCs w:val="24"/>
              </w:rPr>
            </w:pPr>
          </w:p>
        </w:tc>
        <w:tc>
          <w:tcPr>
            <w:tcW w:w="1260" w:type="dxa"/>
            <w:tcBorders>
              <w:top w:val="single" w:color="auto" w:sz="4" w:space="0"/>
              <w:left w:val="single" w:color="auto" w:sz="4" w:space="0"/>
              <w:bottom w:val="single" w:color="auto" w:sz="4" w:space="0"/>
              <w:right w:val="single" w:color="auto" w:sz="4" w:space="0"/>
            </w:tcBorders>
          </w:tcPr>
          <w:p w14:paraId="4562693C">
            <w:pPr>
              <w:snapToGrid w:val="0"/>
              <w:spacing w:before="156" w:beforeLines="50" w:after="50"/>
              <w:rPr>
                <w:rFonts w:ascii="宋体" w:cs="宋体"/>
                <w:sz w:val="24"/>
                <w:szCs w:val="24"/>
              </w:rPr>
            </w:pPr>
          </w:p>
        </w:tc>
        <w:tc>
          <w:tcPr>
            <w:tcW w:w="1620" w:type="dxa"/>
            <w:tcBorders>
              <w:top w:val="single" w:color="auto" w:sz="4" w:space="0"/>
              <w:left w:val="single" w:color="auto" w:sz="4" w:space="0"/>
              <w:bottom w:val="single" w:color="auto" w:sz="4" w:space="0"/>
              <w:right w:val="single" w:color="auto" w:sz="4" w:space="0"/>
            </w:tcBorders>
          </w:tcPr>
          <w:p w14:paraId="2436BD2B">
            <w:pPr>
              <w:snapToGrid w:val="0"/>
              <w:spacing w:before="156" w:beforeLines="50" w:after="50"/>
              <w:rPr>
                <w:rFonts w:ascii="宋体" w:cs="宋体"/>
                <w:sz w:val="24"/>
                <w:szCs w:val="24"/>
              </w:rPr>
            </w:pPr>
          </w:p>
        </w:tc>
        <w:tc>
          <w:tcPr>
            <w:tcW w:w="1980" w:type="dxa"/>
            <w:tcBorders>
              <w:top w:val="single" w:color="auto" w:sz="4" w:space="0"/>
              <w:left w:val="single" w:color="auto" w:sz="4" w:space="0"/>
              <w:bottom w:val="single" w:color="auto" w:sz="4" w:space="0"/>
            </w:tcBorders>
          </w:tcPr>
          <w:p w14:paraId="16BD8ECC">
            <w:pPr>
              <w:snapToGrid w:val="0"/>
              <w:spacing w:before="156" w:beforeLines="50" w:after="50"/>
              <w:rPr>
                <w:rFonts w:ascii="宋体" w:cs="宋体"/>
                <w:sz w:val="24"/>
                <w:szCs w:val="24"/>
              </w:rPr>
            </w:pPr>
          </w:p>
        </w:tc>
      </w:tr>
      <w:tr w14:paraId="4418C6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bottom w:val="single" w:color="auto" w:sz="4" w:space="0"/>
              <w:right w:val="single" w:color="auto" w:sz="4" w:space="0"/>
            </w:tcBorders>
          </w:tcPr>
          <w:p w14:paraId="7508FE39">
            <w:pPr>
              <w:snapToGrid w:val="0"/>
              <w:spacing w:before="156" w:beforeLines="50" w:after="50"/>
              <w:rPr>
                <w:rFonts w:ascii="宋体" w:cs="宋体"/>
                <w:sz w:val="24"/>
                <w:szCs w:val="24"/>
              </w:rPr>
            </w:pPr>
          </w:p>
        </w:tc>
        <w:tc>
          <w:tcPr>
            <w:tcW w:w="1004" w:type="dxa"/>
            <w:tcBorders>
              <w:top w:val="single" w:color="auto" w:sz="4" w:space="0"/>
              <w:left w:val="single" w:color="auto" w:sz="4" w:space="0"/>
              <w:bottom w:val="single" w:color="auto" w:sz="4" w:space="0"/>
              <w:right w:val="single" w:color="auto" w:sz="4" w:space="0"/>
            </w:tcBorders>
          </w:tcPr>
          <w:p w14:paraId="23117931">
            <w:pPr>
              <w:snapToGrid w:val="0"/>
              <w:spacing w:before="156" w:beforeLines="50" w:after="50"/>
              <w:rPr>
                <w:rFonts w:ascii="宋体" w:cs="宋体"/>
                <w:sz w:val="24"/>
                <w:szCs w:val="24"/>
              </w:rPr>
            </w:pPr>
          </w:p>
        </w:tc>
        <w:tc>
          <w:tcPr>
            <w:tcW w:w="1663" w:type="dxa"/>
            <w:tcBorders>
              <w:top w:val="single" w:color="auto" w:sz="4" w:space="0"/>
              <w:left w:val="single" w:color="auto" w:sz="4" w:space="0"/>
              <w:bottom w:val="single" w:color="auto" w:sz="4" w:space="0"/>
              <w:right w:val="single" w:color="auto" w:sz="4" w:space="0"/>
            </w:tcBorders>
          </w:tcPr>
          <w:p w14:paraId="57C67E8B">
            <w:pPr>
              <w:snapToGrid w:val="0"/>
              <w:spacing w:before="156" w:beforeLines="50" w:after="50"/>
              <w:rPr>
                <w:rFonts w:ascii="宋体" w:cs="宋体"/>
                <w:sz w:val="24"/>
                <w:szCs w:val="24"/>
              </w:rPr>
            </w:pPr>
          </w:p>
        </w:tc>
        <w:tc>
          <w:tcPr>
            <w:tcW w:w="1260" w:type="dxa"/>
            <w:tcBorders>
              <w:top w:val="single" w:color="auto" w:sz="4" w:space="0"/>
              <w:left w:val="single" w:color="auto" w:sz="4" w:space="0"/>
              <w:bottom w:val="single" w:color="auto" w:sz="4" w:space="0"/>
              <w:right w:val="single" w:color="auto" w:sz="4" w:space="0"/>
            </w:tcBorders>
          </w:tcPr>
          <w:p w14:paraId="3ECE3DD0">
            <w:pPr>
              <w:snapToGrid w:val="0"/>
              <w:spacing w:before="156" w:beforeLines="50" w:after="50"/>
              <w:rPr>
                <w:rFonts w:ascii="宋体" w:cs="宋体"/>
                <w:sz w:val="24"/>
                <w:szCs w:val="24"/>
              </w:rPr>
            </w:pPr>
          </w:p>
        </w:tc>
        <w:tc>
          <w:tcPr>
            <w:tcW w:w="1620" w:type="dxa"/>
            <w:tcBorders>
              <w:top w:val="single" w:color="auto" w:sz="4" w:space="0"/>
              <w:left w:val="single" w:color="auto" w:sz="4" w:space="0"/>
              <w:bottom w:val="single" w:color="auto" w:sz="4" w:space="0"/>
              <w:right w:val="single" w:color="auto" w:sz="4" w:space="0"/>
            </w:tcBorders>
          </w:tcPr>
          <w:p w14:paraId="5975C3B5">
            <w:pPr>
              <w:snapToGrid w:val="0"/>
              <w:spacing w:before="156" w:beforeLines="50" w:after="50"/>
              <w:rPr>
                <w:rFonts w:ascii="宋体" w:cs="宋体"/>
                <w:sz w:val="24"/>
                <w:szCs w:val="24"/>
              </w:rPr>
            </w:pPr>
          </w:p>
        </w:tc>
        <w:tc>
          <w:tcPr>
            <w:tcW w:w="1980" w:type="dxa"/>
            <w:tcBorders>
              <w:top w:val="single" w:color="auto" w:sz="4" w:space="0"/>
              <w:left w:val="single" w:color="auto" w:sz="4" w:space="0"/>
              <w:bottom w:val="single" w:color="auto" w:sz="4" w:space="0"/>
            </w:tcBorders>
          </w:tcPr>
          <w:p w14:paraId="2FFFE990">
            <w:pPr>
              <w:snapToGrid w:val="0"/>
              <w:spacing w:before="156" w:beforeLines="50" w:after="50"/>
              <w:rPr>
                <w:rFonts w:ascii="宋体" w:cs="宋体"/>
                <w:sz w:val="24"/>
                <w:szCs w:val="24"/>
              </w:rPr>
            </w:pPr>
          </w:p>
        </w:tc>
      </w:tr>
    </w:tbl>
    <w:p w14:paraId="5BECD156">
      <w:pPr>
        <w:snapToGrid w:val="0"/>
        <w:spacing w:before="50" w:after="156" w:afterLines="50"/>
        <w:jc w:val="left"/>
        <w:rPr>
          <w:rFonts w:ascii="宋体" w:cs="Times New Roman"/>
          <w:sz w:val="24"/>
          <w:szCs w:val="24"/>
        </w:rPr>
      </w:pPr>
      <w:r>
        <w:rPr>
          <w:rFonts w:hint="eastAsia" w:ascii="宋体" w:hAnsi="宋体" w:cs="宋体"/>
          <w:sz w:val="24"/>
          <w:szCs w:val="24"/>
        </w:rPr>
        <w:t>注：在填写时，如本表格不适合磋商单位的实际情况，可根据本表格式自行划表填写。</w:t>
      </w:r>
    </w:p>
    <w:p w14:paraId="5C8DF39F">
      <w:pPr>
        <w:snapToGrid w:val="0"/>
        <w:spacing w:before="50" w:after="50"/>
        <w:rPr>
          <w:rFonts w:ascii="宋体" w:cs="Times New Roman"/>
          <w:spacing w:val="20"/>
          <w:sz w:val="24"/>
          <w:szCs w:val="24"/>
          <w:u w:val="single"/>
        </w:rPr>
      </w:pPr>
      <w:r>
        <w:rPr>
          <w:rFonts w:hint="eastAsia" w:ascii="宋体" w:hAnsi="宋体" w:cs="宋体"/>
          <w:spacing w:val="20"/>
          <w:sz w:val="24"/>
          <w:szCs w:val="24"/>
        </w:rPr>
        <w:t>授权代表签名：</w:t>
      </w:r>
    </w:p>
    <w:p w14:paraId="541051A3">
      <w:pPr>
        <w:snapToGrid w:val="0"/>
        <w:spacing w:before="50" w:after="156" w:afterLines="50"/>
        <w:jc w:val="left"/>
        <w:rPr>
          <w:rFonts w:ascii="宋体" w:cs="Times New Roman"/>
          <w:spacing w:val="20"/>
          <w:sz w:val="24"/>
          <w:szCs w:val="24"/>
          <w:u w:val="single"/>
        </w:rPr>
      </w:pPr>
      <w:r>
        <w:rPr>
          <w:rFonts w:hint="eastAsia" w:ascii="宋体" w:hAnsi="宋体" w:cs="宋体"/>
          <w:spacing w:val="20"/>
          <w:sz w:val="24"/>
          <w:szCs w:val="24"/>
        </w:rPr>
        <w:t>供应商盖章：日期：</w:t>
      </w:r>
    </w:p>
    <w:p w14:paraId="0A6245DB">
      <w:pPr>
        <w:snapToGrid w:val="0"/>
        <w:spacing w:before="50" w:after="156" w:afterLines="50"/>
        <w:jc w:val="left"/>
        <w:rPr>
          <w:rFonts w:ascii="宋体" w:cs="Times New Roman"/>
          <w:sz w:val="24"/>
          <w:szCs w:val="24"/>
        </w:rPr>
      </w:pPr>
    </w:p>
    <w:p w14:paraId="01E68E28">
      <w:pPr>
        <w:snapToGrid w:val="0"/>
        <w:spacing w:before="50" w:after="156" w:afterLines="50"/>
        <w:jc w:val="left"/>
        <w:rPr>
          <w:rFonts w:ascii="宋体" w:cs="Times New Roman"/>
          <w:sz w:val="24"/>
          <w:szCs w:val="24"/>
        </w:rPr>
      </w:pPr>
    </w:p>
    <w:p w14:paraId="36C69B19">
      <w:pPr>
        <w:snapToGrid w:val="0"/>
        <w:spacing w:before="50" w:after="156" w:afterLines="50" w:line="400" w:lineRule="exact"/>
        <w:jc w:val="left"/>
        <w:rPr>
          <w:rFonts w:ascii="宋体" w:cs="Times New Roman"/>
        </w:rPr>
      </w:pPr>
    </w:p>
    <w:p w14:paraId="2B3BAFCA">
      <w:pPr>
        <w:widowControl/>
        <w:spacing w:line="400" w:lineRule="exact"/>
        <w:rPr>
          <w:rFonts w:ascii="宋体" w:cs="Times New Roman"/>
          <w:sz w:val="24"/>
          <w:szCs w:val="24"/>
        </w:rPr>
        <w:sectPr>
          <w:headerReference r:id="rId3" w:type="default"/>
          <w:footerReference r:id="rId4" w:type="default"/>
          <w:pgSz w:w="11906" w:h="16838"/>
          <w:pgMar w:top="1440" w:right="1286" w:bottom="1440" w:left="1440" w:header="851" w:footer="992" w:gutter="0"/>
          <w:cols w:space="720" w:num="1"/>
          <w:docGrid w:type="lines" w:linePitch="312" w:charSpace="0"/>
        </w:sectPr>
      </w:pPr>
    </w:p>
    <w:p w14:paraId="20967705">
      <w:pPr>
        <w:rPr>
          <w:rFonts w:ascii="宋体" w:cs="Times New Roman"/>
          <w:b/>
          <w:bCs/>
          <w:sz w:val="24"/>
          <w:szCs w:val="24"/>
        </w:rPr>
      </w:pPr>
      <w:r>
        <w:rPr>
          <w:rFonts w:hint="eastAsia" w:ascii="宋体" w:hAnsi="宋体" w:cs="宋体"/>
          <w:b/>
          <w:bCs/>
          <w:sz w:val="24"/>
          <w:szCs w:val="24"/>
        </w:rPr>
        <w:t>五、资信</w:t>
      </w:r>
      <w:r>
        <w:rPr>
          <w:rFonts w:ascii="宋体" w:hAnsi="宋体" w:cs="宋体"/>
          <w:b/>
          <w:bCs/>
          <w:sz w:val="24"/>
          <w:szCs w:val="24"/>
        </w:rPr>
        <w:t>/</w:t>
      </w:r>
      <w:r>
        <w:rPr>
          <w:rFonts w:hint="eastAsia" w:ascii="宋体" w:hAnsi="宋体" w:cs="宋体"/>
          <w:b/>
          <w:bCs/>
          <w:sz w:val="24"/>
          <w:szCs w:val="24"/>
        </w:rPr>
        <w:t>商务文件：（参考第三章磋商须知“响应文件的组成”）</w:t>
      </w:r>
    </w:p>
    <w:p w14:paraId="494879E3">
      <w:pPr>
        <w:widowControl/>
        <w:spacing w:line="400" w:lineRule="exact"/>
        <w:rPr>
          <w:rFonts w:ascii="宋体" w:cs="Times New Roman"/>
          <w:sz w:val="24"/>
          <w:szCs w:val="24"/>
        </w:rPr>
      </w:pPr>
    </w:p>
    <w:p w14:paraId="4F4D5A35">
      <w:pPr>
        <w:widowControl/>
        <w:spacing w:line="400" w:lineRule="exact"/>
        <w:rPr>
          <w:rFonts w:ascii="宋体" w:cs="Times New Roman"/>
          <w:kern w:val="0"/>
          <w:sz w:val="24"/>
          <w:szCs w:val="24"/>
        </w:rPr>
      </w:pPr>
      <w:r>
        <w:rPr>
          <w:rFonts w:ascii="宋体" w:hAnsi="宋体" w:cs="宋体"/>
          <w:sz w:val="24"/>
          <w:szCs w:val="24"/>
        </w:rPr>
        <w:t>1.</w:t>
      </w:r>
      <w:r>
        <w:rPr>
          <w:rFonts w:hint="eastAsia" w:ascii="宋体" w:hAnsi="宋体" w:cs="宋体"/>
          <w:sz w:val="24"/>
          <w:szCs w:val="24"/>
        </w:rPr>
        <w:t>企业业绩表格式：</w:t>
      </w:r>
    </w:p>
    <w:p w14:paraId="62723009">
      <w:pPr>
        <w:snapToGrid w:val="0"/>
        <w:spacing w:before="50" w:after="156" w:afterLines="50" w:line="400" w:lineRule="exact"/>
        <w:jc w:val="left"/>
        <w:rPr>
          <w:rFonts w:ascii="宋体" w:cs="Times New Roman"/>
          <w:sz w:val="24"/>
          <w:szCs w:val="24"/>
        </w:rPr>
      </w:pPr>
    </w:p>
    <w:tbl>
      <w:tblPr>
        <w:tblStyle w:val="63"/>
        <w:tblW w:w="13968" w:type="dxa"/>
        <w:tblInd w:w="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080"/>
        <w:gridCol w:w="1080"/>
        <w:gridCol w:w="1800"/>
        <w:gridCol w:w="1800"/>
        <w:gridCol w:w="2160"/>
      </w:tblGrid>
      <w:tr w14:paraId="17246E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7" w:hRule="atLeast"/>
        </w:trPr>
        <w:tc>
          <w:tcPr>
            <w:tcW w:w="2628" w:type="dxa"/>
            <w:vMerge w:val="restart"/>
            <w:tcBorders>
              <w:top w:val="single" w:color="auto" w:sz="4" w:space="0"/>
              <w:bottom w:val="single" w:color="auto" w:sz="4" w:space="0"/>
              <w:right w:val="single" w:color="auto" w:sz="4" w:space="0"/>
            </w:tcBorders>
            <w:vAlign w:val="center"/>
          </w:tcPr>
          <w:p w14:paraId="1FFEE422">
            <w:pPr>
              <w:snapToGrid w:val="0"/>
              <w:spacing w:line="240" w:lineRule="exact"/>
              <w:jc w:val="center"/>
              <w:rPr>
                <w:rFonts w:ascii="宋体" w:cs="宋体"/>
                <w:sz w:val="18"/>
                <w:szCs w:val="18"/>
              </w:rPr>
            </w:pPr>
            <w:r>
              <w:rPr>
                <w:rFonts w:hint="eastAsia" w:ascii="宋体" w:hAnsi="宋体" w:cs="宋体"/>
                <w:sz w:val="18"/>
                <w:szCs w:val="18"/>
              </w:rPr>
              <w:t>采购单位名称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14:paraId="57722687">
            <w:pPr>
              <w:snapToGrid w:val="0"/>
              <w:spacing w:line="240" w:lineRule="exact"/>
              <w:jc w:val="center"/>
              <w:rPr>
                <w:rFonts w:ascii="宋体" w:cs="宋体"/>
                <w:sz w:val="18"/>
                <w:szCs w:val="18"/>
              </w:rPr>
            </w:pPr>
            <w:r>
              <w:rPr>
                <w:rFonts w:hint="eastAsia" w:ascii="宋体" w:hAnsi="宋体" w:cs="宋体"/>
                <w:sz w:val="18"/>
                <w:szCs w:val="18"/>
              </w:rPr>
              <w:t>设备或项目名称</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14:paraId="7791B171">
            <w:pPr>
              <w:snapToGrid w:val="0"/>
              <w:spacing w:line="240" w:lineRule="exact"/>
              <w:jc w:val="center"/>
              <w:rPr>
                <w:rFonts w:ascii="宋体" w:cs="宋体"/>
                <w:sz w:val="18"/>
                <w:szCs w:val="18"/>
              </w:rPr>
            </w:pPr>
            <w:r>
              <w:rPr>
                <w:rFonts w:hint="eastAsia" w:ascii="宋体" w:hAnsi="宋体" w:cs="宋体"/>
                <w:sz w:val="18"/>
                <w:szCs w:val="18"/>
              </w:rPr>
              <w:t>采购</w:t>
            </w:r>
          </w:p>
          <w:p w14:paraId="704B2A3F">
            <w:pPr>
              <w:snapToGrid w:val="0"/>
              <w:spacing w:line="240" w:lineRule="exact"/>
              <w:jc w:val="center"/>
              <w:rPr>
                <w:rFonts w:ascii="宋体" w:cs="宋体"/>
                <w:sz w:val="18"/>
                <w:szCs w:val="18"/>
              </w:rPr>
            </w:pPr>
            <w:r>
              <w:rPr>
                <w:rFonts w:hint="eastAsia" w:ascii="宋体" w:hAnsi="宋体" w:cs="宋体"/>
                <w:sz w:val="18"/>
                <w:szCs w:val="18"/>
              </w:rPr>
              <w:t>数量</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14:paraId="7BD68C54">
            <w:pPr>
              <w:snapToGrid w:val="0"/>
              <w:spacing w:line="240" w:lineRule="exact"/>
              <w:jc w:val="center"/>
              <w:rPr>
                <w:rFonts w:ascii="宋体" w:cs="宋体"/>
                <w:sz w:val="18"/>
                <w:szCs w:val="18"/>
              </w:rPr>
            </w:pPr>
            <w:r>
              <w:rPr>
                <w:rFonts w:hint="eastAsia" w:ascii="宋体" w:hAnsi="宋体" w:cs="宋体"/>
                <w:sz w:val="18"/>
                <w:szCs w:val="18"/>
              </w:rPr>
              <w:t>单价</w:t>
            </w:r>
          </w:p>
        </w:tc>
        <w:tc>
          <w:tcPr>
            <w:tcW w:w="1800" w:type="dxa"/>
            <w:vMerge w:val="restart"/>
            <w:tcBorders>
              <w:top w:val="single" w:color="auto" w:sz="4" w:space="0"/>
              <w:left w:val="single" w:color="auto" w:sz="4" w:space="0"/>
              <w:bottom w:val="single" w:color="auto" w:sz="4" w:space="0"/>
              <w:right w:val="single" w:color="auto" w:sz="4" w:space="0"/>
            </w:tcBorders>
            <w:vAlign w:val="center"/>
          </w:tcPr>
          <w:p w14:paraId="5D48A5FF">
            <w:pPr>
              <w:snapToGrid w:val="0"/>
              <w:spacing w:line="240" w:lineRule="exact"/>
              <w:jc w:val="center"/>
              <w:rPr>
                <w:rFonts w:ascii="宋体" w:cs="宋体"/>
                <w:sz w:val="18"/>
                <w:szCs w:val="18"/>
              </w:rPr>
            </w:pPr>
            <w:r>
              <w:rPr>
                <w:rFonts w:hint="eastAsia" w:ascii="宋体" w:hAnsi="宋体" w:cs="宋体"/>
                <w:sz w:val="18"/>
                <w:szCs w:val="18"/>
              </w:rPr>
              <w:t>合同</w:t>
            </w:r>
          </w:p>
          <w:p w14:paraId="3EDA83AA">
            <w:pPr>
              <w:snapToGrid w:val="0"/>
              <w:spacing w:line="240" w:lineRule="exact"/>
              <w:jc w:val="center"/>
              <w:rPr>
                <w:rFonts w:ascii="宋体" w:cs="宋体"/>
                <w:sz w:val="18"/>
                <w:szCs w:val="18"/>
              </w:rPr>
            </w:pPr>
            <w:r>
              <w:rPr>
                <w:rFonts w:hint="eastAsia" w:ascii="宋体" w:hAnsi="宋体" w:cs="宋体"/>
                <w:sz w:val="18"/>
                <w:szCs w:val="18"/>
              </w:rPr>
              <w:t>金额</w:t>
            </w:r>
          </w:p>
          <w:p w14:paraId="4D2B8ABD">
            <w:pPr>
              <w:snapToGrid w:val="0"/>
              <w:spacing w:line="240" w:lineRule="exact"/>
              <w:jc w:val="center"/>
              <w:rPr>
                <w:rFonts w:ascii="宋体" w:cs="宋体"/>
                <w:sz w:val="18"/>
                <w:szCs w:val="18"/>
              </w:rPr>
            </w:pPr>
            <w:r>
              <w:rPr>
                <w:rFonts w:hint="eastAsia" w:ascii="宋体" w:hAnsi="宋体" w:cs="宋体"/>
                <w:sz w:val="18"/>
                <w:szCs w:val="18"/>
              </w:rPr>
              <w:t>（万元）</w:t>
            </w:r>
          </w:p>
        </w:tc>
        <w:tc>
          <w:tcPr>
            <w:tcW w:w="1800" w:type="dxa"/>
            <w:tcBorders>
              <w:top w:val="single" w:color="auto" w:sz="4" w:space="0"/>
              <w:left w:val="single" w:color="auto" w:sz="4" w:space="0"/>
              <w:bottom w:val="single" w:color="auto" w:sz="4" w:space="0"/>
              <w:right w:val="single" w:color="auto" w:sz="4" w:space="0"/>
            </w:tcBorders>
            <w:vAlign w:val="center"/>
          </w:tcPr>
          <w:p w14:paraId="354437C1">
            <w:pPr>
              <w:snapToGrid w:val="0"/>
              <w:spacing w:line="240" w:lineRule="exact"/>
              <w:jc w:val="center"/>
              <w:rPr>
                <w:rFonts w:ascii="宋体" w:cs="宋体"/>
                <w:sz w:val="18"/>
                <w:szCs w:val="18"/>
              </w:rPr>
            </w:pPr>
            <w:r>
              <w:rPr>
                <w:rFonts w:hint="eastAsia" w:ascii="宋体" w:hAnsi="宋体" w:cs="宋体"/>
                <w:sz w:val="18"/>
                <w:szCs w:val="18"/>
              </w:rPr>
              <w:t>附件页码</w:t>
            </w:r>
          </w:p>
        </w:tc>
        <w:tc>
          <w:tcPr>
            <w:tcW w:w="2160" w:type="dxa"/>
            <w:vMerge w:val="restart"/>
            <w:tcBorders>
              <w:top w:val="single" w:color="auto" w:sz="4" w:space="0"/>
              <w:left w:val="single" w:color="auto" w:sz="4" w:space="0"/>
              <w:bottom w:val="single" w:color="auto" w:sz="4" w:space="0"/>
            </w:tcBorders>
            <w:vAlign w:val="center"/>
          </w:tcPr>
          <w:p w14:paraId="5B59E10E">
            <w:pPr>
              <w:snapToGrid w:val="0"/>
              <w:spacing w:line="240" w:lineRule="exact"/>
              <w:jc w:val="center"/>
              <w:rPr>
                <w:rFonts w:ascii="宋体" w:cs="宋体"/>
                <w:sz w:val="18"/>
                <w:szCs w:val="18"/>
              </w:rPr>
            </w:pPr>
            <w:r>
              <w:rPr>
                <w:rFonts w:hint="eastAsia" w:ascii="宋体" w:hAnsi="宋体" w:cs="宋体"/>
                <w:sz w:val="18"/>
                <w:szCs w:val="18"/>
              </w:rPr>
              <w:t>采购单位联系人及</w:t>
            </w:r>
          </w:p>
          <w:p w14:paraId="5ED1080C">
            <w:pPr>
              <w:snapToGrid w:val="0"/>
              <w:spacing w:line="240" w:lineRule="exact"/>
              <w:jc w:val="center"/>
              <w:rPr>
                <w:rFonts w:ascii="宋体" w:cs="宋体"/>
                <w:sz w:val="18"/>
                <w:szCs w:val="18"/>
              </w:rPr>
            </w:pPr>
            <w:r>
              <w:rPr>
                <w:rFonts w:hint="eastAsia" w:ascii="宋体" w:hAnsi="宋体" w:cs="宋体"/>
                <w:sz w:val="18"/>
                <w:szCs w:val="18"/>
              </w:rPr>
              <w:t>联系电话</w:t>
            </w:r>
          </w:p>
        </w:tc>
      </w:tr>
      <w:tr w14:paraId="15CC2C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6" w:hRule="atLeast"/>
        </w:trPr>
        <w:tc>
          <w:tcPr>
            <w:tcW w:w="2628" w:type="dxa"/>
            <w:vMerge w:val="continue"/>
            <w:tcBorders>
              <w:top w:val="single" w:color="auto" w:sz="4" w:space="0"/>
              <w:bottom w:val="single" w:color="auto" w:sz="4" w:space="0"/>
              <w:right w:val="single" w:color="auto" w:sz="4" w:space="0"/>
            </w:tcBorders>
            <w:vAlign w:val="center"/>
          </w:tcPr>
          <w:p w14:paraId="34661458">
            <w:pPr>
              <w:widowControl/>
              <w:jc w:val="left"/>
              <w:rPr>
                <w:rFonts w:ascii="宋体" w:cs="宋体"/>
                <w:sz w:val="18"/>
                <w:szCs w:val="18"/>
              </w:rPr>
            </w:pPr>
          </w:p>
        </w:tc>
        <w:tc>
          <w:tcPr>
            <w:tcW w:w="3420" w:type="dxa"/>
            <w:vMerge w:val="continue"/>
            <w:tcBorders>
              <w:top w:val="single" w:color="auto" w:sz="4" w:space="0"/>
              <w:left w:val="single" w:color="auto" w:sz="4" w:space="0"/>
              <w:bottom w:val="single" w:color="auto" w:sz="4" w:space="0"/>
              <w:right w:val="single" w:color="auto" w:sz="4" w:space="0"/>
            </w:tcBorders>
            <w:vAlign w:val="center"/>
          </w:tcPr>
          <w:p w14:paraId="1DA2A626">
            <w:pPr>
              <w:widowControl/>
              <w:jc w:val="left"/>
              <w:rPr>
                <w:rFonts w:asci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67EB3624">
            <w:pPr>
              <w:widowControl/>
              <w:jc w:val="left"/>
              <w:rPr>
                <w:rFonts w:ascii="宋体" w:cs="宋体"/>
                <w:sz w:val="18"/>
                <w:szCs w:val="18"/>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14:paraId="396AA640">
            <w:pPr>
              <w:widowControl/>
              <w:jc w:val="left"/>
              <w:rPr>
                <w:rFonts w:ascii="宋体" w:cs="宋体"/>
                <w:sz w:val="18"/>
                <w:szCs w:val="18"/>
              </w:rPr>
            </w:pPr>
          </w:p>
        </w:tc>
        <w:tc>
          <w:tcPr>
            <w:tcW w:w="1800" w:type="dxa"/>
            <w:vMerge w:val="continue"/>
            <w:tcBorders>
              <w:top w:val="single" w:color="auto" w:sz="4" w:space="0"/>
              <w:left w:val="single" w:color="auto" w:sz="4" w:space="0"/>
              <w:bottom w:val="single" w:color="auto" w:sz="4" w:space="0"/>
              <w:right w:val="single" w:color="auto" w:sz="4" w:space="0"/>
            </w:tcBorders>
            <w:vAlign w:val="center"/>
          </w:tcPr>
          <w:p w14:paraId="79AFD2E7">
            <w:pPr>
              <w:widowControl/>
              <w:jc w:val="left"/>
              <w:rPr>
                <w:rFonts w:ascii="宋体" w:cs="宋体"/>
                <w:sz w:val="18"/>
                <w:szCs w:val="18"/>
              </w:rPr>
            </w:pPr>
          </w:p>
        </w:tc>
        <w:tc>
          <w:tcPr>
            <w:tcW w:w="1800" w:type="dxa"/>
            <w:tcBorders>
              <w:top w:val="single" w:color="auto" w:sz="4" w:space="0"/>
              <w:left w:val="single" w:color="auto" w:sz="4" w:space="0"/>
              <w:bottom w:val="single" w:color="auto" w:sz="4" w:space="0"/>
              <w:right w:val="single" w:color="auto" w:sz="4" w:space="0"/>
            </w:tcBorders>
            <w:vAlign w:val="center"/>
          </w:tcPr>
          <w:p w14:paraId="3E5CA27E">
            <w:pPr>
              <w:snapToGrid w:val="0"/>
              <w:spacing w:line="240" w:lineRule="exact"/>
              <w:jc w:val="center"/>
              <w:rPr>
                <w:rFonts w:ascii="宋体" w:cs="宋体"/>
                <w:sz w:val="18"/>
                <w:szCs w:val="18"/>
              </w:rPr>
            </w:pPr>
            <w:r>
              <w:rPr>
                <w:rFonts w:hint="eastAsia" w:ascii="宋体" w:hAnsi="宋体" w:cs="宋体"/>
                <w:sz w:val="18"/>
                <w:szCs w:val="18"/>
              </w:rPr>
              <w:t>合同</w:t>
            </w:r>
          </w:p>
        </w:tc>
        <w:tc>
          <w:tcPr>
            <w:tcW w:w="2160" w:type="dxa"/>
            <w:vMerge w:val="continue"/>
            <w:tcBorders>
              <w:top w:val="single" w:color="auto" w:sz="4" w:space="0"/>
              <w:left w:val="single" w:color="auto" w:sz="4" w:space="0"/>
              <w:bottom w:val="single" w:color="auto" w:sz="4" w:space="0"/>
            </w:tcBorders>
            <w:vAlign w:val="center"/>
          </w:tcPr>
          <w:p w14:paraId="0108BC71">
            <w:pPr>
              <w:widowControl/>
              <w:jc w:val="left"/>
              <w:rPr>
                <w:rFonts w:ascii="宋体" w:cs="宋体"/>
                <w:sz w:val="18"/>
                <w:szCs w:val="18"/>
              </w:rPr>
            </w:pPr>
          </w:p>
        </w:tc>
      </w:tr>
      <w:tr w14:paraId="4036F6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8" w:type="dxa"/>
            <w:tcBorders>
              <w:top w:val="single" w:color="auto" w:sz="4" w:space="0"/>
              <w:bottom w:val="single" w:color="auto" w:sz="4" w:space="0"/>
              <w:right w:val="single" w:color="auto" w:sz="4" w:space="0"/>
            </w:tcBorders>
          </w:tcPr>
          <w:p w14:paraId="6DACBAFD">
            <w:pPr>
              <w:snapToGrid w:val="0"/>
              <w:rPr>
                <w:rFonts w:ascii="宋体" w:cs="宋体"/>
                <w:sz w:val="24"/>
                <w:szCs w:val="24"/>
              </w:rPr>
            </w:pPr>
          </w:p>
        </w:tc>
        <w:tc>
          <w:tcPr>
            <w:tcW w:w="3420" w:type="dxa"/>
            <w:tcBorders>
              <w:top w:val="single" w:color="auto" w:sz="4" w:space="0"/>
              <w:left w:val="single" w:color="auto" w:sz="4" w:space="0"/>
              <w:bottom w:val="single" w:color="auto" w:sz="4" w:space="0"/>
              <w:right w:val="single" w:color="auto" w:sz="4" w:space="0"/>
            </w:tcBorders>
          </w:tcPr>
          <w:p w14:paraId="3D17CDFE">
            <w:pPr>
              <w:snapToGrid w:val="0"/>
              <w:rPr>
                <w:rFonts w:ascii="宋体" w:cs="宋体"/>
                <w:sz w:val="24"/>
                <w:szCs w:val="24"/>
              </w:rPr>
            </w:pPr>
          </w:p>
        </w:tc>
        <w:tc>
          <w:tcPr>
            <w:tcW w:w="1080" w:type="dxa"/>
            <w:tcBorders>
              <w:top w:val="single" w:color="auto" w:sz="4" w:space="0"/>
              <w:left w:val="single" w:color="auto" w:sz="4" w:space="0"/>
              <w:bottom w:val="single" w:color="auto" w:sz="4" w:space="0"/>
              <w:right w:val="single" w:color="auto" w:sz="4" w:space="0"/>
            </w:tcBorders>
          </w:tcPr>
          <w:p w14:paraId="714E9C99">
            <w:pPr>
              <w:snapToGrid w:val="0"/>
              <w:spacing w:line="240" w:lineRule="exact"/>
              <w:jc w:val="left"/>
              <w:rPr>
                <w:rFonts w:ascii="宋体" w:cs="宋体"/>
                <w:sz w:val="18"/>
                <w:szCs w:val="18"/>
              </w:rPr>
            </w:pPr>
          </w:p>
        </w:tc>
        <w:tc>
          <w:tcPr>
            <w:tcW w:w="1080" w:type="dxa"/>
            <w:tcBorders>
              <w:top w:val="single" w:color="auto" w:sz="4" w:space="0"/>
              <w:left w:val="single" w:color="auto" w:sz="4" w:space="0"/>
              <w:bottom w:val="single" w:color="auto" w:sz="4" w:space="0"/>
              <w:right w:val="single" w:color="auto" w:sz="4" w:space="0"/>
            </w:tcBorders>
          </w:tcPr>
          <w:p w14:paraId="28C9C190">
            <w:pPr>
              <w:snapToGrid w:val="0"/>
              <w:spacing w:line="240" w:lineRule="exact"/>
              <w:jc w:val="left"/>
              <w:rPr>
                <w:rFonts w:ascii="宋体" w:cs="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69D1B678">
            <w:pPr>
              <w:snapToGrid w:val="0"/>
              <w:spacing w:line="240" w:lineRule="exact"/>
              <w:jc w:val="left"/>
              <w:rPr>
                <w:rFonts w:ascii="宋体" w:cs="宋体"/>
                <w:sz w:val="18"/>
                <w:szCs w:val="18"/>
              </w:rPr>
            </w:pPr>
          </w:p>
        </w:tc>
        <w:tc>
          <w:tcPr>
            <w:tcW w:w="1800" w:type="dxa"/>
            <w:tcBorders>
              <w:top w:val="single" w:color="auto" w:sz="4" w:space="0"/>
              <w:left w:val="single" w:color="auto" w:sz="4" w:space="0"/>
              <w:bottom w:val="single" w:color="auto" w:sz="4" w:space="0"/>
              <w:right w:val="single" w:color="auto" w:sz="4" w:space="0"/>
            </w:tcBorders>
          </w:tcPr>
          <w:p w14:paraId="35732E0B">
            <w:pPr>
              <w:snapToGrid w:val="0"/>
              <w:spacing w:line="240" w:lineRule="exact"/>
              <w:jc w:val="left"/>
              <w:rPr>
                <w:rFonts w:ascii="宋体" w:cs="宋体"/>
                <w:sz w:val="18"/>
                <w:szCs w:val="18"/>
              </w:rPr>
            </w:pPr>
          </w:p>
        </w:tc>
        <w:tc>
          <w:tcPr>
            <w:tcW w:w="2160" w:type="dxa"/>
            <w:tcBorders>
              <w:top w:val="single" w:color="auto" w:sz="4" w:space="0"/>
              <w:left w:val="single" w:color="auto" w:sz="4" w:space="0"/>
              <w:bottom w:val="single" w:color="auto" w:sz="4" w:space="0"/>
            </w:tcBorders>
          </w:tcPr>
          <w:p w14:paraId="63D65709">
            <w:pPr>
              <w:snapToGrid w:val="0"/>
              <w:spacing w:line="240" w:lineRule="exact"/>
              <w:jc w:val="left"/>
              <w:rPr>
                <w:rFonts w:ascii="宋体" w:cs="宋体"/>
                <w:sz w:val="18"/>
                <w:szCs w:val="18"/>
              </w:rPr>
            </w:pPr>
          </w:p>
        </w:tc>
      </w:tr>
      <w:tr w14:paraId="03B350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bottom w:val="single" w:color="auto" w:sz="4" w:space="0"/>
              <w:right w:val="single" w:color="auto" w:sz="4" w:space="0"/>
            </w:tcBorders>
          </w:tcPr>
          <w:p w14:paraId="7603A514">
            <w:pPr>
              <w:snapToGrid w:val="0"/>
              <w:rPr>
                <w:rFonts w:ascii="宋体" w:cs="宋体"/>
                <w:sz w:val="24"/>
                <w:szCs w:val="24"/>
              </w:rPr>
            </w:pPr>
          </w:p>
        </w:tc>
        <w:tc>
          <w:tcPr>
            <w:tcW w:w="3420" w:type="dxa"/>
            <w:tcBorders>
              <w:top w:val="single" w:color="auto" w:sz="4" w:space="0"/>
              <w:left w:val="single" w:color="auto" w:sz="4" w:space="0"/>
              <w:bottom w:val="single" w:color="auto" w:sz="4" w:space="0"/>
              <w:right w:val="single" w:color="auto" w:sz="4" w:space="0"/>
            </w:tcBorders>
          </w:tcPr>
          <w:p w14:paraId="24998F23">
            <w:pPr>
              <w:rPr>
                <w:rFonts w:ascii="宋体" w:cs="宋体"/>
                <w:sz w:val="24"/>
                <w:szCs w:val="24"/>
              </w:rPr>
            </w:pPr>
          </w:p>
        </w:tc>
        <w:tc>
          <w:tcPr>
            <w:tcW w:w="1080" w:type="dxa"/>
            <w:tcBorders>
              <w:top w:val="single" w:color="auto" w:sz="4" w:space="0"/>
              <w:left w:val="single" w:color="auto" w:sz="4" w:space="0"/>
              <w:bottom w:val="single" w:color="auto" w:sz="4" w:space="0"/>
              <w:right w:val="single" w:color="auto" w:sz="4" w:space="0"/>
            </w:tcBorders>
          </w:tcPr>
          <w:p w14:paraId="5E26A6C5">
            <w:pPr>
              <w:snapToGrid w:val="0"/>
              <w:spacing w:before="50" w:after="156" w:afterLines="50" w:line="400" w:lineRule="exact"/>
              <w:jc w:val="left"/>
              <w:rPr>
                <w:rFonts w:ascii="宋体" w:cs="宋体"/>
                <w:sz w:val="24"/>
                <w:szCs w:val="24"/>
              </w:rPr>
            </w:pPr>
          </w:p>
        </w:tc>
        <w:tc>
          <w:tcPr>
            <w:tcW w:w="1080" w:type="dxa"/>
            <w:tcBorders>
              <w:top w:val="single" w:color="auto" w:sz="4" w:space="0"/>
              <w:left w:val="single" w:color="auto" w:sz="4" w:space="0"/>
              <w:bottom w:val="single" w:color="auto" w:sz="4" w:space="0"/>
              <w:right w:val="single" w:color="auto" w:sz="4" w:space="0"/>
            </w:tcBorders>
          </w:tcPr>
          <w:p w14:paraId="2125CC94">
            <w:pPr>
              <w:snapToGrid w:val="0"/>
              <w:spacing w:before="50" w:after="156" w:afterLines="50" w:line="400" w:lineRule="exact"/>
              <w:jc w:val="left"/>
              <w:rPr>
                <w:rFonts w:ascii="宋体" w:cs="宋体"/>
                <w:sz w:val="24"/>
                <w:szCs w:val="24"/>
              </w:rPr>
            </w:pPr>
          </w:p>
        </w:tc>
        <w:tc>
          <w:tcPr>
            <w:tcW w:w="1800" w:type="dxa"/>
            <w:tcBorders>
              <w:top w:val="single" w:color="auto" w:sz="4" w:space="0"/>
              <w:left w:val="single" w:color="auto" w:sz="4" w:space="0"/>
              <w:bottom w:val="single" w:color="auto" w:sz="4" w:space="0"/>
              <w:right w:val="single" w:color="auto" w:sz="4" w:space="0"/>
            </w:tcBorders>
          </w:tcPr>
          <w:p w14:paraId="0F3ED802">
            <w:pPr>
              <w:snapToGrid w:val="0"/>
              <w:spacing w:before="50" w:after="156" w:afterLines="50" w:line="400" w:lineRule="exact"/>
              <w:jc w:val="left"/>
              <w:rPr>
                <w:rFonts w:ascii="宋体" w:cs="宋体"/>
                <w:sz w:val="24"/>
                <w:szCs w:val="24"/>
              </w:rPr>
            </w:pPr>
          </w:p>
        </w:tc>
        <w:tc>
          <w:tcPr>
            <w:tcW w:w="1800" w:type="dxa"/>
            <w:tcBorders>
              <w:top w:val="single" w:color="auto" w:sz="4" w:space="0"/>
              <w:left w:val="single" w:color="auto" w:sz="4" w:space="0"/>
              <w:bottom w:val="single" w:color="auto" w:sz="4" w:space="0"/>
              <w:right w:val="single" w:color="auto" w:sz="4" w:space="0"/>
            </w:tcBorders>
          </w:tcPr>
          <w:p w14:paraId="11E35EA4">
            <w:pPr>
              <w:snapToGrid w:val="0"/>
              <w:spacing w:before="50" w:after="156" w:afterLines="50" w:line="400" w:lineRule="exact"/>
              <w:jc w:val="left"/>
              <w:rPr>
                <w:rFonts w:ascii="宋体" w:cs="宋体"/>
                <w:sz w:val="24"/>
                <w:szCs w:val="24"/>
              </w:rPr>
            </w:pPr>
          </w:p>
        </w:tc>
        <w:tc>
          <w:tcPr>
            <w:tcW w:w="2160" w:type="dxa"/>
            <w:tcBorders>
              <w:top w:val="single" w:color="auto" w:sz="4" w:space="0"/>
              <w:left w:val="single" w:color="auto" w:sz="4" w:space="0"/>
              <w:bottom w:val="single" w:color="auto" w:sz="4" w:space="0"/>
            </w:tcBorders>
          </w:tcPr>
          <w:p w14:paraId="2249081A">
            <w:pPr>
              <w:snapToGrid w:val="0"/>
              <w:spacing w:before="50" w:after="156" w:afterLines="50" w:line="400" w:lineRule="exact"/>
              <w:jc w:val="left"/>
              <w:rPr>
                <w:rFonts w:ascii="宋体" w:cs="宋体"/>
                <w:sz w:val="24"/>
                <w:szCs w:val="24"/>
              </w:rPr>
            </w:pPr>
          </w:p>
        </w:tc>
      </w:tr>
      <w:tr w14:paraId="78C6F4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bottom w:val="single" w:color="auto" w:sz="4" w:space="0"/>
              <w:right w:val="single" w:color="auto" w:sz="4" w:space="0"/>
            </w:tcBorders>
          </w:tcPr>
          <w:p w14:paraId="1D8E9C44">
            <w:pPr>
              <w:snapToGrid w:val="0"/>
              <w:rPr>
                <w:rFonts w:ascii="宋体" w:cs="宋体"/>
                <w:sz w:val="24"/>
                <w:szCs w:val="24"/>
              </w:rPr>
            </w:pPr>
          </w:p>
        </w:tc>
        <w:tc>
          <w:tcPr>
            <w:tcW w:w="3420" w:type="dxa"/>
            <w:tcBorders>
              <w:top w:val="single" w:color="auto" w:sz="4" w:space="0"/>
              <w:left w:val="single" w:color="auto" w:sz="4" w:space="0"/>
              <w:bottom w:val="single" w:color="auto" w:sz="4" w:space="0"/>
              <w:right w:val="single" w:color="auto" w:sz="4" w:space="0"/>
            </w:tcBorders>
          </w:tcPr>
          <w:p w14:paraId="0C1320CD">
            <w:pPr>
              <w:snapToGrid w:val="0"/>
              <w:rPr>
                <w:rFonts w:ascii="宋体" w:cs="宋体"/>
                <w:b/>
                <w:bCs/>
                <w:sz w:val="24"/>
                <w:szCs w:val="24"/>
              </w:rPr>
            </w:pPr>
          </w:p>
        </w:tc>
        <w:tc>
          <w:tcPr>
            <w:tcW w:w="1080" w:type="dxa"/>
            <w:tcBorders>
              <w:top w:val="single" w:color="auto" w:sz="4" w:space="0"/>
              <w:left w:val="single" w:color="auto" w:sz="4" w:space="0"/>
              <w:bottom w:val="single" w:color="auto" w:sz="4" w:space="0"/>
              <w:right w:val="single" w:color="auto" w:sz="4" w:space="0"/>
            </w:tcBorders>
          </w:tcPr>
          <w:p w14:paraId="077B7285">
            <w:pPr>
              <w:snapToGrid w:val="0"/>
              <w:spacing w:before="50" w:after="156" w:afterLines="50" w:line="400" w:lineRule="exact"/>
              <w:jc w:val="left"/>
              <w:rPr>
                <w:rFonts w:ascii="宋体" w:cs="宋体"/>
                <w:sz w:val="24"/>
                <w:szCs w:val="24"/>
              </w:rPr>
            </w:pPr>
          </w:p>
        </w:tc>
        <w:tc>
          <w:tcPr>
            <w:tcW w:w="1080" w:type="dxa"/>
            <w:tcBorders>
              <w:top w:val="single" w:color="auto" w:sz="4" w:space="0"/>
              <w:left w:val="single" w:color="auto" w:sz="4" w:space="0"/>
              <w:bottom w:val="single" w:color="auto" w:sz="4" w:space="0"/>
              <w:right w:val="single" w:color="auto" w:sz="4" w:space="0"/>
            </w:tcBorders>
          </w:tcPr>
          <w:p w14:paraId="5164A02D">
            <w:pPr>
              <w:snapToGrid w:val="0"/>
              <w:spacing w:before="50" w:after="156" w:afterLines="50" w:line="400" w:lineRule="exact"/>
              <w:jc w:val="left"/>
              <w:rPr>
                <w:rFonts w:ascii="宋体" w:cs="宋体"/>
                <w:sz w:val="24"/>
                <w:szCs w:val="24"/>
              </w:rPr>
            </w:pPr>
          </w:p>
        </w:tc>
        <w:tc>
          <w:tcPr>
            <w:tcW w:w="1800" w:type="dxa"/>
            <w:tcBorders>
              <w:top w:val="single" w:color="auto" w:sz="4" w:space="0"/>
              <w:left w:val="single" w:color="auto" w:sz="4" w:space="0"/>
              <w:bottom w:val="single" w:color="auto" w:sz="4" w:space="0"/>
              <w:right w:val="single" w:color="auto" w:sz="4" w:space="0"/>
            </w:tcBorders>
          </w:tcPr>
          <w:p w14:paraId="7A63A488">
            <w:pPr>
              <w:snapToGrid w:val="0"/>
              <w:spacing w:before="50" w:after="156" w:afterLines="50" w:line="400" w:lineRule="exact"/>
              <w:jc w:val="left"/>
              <w:rPr>
                <w:rFonts w:ascii="宋体" w:cs="宋体"/>
                <w:sz w:val="24"/>
                <w:szCs w:val="24"/>
              </w:rPr>
            </w:pPr>
          </w:p>
        </w:tc>
        <w:tc>
          <w:tcPr>
            <w:tcW w:w="1800" w:type="dxa"/>
            <w:tcBorders>
              <w:top w:val="single" w:color="auto" w:sz="4" w:space="0"/>
              <w:left w:val="single" w:color="auto" w:sz="4" w:space="0"/>
              <w:bottom w:val="single" w:color="auto" w:sz="4" w:space="0"/>
              <w:right w:val="single" w:color="auto" w:sz="4" w:space="0"/>
            </w:tcBorders>
          </w:tcPr>
          <w:p w14:paraId="0E8B676A">
            <w:pPr>
              <w:snapToGrid w:val="0"/>
              <w:spacing w:before="50" w:after="156" w:afterLines="50" w:line="400" w:lineRule="exact"/>
              <w:jc w:val="left"/>
              <w:rPr>
                <w:rFonts w:ascii="宋体" w:cs="宋体"/>
                <w:sz w:val="24"/>
                <w:szCs w:val="24"/>
              </w:rPr>
            </w:pPr>
          </w:p>
        </w:tc>
        <w:tc>
          <w:tcPr>
            <w:tcW w:w="2160" w:type="dxa"/>
            <w:tcBorders>
              <w:top w:val="single" w:color="auto" w:sz="4" w:space="0"/>
              <w:left w:val="single" w:color="auto" w:sz="4" w:space="0"/>
              <w:bottom w:val="single" w:color="auto" w:sz="4" w:space="0"/>
            </w:tcBorders>
          </w:tcPr>
          <w:p w14:paraId="2676BDA5">
            <w:pPr>
              <w:snapToGrid w:val="0"/>
              <w:spacing w:before="50" w:after="156" w:afterLines="50" w:line="400" w:lineRule="exact"/>
              <w:jc w:val="left"/>
              <w:rPr>
                <w:rFonts w:ascii="宋体" w:cs="宋体"/>
                <w:sz w:val="24"/>
                <w:szCs w:val="24"/>
              </w:rPr>
            </w:pPr>
          </w:p>
        </w:tc>
      </w:tr>
      <w:tr w14:paraId="157BDB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bottom w:val="single" w:color="auto" w:sz="4" w:space="0"/>
              <w:right w:val="single" w:color="auto" w:sz="4" w:space="0"/>
            </w:tcBorders>
          </w:tcPr>
          <w:p w14:paraId="5C6D89CA">
            <w:pPr>
              <w:snapToGrid w:val="0"/>
              <w:rPr>
                <w:rFonts w:ascii="宋体" w:cs="宋体"/>
                <w:sz w:val="24"/>
                <w:szCs w:val="24"/>
              </w:rPr>
            </w:pPr>
          </w:p>
        </w:tc>
        <w:tc>
          <w:tcPr>
            <w:tcW w:w="3420" w:type="dxa"/>
            <w:tcBorders>
              <w:top w:val="single" w:color="auto" w:sz="4" w:space="0"/>
              <w:left w:val="single" w:color="auto" w:sz="4" w:space="0"/>
              <w:bottom w:val="single" w:color="auto" w:sz="4" w:space="0"/>
              <w:right w:val="single" w:color="auto" w:sz="4" w:space="0"/>
            </w:tcBorders>
          </w:tcPr>
          <w:p w14:paraId="751D6B61">
            <w:pPr>
              <w:snapToGrid w:val="0"/>
              <w:jc w:val="left"/>
              <w:rPr>
                <w:rFonts w:ascii="宋体" w:cs="宋体"/>
                <w:sz w:val="24"/>
                <w:szCs w:val="24"/>
              </w:rPr>
            </w:pPr>
          </w:p>
        </w:tc>
        <w:tc>
          <w:tcPr>
            <w:tcW w:w="1080" w:type="dxa"/>
            <w:tcBorders>
              <w:top w:val="single" w:color="auto" w:sz="4" w:space="0"/>
              <w:left w:val="single" w:color="auto" w:sz="4" w:space="0"/>
              <w:bottom w:val="single" w:color="auto" w:sz="4" w:space="0"/>
              <w:right w:val="single" w:color="auto" w:sz="4" w:space="0"/>
            </w:tcBorders>
          </w:tcPr>
          <w:p w14:paraId="37D748E5">
            <w:pPr>
              <w:snapToGrid w:val="0"/>
              <w:spacing w:before="50" w:after="156" w:afterLines="50" w:line="400" w:lineRule="exact"/>
              <w:jc w:val="left"/>
              <w:rPr>
                <w:rFonts w:ascii="宋体" w:cs="宋体"/>
                <w:sz w:val="24"/>
                <w:szCs w:val="24"/>
              </w:rPr>
            </w:pPr>
          </w:p>
        </w:tc>
        <w:tc>
          <w:tcPr>
            <w:tcW w:w="1080" w:type="dxa"/>
            <w:tcBorders>
              <w:top w:val="single" w:color="auto" w:sz="4" w:space="0"/>
              <w:left w:val="single" w:color="auto" w:sz="4" w:space="0"/>
              <w:bottom w:val="single" w:color="auto" w:sz="4" w:space="0"/>
              <w:right w:val="single" w:color="auto" w:sz="4" w:space="0"/>
            </w:tcBorders>
          </w:tcPr>
          <w:p w14:paraId="5649B272">
            <w:pPr>
              <w:snapToGrid w:val="0"/>
              <w:spacing w:before="50" w:after="156" w:afterLines="50" w:line="400" w:lineRule="exact"/>
              <w:jc w:val="left"/>
              <w:rPr>
                <w:rFonts w:ascii="宋体" w:cs="宋体"/>
                <w:sz w:val="24"/>
                <w:szCs w:val="24"/>
              </w:rPr>
            </w:pPr>
          </w:p>
        </w:tc>
        <w:tc>
          <w:tcPr>
            <w:tcW w:w="1800" w:type="dxa"/>
            <w:tcBorders>
              <w:top w:val="single" w:color="auto" w:sz="4" w:space="0"/>
              <w:left w:val="single" w:color="auto" w:sz="4" w:space="0"/>
              <w:bottom w:val="single" w:color="auto" w:sz="4" w:space="0"/>
              <w:right w:val="single" w:color="auto" w:sz="4" w:space="0"/>
            </w:tcBorders>
          </w:tcPr>
          <w:p w14:paraId="211AD3F3">
            <w:pPr>
              <w:snapToGrid w:val="0"/>
              <w:spacing w:before="50" w:after="156" w:afterLines="50" w:line="400" w:lineRule="exact"/>
              <w:jc w:val="left"/>
              <w:rPr>
                <w:rFonts w:ascii="宋体" w:cs="宋体"/>
                <w:sz w:val="24"/>
                <w:szCs w:val="24"/>
              </w:rPr>
            </w:pPr>
          </w:p>
        </w:tc>
        <w:tc>
          <w:tcPr>
            <w:tcW w:w="1800" w:type="dxa"/>
            <w:tcBorders>
              <w:top w:val="single" w:color="auto" w:sz="4" w:space="0"/>
              <w:left w:val="single" w:color="auto" w:sz="4" w:space="0"/>
              <w:bottom w:val="single" w:color="auto" w:sz="4" w:space="0"/>
              <w:right w:val="single" w:color="auto" w:sz="4" w:space="0"/>
            </w:tcBorders>
          </w:tcPr>
          <w:p w14:paraId="7EDA02A8">
            <w:pPr>
              <w:snapToGrid w:val="0"/>
              <w:spacing w:before="50" w:after="156" w:afterLines="50" w:line="400" w:lineRule="exact"/>
              <w:jc w:val="left"/>
              <w:rPr>
                <w:rFonts w:ascii="宋体" w:cs="宋体"/>
                <w:sz w:val="24"/>
                <w:szCs w:val="24"/>
              </w:rPr>
            </w:pPr>
          </w:p>
        </w:tc>
        <w:tc>
          <w:tcPr>
            <w:tcW w:w="2160" w:type="dxa"/>
            <w:tcBorders>
              <w:top w:val="single" w:color="auto" w:sz="4" w:space="0"/>
              <w:left w:val="single" w:color="auto" w:sz="4" w:space="0"/>
              <w:bottom w:val="single" w:color="auto" w:sz="4" w:space="0"/>
            </w:tcBorders>
          </w:tcPr>
          <w:p w14:paraId="48547CEB">
            <w:pPr>
              <w:snapToGrid w:val="0"/>
              <w:spacing w:before="50" w:after="156" w:afterLines="50" w:line="400" w:lineRule="exact"/>
              <w:jc w:val="left"/>
              <w:rPr>
                <w:rFonts w:ascii="宋体" w:cs="宋体"/>
                <w:sz w:val="24"/>
                <w:szCs w:val="24"/>
              </w:rPr>
            </w:pPr>
          </w:p>
        </w:tc>
      </w:tr>
      <w:tr w14:paraId="1B60E3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bottom w:val="single" w:color="auto" w:sz="4" w:space="0"/>
              <w:right w:val="single" w:color="auto" w:sz="4" w:space="0"/>
            </w:tcBorders>
          </w:tcPr>
          <w:p w14:paraId="0CE2E4F5">
            <w:pPr>
              <w:snapToGrid w:val="0"/>
              <w:rPr>
                <w:rFonts w:ascii="宋体" w:cs="宋体"/>
                <w:sz w:val="24"/>
                <w:szCs w:val="24"/>
              </w:rPr>
            </w:pPr>
          </w:p>
        </w:tc>
        <w:tc>
          <w:tcPr>
            <w:tcW w:w="3420" w:type="dxa"/>
            <w:tcBorders>
              <w:top w:val="single" w:color="auto" w:sz="4" w:space="0"/>
              <w:left w:val="single" w:color="auto" w:sz="4" w:space="0"/>
              <w:bottom w:val="single" w:color="auto" w:sz="4" w:space="0"/>
              <w:right w:val="single" w:color="auto" w:sz="4" w:space="0"/>
            </w:tcBorders>
          </w:tcPr>
          <w:p w14:paraId="73BF0597">
            <w:pPr>
              <w:snapToGrid w:val="0"/>
              <w:rPr>
                <w:rFonts w:ascii="宋体" w:cs="宋体"/>
                <w:sz w:val="24"/>
                <w:szCs w:val="24"/>
              </w:rPr>
            </w:pPr>
          </w:p>
        </w:tc>
        <w:tc>
          <w:tcPr>
            <w:tcW w:w="1080" w:type="dxa"/>
            <w:tcBorders>
              <w:top w:val="single" w:color="auto" w:sz="4" w:space="0"/>
              <w:left w:val="single" w:color="auto" w:sz="4" w:space="0"/>
              <w:bottom w:val="single" w:color="auto" w:sz="4" w:space="0"/>
              <w:right w:val="single" w:color="auto" w:sz="4" w:space="0"/>
            </w:tcBorders>
          </w:tcPr>
          <w:p w14:paraId="3573FE28">
            <w:pPr>
              <w:snapToGrid w:val="0"/>
              <w:spacing w:before="50" w:after="156" w:afterLines="50" w:line="400" w:lineRule="exact"/>
              <w:jc w:val="left"/>
              <w:rPr>
                <w:rFonts w:ascii="宋体" w:cs="宋体"/>
                <w:sz w:val="24"/>
                <w:szCs w:val="24"/>
              </w:rPr>
            </w:pPr>
          </w:p>
        </w:tc>
        <w:tc>
          <w:tcPr>
            <w:tcW w:w="1080" w:type="dxa"/>
            <w:tcBorders>
              <w:top w:val="single" w:color="auto" w:sz="4" w:space="0"/>
              <w:left w:val="single" w:color="auto" w:sz="4" w:space="0"/>
              <w:bottom w:val="single" w:color="auto" w:sz="4" w:space="0"/>
              <w:right w:val="single" w:color="auto" w:sz="4" w:space="0"/>
            </w:tcBorders>
          </w:tcPr>
          <w:p w14:paraId="1F963D6D">
            <w:pPr>
              <w:snapToGrid w:val="0"/>
              <w:spacing w:before="50" w:after="156" w:afterLines="50" w:line="400" w:lineRule="exact"/>
              <w:jc w:val="left"/>
              <w:rPr>
                <w:rFonts w:ascii="宋体" w:cs="宋体"/>
                <w:sz w:val="24"/>
                <w:szCs w:val="24"/>
              </w:rPr>
            </w:pPr>
          </w:p>
        </w:tc>
        <w:tc>
          <w:tcPr>
            <w:tcW w:w="1800" w:type="dxa"/>
            <w:tcBorders>
              <w:top w:val="single" w:color="auto" w:sz="4" w:space="0"/>
              <w:left w:val="single" w:color="auto" w:sz="4" w:space="0"/>
              <w:bottom w:val="single" w:color="auto" w:sz="4" w:space="0"/>
              <w:right w:val="single" w:color="auto" w:sz="4" w:space="0"/>
            </w:tcBorders>
          </w:tcPr>
          <w:p w14:paraId="21177E25">
            <w:pPr>
              <w:snapToGrid w:val="0"/>
              <w:spacing w:before="50" w:after="156" w:afterLines="50" w:line="400" w:lineRule="exact"/>
              <w:jc w:val="left"/>
              <w:rPr>
                <w:rFonts w:ascii="宋体" w:cs="宋体"/>
                <w:sz w:val="24"/>
                <w:szCs w:val="24"/>
              </w:rPr>
            </w:pPr>
          </w:p>
        </w:tc>
        <w:tc>
          <w:tcPr>
            <w:tcW w:w="1800" w:type="dxa"/>
            <w:tcBorders>
              <w:top w:val="single" w:color="auto" w:sz="4" w:space="0"/>
              <w:left w:val="single" w:color="auto" w:sz="4" w:space="0"/>
              <w:bottom w:val="single" w:color="auto" w:sz="4" w:space="0"/>
              <w:right w:val="single" w:color="auto" w:sz="4" w:space="0"/>
            </w:tcBorders>
          </w:tcPr>
          <w:p w14:paraId="2772A070">
            <w:pPr>
              <w:snapToGrid w:val="0"/>
              <w:spacing w:before="50" w:after="156" w:afterLines="50" w:line="400" w:lineRule="exact"/>
              <w:jc w:val="left"/>
              <w:rPr>
                <w:rFonts w:ascii="宋体" w:cs="宋体"/>
                <w:sz w:val="24"/>
                <w:szCs w:val="24"/>
              </w:rPr>
            </w:pPr>
          </w:p>
        </w:tc>
        <w:tc>
          <w:tcPr>
            <w:tcW w:w="2160" w:type="dxa"/>
            <w:tcBorders>
              <w:top w:val="single" w:color="auto" w:sz="4" w:space="0"/>
              <w:left w:val="single" w:color="auto" w:sz="4" w:space="0"/>
              <w:bottom w:val="single" w:color="auto" w:sz="4" w:space="0"/>
            </w:tcBorders>
          </w:tcPr>
          <w:p w14:paraId="28B48F67">
            <w:pPr>
              <w:snapToGrid w:val="0"/>
              <w:spacing w:before="50" w:after="156" w:afterLines="50" w:line="400" w:lineRule="exact"/>
              <w:jc w:val="left"/>
              <w:rPr>
                <w:rFonts w:ascii="宋体" w:cs="宋体"/>
                <w:sz w:val="24"/>
                <w:szCs w:val="24"/>
              </w:rPr>
            </w:pPr>
          </w:p>
        </w:tc>
      </w:tr>
    </w:tbl>
    <w:p w14:paraId="7E3A81AC">
      <w:pPr>
        <w:spacing w:line="480" w:lineRule="exact"/>
        <w:rPr>
          <w:rFonts w:ascii="宋体" w:cs="Times New Roman"/>
          <w:spacing w:val="14"/>
          <w:sz w:val="24"/>
          <w:szCs w:val="24"/>
        </w:rPr>
      </w:pPr>
    </w:p>
    <w:p w14:paraId="45FDD2CF">
      <w:pPr>
        <w:widowControl/>
        <w:spacing w:line="400" w:lineRule="exact"/>
        <w:rPr>
          <w:rFonts w:ascii="宋体" w:hAnsi="宋体" w:cs="宋体"/>
          <w:sz w:val="24"/>
          <w:szCs w:val="24"/>
        </w:rPr>
      </w:pPr>
      <w:r>
        <w:rPr>
          <w:rFonts w:hint="eastAsia" w:ascii="宋体" w:hAnsi="宋体" w:cs="宋体"/>
          <w:sz w:val="24"/>
          <w:szCs w:val="24"/>
        </w:rPr>
        <w:t>法定代表人签字：</w:t>
      </w:r>
      <w:r>
        <w:rPr>
          <w:rFonts w:hint="eastAsia" w:ascii="宋体" w:hAnsi="宋体" w:cs="宋体"/>
          <w:sz w:val="24"/>
          <w:szCs w:val="24"/>
          <w:u w:val="single"/>
        </w:rPr>
        <w:t>　　　　　</w:t>
      </w:r>
      <w:r>
        <w:rPr>
          <w:rFonts w:hint="eastAsia" w:ascii="宋体" w:hAnsi="宋体" w:cs="宋体"/>
          <w:sz w:val="24"/>
          <w:szCs w:val="24"/>
        </w:rPr>
        <w:t>供应商公章：</w:t>
      </w:r>
    </w:p>
    <w:p w14:paraId="4E2DD4AA">
      <w:pPr>
        <w:widowControl/>
        <w:spacing w:line="400" w:lineRule="exact"/>
        <w:rPr>
          <w:rFonts w:ascii="宋体" w:cs="Times New Roman"/>
          <w:sz w:val="24"/>
          <w:szCs w:val="24"/>
        </w:rPr>
      </w:pPr>
      <w:r>
        <w:rPr>
          <w:rFonts w:hint="eastAsia" w:ascii="宋体" w:hAnsi="宋体" w:cs="宋体"/>
          <w:sz w:val="24"/>
          <w:szCs w:val="24"/>
        </w:rPr>
        <w:t>年月日</w:t>
      </w:r>
    </w:p>
    <w:p w14:paraId="522D8F3D">
      <w:pPr>
        <w:widowControl/>
        <w:spacing w:line="400" w:lineRule="exact"/>
        <w:rPr>
          <w:rFonts w:ascii="宋体" w:cs="Times New Roman"/>
          <w:sz w:val="24"/>
          <w:szCs w:val="24"/>
        </w:rPr>
        <w:sectPr>
          <w:pgSz w:w="16838" w:h="11906" w:orient="landscape"/>
          <w:pgMar w:top="1440" w:right="1080" w:bottom="1440" w:left="1080" w:header="851" w:footer="992" w:gutter="0"/>
          <w:cols w:space="720" w:num="1"/>
          <w:docGrid w:type="linesAndChars" w:linePitch="312" w:charSpace="0"/>
        </w:sectPr>
      </w:pPr>
    </w:p>
    <w:p w14:paraId="6B2316D9">
      <w:pPr>
        <w:snapToGrid w:val="0"/>
        <w:spacing w:before="156" w:after="156" w:afterLines="50" w:line="400" w:lineRule="exact"/>
        <w:jc w:val="left"/>
        <w:rPr>
          <w:rFonts w:ascii="宋体" w:cs="Times New Roman"/>
          <w:sz w:val="24"/>
          <w:szCs w:val="24"/>
        </w:rPr>
      </w:pPr>
      <w:r>
        <w:rPr>
          <w:rFonts w:hint="eastAsia" w:ascii="宋体" w:hAnsi="宋体" w:cs="宋体"/>
          <w:sz w:val="24"/>
          <w:szCs w:val="24"/>
        </w:rPr>
        <w:t>2</w:t>
      </w:r>
      <w:r>
        <w:rPr>
          <w:rFonts w:ascii="宋体" w:hAnsi="宋体" w:cs="宋体"/>
          <w:sz w:val="24"/>
          <w:szCs w:val="24"/>
        </w:rPr>
        <w:t>.</w:t>
      </w:r>
      <w:r>
        <w:rPr>
          <w:rFonts w:hint="eastAsia" w:ascii="宋体" w:hAnsi="宋体" w:cs="宋体"/>
          <w:sz w:val="24"/>
          <w:szCs w:val="24"/>
        </w:rPr>
        <w:t>商务响应表格式：</w:t>
      </w:r>
    </w:p>
    <w:p w14:paraId="4BB5D4DE">
      <w:pPr>
        <w:snapToGrid w:val="0"/>
        <w:spacing w:before="156" w:line="400" w:lineRule="exact"/>
        <w:jc w:val="center"/>
        <w:rPr>
          <w:rFonts w:ascii="宋体" w:cs="Times New Roman"/>
          <w:b/>
          <w:bCs/>
          <w:sz w:val="36"/>
          <w:szCs w:val="36"/>
        </w:rPr>
      </w:pPr>
      <w:r>
        <w:rPr>
          <w:rFonts w:hint="eastAsia" w:ascii="宋体" w:hAnsi="宋体" w:cs="宋体"/>
          <w:b/>
          <w:bCs/>
          <w:sz w:val="36"/>
          <w:szCs w:val="36"/>
        </w:rPr>
        <w:t>商务响应表格式</w:t>
      </w:r>
    </w:p>
    <w:p w14:paraId="4B2220CC">
      <w:pPr>
        <w:snapToGrid w:val="0"/>
        <w:spacing w:before="156" w:line="400" w:lineRule="exact"/>
        <w:jc w:val="left"/>
        <w:rPr>
          <w:rFonts w:ascii="宋体" w:cs="Times New Roman"/>
          <w:sz w:val="24"/>
          <w:szCs w:val="24"/>
          <w:u w:val="single"/>
        </w:rPr>
      </w:pPr>
      <w:r>
        <w:rPr>
          <w:rFonts w:hint="eastAsia" w:ascii="宋体" w:hAnsi="宋体" w:cs="宋体"/>
          <w:sz w:val="24"/>
          <w:szCs w:val="24"/>
        </w:rPr>
        <w:t>项目名称：</w:t>
      </w:r>
    </w:p>
    <w:tbl>
      <w:tblPr>
        <w:tblStyle w:val="63"/>
        <w:tblW w:w="9887" w:type="dxa"/>
        <w:tblInd w:w="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40"/>
        <w:gridCol w:w="6946"/>
        <w:gridCol w:w="1701"/>
      </w:tblGrid>
      <w:tr w14:paraId="24622B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06" w:hRule="atLeast"/>
        </w:trPr>
        <w:tc>
          <w:tcPr>
            <w:tcW w:w="1240" w:type="dxa"/>
            <w:tcBorders>
              <w:top w:val="single" w:color="auto" w:sz="4" w:space="0"/>
              <w:bottom w:val="single" w:color="auto" w:sz="4" w:space="0"/>
              <w:right w:val="single" w:color="auto" w:sz="4" w:space="0"/>
            </w:tcBorders>
            <w:vAlign w:val="center"/>
          </w:tcPr>
          <w:p w14:paraId="30491B5F">
            <w:pPr>
              <w:snapToGrid w:val="0"/>
              <w:spacing w:before="156" w:beforeLines="50" w:line="320" w:lineRule="exact"/>
              <w:rPr>
                <w:rFonts w:ascii="宋体" w:cs="宋体"/>
                <w:sz w:val="24"/>
                <w:szCs w:val="24"/>
              </w:rPr>
            </w:pPr>
            <w:r>
              <w:rPr>
                <w:rFonts w:hint="eastAsia" w:ascii="宋体" w:hAnsi="宋体" w:cs="宋体"/>
                <w:sz w:val="24"/>
                <w:szCs w:val="24"/>
              </w:rPr>
              <w:t>项目</w:t>
            </w:r>
          </w:p>
        </w:tc>
        <w:tc>
          <w:tcPr>
            <w:tcW w:w="6946" w:type="dxa"/>
            <w:tcBorders>
              <w:top w:val="single" w:color="auto" w:sz="4" w:space="0"/>
              <w:left w:val="single" w:color="auto" w:sz="4" w:space="0"/>
              <w:bottom w:val="single" w:color="auto" w:sz="4" w:space="0"/>
              <w:right w:val="single" w:color="auto" w:sz="4" w:space="0"/>
            </w:tcBorders>
            <w:vAlign w:val="center"/>
          </w:tcPr>
          <w:p w14:paraId="5B28D47E">
            <w:pPr>
              <w:snapToGrid w:val="0"/>
              <w:spacing w:before="156" w:beforeLines="50" w:line="320" w:lineRule="exact"/>
              <w:rPr>
                <w:rFonts w:ascii="宋体" w:cs="宋体"/>
                <w:sz w:val="24"/>
                <w:szCs w:val="24"/>
              </w:rPr>
            </w:pPr>
            <w:r>
              <w:rPr>
                <w:rFonts w:hint="eastAsia" w:ascii="宋体" w:hAnsi="宋体" w:cs="宋体"/>
                <w:sz w:val="24"/>
                <w:szCs w:val="24"/>
              </w:rPr>
              <w:t>竞争性磋商文件要求</w:t>
            </w:r>
          </w:p>
        </w:tc>
        <w:tc>
          <w:tcPr>
            <w:tcW w:w="1701" w:type="dxa"/>
            <w:tcBorders>
              <w:top w:val="single" w:color="auto" w:sz="4" w:space="0"/>
              <w:left w:val="single" w:color="auto" w:sz="4" w:space="0"/>
              <w:bottom w:val="single" w:color="auto" w:sz="4" w:space="0"/>
            </w:tcBorders>
            <w:vAlign w:val="center"/>
          </w:tcPr>
          <w:p w14:paraId="3F83FD1A">
            <w:pPr>
              <w:snapToGrid w:val="0"/>
              <w:spacing w:before="156" w:beforeLines="50" w:line="320" w:lineRule="exact"/>
              <w:rPr>
                <w:rFonts w:ascii="宋体" w:cs="宋体"/>
                <w:sz w:val="24"/>
                <w:szCs w:val="24"/>
              </w:rPr>
            </w:pPr>
            <w:r>
              <w:rPr>
                <w:rFonts w:hint="eastAsia" w:ascii="宋体" w:hAnsi="宋体" w:cs="宋体"/>
                <w:sz w:val="24"/>
                <w:szCs w:val="24"/>
              </w:rPr>
              <w:t>供应商的承诺或说明</w:t>
            </w:r>
          </w:p>
        </w:tc>
      </w:tr>
      <w:tr w14:paraId="0A82DB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240" w:type="dxa"/>
            <w:tcBorders>
              <w:top w:val="single" w:color="auto" w:sz="4" w:space="0"/>
              <w:bottom w:val="single" w:color="auto" w:sz="4" w:space="0"/>
              <w:right w:val="single" w:color="auto" w:sz="4" w:space="0"/>
            </w:tcBorders>
            <w:vAlign w:val="center"/>
          </w:tcPr>
          <w:p w14:paraId="2C85B134">
            <w:pPr>
              <w:rPr>
                <w:rFonts w:ascii="宋体" w:hAnsi="宋体" w:cs="宋体"/>
                <w:sz w:val="24"/>
              </w:rPr>
            </w:pPr>
            <w:r>
              <w:rPr>
                <w:rFonts w:hint="eastAsia" w:ascii="宋体" w:hAnsi="宋体" w:cs="宋体"/>
                <w:sz w:val="24"/>
              </w:rPr>
              <w:t>服务期及地点</w:t>
            </w:r>
          </w:p>
        </w:tc>
        <w:tc>
          <w:tcPr>
            <w:tcW w:w="6946" w:type="dxa"/>
            <w:tcBorders>
              <w:top w:val="single" w:color="auto" w:sz="4" w:space="0"/>
              <w:left w:val="single" w:color="auto" w:sz="4" w:space="0"/>
              <w:bottom w:val="single" w:color="auto" w:sz="4" w:space="0"/>
              <w:right w:val="single" w:color="auto" w:sz="4" w:space="0"/>
            </w:tcBorders>
            <w:vAlign w:val="center"/>
          </w:tcPr>
          <w:p w14:paraId="1822A803">
            <w:pPr>
              <w:spacing w:line="360" w:lineRule="auto"/>
              <w:rPr>
                <w:rFonts w:ascii="宋体" w:hAnsi="宋体" w:cs="宋体"/>
                <w:sz w:val="24"/>
              </w:rPr>
            </w:pPr>
            <w:r>
              <w:rPr>
                <w:rFonts w:hint="eastAsia" w:ascii="宋体" w:hAnsi="宋体" w:cs="宋体"/>
                <w:sz w:val="24"/>
              </w:rPr>
              <w:t>▲服务期：1年</w:t>
            </w:r>
          </w:p>
          <w:p w14:paraId="444C31AC">
            <w:pPr>
              <w:spacing w:line="360" w:lineRule="auto"/>
              <w:rPr>
                <w:rFonts w:ascii="宋体" w:hAnsi="宋体" w:cs="宋体"/>
                <w:sz w:val="24"/>
              </w:rPr>
            </w:pPr>
            <w:r>
              <w:rPr>
                <w:rFonts w:hint="eastAsia" w:ascii="宋体" w:hAnsi="宋体" w:cs="宋体"/>
                <w:sz w:val="24"/>
              </w:rPr>
              <w:t>地点：采购人指定地点；</w:t>
            </w:r>
          </w:p>
        </w:tc>
        <w:tc>
          <w:tcPr>
            <w:tcW w:w="1701" w:type="dxa"/>
            <w:tcBorders>
              <w:top w:val="single" w:color="auto" w:sz="4" w:space="0"/>
              <w:left w:val="single" w:color="auto" w:sz="4" w:space="0"/>
              <w:bottom w:val="single" w:color="auto" w:sz="4" w:space="0"/>
            </w:tcBorders>
          </w:tcPr>
          <w:p w14:paraId="2C24AC47">
            <w:pPr>
              <w:snapToGrid w:val="0"/>
              <w:spacing w:before="156" w:beforeLines="50" w:line="400" w:lineRule="exact"/>
              <w:rPr>
                <w:rFonts w:ascii="宋体" w:cs="宋体"/>
                <w:sz w:val="24"/>
                <w:szCs w:val="24"/>
              </w:rPr>
            </w:pPr>
          </w:p>
        </w:tc>
      </w:tr>
      <w:tr w14:paraId="7B4D5C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240" w:type="dxa"/>
            <w:tcBorders>
              <w:top w:val="single" w:color="auto" w:sz="4" w:space="0"/>
              <w:bottom w:val="single" w:color="auto" w:sz="4" w:space="0"/>
              <w:right w:val="single" w:color="auto" w:sz="4" w:space="0"/>
            </w:tcBorders>
          </w:tcPr>
          <w:p w14:paraId="78236AF2">
            <w:pPr>
              <w:rPr>
                <w:rFonts w:ascii="宋体" w:hAnsi="宋体" w:cs="宋体"/>
                <w:sz w:val="24"/>
              </w:rPr>
            </w:pPr>
            <w:r>
              <w:rPr>
                <w:rFonts w:hint="eastAsia" w:ascii="宋体" w:hAnsi="宋体" w:cs="宋体"/>
                <w:sz w:val="24"/>
              </w:rPr>
              <w:t>付款方式</w:t>
            </w:r>
          </w:p>
        </w:tc>
        <w:tc>
          <w:tcPr>
            <w:tcW w:w="6946" w:type="dxa"/>
            <w:tcBorders>
              <w:top w:val="single" w:color="auto" w:sz="4" w:space="0"/>
              <w:left w:val="single" w:color="auto" w:sz="4" w:space="0"/>
              <w:bottom w:val="single" w:color="auto" w:sz="4" w:space="0"/>
              <w:right w:val="single" w:color="auto" w:sz="4" w:space="0"/>
            </w:tcBorders>
          </w:tcPr>
          <w:p w14:paraId="310E6C11">
            <w:pPr>
              <w:spacing w:line="560" w:lineRule="exact"/>
              <w:rPr>
                <w:rFonts w:ascii="宋体" w:hAnsi="宋体" w:cs="宋体"/>
                <w:sz w:val="24"/>
              </w:rPr>
            </w:pPr>
            <w:r>
              <w:rPr>
                <w:rFonts w:hint="eastAsia" w:ascii="宋体" w:hAnsi="宋体" w:cs="宋体"/>
                <w:sz w:val="24"/>
              </w:rPr>
              <w:t>▲根据《保障中小企业款项支付条例》</w:t>
            </w:r>
            <w:r>
              <w:rPr>
                <w:rFonts w:ascii="宋体" w:hAnsi="宋体" w:cs="宋体"/>
                <w:sz w:val="24"/>
              </w:rPr>
              <w:t>、</w:t>
            </w:r>
            <w:r>
              <w:rPr>
                <w:rFonts w:hint="eastAsia" w:ascii="宋体" w:hAnsi="宋体" w:cs="宋体"/>
                <w:sz w:val="24"/>
              </w:rPr>
              <w:t>省财政厅《浙江省财政厅关于进一步发挥政府采购政策功能全力推动经济稳进提质的通知》（浙财采监【2022】3号）要求，制定如下付款方式：合同签订并具备实施条件后7个工作日内支付合同总价的40%作为预付款；余款待项目验收合格后付清。</w:t>
            </w:r>
          </w:p>
          <w:p w14:paraId="34DADD65">
            <w:pPr>
              <w:spacing w:line="560" w:lineRule="exact"/>
              <w:rPr>
                <w:rFonts w:ascii="宋体" w:hAnsi="宋体" w:cs="宋体"/>
                <w:sz w:val="24"/>
              </w:rPr>
            </w:pPr>
            <w:r>
              <w:rPr>
                <w:rFonts w:hint="eastAsia" w:ascii="宋体" w:hAnsi="宋体" w:cs="宋体"/>
                <w:sz w:val="24"/>
              </w:rPr>
              <w:t xml:space="preserve">税费：本服务执行中相关的一切税费均由中标人承担。 </w:t>
            </w:r>
          </w:p>
          <w:p w14:paraId="5ABAC61D">
            <w:pPr>
              <w:spacing w:line="560" w:lineRule="exact"/>
              <w:rPr>
                <w:rFonts w:ascii="宋体" w:hAnsi="宋体" w:cs="宋体"/>
                <w:sz w:val="24"/>
              </w:rPr>
            </w:pPr>
            <w:r>
              <w:rPr>
                <w:rFonts w:hint="eastAsia" w:ascii="宋体" w:hAnsi="宋体" w:cs="宋体"/>
                <w:sz w:val="24"/>
              </w:rPr>
              <w:t>注：若中标人明确表示无需预付款或者主动要求降低预付款比例的（由供应商签订合同代表手抄并签字，手写文字上加盖供应商公章），可不参照上述付款执行。</w:t>
            </w:r>
          </w:p>
        </w:tc>
        <w:tc>
          <w:tcPr>
            <w:tcW w:w="1701" w:type="dxa"/>
            <w:tcBorders>
              <w:top w:val="single" w:color="auto" w:sz="4" w:space="0"/>
              <w:left w:val="single" w:color="auto" w:sz="4" w:space="0"/>
              <w:bottom w:val="single" w:color="auto" w:sz="4" w:space="0"/>
            </w:tcBorders>
          </w:tcPr>
          <w:p w14:paraId="2A4F9E23">
            <w:pPr>
              <w:snapToGrid w:val="0"/>
              <w:spacing w:before="156" w:beforeLines="50" w:line="400" w:lineRule="exact"/>
              <w:rPr>
                <w:rFonts w:ascii="宋体" w:cs="宋体"/>
                <w:sz w:val="24"/>
                <w:szCs w:val="24"/>
              </w:rPr>
            </w:pPr>
          </w:p>
        </w:tc>
      </w:tr>
    </w:tbl>
    <w:p w14:paraId="06D406BA">
      <w:pPr>
        <w:pStyle w:val="19"/>
        <w:snapToGrid w:val="0"/>
        <w:spacing w:line="400" w:lineRule="exact"/>
        <w:rPr>
          <w:rFonts w:ascii="宋体" w:hAnsi="宋体" w:eastAsia="宋体" w:cs="Times New Roman"/>
          <w:sz w:val="24"/>
          <w:szCs w:val="24"/>
          <w:u w:val="single"/>
        </w:rPr>
      </w:pPr>
      <w:r>
        <w:rPr>
          <w:rFonts w:hint="eastAsia" w:ascii="宋体" w:hAnsi="宋体" w:eastAsia="宋体" w:cs="宋体"/>
          <w:sz w:val="24"/>
          <w:szCs w:val="24"/>
        </w:rPr>
        <w:t>授权代表签字：</w:t>
      </w:r>
      <w:r>
        <w:rPr>
          <w:rFonts w:hint="eastAsia" w:ascii="宋体" w:hAnsi="宋体" w:eastAsia="宋体" w:cs="宋体"/>
          <w:sz w:val="24"/>
          <w:szCs w:val="24"/>
          <w:u w:val="single"/>
        </w:rPr>
        <w:t>　　　　　</w:t>
      </w:r>
    </w:p>
    <w:p w14:paraId="6ADE60AD">
      <w:pPr>
        <w:pStyle w:val="26"/>
        <w:snapToGrid w:val="0"/>
        <w:spacing w:line="400" w:lineRule="exact"/>
        <w:rPr>
          <w:sz w:val="24"/>
          <w:szCs w:val="24"/>
        </w:rPr>
      </w:pPr>
      <w:r>
        <w:rPr>
          <w:rFonts w:hint="eastAsia"/>
          <w:sz w:val="24"/>
          <w:szCs w:val="24"/>
        </w:rPr>
        <w:t>供应商公章：　</w:t>
      </w:r>
    </w:p>
    <w:p w14:paraId="55CCBE4B">
      <w:pPr>
        <w:pStyle w:val="26"/>
        <w:snapToGrid w:val="0"/>
        <w:spacing w:line="400" w:lineRule="exact"/>
        <w:ind w:firstLine="240" w:firstLineChars="100"/>
        <w:rPr>
          <w:sz w:val="24"/>
          <w:szCs w:val="24"/>
        </w:rPr>
      </w:pPr>
      <w:r>
        <w:rPr>
          <w:rFonts w:hint="eastAsia"/>
          <w:sz w:val="24"/>
          <w:szCs w:val="24"/>
        </w:rPr>
        <w:t>年  月　日</w:t>
      </w:r>
    </w:p>
    <w:p w14:paraId="7962BD38">
      <w:pPr>
        <w:widowControl/>
        <w:spacing w:line="400" w:lineRule="exact"/>
        <w:ind w:firstLine="480" w:firstLineChars="200"/>
        <w:rPr>
          <w:rFonts w:ascii="宋体" w:cs="Times New Roman"/>
          <w:sz w:val="24"/>
          <w:szCs w:val="24"/>
        </w:rPr>
      </w:pPr>
    </w:p>
    <w:p w14:paraId="540064DD">
      <w:pPr>
        <w:widowControl/>
        <w:spacing w:line="400" w:lineRule="exact"/>
        <w:ind w:firstLine="480" w:firstLineChars="200"/>
        <w:rPr>
          <w:rFonts w:ascii="宋体" w:cs="Times New Roman"/>
          <w:sz w:val="24"/>
          <w:szCs w:val="24"/>
        </w:rPr>
      </w:pPr>
    </w:p>
    <w:p w14:paraId="34CCA2AA">
      <w:pPr>
        <w:widowControl/>
        <w:spacing w:line="400" w:lineRule="exact"/>
        <w:ind w:firstLine="480" w:firstLineChars="200"/>
        <w:rPr>
          <w:rFonts w:ascii="宋体" w:cs="Times New Roman"/>
          <w:sz w:val="24"/>
          <w:szCs w:val="24"/>
        </w:rPr>
      </w:pPr>
    </w:p>
    <w:p w14:paraId="0687748D">
      <w:pPr>
        <w:widowControl/>
        <w:spacing w:line="400" w:lineRule="exact"/>
        <w:ind w:firstLine="480" w:firstLineChars="200"/>
        <w:rPr>
          <w:rFonts w:ascii="宋体" w:cs="Times New Roman"/>
          <w:sz w:val="24"/>
          <w:szCs w:val="24"/>
        </w:rPr>
      </w:pPr>
    </w:p>
    <w:p w14:paraId="47B1F5D8">
      <w:pPr>
        <w:widowControl/>
        <w:spacing w:line="400" w:lineRule="exact"/>
        <w:ind w:firstLine="480" w:firstLineChars="200"/>
        <w:rPr>
          <w:rFonts w:ascii="宋体" w:cs="Times New Roman"/>
          <w:sz w:val="24"/>
          <w:szCs w:val="24"/>
        </w:rPr>
      </w:pPr>
    </w:p>
    <w:p w14:paraId="26C107A5">
      <w:pPr>
        <w:widowControl/>
        <w:spacing w:line="400" w:lineRule="exact"/>
        <w:ind w:firstLine="480" w:firstLineChars="200"/>
        <w:rPr>
          <w:rFonts w:ascii="宋体" w:cs="Times New Roman"/>
          <w:sz w:val="24"/>
          <w:szCs w:val="24"/>
        </w:rPr>
      </w:pPr>
    </w:p>
    <w:p w14:paraId="79160F36">
      <w:pPr>
        <w:widowControl/>
        <w:spacing w:line="400" w:lineRule="exact"/>
        <w:ind w:firstLine="480" w:firstLineChars="200"/>
        <w:rPr>
          <w:rFonts w:ascii="宋体" w:cs="Times New Roman"/>
          <w:sz w:val="24"/>
          <w:szCs w:val="24"/>
        </w:rPr>
      </w:pPr>
    </w:p>
    <w:p w14:paraId="4FDF34EB">
      <w:pPr>
        <w:widowControl/>
        <w:spacing w:line="400" w:lineRule="exact"/>
        <w:ind w:firstLine="480" w:firstLineChars="200"/>
        <w:rPr>
          <w:rFonts w:ascii="宋体" w:cs="Times New Roman"/>
          <w:sz w:val="24"/>
          <w:szCs w:val="24"/>
        </w:rPr>
      </w:pPr>
    </w:p>
    <w:p w14:paraId="42223611">
      <w:pPr>
        <w:tabs>
          <w:tab w:val="left" w:pos="1650"/>
        </w:tabs>
        <w:spacing w:line="560" w:lineRule="exact"/>
        <w:rPr>
          <w:rFonts w:ascii="宋体" w:cs="Times New Roman"/>
          <w:sz w:val="24"/>
          <w:szCs w:val="24"/>
        </w:rPr>
      </w:pPr>
      <w:r>
        <w:rPr>
          <w:rFonts w:hint="eastAsia" w:ascii="宋体" w:hAnsi="宋体" w:cs="宋体"/>
          <w:sz w:val="24"/>
          <w:szCs w:val="24"/>
        </w:rPr>
        <w:t>3</w:t>
      </w:r>
      <w:r>
        <w:rPr>
          <w:rFonts w:ascii="宋体" w:hAnsi="宋体" w:cs="宋体"/>
          <w:sz w:val="24"/>
          <w:szCs w:val="24"/>
        </w:rPr>
        <w:t>.</w:t>
      </w:r>
      <w:r>
        <w:rPr>
          <w:rFonts w:hint="eastAsia" w:ascii="宋体" w:hAnsi="宋体" w:cs="宋体"/>
          <w:sz w:val="24"/>
          <w:szCs w:val="24"/>
        </w:rPr>
        <w:t>信用承诺书</w:t>
      </w:r>
    </w:p>
    <w:p w14:paraId="03D4042A">
      <w:pPr>
        <w:tabs>
          <w:tab w:val="left" w:pos="1650"/>
        </w:tabs>
        <w:spacing w:line="560" w:lineRule="exact"/>
        <w:rPr>
          <w:rFonts w:ascii="宋体" w:cs="Times New Roman"/>
          <w:sz w:val="44"/>
          <w:szCs w:val="44"/>
        </w:rPr>
      </w:pPr>
    </w:p>
    <w:p w14:paraId="7B788492">
      <w:pPr>
        <w:tabs>
          <w:tab w:val="left" w:pos="1650"/>
        </w:tabs>
        <w:jc w:val="left"/>
        <w:rPr>
          <w:rFonts w:ascii="宋体" w:cs="Times New Roman"/>
          <w:sz w:val="24"/>
          <w:szCs w:val="24"/>
        </w:rPr>
      </w:pPr>
      <w:r>
        <w:rPr>
          <w:rFonts w:hint="eastAsia" w:ascii="宋体" w:hAnsi="宋体" w:cs="宋体"/>
          <w:sz w:val="24"/>
          <w:szCs w:val="24"/>
        </w:rPr>
        <w:t>（磋商单位）现参加（采购项目）政府采购活动，郑重承诺如下：</w:t>
      </w:r>
    </w:p>
    <w:p w14:paraId="7726ED2C">
      <w:pPr>
        <w:tabs>
          <w:tab w:val="left" w:pos="1650"/>
        </w:tabs>
        <w:spacing w:line="560" w:lineRule="exact"/>
        <w:ind w:firstLine="630"/>
        <w:rPr>
          <w:rFonts w:ascii="宋体" w:cs="Times New Roman"/>
          <w:sz w:val="24"/>
          <w:szCs w:val="24"/>
        </w:rPr>
      </w:pPr>
      <w:r>
        <w:rPr>
          <w:rFonts w:hint="eastAsia" w:ascii="宋体" w:hAnsi="宋体" w:cs="宋体"/>
          <w:sz w:val="24"/>
          <w:szCs w:val="24"/>
        </w:rPr>
        <w:t>对所提供的资料合法性、真实性、准确性和有效性负责；</w:t>
      </w:r>
    </w:p>
    <w:p w14:paraId="4C57307D">
      <w:pPr>
        <w:tabs>
          <w:tab w:val="left" w:pos="1650"/>
        </w:tabs>
        <w:spacing w:line="560" w:lineRule="exact"/>
        <w:ind w:firstLine="630"/>
        <w:rPr>
          <w:rFonts w:ascii="宋体" w:cs="Times New Roman"/>
          <w:sz w:val="24"/>
          <w:szCs w:val="24"/>
        </w:rPr>
      </w:pPr>
      <w:r>
        <w:rPr>
          <w:rFonts w:hint="eastAsia" w:ascii="宋体" w:hAnsi="宋体" w:cs="宋体"/>
          <w:sz w:val="24"/>
          <w:szCs w:val="24"/>
        </w:rPr>
        <w:t>严格按照国家法律、法规和规章，依法开展相关经济活动，全面履行应尽的责任和义务；</w:t>
      </w:r>
    </w:p>
    <w:p w14:paraId="14835737">
      <w:pPr>
        <w:tabs>
          <w:tab w:val="left" w:pos="1650"/>
        </w:tabs>
        <w:spacing w:line="560" w:lineRule="exact"/>
        <w:ind w:firstLine="630"/>
        <w:rPr>
          <w:rFonts w:ascii="宋体" w:cs="Times New Roman"/>
          <w:sz w:val="24"/>
          <w:szCs w:val="24"/>
        </w:rPr>
      </w:pPr>
      <w:r>
        <w:rPr>
          <w:rFonts w:hint="eastAsia" w:ascii="宋体" w:hAnsi="宋体" w:cs="宋体"/>
          <w:sz w:val="24"/>
          <w:szCs w:val="24"/>
        </w:rPr>
        <w:t>加强自我约束、自我规范、自我管理，不制假售假、不虚假宣传、不违约毁约、不恶意逃债、不偷税漏税，诚信依法经营；</w:t>
      </w:r>
    </w:p>
    <w:p w14:paraId="6F7CFA40">
      <w:pPr>
        <w:tabs>
          <w:tab w:val="left" w:pos="1650"/>
        </w:tabs>
        <w:spacing w:line="560" w:lineRule="exact"/>
        <w:ind w:firstLine="630"/>
        <w:rPr>
          <w:rFonts w:ascii="宋体" w:cs="Times New Roman"/>
          <w:sz w:val="24"/>
          <w:szCs w:val="24"/>
        </w:rPr>
      </w:pPr>
      <w:r>
        <w:rPr>
          <w:rFonts w:hint="eastAsia" w:ascii="宋体" w:hAnsi="宋体" w:cs="宋体"/>
          <w:sz w:val="24"/>
          <w:szCs w:val="24"/>
        </w:rPr>
        <w:t>自愿接受行政主管部门的依法检查、违背承诺约定将自愿承担违约责任，并接受法律法规和相关部门规章制度的惩戒和约束；</w:t>
      </w:r>
    </w:p>
    <w:p w14:paraId="278284A6">
      <w:pPr>
        <w:tabs>
          <w:tab w:val="left" w:pos="1650"/>
        </w:tabs>
        <w:spacing w:line="560" w:lineRule="exact"/>
        <w:ind w:firstLine="630"/>
        <w:rPr>
          <w:rFonts w:ascii="宋体" w:cs="Times New Roman"/>
          <w:sz w:val="24"/>
          <w:szCs w:val="24"/>
        </w:rPr>
      </w:pPr>
      <w:r>
        <w:rPr>
          <w:rFonts w:hint="eastAsia" w:ascii="宋体" w:hAnsi="宋体" w:cs="宋体"/>
          <w:kern w:val="0"/>
          <w:sz w:val="24"/>
          <w:szCs w:val="24"/>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6E61E794">
      <w:pPr>
        <w:tabs>
          <w:tab w:val="left" w:pos="1650"/>
        </w:tabs>
        <w:spacing w:line="560" w:lineRule="exact"/>
        <w:rPr>
          <w:rFonts w:ascii="宋体" w:cs="Times New Roman"/>
          <w:sz w:val="24"/>
          <w:szCs w:val="24"/>
          <w:u w:val="single"/>
        </w:rPr>
      </w:pPr>
    </w:p>
    <w:p w14:paraId="09A906DD">
      <w:pPr>
        <w:pStyle w:val="136"/>
        <w:spacing w:before="0" w:beforeAutospacing="0" w:after="0" w:afterAutospacing="0" w:line="560" w:lineRule="exact"/>
        <w:ind w:firstLine="600" w:firstLineChars="250"/>
        <w:rPr>
          <w:rFonts w:cs="Times New Roman"/>
          <w:spacing w:val="-7"/>
        </w:rPr>
      </w:pPr>
      <w:r>
        <w:rPr>
          <w:rFonts w:hint="eastAsia"/>
          <w:kern w:val="2"/>
        </w:rPr>
        <w:t>统一社会信用代码：</w:t>
      </w:r>
    </w:p>
    <w:p w14:paraId="4ED0EFF0">
      <w:pPr>
        <w:pStyle w:val="136"/>
        <w:spacing w:before="0" w:beforeAutospacing="0" w:after="0" w:afterAutospacing="0" w:line="560" w:lineRule="exact"/>
        <w:ind w:firstLine="3240" w:firstLineChars="1350"/>
        <w:rPr>
          <w:rFonts w:cs="Times New Roman"/>
          <w:kern w:val="2"/>
        </w:rPr>
      </w:pPr>
      <w:r>
        <w:rPr>
          <w:rFonts w:hint="eastAsia"/>
          <w:kern w:val="2"/>
        </w:rPr>
        <w:t>承诺单位</w:t>
      </w:r>
      <w:r>
        <w:rPr>
          <w:kern w:val="2"/>
        </w:rPr>
        <w:t>/</w:t>
      </w:r>
      <w:r>
        <w:rPr>
          <w:rFonts w:hint="eastAsia"/>
          <w:kern w:val="2"/>
        </w:rPr>
        <w:t>个人（盖章</w:t>
      </w:r>
      <w:r>
        <w:rPr>
          <w:kern w:val="2"/>
        </w:rPr>
        <w:t>/</w:t>
      </w:r>
      <w:r>
        <w:rPr>
          <w:rFonts w:hint="eastAsia"/>
          <w:kern w:val="2"/>
        </w:rPr>
        <w:t>签名）</w:t>
      </w:r>
    </w:p>
    <w:p w14:paraId="2C1D7394">
      <w:pPr>
        <w:spacing w:line="560" w:lineRule="exact"/>
        <w:ind w:firstLine="3480" w:firstLineChars="1450"/>
        <w:rPr>
          <w:rFonts w:ascii="宋体" w:cs="Times New Roman"/>
          <w:sz w:val="24"/>
          <w:szCs w:val="24"/>
        </w:rPr>
      </w:pPr>
      <w:r>
        <w:rPr>
          <w:rFonts w:hint="eastAsia" w:ascii="宋体" w:hAnsi="宋体" w:cs="宋体"/>
          <w:sz w:val="24"/>
          <w:szCs w:val="24"/>
        </w:rPr>
        <w:t>时间：</w:t>
      </w:r>
      <w:r>
        <w:rPr>
          <w:rFonts w:ascii="宋体" w:hAnsi="宋体" w:cs="宋体"/>
          <w:sz w:val="24"/>
          <w:szCs w:val="24"/>
        </w:rPr>
        <w:t>202</w:t>
      </w:r>
      <w:r>
        <w:rPr>
          <w:rFonts w:hint="eastAsia" w:ascii="宋体" w:hAnsi="宋体" w:cs="宋体"/>
          <w:sz w:val="24"/>
          <w:szCs w:val="24"/>
        </w:rPr>
        <w:t>4</w:t>
      </w:r>
      <w:r>
        <w:rPr>
          <w:rFonts w:ascii="宋体" w:hAnsi="宋体" w:cs="宋体"/>
          <w:sz w:val="24"/>
          <w:szCs w:val="24"/>
        </w:rPr>
        <w:t>年</w:t>
      </w:r>
      <w:r>
        <w:rPr>
          <w:rFonts w:hint="eastAsia" w:ascii="宋体" w:hAnsi="宋体" w:cs="宋体"/>
          <w:sz w:val="24"/>
          <w:szCs w:val="24"/>
        </w:rPr>
        <w:t>月日</w:t>
      </w:r>
    </w:p>
    <w:p w14:paraId="6B4AF493">
      <w:pPr>
        <w:spacing w:line="560" w:lineRule="exact"/>
        <w:ind w:firstLine="3480" w:firstLineChars="1450"/>
        <w:rPr>
          <w:rFonts w:ascii="宋体" w:cs="Times New Roman"/>
          <w:sz w:val="24"/>
          <w:szCs w:val="24"/>
        </w:rPr>
      </w:pPr>
    </w:p>
    <w:p w14:paraId="129D95DC">
      <w:pPr>
        <w:spacing w:line="560" w:lineRule="exact"/>
        <w:ind w:firstLine="3480" w:firstLineChars="1450"/>
        <w:rPr>
          <w:rFonts w:ascii="宋体" w:cs="Times New Roman"/>
          <w:sz w:val="24"/>
          <w:szCs w:val="24"/>
        </w:rPr>
      </w:pPr>
    </w:p>
    <w:p w14:paraId="15DA2756">
      <w:pPr>
        <w:spacing w:line="560" w:lineRule="exact"/>
        <w:ind w:firstLine="3480" w:firstLineChars="1450"/>
        <w:rPr>
          <w:rFonts w:ascii="宋体" w:cs="Times New Roman"/>
          <w:sz w:val="24"/>
          <w:szCs w:val="24"/>
        </w:rPr>
      </w:pPr>
    </w:p>
    <w:p w14:paraId="3C3FCB40">
      <w:pPr>
        <w:spacing w:line="560" w:lineRule="exact"/>
        <w:ind w:firstLine="3480" w:firstLineChars="1450"/>
        <w:rPr>
          <w:rFonts w:ascii="宋体" w:cs="Times New Roman"/>
          <w:sz w:val="24"/>
          <w:szCs w:val="24"/>
        </w:rPr>
      </w:pPr>
    </w:p>
    <w:p w14:paraId="6E79EBAF">
      <w:pPr>
        <w:spacing w:line="560" w:lineRule="exact"/>
        <w:ind w:firstLine="3480" w:firstLineChars="1450"/>
        <w:rPr>
          <w:rFonts w:ascii="宋体" w:cs="Times New Roman"/>
          <w:sz w:val="24"/>
          <w:szCs w:val="24"/>
        </w:rPr>
      </w:pPr>
    </w:p>
    <w:p w14:paraId="6B81FA3E">
      <w:pPr>
        <w:spacing w:line="560" w:lineRule="exact"/>
        <w:ind w:firstLine="3480" w:firstLineChars="1450"/>
        <w:rPr>
          <w:rFonts w:ascii="宋体" w:cs="Times New Roman"/>
          <w:sz w:val="24"/>
          <w:szCs w:val="24"/>
        </w:rPr>
      </w:pPr>
    </w:p>
    <w:p w14:paraId="031A4952">
      <w:pPr>
        <w:spacing w:line="560" w:lineRule="exact"/>
        <w:ind w:firstLine="3480" w:firstLineChars="1450"/>
        <w:rPr>
          <w:rFonts w:ascii="宋体" w:cs="Times New Roman"/>
          <w:sz w:val="24"/>
          <w:szCs w:val="24"/>
        </w:rPr>
      </w:pPr>
    </w:p>
    <w:p w14:paraId="060CF0E3">
      <w:pPr>
        <w:spacing w:line="560" w:lineRule="exact"/>
        <w:ind w:firstLine="3480" w:firstLineChars="1450"/>
        <w:rPr>
          <w:rFonts w:ascii="宋体" w:cs="Times New Roman"/>
          <w:sz w:val="24"/>
          <w:szCs w:val="24"/>
        </w:rPr>
      </w:pPr>
    </w:p>
    <w:p w14:paraId="0265EA51">
      <w:pPr>
        <w:rPr>
          <w:rFonts w:ascii="宋体" w:hAnsi="宋体" w:cs="宋体"/>
          <w:sz w:val="24"/>
          <w:szCs w:val="24"/>
        </w:rPr>
      </w:pPr>
    </w:p>
    <w:p w14:paraId="08D15379">
      <w:pPr>
        <w:rPr>
          <w:rFonts w:ascii="宋体" w:hAnsi="宋体" w:cs="宋体"/>
          <w:sz w:val="24"/>
          <w:szCs w:val="24"/>
        </w:rPr>
      </w:pPr>
      <w:r>
        <w:rPr>
          <w:rFonts w:hint="eastAsia" w:ascii="宋体" w:hAnsi="宋体" w:cs="宋体"/>
          <w:sz w:val="24"/>
          <w:szCs w:val="24"/>
        </w:rPr>
        <w:br w:type="page"/>
      </w:r>
    </w:p>
    <w:p w14:paraId="0538CB6E">
      <w:pPr>
        <w:rPr>
          <w:rFonts w:ascii="宋体" w:cs="Times New Roman"/>
          <w:sz w:val="24"/>
          <w:szCs w:val="24"/>
        </w:rPr>
      </w:pPr>
      <w:r>
        <w:rPr>
          <w:rFonts w:hint="eastAsia" w:ascii="宋体" w:hAnsi="宋体" w:cs="宋体"/>
          <w:sz w:val="24"/>
          <w:szCs w:val="24"/>
        </w:rPr>
        <w:t>4</w:t>
      </w:r>
      <w:r>
        <w:rPr>
          <w:rFonts w:ascii="宋体" w:hAnsi="宋体" w:cs="宋体"/>
          <w:sz w:val="24"/>
          <w:szCs w:val="24"/>
        </w:rPr>
        <w:t>.</w:t>
      </w:r>
      <w:r>
        <w:rPr>
          <w:rFonts w:hint="eastAsia" w:ascii="宋体" w:hAnsi="宋体" w:cs="宋体"/>
          <w:sz w:val="24"/>
          <w:szCs w:val="24"/>
        </w:rPr>
        <w:t>技术、商务、资信及其他分自评表</w:t>
      </w:r>
      <w:r>
        <w:rPr>
          <w:rFonts w:ascii="宋体" w:cs="Times New Roman"/>
          <w:sz w:val="24"/>
          <w:szCs w:val="24"/>
        </w:rPr>
        <w:tab/>
      </w:r>
    </w:p>
    <w:tbl>
      <w:tblPr>
        <w:tblStyle w:val="63"/>
        <w:tblW w:w="960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824"/>
        <w:gridCol w:w="2410"/>
        <w:gridCol w:w="1843"/>
        <w:gridCol w:w="1701"/>
      </w:tblGrid>
      <w:tr w14:paraId="42275F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5" w:hRule="atLeast"/>
        </w:trPr>
        <w:tc>
          <w:tcPr>
            <w:tcW w:w="3652" w:type="dxa"/>
            <w:gridSpan w:val="2"/>
            <w:vAlign w:val="center"/>
          </w:tcPr>
          <w:p w14:paraId="1CC463FB">
            <w:pPr>
              <w:jc w:val="center"/>
              <w:rPr>
                <w:rFonts w:ascii="宋体" w:cs="宋体"/>
                <w:sz w:val="24"/>
                <w:szCs w:val="24"/>
              </w:rPr>
            </w:pPr>
            <w:r>
              <w:rPr>
                <w:rFonts w:hint="eastAsia" w:ascii="宋体" w:hAnsi="宋体" w:cs="宋体"/>
                <w:sz w:val="24"/>
                <w:szCs w:val="24"/>
              </w:rPr>
              <w:t>评分项目</w:t>
            </w:r>
          </w:p>
        </w:tc>
        <w:tc>
          <w:tcPr>
            <w:tcW w:w="2410" w:type="dxa"/>
            <w:vAlign w:val="center"/>
          </w:tcPr>
          <w:p w14:paraId="6E041844">
            <w:pPr>
              <w:snapToGrid w:val="0"/>
              <w:spacing w:before="156" w:beforeLines="50"/>
              <w:jc w:val="center"/>
              <w:rPr>
                <w:rFonts w:ascii="宋体" w:cs="宋体"/>
                <w:sz w:val="24"/>
                <w:szCs w:val="24"/>
              </w:rPr>
            </w:pPr>
            <w:r>
              <w:rPr>
                <w:rFonts w:hint="eastAsia" w:ascii="宋体" w:hAnsi="宋体" w:cs="宋体"/>
                <w:sz w:val="24"/>
                <w:szCs w:val="24"/>
              </w:rPr>
              <w:t>响应文件对应资料</w:t>
            </w:r>
          </w:p>
        </w:tc>
        <w:tc>
          <w:tcPr>
            <w:tcW w:w="1843" w:type="dxa"/>
            <w:vAlign w:val="center"/>
          </w:tcPr>
          <w:p w14:paraId="4471258D">
            <w:pPr>
              <w:snapToGrid w:val="0"/>
              <w:spacing w:before="156" w:beforeLines="50"/>
              <w:jc w:val="center"/>
              <w:rPr>
                <w:rFonts w:ascii="宋体" w:cs="宋体"/>
                <w:sz w:val="24"/>
                <w:szCs w:val="24"/>
              </w:rPr>
            </w:pPr>
            <w:r>
              <w:rPr>
                <w:rFonts w:hint="eastAsia" w:ascii="宋体" w:hAnsi="宋体" w:cs="宋体"/>
                <w:sz w:val="24"/>
                <w:szCs w:val="24"/>
              </w:rPr>
              <w:t>自评分</w:t>
            </w:r>
          </w:p>
        </w:tc>
        <w:tc>
          <w:tcPr>
            <w:tcW w:w="1701" w:type="dxa"/>
            <w:vAlign w:val="center"/>
          </w:tcPr>
          <w:p w14:paraId="0BBA23C9">
            <w:pPr>
              <w:snapToGrid w:val="0"/>
              <w:spacing w:before="156" w:beforeLines="50"/>
              <w:jc w:val="center"/>
              <w:rPr>
                <w:rFonts w:ascii="宋体" w:cs="宋体"/>
                <w:sz w:val="24"/>
                <w:szCs w:val="24"/>
              </w:rPr>
            </w:pPr>
            <w:r>
              <w:rPr>
                <w:rFonts w:hint="eastAsia" w:ascii="宋体" w:hAnsi="宋体" w:cs="宋体"/>
                <w:sz w:val="24"/>
                <w:szCs w:val="24"/>
              </w:rPr>
              <w:t>响应文件页码</w:t>
            </w:r>
          </w:p>
        </w:tc>
      </w:tr>
      <w:tr w14:paraId="246BE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6" w:hRule="atLeast"/>
        </w:trPr>
        <w:tc>
          <w:tcPr>
            <w:tcW w:w="828" w:type="dxa"/>
            <w:vMerge w:val="restart"/>
            <w:vAlign w:val="center"/>
          </w:tcPr>
          <w:p w14:paraId="6E72E216">
            <w:pPr>
              <w:pStyle w:val="26"/>
              <w:spacing w:line="400" w:lineRule="exact"/>
              <w:jc w:val="center"/>
              <w:rPr>
                <w:rFonts w:ascii="宋体" w:hAnsi="宋体"/>
                <w:kern w:val="2"/>
                <w:sz w:val="24"/>
                <w:szCs w:val="24"/>
              </w:rPr>
            </w:pPr>
            <w:r>
              <w:rPr>
                <w:rFonts w:hint="eastAsia" w:ascii="宋体" w:hAnsi="宋体" w:cs="宋体"/>
                <w:kern w:val="2"/>
                <w:sz w:val="24"/>
                <w:szCs w:val="24"/>
              </w:rPr>
              <w:t>技术分（70分）</w:t>
            </w:r>
          </w:p>
        </w:tc>
        <w:tc>
          <w:tcPr>
            <w:tcW w:w="2824" w:type="dxa"/>
            <w:vAlign w:val="center"/>
          </w:tcPr>
          <w:p w14:paraId="03AADF74">
            <w:pPr>
              <w:pStyle w:val="27"/>
              <w:spacing w:before="156" w:beforeLines="50" w:after="156" w:afterLines="50" w:line="360" w:lineRule="auto"/>
              <w:ind w:left="0" w:leftChars="0"/>
              <w:jc w:val="left"/>
              <w:rPr>
                <w:rFonts w:ascii="Calibri" w:hAnsi="Calibri" w:cs="Calibri"/>
                <w:bCs/>
                <w:kern w:val="2"/>
                <w:sz w:val="24"/>
                <w:szCs w:val="21"/>
              </w:rPr>
            </w:pPr>
          </w:p>
        </w:tc>
        <w:tc>
          <w:tcPr>
            <w:tcW w:w="2410" w:type="dxa"/>
            <w:vAlign w:val="center"/>
          </w:tcPr>
          <w:p w14:paraId="2CB11913">
            <w:pPr>
              <w:pStyle w:val="5"/>
              <w:rPr>
                <w:rFonts w:ascii="Calibri" w:hAnsi="Calibri" w:eastAsia="宋体" w:cs="Calibri"/>
                <w:b w:val="0"/>
                <w:kern w:val="2"/>
                <w:sz w:val="24"/>
                <w:szCs w:val="21"/>
              </w:rPr>
            </w:pPr>
          </w:p>
        </w:tc>
        <w:tc>
          <w:tcPr>
            <w:tcW w:w="1843" w:type="dxa"/>
          </w:tcPr>
          <w:p w14:paraId="457D7D37">
            <w:pPr>
              <w:rPr>
                <w:rFonts w:ascii="宋体" w:cs="宋体"/>
                <w:sz w:val="24"/>
                <w:szCs w:val="24"/>
              </w:rPr>
            </w:pPr>
          </w:p>
        </w:tc>
        <w:tc>
          <w:tcPr>
            <w:tcW w:w="1701" w:type="dxa"/>
          </w:tcPr>
          <w:p w14:paraId="70F39C49">
            <w:pPr>
              <w:rPr>
                <w:rFonts w:ascii="宋体" w:cs="宋体"/>
                <w:sz w:val="24"/>
                <w:szCs w:val="24"/>
              </w:rPr>
            </w:pPr>
          </w:p>
        </w:tc>
      </w:tr>
      <w:tr w14:paraId="1D54D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1" w:hRule="atLeast"/>
        </w:trPr>
        <w:tc>
          <w:tcPr>
            <w:tcW w:w="828" w:type="dxa"/>
            <w:vMerge w:val="continue"/>
          </w:tcPr>
          <w:p w14:paraId="07CBCD42">
            <w:pPr>
              <w:pStyle w:val="26"/>
              <w:spacing w:line="400" w:lineRule="exact"/>
              <w:jc w:val="center"/>
              <w:rPr>
                <w:rFonts w:ascii="宋体" w:hAnsi="宋体"/>
                <w:kern w:val="2"/>
                <w:sz w:val="24"/>
                <w:szCs w:val="24"/>
              </w:rPr>
            </w:pPr>
          </w:p>
        </w:tc>
        <w:tc>
          <w:tcPr>
            <w:tcW w:w="2824" w:type="dxa"/>
            <w:vAlign w:val="center"/>
          </w:tcPr>
          <w:p w14:paraId="7F19DEAC">
            <w:pPr>
              <w:pStyle w:val="27"/>
              <w:spacing w:before="156" w:beforeLines="50" w:after="156" w:afterLines="50" w:line="360" w:lineRule="auto"/>
              <w:ind w:left="0" w:leftChars="0"/>
              <w:jc w:val="left"/>
              <w:rPr>
                <w:rFonts w:ascii="宋体" w:hAnsi="宋体" w:cs="宋体"/>
                <w:kern w:val="2"/>
                <w:sz w:val="24"/>
                <w:szCs w:val="24"/>
              </w:rPr>
            </w:pPr>
          </w:p>
        </w:tc>
        <w:tc>
          <w:tcPr>
            <w:tcW w:w="2410" w:type="dxa"/>
            <w:vAlign w:val="center"/>
          </w:tcPr>
          <w:p w14:paraId="08017AE7">
            <w:pPr>
              <w:pStyle w:val="27"/>
              <w:spacing w:before="156" w:beforeLines="50" w:after="156" w:afterLines="50" w:line="360" w:lineRule="auto"/>
              <w:ind w:left="0" w:leftChars="0"/>
              <w:jc w:val="left"/>
              <w:rPr>
                <w:rFonts w:ascii="宋体" w:hAnsi="宋体" w:cs="宋体"/>
                <w:kern w:val="2"/>
                <w:sz w:val="24"/>
                <w:szCs w:val="24"/>
              </w:rPr>
            </w:pPr>
          </w:p>
        </w:tc>
        <w:tc>
          <w:tcPr>
            <w:tcW w:w="1843" w:type="dxa"/>
          </w:tcPr>
          <w:p w14:paraId="229F70B8">
            <w:pPr>
              <w:rPr>
                <w:rFonts w:ascii="宋体" w:cs="宋体"/>
                <w:sz w:val="24"/>
                <w:szCs w:val="24"/>
              </w:rPr>
            </w:pPr>
          </w:p>
        </w:tc>
        <w:tc>
          <w:tcPr>
            <w:tcW w:w="1701" w:type="dxa"/>
          </w:tcPr>
          <w:p w14:paraId="1E1A6935">
            <w:pPr>
              <w:rPr>
                <w:rFonts w:ascii="宋体" w:cs="宋体"/>
                <w:sz w:val="24"/>
                <w:szCs w:val="24"/>
              </w:rPr>
            </w:pPr>
          </w:p>
        </w:tc>
      </w:tr>
      <w:tr w14:paraId="074B5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828" w:type="dxa"/>
            <w:vMerge w:val="continue"/>
          </w:tcPr>
          <w:p w14:paraId="1BD7EF3B">
            <w:pPr>
              <w:pStyle w:val="26"/>
              <w:spacing w:line="400" w:lineRule="exact"/>
              <w:jc w:val="center"/>
              <w:rPr>
                <w:rFonts w:ascii="宋体" w:hAnsi="宋体"/>
                <w:kern w:val="2"/>
                <w:sz w:val="24"/>
                <w:szCs w:val="24"/>
              </w:rPr>
            </w:pPr>
          </w:p>
        </w:tc>
        <w:tc>
          <w:tcPr>
            <w:tcW w:w="2824" w:type="dxa"/>
            <w:vAlign w:val="center"/>
          </w:tcPr>
          <w:p w14:paraId="008648B6">
            <w:pPr>
              <w:spacing w:before="156" w:beforeLines="50" w:after="156" w:afterLines="50" w:line="400" w:lineRule="exact"/>
              <w:rPr>
                <w:bCs/>
                <w:sz w:val="24"/>
              </w:rPr>
            </w:pPr>
          </w:p>
        </w:tc>
        <w:tc>
          <w:tcPr>
            <w:tcW w:w="2410" w:type="dxa"/>
            <w:vAlign w:val="center"/>
          </w:tcPr>
          <w:p w14:paraId="1265597F">
            <w:pPr>
              <w:pStyle w:val="27"/>
              <w:spacing w:before="156" w:beforeLines="50" w:after="156" w:afterLines="50" w:line="360" w:lineRule="auto"/>
              <w:ind w:left="0" w:leftChars="0"/>
              <w:jc w:val="left"/>
              <w:rPr>
                <w:rFonts w:ascii="宋体" w:hAnsi="宋体" w:cs="宋体"/>
                <w:kern w:val="2"/>
                <w:sz w:val="24"/>
                <w:szCs w:val="24"/>
              </w:rPr>
            </w:pPr>
          </w:p>
        </w:tc>
        <w:tc>
          <w:tcPr>
            <w:tcW w:w="1843" w:type="dxa"/>
          </w:tcPr>
          <w:p w14:paraId="51C28AFB">
            <w:pPr>
              <w:rPr>
                <w:rFonts w:ascii="宋体" w:cs="宋体"/>
                <w:sz w:val="24"/>
                <w:szCs w:val="24"/>
              </w:rPr>
            </w:pPr>
          </w:p>
        </w:tc>
        <w:tc>
          <w:tcPr>
            <w:tcW w:w="1701" w:type="dxa"/>
          </w:tcPr>
          <w:p w14:paraId="30F02340">
            <w:pPr>
              <w:rPr>
                <w:rFonts w:ascii="宋体" w:cs="宋体"/>
                <w:sz w:val="24"/>
                <w:szCs w:val="24"/>
              </w:rPr>
            </w:pPr>
          </w:p>
        </w:tc>
      </w:tr>
      <w:tr w14:paraId="1A246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828" w:type="dxa"/>
            <w:vMerge w:val="continue"/>
          </w:tcPr>
          <w:p w14:paraId="5394370D">
            <w:pPr>
              <w:pStyle w:val="26"/>
              <w:spacing w:line="400" w:lineRule="exact"/>
              <w:jc w:val="center"/>
              <w:rPr>
                <w:rFonts w:ascii="宋体" w:hAnsi="宋体"/>
                <w:kern w:val="2"/>
                <w:sz w:val="24"/>
                <w:szCs w:val="24"/>
              </w:rPr>
            </w:pPr>
          </w:p>
        </w:tc>
        <w:tc>
          <w:tcPr>
            <w:tcW w:w="2824" w:type="dxa"/>
            <w:vAlign w:val="center"/>
          </w:tcPr>
          <w:p w14:paraId="672B3AD9">
            <w:pPr>
              <w:spacing w:before="156" w:beforeLines="50" w:after="156" w:afterLines="50" w:line="400" w:lineRule="exact"/>
              <w:rPr>
                <w:rFonts w:ascii="Calibri" w:hAnsi="Calibri" w:eastAsia="宋体" w:cs="Calibri"/>
                <w:bCs/>
                <w:sz w:val="24"/>
                <w:szCs w:val="21"/>
              </w:rPr>
            </w:pPr>
          </w:p>
        </w:tc>
        <w:tc>
          <w:tcPr>
            <w:tcW w:w="2410" w:type="dxa"/>
            <w:vAlign w:val="center"/>
          </w:tcPr>
          <w:p w14:paraId="23E3B4C8">
            <w:pPr>
              <w:spacing w:line="320" w:lineRule="exact"/>
              <w:jc w:val="left"/>
              <w:rPr>
                <w:rFonts w:ascii="宋体" w:hAnsi="宋体" w:cs="宋体"/>
                <w:sz w:val="24"/>
                <w:szCs w:val="24"/>
              </w:rPr>
            </w:pPr>
          </w:p>
        </w:tc>
        <w:tc>
          <w:tcPr>
            <w:tcW w:w="1843" w:type="dxa"/>
          </w:tcPr>
          <w:p w14:paraId="4BCA053D">
            <w:pPr>
              <w:rPr>
                <w:rFonts w:ascii="宋体" w:cs="宋体"/>
                <w:sz w:val="24"/>
                <w:szCs w:val="24"/>
              </w:rPr>
            </w:pPr>
          </w:p>
        </w:tc>
        <w:tc>
          <w:tcPr>
            <w:tcW w:w="1701" w:type="dxa"/>
          </w:tcPr>
          <w:p w14:paraId="0C66CAD4">
            <w:pPr>
              <w:rPr>
                <w:rFonts w:ascii="宋体" w:cs="宋体"/>
                <w:sz w:val="24"/>
                <w:szCs w:val="24"/>
              </w:rPr>
            </w:pPr>
          </w:p>
        </w:tc>
      </w:tr>
      <w:tr w14:paraId="0634B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828" w:type="dxa"/>
            <w:vMerge w:val="continue"/>
          </w:tcPr>
          <w:p w14:paraId="04297769">
            <w:pPr>
              <w:pStyle w:val="26"/>
              <w:spacing w:line="400" w:lineRule="exact"/>
              <w:jc w:val="center"/>
              <w:rPr>
                <w:rFonts w:ascii="宋体" w:hAnsi="宋体"/>
                <w:kern w:val="2"/>
                <w:sz w:val="24"/>
                <w:szCs w:val="24"/>
              </w:rPr>
            </w:pPr>
          </w:p>
        </w:tc>
        <w:tc>
          <w:tcPr>
            <w:tcW w:w="2824" w:type="dxa"/>
            <w:vAlign w:val="center"/>
          </w:tcPr>
          <w:p w14:paraId="01150869">
            <w:pPr>
              <w:spacing w:before="156" w:beforeLines="50" w:after="156" w:afterLines="50" w:line="400" w:lineRule="exact"/>
              <w:rPr>
                <w:rFonts w:ascii="Calibri" w:hAnsi="Calibri" w:eastAsia="宋体" w:cs="Calibri"/>
                <w:bCs/>
                <w:sz w:val="24"/>
                <w:szCs w:val="21"/>
              </w:rPr>
            </w:pPr>
          </w:p>
        </w:tc>
        <w:tc>
          <w:tcPr>
            <w:tcW w:w="2410" w:type="dxa"/>
            <w:vAlign w:val="center"/>
          </w:tcPr>
          <w:p w14:paraId="16431B19">
            <w:pPr>
              <w:spacing w:line="320" w:lineRule="exact"/>
              <w:jc w:val="left"/>
              <w:rPr>
                <w:rFonts w:ascii="宋体" w:hAnsi="宋体" w:cs="宋体"/>
                <w:sz w:val="24"/>
                <w:szCs w:val="24"/>
              </w:rPr>
            </w:pPr>
          </w:p>
        </w:tc>
        <w:tc>
          <w:tcPr>
            <w:tcW w:w="1843" w:type="dxa"/>
          </w:tcPr>
          <w:p w14:paraId="17E54954">
            <w:pPr>
              <w:rPr>
                <w:rFonts w:ascii="宋体" w:cs="宋体"/>
                <w:sz w:val="24"/>
                <w:szCs w:val="24"/>
              </w:rPr>
            </w:pPr>
          </w:p>
        </w:tc>
        <w:tc>
          <w:tcPr>
            <w:tcW w:w="1701" w:type="dxa"/>
          </w:tcPr>
          <w:p w14:paraId="5ACCC76C">
            <w:pPr>
              <w:rPr>
                <w:rFonts w:ascii="宋体" w:cs="宋体"/>
                <w:sz w:val="24"/>
                <w:szCs w:val="24"/>
              </w:rPr>
            </w:pPr>
          </w:p>
        </w:tc>
      </w:tr>
      <w:tr w14:paraId="78295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828" w:type="dxa"/>
            <w:vMerge w:val="continue"/>
          </w:tcPr>
          <w:p w14:paraId="05B86937">
            <w:pPr>
              <w:pStyle w:val="26"/>
              <w:spacing w:line="400" w:lineRule="exact"/>
              <w:jc w:val="center"/>
              <w:rPr>
                <w:rFonts w:ascii="宋体" w:hAnsi="宋体"/>
                <w:kern w:val="2"/>
                <w:sz w:val="24"/>
                <w:szCs w:val="24"/>
              </w:rPr>
            </w:pPr>
          </w:p>
        </w:tc>
        <w:tc>
          <w:tcPr>
            <w:tcW w:w="2824" w:type="dxa"/>
            <w:vAlign w:val="center"/>
          </w:tcPr>
          <w:p w14:paraId="66DFA22B">
            <w:pPr>
              <w:pStyle w:val="27"/>
              <w:spacing w:before="156" w:beforeLines="50" w:after="156" w:afterLines="50" w:line="360" w:lineRule="auto"/>
              <w:ind w:left="0" w:leftChars="0"/>
              <w:jc w:val="left"/>
              <w:rPr>
                <w:rFonts w:ascii="Calibri" w:hAnsi="Calibri" w:cs="Calibri"/>
                <w:bCs/>
                <w:kern w:val="2"/>
                <w:sz w:val="24"/>
                <w:szCs w:val="21"/>
              </w:rPr>
            </w:pPr>
          </w:p>
        </w:tc>
        <w:tc>
          <w:tcPr>
            <w:tcW w:w="2410" w:type="dxa"/>
            <w:vAlign w:val="center"/>
          </w:tcPr>
          <w:p w14:paraId="0469D748">
            <w:pPr>
              <w:pStyle w:val="27"/>
              <w:spacing w:before="156" w:beforeLines="50" w:after="156" w:afterLines="50" w:line="360" w:lineRule="auto"/>
              <w:ind w:left="0" w:leftChars="0"/>
              <w:jc w:val="left"/>
              <w:rPr>
                <w:rFonts w:ascii="宋体" w:hAnsi="宋体" w:cs="宋体"/>
                <w:bCs/>
                <w:kern w:val="2"/>
                <w:sz w:val="24"/>
                <w:szCs w:val="24"/>
              </w:rPr>
            </w:pPr>
          </w:p>
        </w:tc>
        <w:tc>
          <w:tcPr>
            <w:tcW w:w="1843" w:type="dxa"/>
          </w:tcPr>
          <w:p w14:paraId="2F9AF5AB">
            <w:pPr>
              <w:rPr>
                <w:rFonts w:ascii="宋体" w:cs="宋体"/>
                <w:sz w:val="24"/>
                <w:szCs w:val="24"/>
              </w:rPr>
            </w:pPr>
          </w:p>
        </w:tc>
        <w:tc>
          <w:tcPr>
            <w:tcW w:w="1701" w:type="dxa"/>
          </w:tcPr>
          <w:p w14:paraId="7857F670">
            <w:pPr>
              <w:rPr>
                <w:rFonts w:ascii="宋体" w:cs="宋体"/>
                <w:sz w:val="24"/>
                <w:szCs w:val="24"/>
              </w:rPr>
            </w:pPr>
          </w:p>
        </w:tc>
      </w:tr>
      <w:tr w14:paraId="553D9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trPr>
        <w:tc>
          <w:tcPr>
            <w:tcW w:w="828" w:type="dxa"/>
            <w:vMerge w:val="restart"/>
          </w:tcPr>
          <w:p w14:paraId="55D20389">
            <w:pPr>
              <w:spacing w:before="156" w:beforeLines="50" w:after="156" w:afterLines="50" w:line="400" w:lineRule="exact"/>
              <w:rPr>
                <w:rFonts w:ascii="宋体" w:hAnsi="宋体" w:cs="宋体"/>
                <w:sz w:val="24"/>
                <w:szCs w:val="24"/>
              </w:rPr>
            </w:pPr>
            <w:r>
              <w:rPr>
                <w:rFonts w:hint="eastAsia" w:ascii="宋体" w:hAnsi="宋体" w:cs="宋体"/>
                <w:sz w:val="24"/>
                <w:szCs w:val="24"/>
              </w:rPr>
              <w:t>商务、资信及其他分（20分）</w:t>
            </w:r>
          </w:p>
        </w:tc>
        <w:tc>
          <w:tcPr>
            <w:tcW w:w="2824" w:type="dxa"/>
            <w:vAlign w:val="center"/>
          </w:tcPr>
          <w:p w14:paraId="4FCE0F8A">
            <w:pPr>
              <w:pStyle w:val="27"/>
              <w:spacing w:before="156" w:beforeLines="50" w:after="156" w:afterLines="50" w:line="360" w:lineRule="auto"/>
              <w:ind w:left="0" w:leftChars="0"/>
              <w:jc w:val="left"/>
              <w:rPr>
                <w:rFonts w:ascii="Calibri" w:hAnsi="Calibri" w:cs="Calibri"/>
                <w:sz w:val="24"/>
                <w:szCs w:val="21"/>
              </w:rPr>
            </w:pPr>
          </w:p>
        </w:tc>
        <w:tc>
          <w:tcPr>
            <w:tcW w:w="2410" w:type="dxa"/>
            <w:vAlign w:val="center"/>
          </w:tcPr>
          <w:p w14:paraId="6CE0E7CA">
            <w:pPr>
              <w:pStyle w:val="27"/>
              <w:spacing w:before="156" w:beforeLines="50" w:after="156" w:afterLines="50" w:line="360" w:lineRule="auto"/>
              <w:ind w:left="0" w:leftChars="0"/>
              <w:jc w:val="left"/>
              <w:rPr>
                <w:rFonts w:ascii="宋体" w:hAnsi="宋体" w:cs="宋体"/>
                <w:kern w:val="2"/>
                <w:sz w:val="24"/>
                <w:szCs w:val="24"/>
              </w:rPr>
            </w:pPr>
          </w:p>
        </w:tc>
        <w:tc>
          <w:tcPr>
            <w:tcW w:w="1843" w:type="dxa"/>
          </w:tcPr>
          <w:p w14:paraId="686BBADE">
            <w:pPr>
              <w:rPr>
                <w:rFonts w:ascii="宋体" w:cs="宋体"/>
                <w:sz w:val="24"/>
                <w:szCs w:val="24"/>
              </w:rPr>
            </w:pPr>
          </w:p>
        </w:tc>
        <w:tc>
          <w:tcPr>
            <w:tcW w:w="1701" w:type="dxa"/>
          </w:tcPr>
          <w:p w14:paraId="4C294AA5">
            <w:pPr>
              <w:rPr>
                <w:rFonts w:ascii="宋体" w:cs="宋体"/>
                <w:sz w:val="24"/>
                <w:szCs w:val="24"/>
              </w:rPr>
            </w:pPr>
          </w:p>
        </w:tc>
      </w:tr>
      <w:tr w14:paraId="7708D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28" w:type="dxa"/>
            <w:vMerge w:val="continue"/>
          </w:tcPr>
          <w:p w14:paraId="7933CDC4">
            <w:pPr>
              <w:rPr>
                <w:rFonts w:ascii="宋体" w:hAnsi="宋体" w:cs="宋体"/>
                <w:sz w:val="24"/>
                <w:szCs w:val="24"/>
              </w:rPr>
            </w:pPr>
          </w:p>
        </w:tc>
        <w:tc>
          <w:tcPr>
            <w:tcW w:w="2824" w:type="dxa"/>
            <w:vAlign w:val="center"/>
          </w:tcPr>
          <w:p w14:paraId="236A65CA">
            <w:pPr>
              <w:pStyle w:val="27"/>
              <w:spacing w:before="156" w:beforeLines="50" w:after="156" w:afterLines="50" w:line="360" w:lineRule="auto"/>
              <w:ind w:left="0" w:leftChars="0"/>
              <w:jc w:val="left"/>
              <w:rPr>
                <w:rFonts w:ascii="Calibri" w:hAnsi="Calibri" w:cs="Calibri"/>
                <w:bCs/>
                <w:kern w:val="2"/>
                <w:sz w:val="24"/>
                <w:szCs w:val="21"/>
              </w:rPr>
            </w:pPr>
          </w:p>
        </w:tc>
        <w:tc>
          <w:tcPr>
            <w:tcW w:w="2410" w:type="dxa"/>
            <w:vAlign w:val="center"/>
          </w:tcPr>
          <w:p w14:paraId="27953858">
            <w:pPr>
              <w:pStyle w:val="27"/>
              <w:spacing w:before="156" w:beforeLines="50" w:after="156" w:afterLines="50" w:line="360" w:lineRule="auto"/>
              <w:ind w:left="0" w:leftChars="0"/>
              <w:jc w:val="left"/>
              <w:rPr>
                <w:rFonts w:ascii="宋体" w:hAnsi="宋体" w:cs="宋体"/>
                <w:kern w:val="2"/>
                <w:sz w:val="24"/>
                <w:szCs w:val="24"/>
              </w:rPr>
            </w:pPr>
          </w:p>
        </w:tc>
        <w:tc>
          <w:tcPr>
            <w:tcW w:w="1843" w:type="dxa"/>
          </w:tcPr>
          <w:p w14:paraId="0F74944A">
            <w:pPr>
              <w:rPr>
                <w:rFonts w:ascii="宋体" w:cs="宋体"/>
                <w:sz w:val="24"/>
                <w:szCs w:val="24"/>
              </w:rPr>
            </w:pPr>
          </w:p>
        </w:tc>
        <w:tc>
          <w:tcPr>
            <w:tcW w:w="1701" w:type="dxa"/>
          </w:tcPr>
          <w:p w14:paraId="3F8F14CA">
            <w:pPr>
              <w:rPr>
                <w:rFonts w:ascii="宋体" w:cs="宋体"/>
                <w:sz w:val="24"/>
                <w:szCs w:val="24"/>
              </w:rPr>
            </w:pPr>
          </w:p>
        </w:tc>
      </w:tr>
      <w:tr w14:paraId="32881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6" w:hRule="atLeast"/>
        </w:trPr>
        <w:tc>
          <w:tcPr>
            <w:tcW w:w="828" w:type="dxa"/>
            <w:vMerge w:val="continue"/>
          </w:tcPr>
          <w:p w14:paraId="4A9B4A17">
            <w:pPr>
              <w:rPr>
                <w:rFonts w:ascii="宋体" w:hAnsi="宋体" w:cs="宋体"/>
                <w:sz w:val="24"/>
                <w:szCs w:val="24"/>
              </w:rPr>
            </w:pPr>
          </w:p>
        </w:tc>
        <w:tc>
          <w:tcPr>
            <w:tcW w:w="2824" w:type="dxa"/>
            <w:vAlign w:val="center"/>
          </w:tcPr>
          <w:p w14:paraId="52772165">
            <w:pPr>
              <w:pStyle w:val="27"/>
              <w:spacing w:before="156" w:beforeLines="50" w:after="156" w:afterLines="50" w:line="360" w:lineRule="auto"/>
              <w:ind w:left="0" w:leftChars="0"/>
              <w:jc w:val="left"/>
              <w:rPr>
                <w:rFonts w:ascii="Calibri" w:hAnsi="Calibri" w:cs="Calibri"/>
                <w:bCs/>
                <w:kern w:val="2"/>
                <w:sz w:val="24"/>
                <w:szCs w:val="21"/>
              </w:rPr>
            </w:pPr>
          </w:p>
        </w:tc>
        <w:tc>
          <w:tcPr>
            <w:tcW w:w="2410" w:type="dxa"/>
            <w:vAlign w:val="center"/>
          </w:tcPr>
          <w:p w14:paraId="56B3D9DC">
            <w:pPr>
              <w:pStyle w:val="27"/>
              <w:spacing w:before="156" w:beforeLines="50" w:after="156" w:afterLines="50" w:line="360" w:lineRule="auto"/>
              <w:ind w:left="0" w:leftChars="0"/>
              <w:jc w:val="left"/>
              <w:rPr>
                <w:rFonts w:ascii="宋体" w:hAnsi="宋体" w:cs="宋体"/>
                <w:kern w:val="2"/>
                <w:sz w:val="24"/>
                <w:szCs w:val="24"/>
              </w:rPr>
            </w:pPr>
          </w:p>
        </w:tc>
        <w:tc>
          <w:tcPr>
            <w:tcW w:w="1843" w:type="dxa"/>
          </w:tcPr>
          <w:p w14:paraId="6917F0A4">
            <w:pPr>
              <w:rPr>
                <w:rFonts w:ascii="宋体" w:cs="宋体"/>
                <w:sz w:val="24"/>
                <w:szCs w:val="24"/>
              </w:rPr>
            </w:pPr>
          </w:p>
        </w:tc>
        <w:tc>
          <w:tcPr>
            <w:tcW w:w="1701" w:type="dxa"/>
          </w:tcPr>
          <w:p w14:paraId="7876AEBD">
            <w:pPr>
              <w:rPr>
                <w:rFonts w:ascii="宋体" w:cs="宋体"/>
                <w:sz w:val="24"/>
                <w:szCs w:val="24"/>
              </w:rPr>
            </w:pPr>
          </w:p>
        </w:tc>
      </w:tr>
      <w:tr w14:paraId="47E90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3652" w:type="dxa"/>
            <w:gridSpan w:val="2"/>
            <w:vAlign w:val="center"/>
          </w:tcPr>
          <w:p w14:paraId="63BFD1F7">
            <w:pPr>
              <w:jc w:val="center"/>
              <w:rPr>
                <w:rFonts w:ascii="宋体" w:cs="宋体"/>
                <w:sz w:val="24"/>
                <w:szCs w:val="24"/>
              </w:rPr>
            </w:pPr>
            <w:r>
              <w:rPr>
                <w:rFonts w:hint="eastAsia" w:ascii="宋体" w:hAnsi="宋体" w:cs="宋体"/>
                <w:sz w:val="24"/>
                <w:szCs w:val="24"/>
              </w:rPr>
              <w:t>合计得分</w:t>
            </w:r>
          </w:p>
        </w:tc>
        <w:tc>
          <w:tcPr>
            <w:tcW w:w="2410" w:type="dxa"/>
          </w:tcPr>
          <w:p w14:paraId="38490F2E">
            <w:pPr>
              <w:rPr>
                <w:rFonts w:ascii="宋体" w:cs="宋体"/>
                <w:sz w:val="24"/>
                <w:szCs w:val="24"/>
              </w:rPr>
            </w:pPr>
          </w:p>
        </w:tc>
        <w:tc>
          <w:tcPr>
            <w:tcW w:w="1843" w:type="dxa"/>
          </w:tcPr>
          <w:p w14:paraId="6C37361F">
            <w:pPr>
              <w:rPr>
                <w:rFonts w:ascii="宋体" w:cs="宋体"/>
                <w:sz w:val="24"/>
                <w:szCs w:val="24"/>
              </w:rPr>
            </w:pPr>
          </w:p>
        </w:tc>
        <w:tc>
          <w:tcPr>
            <w:tcW w:w="1701" w:type="dxa"/>
          </w:tcPr>
          <w:p w14:paraId="5E55E8BA">
            <w:pPr>
              <w:rPr>
                <w:rFonts w:ascii="宋体" w:cs="宋体"/>
                <w:sz w:val="24"/>
                <w:szCs w:val="24"/>
              </w:rPr>
            </w:pPr>
          </w:p>
        </w:tc>
      </w:tr>
    </w:tbl>
    <w:p w14:paraId="4E41DBF3">
      <w:pPr>
        <w:spacing w:line="460" w:lineRule="exact"/>
        <w:ind w:firstLine="482" w:firstLineChars="200"/>
        <w:rPr>
          <w:rFonts w:ascii="宋体" w:hAnsi="宋体" w:cs="宋体"/>
          <w:b/>
          <w:bCs/>
          <w:sz w:val="24"/>
          <w:szCs w:val="24"/>
        </w:rPr>
      </w:pPr>
    </w:p>
    <w:p w14:paraId="3E88F42C">
      <w:pPr>
        <w:spacing w:line="460" w:lineRule="exact"/>
        <w:ind w:firstLine="482" w:firstLineChars="200"/>
        <w:rPr>
          <w:rFonts w:ascii="宋体" w:hAnsi="宋体" w:cs="宋体"/>
          <w:b/>
          <w:bCs/>
          <w:sz w:val="24"/>
          <w:szCs w:val="24"/>
        </w:rPr>
      </w:pPr>
    </w:p>
    <w:p w14:paraId="589788FC">
      <w:pPr>
        <w:spacing w:line="460" w:lineRule="exact"/>
        <w:ind w:firstLine="482" w:firstLineChars="200"/>
        <w:rPr>
          <w:rFonts w:ascii="宋体" w:hAnsi="宋体" w:cs="宋体"/>
          <w:b/>
          <w:bCs/>
          <w:sz w:val="24"/>
          <w:szCs w:val="24"/>
        </w:rPr>
      </w:pPr>
    </w:p>
    <w:p w14:paraId="3D8BE94C">
      <w:pPr>
        <w:widowControl/>
        <w:spacing w:line="400" w:lineRule="exact"/>
        <w:ind w:firstLine="480" w:firstLineChars="200"/>
        <w:rPr>
          <w:rFonts w:ascii="宋体" w:cs="Times New Roman"/>
          <w:sz w:val="24"/>
          <w:szCs w:val="24"/>
        </w:rPr>
      </w:pPr>
    </w:p>
    <w:p w14:paraId="4888EC11">
      <w:pPr>
        <w:widowControl/>
        <w:spacing w:line="400" w:lineRule="exact"/>
        <w:ind w:firstLine="480" w:firstLineChars="200"/>
        <w:rPr>
          <w:rFonts w:ascii="宋体" w:cs="Times New Roman"/>
          <w:sz w:val="24"/>
          <w:szCs w:val="24"/>
        </w:rPr>
      </w:pPr>
    </w:p>
    <w:p w14:paraId="09DB7FAD">
      <w:pPr>
        <w:widowControl/>
        <w:spacing w:line="400" w:lineRule="exact"/>
        <w:ind w:firstLine="480" w:firstLineChars="200"/>
        <w:rPr>
          <w:rFonts w:ascii="宋体" w:cs="Times New Roman"/>
          <w:sz w:val="24"/>
          <w:szCs w:val="24"/>
        </w:rPr>
      </w:pPr>
    </w:p>
    <w:p w14:paraId="01D90274">
      <w:pPr>
        <w:widowControl/>
        <w:spacing w:line="400" w:lineRule="exact"/>
        <w:ind w:firstLine="480" w:firstLineChars="200"/>
        <w:rPr>
          <w:rFonts w:ascii="宋体" w:cs="Times New Roman"/>
          <w:sz w:val="24"/>
          <w:szCs w:val="24"/>
        </w:rPr>
      </w:pPr>
    </w:p>
    <w:p w14:paraId="0EAEDD58">
      <w:pPr>
        <w:widowControl/>
        <w:spacing w:line="400" w:lineRule="exact"/>
        <w:ind w:firstLine="480" w:firstLineChars="200"/>
        <w:rPr>
          <w:rFonts w:ascii="宋体" w:cs="Times New Roman"/>
          <w:sz w:val="24"/>
          <w:szCs w:val="24"/>
        </w:rPr>
      </w:pPr>
    </w:p>
    <w:p w14:paraId="0EFA09F1">
      <w:pPr>
        <w:rPr>
          <w:rFonts w:ascii="宋体" w:hAnsi="宋体" w:cs="宋体"/>
          <w:sz w:val="24"/>
          <w:szCs w:val="24"/>
        </w:rPr>
      </w:pPr>
    </w:p>
    <w:p w14:paraId="3756AF34">
      <w:pPr>
        <w:rPr>
          <w:rFonts w:ascii="宋体" w:hAnsi="宋体" w:cs="宋体"/>
          <w:sz w:val="24"/>
          <w:szCs w:val="24"/>
        </w:rPr>
      </w:pPr>
    </w:p>
    <w:p w14:paraId="329A2D55">
      <w:pPr>
        <w:pStyle w:val="2"/>
        <w:spacing w:line="360" w:lineRule="auto"/>
      </w:pPr>
      <w:bookmarkStart w:id="68" w:name="_Toc69913499"/>
      <w:r>
        <w:rPr>
          <w:rFonts w:hint="eastAsia"/>
        </w:rPr>
        <w:t>第五章 磋商办法及评分标准</w:t>
      </w:r>
      <w:bookmarkEnd w:id="68"/>
    </w:p>
    <w:p w14:paraId="6679306D">
      <w:pPr>
        <w:spacing w:line="460" w:lineRule="exact"/>
        <w:ind w:firstLine="482" w:firstLineChars="200"/>
        <w:rPr>
          <w:rFonts w:ascii="宋体" w:cs="Times New Roman"/>
          <w:b/>
          <w:bCs/>
          <w:sz w:val="24"/>
          <w:szCs w:val="24"/>
        </w:rPr>
      </w:pPr>
      <w:r>
        <w:rPr>
          <w:rFonts w:hint="eastAsia" w:ascii="宋体" w:hAnsi="宋体" w:cs="宋体"/>
          <w:b/>
          <w:bCs/>
          <w:sz w:val="24"/>
          <w:szCs w:val="24"/>
        </w:rPr>
        <w:t>为公正、公平、科学地选择成交人，根据《政府采购竞争性磋商采购方式管理暂行办法》等有关法律法规的规定，并结合本项目的实际，制定本办法。</w:t>
      </w:r>
    </w:p>
    <w:p w14:paraId="1FFE14A4">
      <w:pPr>
        <w:spacing w:line="460" w:lineRule="exact"/>
        <w:outlineLvl w:val="0"/>
        <w:rPr>
          <w:rFonts w:ascii="宋体" w:cs="Times New Roman"/>
          <w:b/>
          <w:bCs/>
          <w:sz w:val="24"/>
          <w:szCs w:val="24"/>
        </w:rPr>
      </w:pPr>
      <w:bookmarkStart w:id="69" w:name="_Toc69913500"/>
      <w:r>
        <w:rPr>
          <w:rFonts w:ascii="宋体" w:hAnsi="宋体" w:cs="宋体"/>
          <w:b/>
          <w:bCs/>
          <w:sz w:val="24"/>
          <w:szCs w:val="24"/>
        </w:rPr>
        <w:t>1.</w:t>
      </w:r>
      <w:r>
        <w:rPr>
          <w:rFonts w:hint="eastAsia" w:ascii="宋体" w:hAnsi="宋体" w:cs="宋体"/>
          <w:b/>
          <w:bCs/>
          <w:sz w:val="24"/>
          <w:szCs w:val="24"/>
        </w:rPr>
        <w:t>磋商依据</w:t>
      </w:r>
      <w:bookmarkEnd w:id="69"/>
    </w:p>
    <w:p w14:paraId="0CDA0981">
      <w:pPr>
        <w:spacing w:line="460" w:lineRule="exact"/>
        <w:ind w:firstLine="480" w:firstLineChars="200"/>
        <w:rPr>
          <w:rFonts w:ascii="宋体" w:cs="Times New Roman"/>
          <w:kern w:val="0"/>
          <w:sz w:val="24"/>
          <w:szCs w:val="24"/>
        </w:rPr>
      </w:pPr>
      <w:r>
        <w:rPr>
          <w:rFonts w:ascii="宋体" w:hAnsi="宋体" w:cs="宋体"/>
          <w:kern w:val="0"/>
          <w:sz w:val="24"/>
          <w:szCs w:val="24"/>
        </w:rPr>
        <w:t>1.</w:t>
      </w:r>
      <w:r>
        <w:rPr>
          <w:rFonts w:hint="eastAsia" w:ascii="宋体" w:hAnsi="宋体" w:cs="宋体"/>
          <w:kern w:val="0"/>
          <w:sz w:val="24"/>
          <w:szCs w:val="24"/>
        </w:rPr>
        <w:t>《政府采购竞争性磋商采购方式管理暂行办法》</w:t>
      </w:r>
    </w:p>
    <w:p w14:paraId="78D16A10">
      <w:pPr>
        <w:spacing w:line="460" w:lineRule="exact"/>
        <w:ind w:firstLine="480" w:firstLineChars="200"/>
        <w:rPr>
          <w:rFonts w:ascii="宋体" w:cs="Times New Roman"/>
          <w:sz w:val="24"/>
          <w:szCs w:val="24"/>
        </w:rPr>
      </w:pPr>
      <w:r>
        <w:rPr>
          <w:rFonts w:ascii="宋体" w:hAnsi="宋体" w:cs="宋体"/>
          <w:sz w:val="24"/>
          <w:szCs w:val="24"/>
        </w:rPr>
        <w:t>2.</w:t>
      </w:r>
      <w:r>
        <w:rPr>
          <w:rFonts w:hint="eastAsia" w:ascii="宋体" w:hAnsi="宋体" w:cs="宋体"/>
          <w:sz w:val="24"/>
          <w:szCs w:val="24"/>
        </w:rPr>
        <w:t>本项目磋商文件</w:t>
      </w:r>
    </w:p>
    <w:p w14:paraId="2333AA24">
      <w:pPr>
        <w:spacing w:line="460" w:lineRule="exact"/>
        <w:outlineLvl w:val="0"/>
        <w:rPr>
          <w:rFonts w:ascii="宋体" w:cs="Times New Roman"/>
          <w:b/>
          <w:bCs/>
          <w:sz w:val="24"/>
          <w:szCs w:val="24"/>
        </w:rPr>
      </w:pPr>
      <w:bookmarkStart w:id="70" w:name="_Toc69913501"/>
      <w:r>
        <w:rPr>
          <w:rFonts w:ascii="宋体" w:hAnsi="宋体" w:cs="宋体"/>
          <w:b/>
          <w:bCs/>
          <w:sz w:val="24"/>
          <w:szCs w:val="24"/>
        </w:rPr>
        <w:t>2.</w:t>
      </w:r>
      <w:r>
        <w:rPr>
          <w:rFonts w:hint="eastAsia" w:ascii="宋体" w:hAnsi="宋体" w:cs="宋体"/>
          <w:b/>
          <w:bCs/>
          <w:sz w:val="24"/>
          <w:szCs w:val="24"/>
        </w:rPr>
        <w:t>磋商原则</w:t>
      </w:r>
      <w:bookmarkEnd w:id="70"/>
    </w:p>
    <w:p w14:paraId="23D59D68">
      <w:pPr>
        <w:spacing w:line="460" w:lineRule="exact"/>
        <w:ind w:firstLine="480" w:firstLineChars="200"/>
        <w:rPr>
          <w:rFonts w:ascii="宋体" w:cs="Times New Roman"/>
          <w:sz w:val="24"/>
          <w:szCs w:val="24"/>
        </w:rPr>
      </w:pPr>
      <w:r>
        <w:rPr>
          <w:rFonts w:ascii="宋体" w:hAnsi="宋体" w:cs="宋体"/>
          <w:sz w:val="24"/>
          <w:szCs w:val="24"/>
        </w:rPr>
        <w:t xml:space="preserve">2.1  </w:t>
      </w:r>
      <w:r>
        <w:rPr>
          <w:rFonts w:hint="eastAsia" w:ascii="宋体" w:hAnsi="宋体" w:cs="宋体"/>
          <w:sz w:val="24"/>
          <w:szCs w:val="24"/>
        </w:rPr>
        <w:t>磋商小组遵循公开、公平、公正、科学合理、竞争择优的原则；</w:t>
      </w:r>
    </w:p>
    <w:p w14:paraId="2FB24745">
      <w:pPr>
        <w:spacing w:line="460" w:lineRule="exact"/>
        <w:ind w:firstLine="480" w:firstLineChars="200"/>
        <w:rPr>
          <w:rFonts w:ascii="宋体" w:cs="Times New Roman"/>
          <w:sz w:val="24"/>
          <w:szCs w:val="24"/>
        </w:rPr>
      </w:pPr>
      <w:r>
        <w:rPr>
          <w:rFonts w:ascii="宋体" w:hAnsi="宋体" w:cs="宋体"/>
          <w:sz w:val="24"/>
          <w:szCs w:val="24"/>
        </w:rPr>
        <w:t xml:space="preserve">2.2  </w:t>
      </w:r>
      <w:r>
        <w:rPr>
          <w:rFonts w:hint="eastAsia" w:ascii="宋体" w:hAnsi="宋体" w:cs="宋体"/>
          <w:sz w:val="24"/>
          <w:szCs w:val="24"/>
        </w:rPr>
        <w:t>磋商由磋商小组负责，磋商小组由有关技术、经济等方面的专家</w:t>
      </w:r>
      <w:r>
        <w:rPr>
          <w:rFonts w:ascii="宋体" w:hAnsi="宋体" w:cs="宋体"/>
          <w:sz w:val="24"/>
          <w:szCs w:val="24"/>
        </w:rPr>
        <w:t>2</w:t>
      </w:r>
      <w:r>
        <w:rPr>
          <w:rFonts w:hint="eastAsia" w:ascii="宋体" w:hAnsi="宋体" w:cs="宋体"/>
          <w:sz w:val="24"/>
          <w:szCs w:val="24"/>
        </w:rPr>
        <w:t>人和采购人</w:t>
      </w:r>
      <w:r>
        <w:rPr>
          <w:rFonts w:ascii="宋体" w:hAnsi="宋体" w:cs="宋体"/>
          <w:sz w:val="24"/>
          <w:szCs w:val="24"/>
        </w:rPr>
        <w:t>1</w:t>
      </w:r>
      <w:r>
        <w:rPr>
          <w:rFonts w:hint="eastAsia" w:ascii="宋体" w:hAnsi="宋体" w:cs="宋体"/>
          <w:sz w:val="24"/>
          <w:szCs w:val="24"/>
        </w:rPr>
        <w:t>人组成。磋商小组由磋商采购单位依据有关规定组建，其中技术、经济专家于磋商前在监管人员的监督下从专家库中随机抽取。有关人员对磋商小组成员名单必须严格保密，与磋商有利害关系的人员不得参加磋商会；</w:t>
      </w:r>
    </w:p>
    <w:p w14:paraId="75DDF937">
      <w:pPr>
        <w:spacing w:line="460" w:lineRule="exact"/>
        <w:ind w:firstLine="480" w:firstLineChars="200"/>
        <w:rPr>
          <w:rFonts w:ascii="宋体" w:cs="Times New Roman"/>
          <w:sz w:val="24"/>
          <w:szCs w:val="24"/>
        </w:rPr>
      </w:pPr>
      <w:r>
        <w:rPr>
          <w:rFonts w:ascii="宋体" w:hAnsi="宋体" w:cs="宋体"/>
          <w:sz w:val="24"/>
          <w:szCs w:val="24"/>
        </w:rPr>
        <w:t xml:space="preserve">2.3  </w:t>
      </w:r>
      <w:r>
        <w:rPr>
          <w:rFonts w:hint="eastAsia" w:ascii="宋体" w:hAnsi="宋体" w:cs="宋体"/>
          <w:sz w:val="24"/>
          <w:szCs w:val="24"/>
        </w:rPr>
        <w:t>磋商小组成员及参加磋商的其他相关人员应严格遵守国家有关保密的法律、法规和规定，并接受有关部门的监督；</w:t>
      </w:r>
    </w:p>
    <w:p w14:paraId="5114CA35">
      <w:pPr>
        <w:spacing w:line="460" w:lineRule="exact"/>
        <w:ind w:firstLine="480" w:firstLineChars="200"/>
        <w:rPr>
          <w:rFonts w:ascii="宋体" w:cs="Times New Roman"/>
          <w:sz w:val="24"/>
          <w:szCs w:val="24"/>
        </w:rPr>
      </w:pPr>
      <w:r>
        <w:rPr>
          <w:rFonts w:ascii="宋体" w:hAnsi="宋体" w:cs="宋体"/>
          <w:sz w:val="24"/>
          <w:szCs w:val="24"/>
        </w:rPr>
        <w:t xml:space="preserve">2.4  </w:t>
      </w:r>
      <w:r>
        <w:rPr>
          <w:rFonts w:hint="eastAsia" w:ascii="宋体" w:hAnsi="宋体" w:cs="宋体"/>
          <w:sz w:val="24"/>
          <w:szCs w:val="24"/>
        </w:rPr>
        <w:t>磋商小组应按磋商文件规定的程序进行磋商；</w:t>
      </w:r>
    </w:p>
    <w:p w14:paraId="304AC7C3">
      <w:pPr>
        <w:spacing w:line="460" w:lineRule="exact"/>
        <w:ind w:firstLine="480" w:firstLineChars="200"/>
        <w:rPr>
          <w:rFonts w:ascii="宋体" w:cs="Times New Roman"/>
          <w:sz w:val="24"/>
          <w:szCs w:val="24"/>
        </w:rPr>
      </w:pPr>
      <w:r>
        <w:rPr>
          <w:rFonts w:ascii="宋体" w:hAnsi="宋体" w:cs="宋体"/>
          <w:sz w:val="24"/>
          <w:szCs w:val="24"/>
        </w:rPr>
        <w:t xml:space="preserve">2.5  </w:t>
      </w:r>
      <w:r>
        <w:rPr>
          <w:rFonts w:hint="eastAsia" w:ascii="宋体" w:hAnsi="宋体" w:cs="宋体"/>
          <w:sz w:val="24"/>
          <w:szCs w:val="24"/>
        </w:rPr>
        <w:t>通讯工具管理：在磋商期间，磋商小组每个成员的手机都必须关机。</w:t>
      </w:r>
    </w:p>
    <w:p w14:paraId="33116A76">
      <w:pPr>
        <w:spacing w:line="460" w:lineRule="exact"/>
        <w:ind w:firstLine="480" w:firstLineChars="200"/>
        <w:rPr>
          <w:rFonts w:ascii="宋体" w:cs="Times New Roman"/>
          <w:sz w:val="24"/>
          <w:szCs w:val="24"/>
        </w:rPr>
      </w:pPr>
      <w:r>
        <w:rPr>
          <w:rFonts w:ascii="宋体" w:hAnsi="宋体" w:cs="宋体"/>
          <w:sz w:val="24"/>
          <w:szCs w:val="24"/>
        </w:rPr>
        <w:t xml:space="preserve">2.6  </w:t>
      </w:r>
      <w:r>
        <w:rPr>
          <w:rFonts w:hint="eastAsia" w:ascii="宋体" w:hAnsi="宋体" w:cs="宋体"/>
          <w:sz w:val="24"/>
          <w:szCs w:val="24"/>
        </w:rPr>
        <w:t>在磋商期间，磋商小组各成员不得随意离开规定的磋商地点，所有资料由采购代理机构工作人员专门保管和发放。磋商小组成员完成评标时应如数、及时归还，任何与本项目有关的资料不得带离磋商现场。</w:t>
      </w:r>
    </w:p>
    <w:p w14:paraId="3004E993">
      <w:pPr>
        <w:spacing w:line="460" w:lineRule="exact"/>
        <w:rPr>
          <w:rFonts w:ascii="宋体" w:cs="Times New Roman"/>
          <w:b/>
          <w:bCs/>
          <w:sz w:val="24"/>
          <w:szCs w:val="24"/>
        </w:rPr>
      </w:pPr>
      <w:r>
        <w:rPr>
          <w:rFonts w:ascii="宋体" w:hAnsi="宋体" w:cs="宋体"/>
          <w:b/>
          <w:bCs/>
          <w:sz w:val="24"/>
          <w:szCs w:val="24"/>
        </w:rPr>
        <w:t xml:space="preserve">3. </w:t>
      </w:r>
      <w:r>
        <w:rPr>
          <w:rFonts w:hint="eastAsia" w:ascii="宋体" w:hAnsi="宋体" w:cs="宋体"/>
          <w:b/>
          <w:bCs/>
          <w:sz w:val="24"/>
          <w:szCs w:val="24"/>
        </w:rPr>
        <w:t>评标方法：综合评分法</w:t>
      </w:r>
    </w:p>
    <w:p w14:paraId="042F84BB">
      <w:pPr>
        <w:spacing w:line="440" w:lineRule="exact"/>
        <w:ind w:firstLine="480" w:firstLineChars="200"/>
        <w:rPr>
          <w:rFonts w:ascii="宋体" w:cs="Times New Roman"/>
          <w:sz w:val="24"/>
          <w:szCs w:val="24"/>
        </w:rPr>
      </w:pPr>
      <w:r>
        <w:rPr>
          <w:rFonts w:hint="eastAsia" w:ascii="宋体" w:hAnsi="宋体" w:cs="宋体"/>
          <w:sz w:val="24"/>
          <w:szCs w:val="24"/>
        </w:rPr>
        <w:t>本次磋商采用综合评分法，总分为</w:t>
      </w:r>
      <w:r>
        <w:rPr>
          <w:rFonts w:ascii="宋体" w:hAnsi="宋体" w:cs="宋体"/>
          <w:sz w:val="24"/>
          <w:szCs w:val="24"/>
        </w:rPr>
        <w:t>10</w:t>
      </w:r>
      <w:r>
        <w:rPr>
          <w:rFonts w:ascii="宋体" w:hAnsi="宋体" w:cs="宋体"/>
          <w:color w:val="auto"/>
          <w:sz w:val="24"/>
          <w:szCs w:val="24"/>
        </w:rPr>
        <w:t>0</w:t>
      </w:r>
      <w:r>
        <w:rPr>
          <w:rFonts w:hint="eastAsia" w:ascii="宋体" w:hAnsi="宋体" w:cs="宋体"/>
          <w:color w:val="auto"/>
          <w:sz w:val="24"/>
          <w:szCs w:val="24"/>
        </w:rPr>
        <w:t>分，其中价格分10分、技术、商务、资信及</w:t>
      </w:r>
      <w:r>
        <w:rPr>
          <w:rFonts w:hint="eastAsia" w:ascii="宋体" w:hAnsi="宋体" w:cs="宋体"/>
          <w:sz w:val="24"/>
          <w:szCs w:val="24"/>
        </w:rPr>
        <w:t>其他分90分。合格供应商的评标得分为各项目汇总得分（在对各评委分值汇总时，以算术平均值为各供应商得分），成交候选资格按评标得分由高到低顺序排列，得分相同的，按磋商报价由低到高顺序排列；得分且磋商报价相同的，按技术得分由高到低顺序排列。以最终得分最高的供应商为第一成交候选供应商。评分过程中采用四舍五入法，并保留小数</w:t>
      </w:r>
      <w:r>
        <w:rPr>
          <w:rFonts w:ascii="宋体" w:hAnsi="宋体" w:cs="宋体"/>
          <w:sz w:val="24"/>
          <w:szCs w:val="24"/>
        </w:rPr>
        <w:t>2</w:t>
      </w:r>
      <w:r>
        <w:rPr>
          <w:rFonts w:hint="eastAsia" w:ascii="宋体" w:hAnsi="宋体" w:cs="宋体"/>
          <w:sz w:val="24"/>
          <w:szCs w:val="24"/>
        </w:rPr>
        <w:t>位。</w:t>
      </w:r>
    </w:p>
    <w:p w14:paraId="7E386220">
      <w:pPr>
        <w:tabs>
          <w:tab w:val="left" w:pos="3870"/>
          <w:tab w:val="left" w:pos="4085"/>
        </w:tabs>
        <w:snapToGrid w:val="0"/>
        <w:spacing w:line="560" w:lineRule="exact"/>
        <w:jc w:val="left"/>
        <w:rPr>
          <w:rFonts w:ascii="宋体" w:cs="Times New Roman"/>
          <w:b/>
          <w:bCs/>
          <w:sz w:val="24"/>
          <w:szCs w:val="24"/>
        </w:rPr>
      </w:pPr>
      <w:r>
        <w:rPr>
          <w:rFonts w:ascii="宋体" w:hAnsi="宋体" w:cs="宋体"/>
          <w:b/>
          <w:bCs/>
          <w:sz w:val="24"/>
          <w:szCs w:val="24"/>
        </w:rPr>
        <w:t>4</w:t>
      </w:r>
      <w:r>
        <w:rPr>
          <w:rFonts w:hint="eastAsia" w:ascii="宋体" w:hAnsi="宋体" w:cs="宋体"/>
          <w:b/>
          <w:bCs/>
          <w:sz w:val="24"/>
          <w:szCs w:val="24"/>
        </w:rPr>
        <w:t>、计算方法：</w:t>
      </w:r>
    </w:p>
    <w:p w14:paraId="367BBE72">
      <w:pPr>
        <w:spacing w:line="560" w:lineRule="exact"/>
        <w:ind w:firstLine="482" w:firstLineChars="200"/>
        <w:jc w:val="left"/>
        <w:rPr>
          <w:rFonts w:ascii="宋体" w:hAnsi="宋体" w:cs="宋体"/>
          <w:b/>
          <w:bCs/>
          <w:sz w:val="24"/>
          <w:szCs w:val="24"/>
        </w:rPr>
      </w:pPr>
      <w:r>
        <w:rPr>
          <w:rFonts w:ascii="宋体" w:hAnsi="宋体" w:cs="宋体"/>
          <w:b/>
          <w:bCs/>
          <w:sz w:val="24"/>
          <w:szCs w:val="24"/>
        </w:rPr>
        <w:t>4.1</w:t>
      </w:r>
      <w:r>
        <w:rPr>
          <w:rFonts w:hint="eastAsia" w:ascii="宋体" w:hAnsi="宋体" w:cs="宋体"/>
          <w:b/>
          <w:bCs/>
          <w:sz w:val="24"/>
          <w:szCs w:val="24"/>
        </w:rPr>
        <w:t>价格部分：1</w:t>
      </w:r>
      <w:r>
        <w:rPr>
          <w:rFonts w:hint="eastAsia" w:ascii="宋体" w:hAnsi="宋体" w:cs="宋体"/>
          <w:b/>
          <w:bCs/>
          <w:sz w:val="24"/>
          <w:szCs w:val="24"/>
          <w:lang w:val="en-US" w:eastAsia="zh-CN"/>
        </w:rPr>
        <w:t>0</w:t>
      </w:r>
      <w:r>
        <w:rPr>
          <w:rFonts w:hint="eastAsia" w:ascii="宋体" w:hAnsi="宋体" w:cs="宋体"/>
          <w:b/>
          <w:bCs/>
          <w:sz w:val="24"/>
          <w:szCs w:val="24"/>
        </w:rPr>
        <w:t>分</w:t>
      </w:r>
    </w:p>
    <w:p w14:paraId="16916751">
      <w:pPr>
        <w:spacing w:line="360" w:lineRule="auto"/>
        <w:ind w:firstLine="480" w:firstLineChars="200"/>
        <w:jc w:val="left"/>
        <w:rPr>
          <w:rFonts w:ascii="宋体" w:cs="Times New Roman"/>
          <w:sz w:val="24"/>
          <w:szCs w:val="24"/>
        </w:rPr>
      </w:pPr>
      <w:r>
        <w:rPr>
          <w:rFonts w:hint="eastAsia" w:ascii="宋体" w:hAnsi="宋体" w:cs="宋体"/>
          <w:sz w:val="24"/>
          <w:szCs w:val="24"/>
        </w:rPr>
        <w:t>以有效磋商价格最低的磋商报价为基准价，其价格分为满分。其他供应商的报价分按照下列公式计算：</w:t>
      </w:r>
    </w:p>
    <w:p w14:paraId="658E536D">
      <w:pPr>
        <w:spacing w:line="360" w:lineRule="auto"/>
        <w:ind w:firstLine="480" w:firstLineChars="200"/>
        <w:jc w:val="left"/>
        <w:rPr>
          <w:rFonts w:ascii="宋体" w:hAnsi="宋体" w:cs="宋体"/>
          <w:sz w:val="24"/>
          <w:szCs w:val="24"/>
        </w:rPr>
      </w:pPr>
      <w:r>
        <w:rPr>
          <w:rFonts w:hint="eastAsia" w:ascii="宋体" w:hAnsi="宋体" w:cs="宋体"/>
          <w:sz w:val="24"/>
          <w:szCs w:val="24"/>
        </w:rPr>
        <w:t>磋商报价得分</w:t>
      </w:r>
      <w:r>
        <w:rPr>
          <w:rFonts w:ascii="宋体" w:hAnsi="宋体" w:cs="宋体"/>
          <w:sz w:val="24"/>
          <w:szCs w:val="24"/>
        </w:rPr>
        <w:t>=</w:t>
      </w:r>
      <w:r>
        <w:rPr>
          <w:rFonts w:hint="eastAsia" w:ascii="宋体" w:hAnsi="宋体" w:cs="宋体"/>
          <w:sz w:val="24"/>
          <w:szCs w:val="24"/>
        </w:rPr>
        <w:t>（基准价</w:t>
      </w:r>
      <w:r>
        <w:rPr>
          <w:rFonts w:ascii="宋体" w:hAnsi="宋体" w:cs="宋体"/>
          <w:sz w:val="24"/>
          <w:szCs w:val="24"/>
        </w:rPr>
        <w:t>/</w:t>
      </w:r>
      <w:r>
        <w:rPr>
          <w:rFonts w:hint="eastAsia" w:ascii="宋体" w:hAnsi="宋体" w:cs="宋体"/>
          <w:sz w:val="24"/>
          <w:szCs w:val="24"/>
        </w:rPr>
        <w:t>磋商报价）×10</w:t>
      </w:r>
      <w:r>
        <w:rPr>
          <w:rFonts w:ascii="宋体" w:hAnsi="宋体" w:cs="宋体"/>
          <w:sz w:val="24"/>
          <w:szCs w:val="24"/>
        </w:rPr>
        <w:t>%</w:t>
      </w:r>
      <w:r>
        <w:rPr>
          <w:rFonts w:hint="eastAsia" w:ascii="宋体" w:hAnsi="宋体" w:cs="宋体"/>
          <w:sz w:val="24"/>
          <w:szCs w:val="24"/>
        </w:rPr>
        <w:t>×</w:t>
      </w:r>
      <w:r>
        <w:rPr>
          <w:rFonts w:ascii="宋体" w:hAnsi="宋体" w:cs="宋体"/>
          <w:sz w:val="24"/>
          <w:szCs w:val="24"/>
        </w:rPr>
        <w:t>100</w:t>
      </w:r>
    </w:p>
    <w:p w14:paraId="6C4ED5A1">
      <w:pPr>
        <w:spacing w:line="360" w:lineRule="auto"/>
        <w:ind w:firstLine="457" w:firstLineChars="196"/>
        <w:jc w:val="left"/>
        <w:rPr>
          <w:rFonts w:ascii="宋体" w:hAnsi="宋体"/>
          <w:b/>
          <w:bCs/>
          <w:spacing w:val="-4"/>
          <w:sz w:val="24"/>
        </w:rPr>
      </w:pPr>
      <w:r>
        <w:rPr>
          <w:rFonts w:hint="eastAsia" w:ascii="宋体" w:hAnsi="宋体"/>
          <w:b/>
          <w:bCs/>
          <w:spacing w:val="-4"/>
          <w:sz w:val="24"/>
        </w:rPr>
        <w:t>1.符合财政部、工业和信息化部制定的《政府采购促进中小企业发展管理办法》（财库【2020】46号）第二条、第四条规定的供应商，根据《浙江省财政厅关于进一步发挥政府采购政策功能全力推动经济稳进提质的通知》</w:t>
      </w:r>
      <w:r>
        <w:rPr>
          <w:rFonts w:hint="eastAsia" w:ascii="宋体" w:hAnsi="宋体"/>
          <w:b/>
          <w:bCs/>
          <w:color w:val="000000" w:themeColor="text1"/>
          <w:spacing w:val="-4"/>
          <w:sz w:val="24"/>
          <w14:textFill>
            <w14:solidFill>
              <w14:schemeClr w14:val="tx1"/>
            </w14:solidFill>
          </w14:textFill>
        </w:rPr>
        <w:t>（浙财采监</w:t>
      </w:r>
      <w:r>
        <w:rPr>
          <w:rFonts w:hint="eastAsia" w:ascii="宋体" w:hAnsi="宋体"/>
          <w:b/>
          <w:bCs/>
          <w:spacing w:val="-4"/>
          <w:sz w:val="24"/>
        </w:rPr>
        <w:t>[</w:t>
      </w:r>
      <w:r>
        <w:rPr>
          <w:rFonts w:hint="eastAsia" w:ascii="宋体" w:hAnsi="宋体"/>
          <w:b/>
          <w:bCs/>
          <w:color w:val="000000" w:themeColor="text1"/>
          <w:spacing w:val="-4"/>
          <w:sz w:val="24"/>
          <w14:textFill>
            <w14:solidFill>
              <w14:schemeClr w14:val="tx1"/>
            </w14:solidFill>
          </w14:textFill>
        </w:rPr>
        <w:t>2022]3号）</w:t>
      </w:r>
      <w:r>
        <w:rPr>
          <w:rFonts w:hint="eastAsia" w:ascii="宋体" w:hAnsi="宋体"/>
          <w:b/>
          <w:bCs/>
          <w:spacing w:val="-4"/>
          <w:sz w:val="24"/>
        </w:rPr>
        <w:t>和《浙江省财政厅关于进一步加大政府采购 支持中小企业力度 助力扎实稳住经济 的通知》（浙财采监[2022]8号），对小微企业报价给予20%的扣除，用扣除后的价格参加评审。符合《浙江省财政厅关于进一步发挥政府采购政策功能全力推动经济稳进提质的通知》（浙财采监[2022]3号）第四条规定的供应商，对于联合协议或者分包意向协议约定小微企业的合同份额占到合同总金额30%以上的，对联合体或者大中型企业的报价按6%给予扣除，用扣除后的价格参加评审（提供联合体各方共同磋商协议或分包意向协议）。</w:t>
      </w:r>
    </w:p>
    <w:p w14:paraId="382D781E">
      <w:pPr>
        <w:spacing w:line="360" w:lineRule="auto"/>
        <w:ind w:firstLine="464" w:firstLineChars="200"/>
        <w:rPr>
          <w:rFonts w:ascii="宋体" w:hAnsi="宋体"/>
          <w:bCs/>
          <w:spacing w:val="-4"/>
          <w:sz w:val="24"/>
          <w:szCs w:val="24"/>
        </w:rPr>
      </w:pPr>
      <w:r>
        <w:rPr>
          <w:rFonts w:hint="eastAsia" w:ascii="宋体" w:hAnsi="宋体"/>
          <w:bCs/>
          <w:spacing w:val="-4"/>
          <w:sz w:val="24"/>
          <w:szCs w:val="24"/>
        </w:rPr>
        <w:t>2、本项目划分的行业为其他未列明行业。供应商应自行根据《关于印发中小企业划型标准规定的通知》（工信部联企业〔2011〕300 号），确定：服务采购项目的</w:t>
      </w:r>
      <w:r>
        <w:rPr>
          <w:rFonts w:ascii="宋体" w:hAnsi="宋体"/>
          <w:bCs/>
          <w:spacing w:val="-4"/>
          <w:sz w:val="24"/>
          <w:szCs w:val="24"/>
        </w:rPr>
        <w:t>服务</w:t>
      </w:r>
      <w:r>
        <w:rPr>
          <w:rFonts w:hint="eastAsia" w:ascii="宋体" w:hAnsi="宋体"/>
          <w:bCs/>
          <w:spacing w:val="-4"/>
          <w:sz w:val="24"/>
          <w:szCs w:val="24"/>
        </w:rPr>
        <w:t>是否</w:t>
      </w:r>
      <w:r>
        <w:rPr>
          <w:rFonts w:ascii="宋体" w:hAnsi="宋体"/>
          <w:bCs/>
          <w:spacing w:val="-4"/>
          <w:sz w:val="24"/>
          <w:szCs w:val="24"/>
        </w:rPr>
        <w:t>全部由符合政策要求的中小企业承接。</w:t>
      </w:r>
      <w:r>
        <w:rPr>
          <w:rFonts w:hint="eastAsia" w:ascii="宋体" w:hAnsi="宋体"/>
          <w:bCs/>
          <w:spacing w:val="-4"/>
          <w:sz w:val="24"/>
          <w:szCs w:val="24"/>
        </w:rPr>
        <w:t>供应商根据实际情况填写《中小企业声明函》（格式见附件），作为供应商是否享受本项目价格扣除政策的依据。（</w:t>
      </w:r>
      <w:r>
        <w:rPr>
          <w:rFonts w:hint="eastAsia" w:ascii="宋体" w:hAnsi="宋体"/>
          <w:b/>
          <w:snapToGrid w:val="0"/>
          <w:sz w:val="24"/>
        </w:rPr>
        <w:t>提供的《中小企业声明函》未采用本采购文件的格式或提供的《中小企业声明函》未填写完整的或未如实填写《中小企业声明函》的不予扣除</w:t>
      </w:r>
      <w:r>
        <w:rPr>
          <w:rFonts w:hint="eastAsia" w:ascii="宋体" w:hAnsi="宋体"/>
          <w:bCs/>
          <w:spacing w:val="-4"/>
          <w:sz w:val="24"/>
          <w:szCs w:val="24"/>
        </w:rPr>
        <w:t>）</w:t>
      </w:r>
    </w:p>
    <w:p w14:paraId="6F04D473">
      <w:pPr>
        <w:spacing w:line="360" w:lineRule="auto"/>
        <w:ind w:firstLine="464" w:firstLineChars="200"/>
        <w:rPr>
          <w:rFonts w:ascii="宋体" w:hAnsi="宋体"/>
          <w:bCs/>
          <w:spacing w:val="-4"/>
          <w:sz w:val="24"/>
          <w:szCs w:val="24"/>
        </w:rPr>
      </w:pPr>
      <w:r>
        <w:rPr>
          <w:rFonts w:ascii="宋体" w:hAnsi="宋体"/>
          <w:bCs/>
          <w:spacing w:val="-4"/>
          <w:sz w:val="24"/>
          <w:szCs w:val="24"/>
        </w:rPr>
        <w:t>3</w:t>
      </w:r>
      <w:r>
        <w:rPr>
          <w:rFonts w:hint="eastAsia" w:ascii="宋体" w:hAnsi="宋体"/>
          <w:bCs/>
          <w:spacing w:val="-4"/>
          <w:sz w:val="24"/>
          <w:szCs w:val="24"/>
        </w:rPr>
        <w:t>、根据《政府采购促进中小企业发展管理办法》（财库【2020】46号）第二十条规定，供应商</w:t>
      </w:r>
      <w:r>
        <w:rPr>
          <w:rFonts w:ascii="宋体" w:hAnsi="宋体"/>
          <w:bCs/>
          <w:spacing w:val="-4"/>
          <w:sz w:val="24"/>
          <w:szCs w:val="24"/>
        </w:rPr>
        <w:t>按照</w:t>
      </w:r>
      <w:r>
        <w:rPr>
          <w:rFonts w:hint="eastAsia" w:ascii="宋体" w:hAnsi="宋体"/>
          <w:bCs/>
          <w:spacing w:val="-4"/>
          <w:sz w:val="24"/>
          <w:szCs w:val="24"/>
        </w:rPr>
        <w:t>该</w:t>
      </w:r>
      <w:r>
        <w:rPr>
          <w:rFonts w:ascii="宋体" w:hAnsi="宋体"/>
          <w:bCs/>
          <w:spacing w:val="-4"/>
          <w:sz w:val="24"/>
          <w:szCs w:val="24"/>
        </w:rPr>
        <w:t>办法规定提供声明函内容不实的，属于提供虚假材料谋取中标、成交，依照《中华人民共和国政府采购法》等国家有关规定追究相应责任。适用招标投标法的政府采购工程建设项目，供应商按照</w:t>
      </w:r>
      <w:r>
        <w:rPr>
          <w:rFonts w:hint="eastAsia" w:ascii="宋体" w:hAnsi="宋体"/>
          <w:bCs/>
          <w:spacing w:val="-4"/>
          <w:sz w:val="24"/>
          <w:szCs w:val="24"/>
        </w:rPr>
        <w:t>该</w:t>
      </w:r>
      <w:r>
        <w:rPr>
          <w:rFonts w:ascii="宋体" w:hAnsi="宋体"/>
          <w:bCs/>
          <w:spacing w:val="-4"/>
          <w:sz w:val="24"/>
          <w:szCs w:val="24"/>
        </w:rPr>
        <w:t>办法规定提供声明函内容不实的，属于弄虚作假骗取中标、成交，依照《中华人民共和国招标投标法》等国家有关规定追究相应责任。</w:t>
      </w:r>
    </w:p>
    <w:p w14:paraId="1D4CB93A">
      <w:pPr>
        <w:spacing w:line="360" w:lineRule="auto"/>
        <w:ind w:firstLine="464" w:firstLineChars="200"/>
        <w:rPr>
          <w:rFonts w:ascii="宋体" w:hAnsi="宋体"/>
          <w:bCs/>
          <w:spacing w:val="-4"/>
          <w:sz w:val="24"/>
          <w:szCs w:val="24"/>
        </w:rPr>
      </w:pPr>
      <w:r>
        <w:rPr>
          <w:rFonts w:hint="eastAsia" w:ascii="宋体" w:hAnsi="宋体"/>
          <w:bCs/>
          <w:spacing w:val="-4"/>
          <w:sz w:val="24"/>
          <w:szCs w:val="24"/>
        </w:rPr>
        <w:t>4.监狱企业参加政府采购提供《监狱企业声明函》</w:t>
      </w:r>
      <w:r>
        <w:rPr>
          <w:rFonts w:ascii="宋体" w:hAnsi="宋体"/>
          <w:bCs/>
          <w:spacing w:val="-4"/>
          <w:sz w:val="24"/>
          <w:szCs w:val="24"/>
        </w:rPr>
        <w:t>（</w:t>
      </w:r>
      <w:r>
        <w:rPr>
          <w:rFonts w:hint="eastAsia" w:ascii="宋体" w:hAnsi="宋体"/>
          <w:bCs/>
          <w:spacing w:val="-4"/>
          <w:sz w:val="24"/>
          <w:szCs w:val="24"/>
        </w:rPr>
        <w:t>格式自拟</w:t>
      </w:r>
      <w:r>
        <w:rPr>
          <w:rFonts w:ascii="宋体" w:hAnsi="宋体"/>
          <w:bCs/>
          <w:spacing w:val="-4"/>
          <w:sz w:val="24"/>
          <w:szCs w:val="24"/>
        </w:rPr>
        <w:t>）</w:t>
      </w:r>
      <w:r>
        <w:rPr>
          <w:rFonts w:hint="eastAsia" w:ascii="宋体" w:hAnsi="宋体"/>
          <w:bCs/>
          <w:spacing w:val="-4"/>
          <w:sz w:val="24"/>
          <w:szCs w:val="24"/>
        </w:rPr>
        <w:t>及其相关的充分的证明材料的，视为小型、微型企业，享受小微企业政策扶持；监狱企业属于小型、微型企业的，不重复享受政策。</w:t>
      </w:r>
    </w:p>
    <w:p w14:paraId="1802F4E5">
      <w:pPr>
        <w:spacing w:line="360" w:lineRule="auto"/>
        <w:ind w:firstLine="464" w:firstLineChars="200"/>
        <w:rPr>
          <w:rFonts w:ascii="宋体" w:hAnsi="宋体"/>
          <w:bCs/>
          <w:spacing w:val="-4"/>
          <w:sz w:val="24"/>
          <w:szCs w:val="24"/>
        </w:rPr>
      </w:pPr>
      <w:r>
        <w:rPr>
          <w:rFonts w:hint="eastAsia" w:ascii="宋体" w:hAnsi="宋体"/>
          <w:bCs/>
          <w:spacing w:val="-4"/>
          <w:sz w:val="24"/>
          <w:szCs w:val="24"/>
        </w:rPr>
        <w:t>5.残疾人福利性单位参加政府采购提供《残疾人福利性单位声明函》</w:t>
      </w:r>
      <w:r>
        <w:rPr>
          <w:rFonts w:ascii="宋体" w:hAnsi="宋体"/>
          <w:bCs/>
          <w:spacing w:val="-4"/>
          <w:sz w:val="24"/>
          <w:szCs w:val="24"/>
        </w:rPr>
        <w:t>（</w:t>
      </w:r>
      <w:r>
        <w:rPr>
          <w:rFonts w:hint="eastAsia" w:ascii="宋体" w:hAnsi="宋体"/>
          <w:bCs/>
          <w:spacing w:val="-4"/>
          <w:sz w:val="24"/>
          <w:szCs w:val="24"/>
        </w:rPr>
        <w:t>格式自拟</w:t>
      </w:r>
      <w:r>
        <w:rPr>
          <w:rFonts w:ascii="宋体" w:hAnsi="宋体"/>
          <w:bCs/>
          <w:spacing w:val="-4"/>
          <w:sz w:val="24"/>
          <w:szCs w:val="24"/>
        </w:rPr>
        <w:t>）</w:t>
      </w:r>
      <w:r>
        <w:rPr>
          <w:rFonts w:hint="eastAsia" w:ascii="宋体" w:hAnsi="宋体"/>
          <w:bCs/>
          <w:spacing w:val="-4"/>
          <w:sz w:val="24"/>
          <w:szCs w:val="24"/>
        </w:rPr>
        <w:t>，视为小型、微型企业，享受小微企业政策扶持；残疾人福利性单位属于小型、微型企业的，不重复享受政策。</w:t>
      </w:r>
    </w:p>
    <w:p w14:paraId="62CC4CE1">
      <w:pPr>
        <w:spacing w:line="360" w:lineRule="auto"/>
        <w:ind w:firstLine="466" w:firstLineChars="200"/>
        <w:rPr>
          <w:rFonts w:ascii="宋体" w:hAnsi="宋体"/>
          <w:sz w:val="24"/>
        </w:rPr>
      </w:pPr>
      <w:r>
        <w:rPr>
          <w:rFonts w:hint="eastAsia" w:ascii="宋体" w:hAnsi="宋体"/>
          <w:b/>
          <w:bCs/>
          <w:spacing w:val="-4"/>
          <w:sz w:val="24"/>
        </w:rPr>
        <w:t>上述计算扣除不累计计算，最高扣除20%</w:t>
      </w:r>
      <w:r>
        <w:rPr>
          <w:rFonts w:hint="eastAsia" w:ascii="宋体" w:hAnsi="宋体"/>
          <w:bCs/>
          <w:sz w:val="24"/>
        </w:rPr>
        <w:t>；未提供以上相关材料的，均不给予价格计算扣除。</w:t>
      </w:r>
    </w:p>
    <w:p w14:paraId="00C43E41">
      <w:pPr>
        <w:spacing w:line="360" w:lineRule="auto"/>
        <w:ind w:left="9094" w:leftChars="200" w:hanging="8674" w:hangingChars="3600"/>
        <w:jc w:val="left"/>
        <w:rPr>
          <w:rFonts w:ascii="宋体" w:hAnsi="宋体" w:cs="宋体"/>
          <w:b/>
          <w:bCs/>
          <w:sz w:val="24"/>
        </w:rPr>
      </w:pPr>
      <w:r>
        <w:rPr>
          <w:rFonts w:ascii="宋体" w:hAnsi="宋体" w:cs="宋体"/>
          <w:b/>
          <w:bCs/>
          <w:sz w:val="24"/>
          <w:szCs w:val="24"/>
        </w:rPr>
        <w:t>4.2</w:t>
      </w:r>
      <w:r>
        <w:rPr>
          <w:rFonts w:hint="eastAsia" w:ascii="宋体" w:hAnsi="宋体" w:cs="宋体"/>
          <w:b/>
          <w:bCs/>
          <w:sz w:val="24"/>
          <w:szCs w:val="24"/>
        </w:rPr>
        <w:t>技术、商务、资信及其他分90分</w:t>
      </w:r>
    </w:p>
    <w:tbl>
      <w:tblPr>
        <w:tblStyle w:val="63"/>
        <w:tblW w:w="10491"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417"/>
        <w:gridCol w:w="7088"/>
        <w:gridCol w:w="1276"/>
      </w:tblGrid>
      <w:tr w14:paraId="1293A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710" w:type="dxa"/>
            <w:vAlign w:val="center"/>
          </w:tcPr>
          <w:p w14:paraId="0C15AFD8">
            <w:pPr>
              <w:pStyle w:val="27"/>
              <w:spacing w:before="156" w:beforeLines="50" w:after="156" w:afterLines="50" w:line="360" w:lineRule="auto"/>
              <w:ind w:left="0" w:leftChars="0"/>
              <w:rPr>
                <w:rFonts w:hAnsi="宋体"/>
                <w:sz w:val="24"/>
              </w:rPr>
            </w:pPr>
            <w:r>
              <w:rPr>
                <w:rFonts w:hAnsi="宋体"/>
                <w:sz w:val="24"/>
              </w:rPr>
              <w:t>序号</w:t>
            </w:r>
          </w:p>
        </w:tc>
        <w:tc>
          <w:tcPr>
            <w:tcW w:w="8505" w:type="dxa"/>
            <w:gridSpan w:val="2"/>
            <w:vAlign w:val="center"/>
          </w:tcPr>
          <w:p w14:paraId="42AE57A0">
            <w:pPr>
              <w:pStyle w:val="27"/>
              <w:spacing w:before="156" w:beforeLines="50" w:after="156" w:afterLines="50" w:line="360" w:lineRule="auto"/>
              <w:jc w:val="center"/>
              <w:rPr>
                <w:rFonts w:hAnsi="宋体"/>
                <w:sz w:val="24"/>
              </w:rPr>
            </w:pPr>
            <w:r>
              <w:rPr>
                <w:rFonts w:hint="eastAsia" w:hAnsi="宋体"/>
                <w:sz w:val="24"/>
              </w:rPr>
              <w:t>评分内容</w:t>
            </w:r>
          </w:p>
        </w:tc>
        <w:tc>
          <w:tcPr>
            <w:tcW w:w="1276" w:type="dxa"/>
            <w:vAlign w:val="center"/>
          </w:tcPr>
          <w:p w14:paraId="33D5DE02">
            <w:pPr>
              <w:pStyle w:val="27"/>
              <w:spacing w:before="156" w:beforeLines="50" w:after="156" w:afterLines="50" w:line="360" w:lineRule="auto"/>
              <w:ind w:left="0" w:leftChars="0"/>
              <w:rPr>
                <w:rFonts w:hAnsi="宋体"/>
                <w:sz w:val="24"/>
              </w:rPr>
            </w:pPr>
            <w:r>
              <w:rPr>
                <w:rFonts w:hint="eastAsia" w:hAnsi="宋体"/>
                <w:sz w:val="24"/>
              </w:rPr>
              <w:t>分值范围</w:t>
            </w:r>
          </w:p>
        </w:tc>
      </w:tr>
      <w:tr w14:paraId="310F5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9215" w:type="dxa"/>
            <w:gridSpan w:val="3"/>
            <w:vAlign w:val="center"/>
          </w:tcPr>
          <w:p w14:paraId="03087EDA">
            <w:pPr>
              <w:pStyle w:val="27"/>
              <w:spacing w:before="156" w:beforeLines="50" w:after="156" w:afterLines="50" w:line="360" w:lineRule="auto"/>
              <w:ind w:left="126" w:leftChars="60"/>
              <w:jc w:val="center"/>
              <w:rPr>
                <w:rFonts w:hAnsi="宋体"/>
                <w:sz w:val="24"/>
              </w:rPr>
            </w:pPr>
            <w:r>
              <w:rPr>
                <w:rFonts w:hint="eastAsia" w:hAnsi="宋体"/>
                <w:sz w:val="24"/>
              </w:rPr>
              <w:t>技术部分</w:t>
            </w:r>
          </w:p>
        </w:tc>
        <w:tc>
          <w:tcPr>
            <w:tcW w:w="1276" w:type="dxa"/>
            <w:vAlign w:val="center"/>
          </w:tcPr>
          <w:p w14:paraId="6EC3AD06">
            <w:pPr>
              <w:pStyle w:val="27"/>
              <w:spacing w:before="156" w:beforeLines="50" w:after="156" w:afterLines="50" w:line="360" w:lineRule="auto"/>
              <w:ind w:left="0" w:leftChars="0"/>
              <w:jc w:val="center"/>
              <w:rPr>
                <w:rFonts w:hAnsi="宋体"/>
                <w:sz w:val="24"/>
              </w:rPr>
            </w:pPr>
            <w:r>
              <w:rPr>
                <w:rFonts w:hint="eastAsia" w:hAnsi="宋体"/>
                <w:sz w:val="24"/>
                <w:lang w:val="en-US" w:eastAsia="zh-CN"/>
              </w:rPr>
              <w:t>83</w:t>
            </w:r>
            <w:r>
              <w:rPr>
                <w:rFonts w:hint="eastAsia" w:hAnsi="宋体"/>
                <w:sz w:val="24"/>
              </w:rPr>
              <w:t>分</w:t>
            </w:r>
          </w:p>
        </w:tc>
      </w:tr>
      <w:tr w14:paraId="4D3B7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vAlign w:val="center"/>
          </w:tcPr>
          <w:p w14:paraId="3E71455E">
            <w:pPr>
              <w:spacing w:line="360" w:lineRule="auto"/>
              <w:rPr>
                <w:rFonts w:ascii="宋体" w:cs="宋体"/>
                <w:sz w:val="24"/>
              </w:rPr>
            </w:pPr>
            <w:r>
              <w:rPr>
                <w:rFonts w:ascii="宋体" w:cs="宋体"/>
                <w:sz w:val="24"/>
              </w:rPr>
              <w:t>1</w:t>
            </w:r>
          </w:p>
        </w:tc>
        <w:tc>
          <w:tcPr>
            <w:tcW w:w="1417" w:type="dxa"/>
            <w:vAlign w:val="center"/>
          </w:tcPr>
          <w:p w14:paraId="47B297E9">
            <w:pPr>
              <w:widowControl/>
              <w:spacing w:line="360" w:lineRule="auto"/>
              <w:rPr>
                <w:rFonts w:ascii="宋体"/>
                <w:sz w:val="24"/>
              </w:rPr>
            </w:pPr>
            <w:r>
              <w:rPr>
                <w:rFonts w:hint="eastAsia" w:ascii="宋体"/>
                <w:sz w:val="24"/>
              </w:rPr>
              <w:t>对本项目的总体理解</w:t>
            </w:r>
          </w:p>
        </w:tc>
        <w:tc>
          <w:tcPr>
            <w:tcW w:w="7088" w:type="dxa"/>
          </w:tcPr>
          <w:p w14:paraId="14BE79E1">
            <w:pPr>
              <w:widowControl/>
              <w:numPr>
                <w:ilvl w:val="0"/>
                <w:numId w:val="5"/>
              </w:numPr>
              <w:spacing w:line="360" w:lineRule="auto"/>
              <w:jc w:val="left"/>
              <w:rPr>
                <w:rFonts w:ascii="宋体"/>
                <w:sz w:val="24"/>
              </w:rPr>
            </w:pPr>
            <w:r>
              <w:rPr>
                <w:rFonts w:hint="eastAsia" w:ascii="宋体"/>
                <w:sz w:val="24"/>
              </w:rPr>
              <w:t>对本项目的总体要求、项目背景等理解深刻、分析全面透彻，符合采购需求要求，</w:t>
            </w:r>
            <w:r>
              <w:rPr>
                <w:rFonts w:ascii="宋体"/>
                <w:sz w:val="24"/>
              </w:rPr>
              <w:t>不漏项且有针对性解释说明得</w:t>
            </w:r>
            <w:r>
              <w:rPr>
                <w:rFonts w:hint="eastAsia" w:ascii="宋体"/>
                <w:sz w:val="24"/>
                <w:lang w:val="en-US" w:eastAsia="zh-CN"/>
              </w:rPr>
              <w:t>5</w:t>
            </w:r>
            <w:r>
              <w:rPr>
                <w:rFonts w:ascii="宋体"/>
                <w:sz w:val="24"/>
              </w:rPr>
              <w:t>分；提供的方案漏缺1项或2项，有针对性解释说明得</w:t>
            </w:r>
            <w:r>
              <w:rPr>
                <w:rFonts w:hint="eastAsia" w:ascii="宋体"/>
                <w:sz w:val="24"/>
                <w:lang w:val="en-US" w:eastAsia="zh-CN"/>
              </w:rPr>
              <w:t>4</w:t>
            </w:r>
            <w:r>
              <w:rPr>
                <w:rFonts w:ascii="宋体"/>
                <w:sz w:val="24"/>
              </w:rPr>
              <w:t>分；提供的方案基本全面，有针对性解释说明得</w:t>
            </w:r>
            <w:r>
              <w:rPr>
                <w:rFonts w:hint="eastAsia" w:ascii="宋体"/>
                <w:sz w:val="24"/>
                <w:lang w:val="en-US" w:eastAsia="zh-CN"/>
              </w:rPr>
              <w:t>3</w:t>
            </w:r>
            <w:r>
              <w:rPr>
                <w:rFonts w:ascii="宋体"/>
                <w:sz w:val="24"/>
              </w:rPr>
              <w:t>分；提供的方案不全面，有针对性解释说明得</w:t>
            </w:r>
            <w:r>
              <w:rPr>
                <w:rFonts w:hint="eastAsia" w:ascii="宋体"/>
                <w:sz w:val="24"/>
                <w:lang w:val="en-US" w:eastAsia="zh-CN"/>
              </w:rPr>
              <w:t>2</w:t>
            </w:r>
            <w:r>
              <w:rPr>
                <w:rFonts w:ascii="宋体"/>
                <w:sz w:val="24"/>
              </w:rPr>
              <w:t>分；提供的方案不全面，没有解释说明得1分；未提供不得分。</w:t>
            </w:r>
          </w:p>
          <w:p w14:paraId="1929DC81">
            <w:pPr>
              <w:widowControl/>
              <w:numPr>
                <w:ilvl w:val="0"/>
                <w:numId w:val="5"/>
              </w:numPr>
              <w:spacing w:line="360" w:lineRule="auto"/>
              <w:jc w:val="left"/>
              <w:rPr>
                <w:rFonts w:ascii="宋体"/>
                <w:sz w:val="24"/>
              </w:rPr>
            </w:pPr>
            <w:r>
              <w:rPr>
                <w:rFonts w:hint="eastAsia" w:ascii="宋体"/>
                <w:sz w:val="24"/>
              </w:rPr>
              <w:t>对本项目的近期和远期服务目标等理解深刻、分析全面透彻，符合采购需求要求，</w:t>
            </w:r>
            <w:r>
              <w:rPr>
                <w:rFonts w:ascii="宋体"/>
                <w:sz w:val="24"/>
              </w:rPr>
              <w:t>不漏项且有针对性解释说明得</w:t>
            </w:r>
            <w:r>
              <w:rPr>
                <w:rFonts w:hint="eastAsia" w:ascii="宋体"/>
                <w:sz w:val="24"/>
                <w:lang w:val="en-US" w:eastAsia="zh-CN"/>
              </w:rPr>
              <w:t>5</w:t>
            </w:r>
            <w:r>
              <w:rPr>
                <w:rFonts w:ascii="宋体"/>
                <w:sz w:val="24"/>
              </w:rPr>
              <w:t>分；提供的方案漏缺1项或2项，有针对性解释说明得</w:t>
            </w:r>
            <w:r>
              <w:rPr>
                <w:rFonts w:hint="eastAsia" w:ascii="宋体"/>
                <w:sz w:val="24"/>
                <w:lang w:val="en-US" w:eastAsia="zh-CN"/>
              </w:rPr>
              <w:t>4</w:t>
            </w:r>
            <w:r>
              <w:rPr>
                <w:rFonts w:ascii="宋体"/>
                <w:sz w:val="24"/>
              </w:rPr>
              <w:t>分；提供的方案基本全面，有针对性解释说明得</w:t>
            </w:r>
            <w:r>
              <w:rPr>
                <w:rFonts w:hint="eastAsia" w:ascii="宋体"/>
                <w:sz w:val="24"/>
                <w:lang w:val="en-US" w:eastAsia="zh-CN"/>
              </w:rPr>
              <w:t>3</w:t>
            </w:r>
            <w:r>
              <w:rPr>
                <w:rFonts w:ascii="宋体"/>
                <w:sz w:val="24"/>
              </w:rPr>
              <w:t>分；提供的方案不全面，有针对性解释说明得</w:t>
            </w:r>
            <w:r>
              <w:rPr>
                <w:rFonts w:hint="eastAsia" w:ascii="宋体"/>
                <w:sz w:val="24"/>
                <w:lang w:val="en-US" w:eastAsia="zh-CN"/>
              </w:rPr>
              <w:t>2</w:t>
            </w:r>
            <w:r>
              <w:rPr>
                <w:rFonts w:ascii="宋体"/>
                <w:sz w:val="24"/>
              </w:rPr>
              <w:t>分；提供的方案不全面，没有解释说明得1分；未提供不得分。</w:t>
            </w:r>
          </w:p>
        </w:tc>
        <w:tc>
          <w:tcPr>
            <w:tcW w:w="1276" w:type="dxa"/>
            <w:vAlign w:val="center"/>
          </w:tcPr>
          <w:p w14:paraId="29972995">
            <w:pPr>
              <w:adjustRightInd w:val="0"/>
              <w:snapToGrid w:val="0"/>
              <w:spacing w:line="360" w:lineRule="auto"/>
              <w:jc w:val="center"/>
              <w:textAlignment w:val="center"/>
              <w:rPr>
                <w:rFonts w:ascii="宋体"/>
                <w:sz w:val="24"/>
              </w:rPr>
            </w:pPr>
            <w:r>
              <w:rPr>
                <w:rFonts w:hint="eastAsia" w:ascii="宋体"/>
                <w:sz w:val="24"/>
                <w:lang w:val="en-US" w:eastAsia="zh-CN"/>
              </w:rPr>
              <w:t>10</w:t>
            </w:r>
            <w:r>
              <w:rPr>
                <w:rFonts w:ascii="宋体"/>
                <w:sz w:val="24"/>
              </w:rPr>
              <w:t>分</w:t>
            </w:r>
          </w:p>
          <w:p w14:paraId="3B124AB4">
            <w:pPr>
              <w:adjustRightInd w:val="0"/>
              <w:snapToGrid w:val="0"/>
              <w:spacing w:line="360" w:lineRule="auto"/>
              <w:jc w:val="center"/>
              <w:textAlignment w:val="center"/>
              <w:rPr>
                <w:rFonts w:hint="default" w:ascii="宋体" w:eastAsiaTheme="minorEastAsia"/>
                <w:sz w:val="24"/>
                <w:lang w:val="en-US" w:eastAsia="zh-CN"/>
              </w:rPr>
            </w:pPr>
          </w:p>
        </w:tc>
      </w:tr>
      <w:tr w14:paraId="362DF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vAlign w:val="center"/>
          </w:tcPr>
          <w:p w14:paraId="711DA139">
            <w:pPr>
              <w:spacing w:line="360" w:lineRule="auto"/>
              <w:rPr>
                <w:rFonts w:ascii="宋体" w:cs="宋体"/>
                <w:sz w:val="24"/>
              </w:rPr>
            </w:pPr>
            <w:r>
              <w:rPr>
                <w:rFonts w:hint="eastAsia" w:ascii="宋体" w:cs="宋体"/>
                <w:sz w:val="24"/>
              </w:rPr>
              <w:t>2</w:t>
            </w:r>
          </w:p>
        </w:tc>
        <w:tc>
          <w:tcPr>
            <w:tcW w:w="1417" w:type="dxa"/>
            <w:vAlign w:val="center"/>
          </w:tcPr>
          <w:p w14:paraId="3B9BB61E">
            <w:pPr>
              <w:widowControl/>
              <w:spacing w:line="360" w:lineRule="auto"/>
              <w:rPr>
                <w:rFonts w:ascii="宋体"/>
                <w:sz w:val="24"/>
              </w:rPr>
            </w:pPr>
            <w:r>
              <w:rPr>
                <w:rFonts w:hint="eastAsia" w:ascii="宋体"/>
                <w:sz w:val="24"/>
              </w:rPr>
              <w:t>技术服务方案</w:t>
            </w:r>
          </w:p>
        </w:tc>
        <w:tc>
          <w:tcPr>
            <w:tcW w:w="7088" w:type="dxa"/>
          </w:tcPr>
          <w:p w14:paraId="028C3BC1">
            <w:pPr>
              <w:widowControl/>
              <w:numPr>
                <w:ilvl w:val="0"/>
                <w:numId w:val="6"/>
              </w:numPr>
              <w:spacing w:line="360" w:lineRule="auto"/>
              <w:rPr>
                <w:rFonts w:ascii="宋体"/>
                <w:sz w:val="24"/>
              </w:rPr>
            </w:pPr>
            <w:r>
              <w:rPr>
                <w:rFonts w:hint="eastAsia" w:ascii="宋体"/>
                <w:sz w:val="24"/>
              </w:rPr>
              <w:t>针对本项目的技术服务方案内容完善，符合采购需求要求，</w:t>
            </w:r>
            <w:r>
              <w:rPr>
                <w:rFonts w:ascii="宋体"/>
                <w:sz w:val="24"/>
              </w:rPr>
              <w:t>不漏项且有针对性解释说明得</w:t>
            </w:r>
            <w:r>
              <w:rPr>
                <w:rFonts w:hint="eastAsia" w:ascii="宋体"/>
                <w:sz w:val="24"/>
                <w:lang w:val="en-US" w:eastAsia="zh-CN"/>
              </w:rPr>
              <w:t>5</w:t>
            </w:r>
            <w:r>
              <w:rPr>
                <w:rFonts w:ascii="宋体"/>
                <w:sz w:val="24"/>
              </w:rPr>
              <w:t>分；提供的方案漏缺1项或2项，有针对性解释说明得</w:t>
            </w:r>
            <w:r>
              <w:rPr>
                <w:rFonts w:hint="eastAsia" w:ascii="宋体"/>
                <w:sz w:val="24"/>
                <w:lang w:val="en-US" w:eastAsia="zh-CN"/>
              </w:rPr>
              <w:t>4</w:t>
            </w:r>
            <w:r>
              <w:rPr>
                <w:rFonts w:ascii="宋体"/>
                <w:sz w:val="24"/>
              </w:rPr>
              <w:t>分；提供的方案基本全面，有针对性解释说明得</w:t>
            </w:r>
            <w:r>
              <w:rPr>
                <w:rFonts w:hint="eastAsia" w:ascii="宋体"/>
                <w:sz w:val="24"/>
                <w:lang w:val="en-US" w:eastAsia="zh-CN"/>
              </w:rPr>
              <w:t>3</w:t>
            </w:r>
            <w:r>
              <w:rPr>
                <w:rFonts w:ascii="宋体"/>
                <w:sz w:val="24"/>
              </w:rPr>
              <w:t>分；提供的方案不全面，有针对性解释说明得</w:t>
            </w:r>
            <w:r>
              <w:rPr>
                <w:rFonts w:hint="eastAsia" w:ascii="宋体"/>
                <w:sz w:val="24"/>
                <w:lang w:val="en-US" w:eastAsia="zh-CN"/>
              </w:rPr>
              <w:t>2</w:t>
            </w:r>
            <w:r>
              <w:rPr>
                <w:rFonts w:ascii="宋体"/>
                <w:sz w:val="24"/>
              </w:rPr>
              <w:t>分；提供的方案不全面，没有解释说明得1分；未提供不得分。</w:t>
            </w:r>
          </w:p>
          <w:p w14:paraId="1C549066">
            <w:pPr>
              <w:widowControl/>
              <w:numPr>
                <w:ilvl w:val="0"/>
                <w:numId w:val="6"/>
              </w:numPr>
              <w:spacing w:line="360" w:lineRule="auto"/>
              <w:rPr>
                <w:rFonts w:ascii="宋体"/>
                <w:sz w:val="24"/>
              </w:rPr>
            </w:pPr>
            <w:r>
              <w:rPr>
                <w:rFonts w:hint="eastAsia" w:ascii="宋体"/>
                <w:sz w:val="24"/>
              </w:rPr>
              <w:t>针对本项目的技术服务方案切实可行，符合采购需求要求，</w:t>
            </w:r>
            <w:r>
              <w:rPr>
                <w:rFonts w:ascii="宋体"/>
                <w:sz w:val="24"/>
              </w:rPr>
              <w:t>不漏项且有针对性解释说明得</w:t>
            </w:r>
            <w:r>
              <w:rPr>
                <w:rFonts w:hint="eastAsia" w:ascii="宋体"/>
                <w:sz w:val="24"/>
                <w:lang w:val="en-US" w:eastAsia="zh-CN"/>
              </w:rPr>
              <w:t>5</w:t>
            </w:r>
            <w:r>
              <w:rPr>
                <w:rFonts w:ascii="宋体"/>
                <w:sz w:val="24"/>
              </w:rPr>
              <w:t>分；提供的方案漏缺1项或2项，有针对性解释说明得</w:t>
            </w:r>
            <w:r>
              <w:rPr>
                <w:rFonts w:hint="eastAsia" w:ascii="宋体"/>
                <w:sz w:val="24"/>
                <w:lang w:val="en-US" w:eastAsia="zh-CN"/>
              </w:rPr>
              <w:t>4</w:t>
            </w:r>
            <w:r>
              <w:rPr>
                <w:rFonts w:ascii="宋体"/>
                <w:sz w:val="24"/>
              </w:rPr>
              <w:t>分；提供的方案基本全面，有针对性解释说明得</w:t>
            </w:r>
            <w:r>
              <w:rPr>
                <w:rFonts w:hint="eastAsia" w:ascii="宋体"/>
                <w:sz w:val="24"/>
                <w:lang w:val="en-US" w:eastAsia="zh-CN"/>
              </w:rPr>
              <w:t>3</w:t>
            </w:r>
            <w:r>
              <w:rPr>
                <w:rFonts w:ascii="宋体"/>
                <w:sz w:val="24"/>
              </w:rPr>
              <w:t>分；提供的方案不全面，有针对性解释说明得</w:t>
            </w:r>
            <w:r>
              <w:rPr>
                <w:rFonts w:hint="eastAsia" w:ascii="宋体"/>
                <w:sz w:val="24"/>
                <w:lang w:val="en-US" w:eastAsia="zh-CN"/>
              </w:rPr>
              <w:t>2</w:t>
            </w:r>
            <w:r>
              <w:rPr>
                <w:rFonts w:ascii="宋体"/>
                <w:sz w:val="24"/>
              </w:rPr>
              <w:t>分；提供的方案不全面，没有解释说明得1分；未提供不得分。</w:t>
            </w:r>
          </w:p>
        </w:tc>
        <w:tc>
          <w:tcPr>
            <w:tcW w:w="1276" w:type="dxa"/>
            <w:vAlign w:val="center"/>
          </w:tcPr>
          <w:p w14:paraId="3D3B6539">
            <w:pPr>
              <w:adjustRightInd w:val="0"/>
              <w:snapToGrid w:val="0"/>
              <w:spacing w:line="360" w:lineRule="auto"/>
              <w:jc w:val="center"/>
              <w:textAlignment w:val="center"/>
              <w:rPr>
                <w:rFonts w:ascii="宋体"/>
                <w:sz w:val="24"/>
              </w:rPr>
            </w:pPr>
            <w:r>
              <w:rPr>
                <w:rFonts w:hint="eastAsia" w:ascii="宋体"/>
                <w:sz w:val="24"/>
                <w:lang w:val="en-US" w:eastAsia="zh-CN"/>
              </w:rPr>
              <w:t>10</w:t>
            </w:r>
            <w:r>
              <w:rPr>
                <w:rFonts w:ascii="宋体"/>
                <w:sz w:val="24"/>
              </w:rPr>
              <w:t>分</w:t>
            </w:r>
          </w:p>
          <w:p w14:paraId="00F275E6">
            <w:pPr>
              <w:adjustRightInd w:val="0"/>
              <w:snapToGrid w:val="0"/>
              <w:spacing w:line="360" w:lineRule="auto"/>
              <w:jc w:val="center"/>
              <w:textAlignment w:val="center"/>
              <w:rPr>
                <w:rFonts w:hint="default" w:ascii="宋体" w:eastAsiaTheme="minorEastAsia"/>
                <w:sz w:val="24"/>
                <w:lang w:val="en-US" w:eastAsia="zh-CN"/>
              </w:rPr>
            </w:pPr>
          </w:p>
        </w:tc>
      </w:tr>
      <w:tr w14:paraId="6385F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vAlign w:val="center"/>
          </w:tcPr>
          <w:p w14:paraId="7CDE8440">
            <w:pPr>
              <w:spacing w:line="360" w:lineRule="auto"/>
              <w:rPr>
                <w:rFonts w:ascii="宋体" w:cs="宋体"/>
                <w:sz w:val="24"/>
              </w:rPr>
            </w:pPr>
            <w:r>
              <w:rPr>
                <w:rFonts w:hint="eastAsia" w:ascii="宋体" w:cs="宋体"/>
                <w:sz w:val="24"/>
              </w:rPr>
              <w:t>3</w:t>
            </w:r>
          </w:p>
        </w:tc>
        <w:tc>
          <w:tcPr>
            <w:tcW w:w="1417" w:type="dxa"/>
            <w:vAlign w:val="center"/>
          </w:tcPr>
          <w:p w14:paraId="56D97A1D">
            <w:pPr>
              <w:spacing w:before="129" w:line="220" w:lineRule="auto"/>
              <w:rPr>
                <w:rFonts w:ascii="宋体" w:eastAsia="宋体"/>
                <w:kern w:val="0"/>
                <w:sz w:val="24"/>
                <w:szCs w:val="20"/>
              </w:rPr>
            </w:pPr>
            <w:r>
              <w:rPr>
                <w:rFonts w:ascii="宋体" w:eastAsia="宋体"/>
                <w:kern w:val="0"/>
                <w:sz w:val="24"/>
                <w:szCs w:val="20"/>
              </w:rPr>
              <w:t>质量保证措施</w:t>
            </w:r>
          </w:p>
        </w:tc>
        <w:tc>
          <w:tcPr>
            <w:tcW w:w="7088" w:type="dxa"/>
          </w:tcPr>
          <w:p w14:paraId="4869EC95">
            <w:pPr>
              <w:pStyle w:val="27"/>
              <w:numPr>
                <w:ilvl w:val="0"/>
                <w:numId w:val="7"/>
              </w:numPr>
              <w:spacing w:before="156" w:beforeLines="50" w:after="156" w:afterLines="50" w:line="360" w:lineRule="auto"/>
              <w:ind w:left="0" w:leftChars="0"/>
              <w:jc w:val="left"/>
              <w:rPr>
                <w:rFonts w:ascii="宋体" w:hAnsiTheme="minorHAnsi" w:cstheme="minorBidi"/>
                <w:sz w:val="24"/>
              </w:rPr>
            </w:pPr>
            <w:r>
              <w:rPr>
                <w:rFonts w:hint="eastAsia" w:ascii="宋体" w:hAnsiTheme="minorHAnsi" w:cstheme="minorBidi"/>
                <w:sz w:val="24"/>
              </w:rPr>
              <w:t>服务工作质量保证措施详实、科学合理、针对性强、能确保成果质量，</w:t>
            </w:r>
            <w:r>
              <w:rPr>
                <w:rFonts w:ascii="宋体" w:hAnsiTheme="minorHAnsi" w:cstheme="minorBidi"/>
                <w:sz w:val="24"/>
              </w:rPr>
              <w:t>不漏项且有针对性解释说明得</w:t>
            </w:r>
            <w:r>
              <w:rPr>
                <w:rFonts w:hint="eastAsia" w:ascii="宋体" w:hAnsiTheme="minorHAnsi" w:cstheme="minorBidi"/>
                <w:sz w:val="24"/>
                <w:lang w:val="en-US" w:eastAsia="zh-CN"/>
              </w:rPr>
              <w:t>5</w:t>
            </w:r>
            <w:r>
              <w:rPr>
                <w:rFonts w:ascii="宋体" w:hAnsiTheme="minorHAnsi" w:cstheme="minorBidi"/>
                <w:sz w:val="24"/>
              </w:rPr>
              <w:t>分；提供的方案漏缺1项或2项，有针对性解释说明得</w:t>
            </w:r>
            <w:r>
              <w:rPr>
                <w:rFonts w:hint="eastAsia" w:ascii="宋体" w:hAnsiTheme="minorHAnsi" w:cstheme="minorBidi"/>
                <w:sz w:val="24"/>
                <w:lang w:val="en-US" w:eastAsia="zh-CN"/>
              </w:rPr>
              <w:t>4</w:t>
            </w:r>
            <w:r>
              <w:rPr>
                <w:rFonts w:ascii="宋体" w:hAnsiTheme="minorHAnsi" w:cstheme="minorBidi"/>
                <w:sz w:val="24"/>
              </w:rPr>
              <w:t>分；提供的方案基本全面，有针对性解释说明得</w:t>
            </w:r>
            <w:r>
              <w:rPr>
                <w:rFonts w:hint="eastAsia" w:ascii="宋体" w:hAnsiTheme="minorHAnsi" w:cstheme="minorBidi"/>
                <w:sz w:val="24"/>
                <w:lang w:val="en-US" w:eastAsia="zh-CN"/>
              </w:rPr>
              <w:t>3</w:t>
            </w:r>
            <w:r>
              <w:rPr>
                <w:rFonts w:ascii="宋体" w:hAnsiTheme="minorHAnsi" w:cstheme="minorBidi"/>
                <w:sz w:val="24"/>
              </w:rPr>
              <w:t>分；提供的方案不全面，有针对性解释说明得</w:t>
            </w:r>
            <w:r>
              <w:rPr>
                <w:rFonts w:hint="eastAsia" w:ascii="宋体" w:hAnsiTheme="minorHAnsi" w:cstheme="minorBidi"/>
                <w:sz w:val="24"/>
                <w:lang w:val="en-US" w:eastAsia="zh-CN"/>
              </w:rPr>
              <w:t>2</w:t>
            </w:r>
            <w:r>
              <w:rPr>
                <w:rFonts w:ascii="宋体" w:hAnsiTheme="minorHAnsi" w:cstheme="minorBidi"/>
                <w:sz w:val="24"/>
              </w:rPr>
              <w:t>分；提供的方案不全面，没有解释说明得1分；未提供不得分。</w:t>
            </w:r>
          </w:p>
          <w:p w14:paraId="5070B1A0">
            <w:pPr>
              <w:pStyle w:val="27"/>
              <w:numPr>
                <w:ilvl w:val="0"/>
                <w:numId w:val="7"/>
              </w:numPr>
              <w:spacing w:before="156" w:beforeLines="50" w:after="156" w:afterLines="50" w:line="360" w:lineRule="auto"/>
              <w:ind w:left="0" w:leftChars="0"/>
              <w:jc w:val="left"/>
              <w:rPr>
                <w:rFonts w:ascii="宋体" w:hAnsiTheme="minorHAnsi" w:cstheme="minorBidi"/>
                <w:sz w:val="24"/>
              </w:rPr>
            </w:pPr>
            <w:r>
              <w:rPr>
                <w:rFonts w:hint="eastAsia" w:ascii="宋体" w:hAnsiTheme="minorHAnsi" w:cstheme="minorBidi"/>
                <w:sz w:val="24"/>
              </w:rPr>
              <w:t>内部校审管理制度健全，</w:t>
            </w:r>
            <w:r>
              <w:rPr>
                <w:rFonts w:ascii="宋体" w:hAnsiTheme="minorHAnsi" w:cstheme="minorBidi"/>
                <w:sz w:val="24"/>
              </w:rPr>
              <w:t>不漏项且有针对性解释说明得</w:t>
            </w:r>
            <w:r>
              <w:rPr>
                <w:rFonts w:hint="eastAsia" w:ascii="宋体" w:hAnsiTheme="minorHAnsi" w:cstheme="minorBidi"/>
                <w:sz w:val="24"/>
                <w:lang w:val="en-US" w:eastAsia="zh-CN"/>
              </w:rPr>
              <w:t>5</w:t>
            </w:r>
            <w:r>
              <w:rPr>
                <w:rFonts w:ascii="宋体" w:hAnsiTheme="minorHAnsi" w:cstheme="minorBidi"/>
                <w:sz w:val="24"/>
              </w:rPr>
              <w:t>分；提供的方案漏缺1项或2项，有针对性解释说明得</w:t>
            </w:r>
            <w:r>
              <w:rPr>
                <w:rFonts w:hint="eastAsia" w:ascii="宋体" w:hAnsiTheme="minorHAnsi" w:cstheme="minorBidi"/>
                <w:sz w:val="24"/>
                <w:lang w:val="en-US" w:eastAsia="zh-CN"/>
              </w:rPr>
              <w:t>4</w:t>
            </w:r>
            <w:r>
              <w:rPr>
                <w:rFonts w:ascii="宋体" w:hAnsiTheme="minorHAnsi" w:cstheme="minorBidi"/>
                <w:sz w:val="24"/>
              </w:rPr>
              <w:t>分；提供的方案基本全面，有针对性解释说明得</w:t>
            </w:r>
            <w:r>
              <w:rPr>
                <w:rFonts w:hint="eastAsia" w:ascii="宋体" w:hAnsiTheme="minorHAnsi" w:cstheme="minorBidi"/>
                <w:sz w:val="24"/>
                <w:lang w:val="en-US" w:eastAsia="zh-CN"/>
              </w:rPr>
              <w:t>3</w:t>
            </w:r>
            <w:r>
              <w:rPr>
                <w:rFonts w:ascii="宋体" w:hAnsiTheme="minorHAnsi" w:cstheme="minorBidi"/>
                <w:sz w:val="24"/>
              </w:rPr>
              <w:t>分；提供的方案不全面，有针对性解释说明得</w:t>
            </w:r>
            <w:r>
              <w:rPr>
                <w:rFonts w:hint="eastAsia" w:ascii="宋体" w:hAnsiTheme="minorHAnsi" w:cstheme="minorBidi"/>
                <w:sz w:val="24"/>
                <w:lang w:val="en-US" w:eastAsia="zh-CN"/>
              </w:rPr>
              <w:t>2</w:t>
            </w:r>
            <w:r>
              <w:rPr>
                <w:rFonts w:ascii="宋体" w:hAnsiTheme="minorHAnsi" w:cstheme="minorBidi"/>
                <w:sz w:val="24"/>
              </w:rPr>
              <w:t>分；提供的方案不全面，没有解释说明得1分；未提供不得分。</w:t>
            </w:r>
          </w:p>
        </w:tc>
        <w:tc>
          <w:tcPr>
            <w:tcW w:w="1276" w:type="dxa"/>
            <w:vAlign w:val="center"/>
          </w:tcPr>
          <w:p w14:paraId="407B800B">
            <w:pPr>
              <w:adjustRightInd w:val="0"/>
              <w:snapToGrid w:val="0"/>
              <w:spacing w:line="360" w:lineRule="auto"/>
              <w:jc w:val="center"/>
              <w:textAlignment w:val="center"/>
              <w:rPr>
                <w:rFonts w:ascii="宋体" w:eastAsia="宋体"/>
                <w:kern w:val="0"/>
                <w:sz w:val="24"/>
                <w:szCs w:val="20"/>
              </w:rPr>
            </w:pPr>
            <w:r>
              <w:rPr>
                <w:rFonts w:hint="eastAsia" w:ascii="宋体" w:eastAsia="宋体"/>
                <w:kern w:val="0"/>
                <w:sz w:val="24"/>
                <w:szCs w:val="20"/>
                <w:lang w:val="en-US" w:eastAsia="zh-CN"/>
              </w:rPr>
              <w:t>10</w:t>
            </w:r>
            <w:r>
              <w:rPr>
                <w:rFonts w:ascii="宋体" w:eastAsia="宋体"/>
                <w:kern w:val="0"/>
                <w:sz w:val="24"/>
                <w:szCs w:val="20"/>
              </w:rPr>
              <w:t>分</w:t>
            </w:r>
          </w:p>
          <w:p w14:paraId="56078E84">
            <w:pPr>
              <w:adjustRightInd w:val="0"/>
              <w:snapToGrid w:val="0"/>
              <w:spacing w:line="360" w:lineRule="auto"/>
              <w:jc w:val="center"/>
              <w:textAlignment w:val="center"/>
              <w:rPr>
                <w:rFonts w:hint="default" w:ascii="宋体" w:eastAsia="宋体"/>
                <w:kern w:val="0"/>
                <w:sz w:val="24"/>
                <w:szCs w:val="20"/>
                <w:lang w:val="en-US" w:eastAsia="zh-CN"/>
              </w:rPr>
            </w:pPr>
          </w:p>
        </w:tc>
      </w:tr>
      <w:tr w14:paraId="20E27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vAlign w:val="center"/>
          </w:tcPr>
          <w:p w14:paraId="429BAF1A">
            <w:pPr>
              <w:spacing w:line="360" w:lineRule="auto"/>
              <w:rPr>
                <w:rFonts w:hint="eastAsia" w:ascii="宋体" w:cs="宋体" w:eastAsiaTheme="minorEastAsia"/>
                <w:sz w:val="24"/>
                <w:lang w:eastAsia="zh-CN"/>
              </w:rPr>
            </w:pPr>
            <w:r>
              <w:rPr>
                <w:rFonts w:hint="eastAsia" w:ascii="宋体" w:cs="宋体"/>
                <w:sz w:val="24"/>
                <w:lang w:val="en-US" w:eastAsia="zh-CN"/>
              </w:rPr>
              <w:t>4</w:t>
            </w:r>
          </w:p>
        </w:tc>
        <w:tc>
          <w:tcPr>
            <w:tcW w:w="1417" w:type="dxa"/>
            <w:vAlign w:val="center"/>
          </w:tcPr>
          <w:p w14:paraId="49C8D57F">
            <w:pPr>
              <w:spacing w:before="129" w:line="220" w:lineRule="auto"/>
              <w:rPr>
                <w:rFonts w:ascii="宋体" w:eastAsia="宋体"/>
                <w:kern w:val="0"/>
                <w:sz w:val="24"/>
                <w:szCs w:val="20"/>
              </w:rPr>
            </w:pPr>
            <w:r>
              <w:rPr>
                <w:rFonts w:hint="eastAsia" w:ascii="宋体" w:eastAsia="宋体"/>
                <w:kern w:val="0"/>
                <w:sz w:val="24"/>
                <w:szCs w:val="20"/>
              </w:rPr>
              <w:t>应急预案</w:t>
            </w:r>
          </w:p>
        </w:tc>
        <w:tc>
          <w:tcPr>
            <w:tcW w:w="7088" w:type="dxa"/>
            <w:shd w:val="clear" w:color="auto" w:fill="auto"/>
            <w:vAlign w:val="top"/>
          </w:tcPr>
          <w:p w14:paraId="1561055D">
            <w:pPr>
              <w:pStyle w:val="26"/>
              <w:spacing w:after="0" w:line="360" w:lineRule="auto"/>
              <w:rPr>
                <w:rFonts w:ascii="宋体" w:hAnsiTheme="minorHAnsi" w:cstheme="minorBidi"/>
                <w:sz w:val="24"/>
              </w:rPr>
            </w:pPr>
            <w:r>
              <w:rPr>
                <w:rFonts w:hint="eastAsia" w:ascii="宋体" w:hAnsiTheme="minorHAnsi" w:cstheme="minorBidi"/>
                <w:sz w:val="24"/>
                <w:lang w:val="en-US" w:eastAsia="zh-CN"/>
              </w:rPr>
              <w:t>1、</w:t>
            </w:r>
            <w:r>
              <w:rPr>
                <w:rFonts w:hint="eastAsia" w:ascii="宋体" w:hAnsiTheme="minorHAnsi" w:cstheme="minorBidi"/>
                <w:sz w:val="24"/>
              </w:rPr>
              <w:t>投标人针对项目实施过程中发生突发事件时的应对措施详实、科学合理、针对性强，</w:t>
            </w:r>
            <w:r>
              <w:rPr>
                <w:rFonts w:ascii="宋体" w:hAnsiTheme="minorHAnsi" w:cstheme="minorBidi"/>
                <w:sz w:val="24"/>
              </w:rPr>
              <w:t>不漏项且有针对性解释说明得</w:t>
            </w:r>
            <w:r>
              <w:rPr>
                <w:rFonts w:hint="eastAsia" w:ascii="宋体" w:hAnsiTheme="minorHAnsi" w:cstheme="minorBidi"/>
                <w:sz w:val="24"/>
                <w:lang w:val="en-US" w:eastAsia="zh-CN"/>
              </w:rPr>
              <w:t>5</w:t>
            </w:r>
            <w:r>
              <w:rPr>
                <w:rFonts w:ascii="宋体" w:hAnsiTheme="minorHAnsi" w:cstheme="minorBidi"/>
                <w:sz w:val="24"/>
              </w:rPr>
              <w:t>分；提供的方案漏缺1项或2项，有针对性解释说明得</w:t>
            </w:r>
            <w:r>
              <w:rPr>
                <w:rFonts w:hint="eastAsia" w:ascii="宋体" w:hAnsiTheme="minorHAnsi" w:cstheme="minorBidi"/>
                <w:sz w:val="24"/>
                <w:lang w:val="en-US" w:eastAsia="zh-CN"/>
              </w:rPr>
              <w:t>4</w:t>
            </w:r>
            <w:r>
              <w:rPr>
                <w:rFonts w:ascii="宋体" w:hAnsiTheme="minorHAnsi" w:cstheme="minorBidi"/>
                <w:sz w:val="24"/>
              </w:rPr>
              <w:t>分；提供的方案基本全面，有针对性解释说明得</w:t>
            </w:r>
            <w:r>
              <w:rPr>
                <w:rFonts w:hint="eastAsia" w:ascii="宋体" w:hAnsiTheme="minorHAnsi" w:cstheme="minorBidi"/>
                <w:sz w:val="24"/>
                <w:lang w:val="en-US" w:eastAsia="zh-CN"/>
              </w:rPr>
              <w:t>3</w:t>
            </w:r>
            <w:r>
              <w:rPr>
                <w:rFonts w:ascii="宋体" w:hAnsiTheme="minorHAnsi" w:cstheme="minorBidi"/>
                <w:sz w:val="24"/>
              </w:rPr>
              <w:t>分；提供的方案不全面，有针对性解释说明得</w:t>
            </w:r>
            <w:r>
              <w:rPr>
                <w:rFonts w:hint="eastAsia" w:ascii="宋体" w:hAnsiTheme="minorHAnsi" w:cstheme="minorBidi"/>
                <w:sz w:val="24"/>
                <w:lang w:val="en-US" w:eastAsia="zh-CN"/>
              </w:rPr>
              <w:t>2</w:t>
            </w:r>
            <w:r>
              <w:rPr>
                <w:rFonts w:ascii="宋体" w:hAnsiTheme="minorHAnsi" w:cstheme="minorBidi"/>
                <w:sz w:val="24"/>
              </w:rPr>
              <w:t>分；提供的方案不全面，没有解释说明得1分；未提供不得分。</w:t>
            </w:r>
          </w:p>
          <w:p w14:paraId="65BB5845">
            <w:pPr>
              <w:pStyle w:val="26"/>
              <w:spacing w:after="0" w:line="360" w:lineRule="auto"/>
              <w:rPr>
                <w:rFonts w:ascii="宋体" w:eastAsia="宋体" w:hAnsiTheme="minorHAnsi" w:cstheme="minorBidi"/>
                <w:kern w:val="0"/>
                <w:sz w:val="24"/>
                <w:szCs w:val="20"/>
                <w:lang w:val="en-US" w:eastAsia="zh-CN" w:bidi="ar-SA"/>
              </w:rPr>
            </w:pPr>
            <w:r>
              <w:rPr>
                <w:rFonts w:hint="eastAsia" w:ascii="宋体" w:hAnsiTheme="minorHAnsi" w:cstheme="minorBidi"/>
                <w:sz w:val="24"/>
                <w:lang w:val="en-US" w:eastAsia="zh-CN"/>
              </w:rPr>
              <w:t>2、</w:t>
            </w:r>
            <w:r>
              <w:rPr>
                <w:rFonts w:hint="eastAsia" w:ascii="宋体" w:hAnsiTheme="minorHAnsi" w:cstheme="minorBidi"/>
                <w:sz w:val="24"/>
              </w:rPr>
              <w:t>投标人针对项目实施过程中发生突发事件时的应备预案详实、科学合理、针对性强，</w:t>
            </w:r>
            <w:r>
              <w:rPr>
                <w:rFonts w:ascii="宋体" w:hAnsiTheme="minorHAnsi" w:cstheme="minorBidi"/>
                <w:sz w:val="24"/>
              </w:rPr>
              <w:t>不漏项且有针对性解释说明得</w:t>
            </w:r>
            <w:r>
              <w:rPr>
                <w:rFonts w:hint="eastAsia" w:ascii="宋体" w:hAnsiTheme="minorHAnsi" w:cstheme="minorBidi"/>
                <w:sz w:val="24"/>
                <w:lang w:val="en-US" w:eastAsia="zh-CN"/>
              </w:rPr>
              <w:t>5</w:t>
            </w:r>
            <w:r>
              <w:rPr>
                <w:rFonts w:ascii="宋体" w:hAnsiTheme="minorHAnsi" w:cstheme="minorBidi"/>
                <w:sz w:val="24"/>
              </w:rPr>
              <w:t>分；提供的方案漏缺1项或2项，有针对性解释说明得</w:t>
            </w:r>
            <w:r>
              <w:rPr>
                <w:rFonts w:hint="eastAsia" w:ascii="宋体" w:hAnsiTheme="minorHAnsi" w:cstheme="minorBidi"/>
                <w:sz w:val="24"/>
                <w:lang w:val="en-US" w:eastAsia="zh-CN"/>
              </w:rPr>
              <w:t>4</w:t>
            </w:r>
            <w:r>
              <w:rPr>
                <w:rFonts w:ascii="宋体" w:hAnsiTheme="minorHAnsi" w:cstheme="minorBidi"/>
                <w:sz w:val="24"/>
              </w:rPr>
              <w:t>分；提供的方案基本全面，有针对性解释说明得</w:t>
            </w:r>
            <w:r>
              <w:rPr>
                <w:rFonts w:hint="eastAsia" w:ascii="宋体" w:hAnsiTheme="minorHAnsi" w:cstheme="minorBidi"/>
                <w:sz w:val="24"/>
                <w:lang w:val="en-US" w:eastAsia="zh-CN"/>
              </w:rPr>
              <w:t>3</w:t>
            </w:r>
            <w:r>
              <w:rPr>
                <w:rFonts w:ascii="宋体" w:hAnsiTheme="minorHAnsi" w:cstheme="minorBidi"/>
                <w:sz w:val="24"/>
              </w:rPr>
              <w:t>分；提供的方案不全面，有针对性解释说明得</w:t>
            </w:r>
            <w:r>
              <w:rPr>
                <w:rFonts w:hint="eastAsia" w:ascii="宋体" w:hAnsiTheme="minorHAnsi" w:cstheme="minorBidi"/>
                <w:sz w:val="24"/>
                <w:lang w:val="en-US" w:eastAsia="zh-CN"/>
              </w:rPr>
              <w:t>2</w:t>
            </w:r>
            <w:r>
              <w:rPr>
                <w:rFonts w:ascii="宋体" w:hAnsiTheme="minorHAnsi" w:cstheme="minorBidi"/>
                <w:sz w:val="24"/>
              </w:rPr>
              <w:t>分；提供的方案不全面，没有解释说明得1分；未提供不得分。</w:t>
            </w:r>
          </w:p>
        </w:tc>
        <w:tc>
          <w:tcPr>
            <w:tcW w:w="1276" w:type="dxa"/>
            <w:vAlign w:val="center"/>
          </w:tcPr>
          <w:p w14:paraId="658BFEAC">
            <w:pPr>
              <w:adjustRightInd w:val="0"/>
              <w:snapToGrid w:val="0"/>
              <w:spacing w:line="360" w:lineRule="auto"/>
              <w:jc w:val="center"/>
              <w:textAlignment w:val="center"/>
              <w:rPr>
                <w:rFonts w:ascii="宋体" w:eastAsia="宋体"/>
                <w:kern w:val="0"/>
                <w:sz w:val="24"/>
                <w:szCs w:val="20"/>
              </w:rPr>
            </w:pPr>
            <w:r>
              <w:rPr>
                <w:rFonts w:hint="eastAsia" w:ascii="宋体"/>
                <w:sz w:val="24"/>
                <w:lang w:val="en-US" w:eastAsia="zh-CN"/>
              </w:rPr>
              <w:t>10</w:t>
            </w:r>
            <w:r>
              <w:rPr>
                <w:rFonts w:ascii="宋体"/>
                <w:sz w:val="24"/>
              </w:rPr>
              <w:t>分</w:t>
            </w:r>
          </w:p>
        </w:tc>
      </w:tr>
      <w:tr w14:paraId="1157F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vAlign w:val="center"/>
          </w:tcPr>
          <w:p w14:paraId="67574CBF">
            <w:pPr>
              <w:spacing w:line="360" w:lineRule="auto"/>
              <w:rPr>
                <w:rFonts w:hint="eastAsia" w:ascii="宋体" w:cs="宋体" w:eastAsiaTheme="minorEastAsia"/>
                <w:sz w:val="24"/>
                <w:lang w:eastAsia="zh-CN"/>
              </w:rPr>
            </w:pPr>
            <w:r>
              <w:rPr>
                <w:rFonts w:hint="eastAsia" w:ascii="宋体" w:cs="宋体"/>
                <w:sz w:val="24"/>
                <w:lang w:val="en-US" w:eastAsia="zh-CN"/>
              </w:rPr>
              <w:t>5</w:t>
            </w:r>
          </w:p>
        </w:tc>
        <w:tc>
          <w:tcPr>
            <w:tcW w:w="1417" w:type="dxa"/>
            <w:vAlign w:val="center"/>
          </w:tcPr>
          <w:p w14:paraId="7191E14F">
            <w:pPr>
              <w:pStyle w:val="39"/>
              <w:spacing w:line="440" w:lineRule="exact"/>
              <w:ind w:left="0" w:leftChars="0"/>
              <w:rPr>
                <w:rFonts w:ascii="宋体" w:cs="宋体"/>
                <w:sz w:val="24"/>
                <w:szCs w:val="24"/>
              </w:rPr>
            </w:pPr>
            <w:r>
              <w:rPr>
                <w:rFonts w:hint="eastAsia" w:ascii="宋体" w:cs="宋体"/>
                <w:sz w:val="24"/>
                <w:szCs w:val="24"/>
              </w:rPr>
              <w:t>拟投入本项目人员</w:t>
            </w:r>
          </w:p>
        </w:tc>
        <w:tc>
          <w:tcPr>
            <w:tcW w:w="7088" w:type="dxa"/>
            <w:vAlign w:val="center"/>
          </w:tcPr>
          <w:p w14:paraId="422C8E32">
            <w:pPr>
              <w:pStyle w:val="39"/>
              <w:spacing w:line="440" w:lineRule="exact"/>
              <w:ind w:left="0" w:leftChars="0"/>
              <w:rPr>
                <w:rFonts w:ascii="宋体" w:cs="宋体"/>
                <w:sz w:val="24"/>
                <w:szCs w:val="24"/>
              </w:rPr>
            </w:pPr>
            <w:r>
              <w:rPr>
                <w:rFonts w:hint="eastAsia" w:ascii="宋体" w:cs="宋体"/>
                <w:sz w:val="24"/>
                <w:szCs w:val="24"/>
              </w:rPr>
              <w:t>1.项目负责人具有环境相关专业正高级职称的得2分</w:t>
            </w:r>
            <w:r>
              <w:rPr>
                <w:rFonts w:hint="eastAsia" w:ascii="宋体" w:cs="宋体"/>
                <w:sz w:val="24"/>
                <w:szCs w:val="24"/>
                <w:lang w:eastAsia="zh-CN"/>
              </w:rPr>
              <w:t>；</w:t>
            </w:r>
            <w:r>
              <w:rPr>
                <w:rFonts w:hint="eastAsia" w:ascii="宋体" w:cs="宋体"/>
                <w:sz w:val="24"/>
                <w:szCs w:val="24"/>
              </w:rPr>
              <w:t>高级职称的得1分。</w:t>
            </w:r>
          </w:p>
          <w:p w14:paraId="44408274">
            <w:pPr>
              <w:pStyle w:val="39"/>
              <w:spacing w:line="440" w:lineRule="exact"/>
              <w:ind w:left="0" w:leftChars="0"/>
              <w:rPr>
                <w:rFonts w:ascii="宋体" w:cs="宋体"/>
                <w:sz w:val="24"/>
                <w:szCs w:val="24"/>
              </w:rPr>
            </w:pPr>
            <w:r>
              <w:rPr>
                <w:rFonts w:hint="eastAsia" w:ascii="宋体" w:cs="宋体"/>
                <w:sz w:val="24"/>
                <w:szCs w:val="24"/>
              </w:rPr>
              <w:t>2.项目组成员</w:t>
            </w:r>
            <w:r>
              <w:rPr>
                <w:rFonts w:hint="eastAsia" w:ascii="宋体" w:cs="宋体"/>
                <w:sz w:val="24"/>
                <w:szCs w:val="24"/>
                <w:lang w:eastAsia="zh-CN"/>
              </w:rPr>
              <w:t>（</w:t>
            </w:r>
            <w:r>
              <w:rPr>
                <w:rFonts w:hint="eastAsia" w:ascii="宋体" w:cs="宋体"/>
                <w:sz w:val="24"/>
                <w:szCs w:val="24"/>
              </w:rPr>
              <w:t>项目负责人除外</w:t>
            </w:r>
            <w:r>
              <w:rPr>
                <w:rFonts w:hint="eastAsia" w:ascii="宋体" w:cs="宋体"/>
                <w:sz w:val="24"/>
                <w:szCs w:val="24"/>
                <w:lang w:eastAsia="zh-CN"/>
              </w:rPr>
              <w:t>）：</w:t>
            </w:r>
          </w:p>
          <w:p w14:paraId="6F8C697B">
            <w:pPr>
              <w:pStyle w:val="39"/>
              <w:spacing w:line="440" w:lineRule="exact"/>
              <w:ind w:left="0" w:leftChars="0"/>
              <w:rPr>
                <w:rFonts w:ascii="宋体" w:cs="宋体"/>
                <w:sz w:val="24"/>
                <w:szCs w:val="24"/>
              </w:rPr>
            </w:pPr>
            <w:r>
              <w:rPr>
                <w:rFonts w:hint="eastAsia" w:ascii="宋体" w:cs="宋体"/>
                <w:sz w:val="24"/>
                <w:szCs w:val="24"/>
              </w:rPr>
              <w:t>（1）具有环境相关专业正高级职称的，每人得2分，高级职称的每人得1分，最高得</w:t>
            </w:r>
            <w:r>
              <w:rPr>
                <w:rFonts w:hint="eastAsia" w:ascii="宋体" w:cs="宋体"/>
                <w:sz w:val="24"/>
                <w:szCs w:val="24"/>
                <w:lang w:val="en-US" w:eastAsia="zh-CN"/>
              </w:rPr>
              <w:t>4</w:t>
            </w:r>
            <w:r>
              <w:rPr>
                <w:rFonts w:hint="eastAsia" w:ascii="宋体" w:cs="宋体"/>
                <w:sz w:val="24"/>
                <w:szCs w:val="24"/>
              </w:rPr>
              <w:t>分。</w:t>
            </w:r>
          </w:p>
          <w:p w14:paraId="6DDA2239">
            <w:pPr>
              <w:pStyle w:val="39"/>
              <w:spacing w:line="440" w:lineRule="exact"/>
              <w:ind w:left="0" w:leftChars="0"/>
              <w:rPr>
                <w:rFonts w:ascii="宋体" w:cs="宋体"/>
                <w:sz w:val="24"/>
                <w:szCs w:val="24"/>
              </w:rPr>
            </w:pPr>
            <w:r>
              <w:rPr>
                <w:rFonts w:hint="eastAsia" w:ascii="宋体" w:cs="宋体"/>
                <w:sz w:val="24"/>
                <w:szCs w:val="24"/>
              </w:rPr>
              <w:t>（2）具有环境监测专业高级职称的，每人得2分，中级职称的每人得0.5分，最高得</w:t>
            </w:r>
            <w:r>
              <w:rPr>
                <w:rFonts w:hint="eastAsia" w:ascii="宋体" w:cs="宋体"/>
                <w:sz w:val="24"/>
                <w:szCs w:val="24"/>
                <w:lang w:val="en-US" w:eastAsia="zh-CN"/>
              </w:rPr>
              <w:t>8</w:t>
            </w:r>
            <w:r>
              <w:rPr>
                <w:rFonts w:hint="eastAsia" w:ascii="宋体" w:cs="宋体"/>
                <w:sz w:val="24"/>
                <w:szCs w:val="24"/>
              </w:rPr>
              <w:t>分。</w:t>
            </w:r>
          </w:p>
          <w:p w14:paraId="57214164">
            <w:pPr>
              <w:pStyle w:val="39"/>
              <w:spacing w:line="440" w:lineRule="exact"/>
              <w:ind w:left="0" w:leftChars="0"/>
              <w:rPr>
                <w:rFonts w:ascii="宋体" w:cs="宋体"/>
                <w:sz w:val="24"/>
                <w:szCs w:val="24"/>
              </w:rPr>
            </w:pPr>
            <w:r>
              <w:rPr>
                <w:rFonts w:hint="eastAsia" w:ascii="宋体" w:cs="宋体"/>
                <w:sz w:val="24"/>
                <w:szCs w:val="24"/>
              </w:rPr>
              <w:t>（3）具有环境工程、环境保护等相近专业高级职称的，每人得1分；中级职称的每人得0.5分，最高得</w:t>
            </w:r>
            <w:r>
              <w:rPr>
                <w:rFonts w:hint="eastAsia" w:ascii="宋体" w:cs="宋体"/>
                <w:sz w:val="24"/>
                <w:szCs w:val="24"/>
                <w:lang w:val="en-US" w:eastAsia="zh-CN"/>
              </w:rPr>
              <w:t>6</w:t>
            </w:r>
            <w:r>
              <w:rPr>
                <w:rFonts w:hint="eastAsia" w:ascii="宋体" w:cs="宋体"/>
                <w:sz w:val="24"/>
                <w:szCs w:val="24"/>
              </w:rPr>
              <w:t>分。</w:t>
            </w:r>
          </w:p>
          <w:p w14:paraId="3059A64F">
            <w:pPr>
              <w:pStyle w:val="39"/>
              <w:spacing w:line="440" w:lineRule="exact"/>
              <w:ind w:left="0" w:leftChars="0"/>
              <w:rPr>
                <w:rFonts w:ascii="宋体" w:cs="宋体"/>
                <w:sz w:val="24"/>
                <w:szCs w:val="24"/>
              </w:rPr>
            </w:pPr>
            <w:r>
              <w:rPr>
                <w:rFonts w:hint="eastAsia" w:ascii="宋体" w:cs="宋体"/>
                <w:sz w:val="24"/>
                <w:szCs w:val="24"/>
              </w:rPr>
              <w:t>提供以上相关人员职称证书及本单位或分公司为其缴纳的近一个月的社保证明复印件，</w:t>
            </w:r>
            <w:r>
              <w:rPr>
                <w:rFonts w:ascii="宋体" w:hAnsiTheme="minorHAnsi" w:cstheme="minorBidi"/>
                <w:sz w:val="24"/>
              </w:rPr>
              <w:t>未提供不得分。</w:t>
            </w:r>
          </w:p>
        </w:tc>
        <w:tc>
          <w:tcPr>
            <w:tcW w:w="1276" w:type="dxa"/>
            <w:vAlign w:val="center"/>
          </w:tcPr>
          <w:p w14:paraId="65F16F3E">
            <w:pPr>
              <w:pStyle w:val="39"/>
              <w:spacing w:line="440" w:lineRule="exact"/>
              <w:ind w:left="0" w:leftChars="0"/>
              <w:jc w:val="center"/>
              <w:rPr>
                <w:rFonts w:ascii="宋体" w:cs="宋体"/>
                <w:sz w:val="24"/>
                <w:szCs w:val="24"/>
              </w:rPr>
            </w:pPr>
            <w:r>
              <w:rPr>
                <w:rFonts w:hint="eastAsia" w:ascii="宋体" w:cs="宋体"/>
                <w:sz w:val="24"/>
                <w:szCs w:val="24"/>
              </w:rPr>
              <w:t>20分</w:t>
            </w:r>
          </w:p>
        </w:tc>
      </w:tr>
      <w:tr w14:paraId="495F9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10" w:type="dxa"/>
            <w:vAlign w:val="center"/>
          </w:tcPr>
          <w:p w14:paraId="794A8080">
            <w:pPr>
              <w:spacing w:line="360" w:lineRule="auto"/>
              <w:rPr>
                <w:rFonts w:hint="eastAsia" w:ascii="宋体" w:cs="宋体" w:eastAsiaTheme="minorEastAsia"/>
                <w:sz w:val="24"/>
                <w:lang w:eastAsia="zh-CN"/>
              </w:rPr>
            </w:pPr>
            <w:r>
              <w:rPr>
                <w:rFonts w:hint="eastAsia" w:ascii="宋体" w:cs="宋体"/>
                <w:sz w:val="24"/>
                <w:lang w:val="en-US" w:eastAsia="zh-CN"/>
              </w:rPr>
              <w:t>6</w:t>
            </w:r>
          </w:p>
        </w:tc>
        <w:tc>
          <w:tcPr>
            <w:tcW w:w="1417" w:type="dxa"/>
            <w:vAlign w:val="center"/>
          </w:tcPr>
          <w:p w14:paraId="5285D307">
            <w:pPr>
              <w:pStyle w:val="39"/>
              <w:spacing w:line="440" w:lineRule="exact"/>
              <w:ind w:left="0" w:leftChars="0"/>
              <w:rPr>
                <w:rFonts w:ascii="宋体" w:cs="宋体"/>
                <w:sz w:val="24"/>
                <w:szCs w:val="24"/>
              </w:rPr>
            </w:pPr>
            <w:r>
              <w:rPr>
                <w:rFonts w:hint="eastAsia" w:ascii="宋体" w:cs="宋体"/>
                <w:sz w:val="24"/>
                <w:szCs w:val="24"/>
              </w:rPr>
              <w:t>实验室及设备配置</w:t>
            </w:r>
          </w:p>
        </w:tc>
        <w:tc>
          <w:tcPr>
            <w:tcW w:w="7088" w:type="dxa"/>
            <w:vAlign w:val="center"/>
          </w:tcPr>
          <w:p w14:paraId="6596BDFA">
            <w:pPr>
              <w:pStyle w:val="39"/>
              <w:spacing w:line="440" w:lineRule="exact"/>
              <w:ind w:left="0" w:leftChars="0"/>
              <w:rPr>
                <w:rFonts w:ascii="宋体" w:cs="宋体"/>
                <w:sz w:val="24"/>
                <w:szCs w:val="24"/>
              </w:rPr>
            </w:pPr>
            <w:r>
              <w:rPr>
                <w:rFonts w:hint="eastAsia" w:ascii="宋体" w:cs="宋体"/>
                <w:sz w:val="24"/>
                <w:szCs w:val="24"/>
              </w:rPr>
              <w:t>1.</w:t>
            </w:r>
            <w:r>
              <w:rPr>
                <w:rFonts w:ascii="宋体" w:cs="宋体"/>
                <w:sz w:val="24"/>
                <w:szCs w:val="24"/>
              </w:rPr>
              <w:t>投标人具有自有实验室或者与满足项目要求的实验室有合作协议</w:t>
            </w:r>
            <w:r>
              <w:rPr>
                <w:rFonts w:hint="eastAsia" w:ascii="宋体" w:cs="宋体"/>
                <w:sz w:val="24"/>
                <w:szCs w:val="24"/>
              </w:rPr>
              <w:t>的，得</w:t>
            </w:r>
            <w:r>
              <w:rPr>
                <w:rFonts w:hint="eastAsia" w:ascii="宋体" w:cs="宋体"/>
                <w:sz w:val="24"/>
                <w:szCs w:val="24"/>
                <w:lang w:val="en-US" w:eastAsia="zh-CN"/>
              </w:rPr>
              <w:t>5</w:t>
            </w:r>
            <w:r>
              <w:rPr>
                <w:rFonts w:hint="eastAsia" w:ascii="宋体" w:cs="宋体"/>
                <w:sz w:val="24"/>
                <w:szCs w:val="24"/>
              </w:rPr>
              <w:t>分。</w:t>
            </w:r>
            <w:r>
              <w:rPr>
                <w:rFonts w:ascii="宋体" w:cs="宋体"/>
                <w:sz w:val="24"/>
                <w:szCs w:val="24"/>
              </w:rPr>
              <w:t>提供相关证明材料清晰复印件和现场照片。</w:t>
            </w:r>
          </w:p>
          <w:p w14:paraId="56643D2D">
            <w:pPr>
              <w:pStyle w:val="39"/>
              <w:spacing w:line="440" w:lineRule="exact"/>
              <w:ind w:left="0" w:leftChars="0"/>
              <w:rPr>
                <w:rFonts w:ascii="宋体" w:cs="宋体"/>
                <w:sz w:val="24"/>
                <w:szCs w:val="24"/>
              </w:rPr>
            </w:pPr>
            <w:r>
              <w:rPr>
                <w:rFonts w:hint="eastAsia" w:ascii="宋体" w:cs="宋体"/>
                <w:sz w:val="24"/>
                <w:szCs w:val="24"/>
              </w:rPr>
              <w:t>2.拟投入本项目设备：具有环境空气PM2.5组分析要求的离子色谱仪、碳组分析仪、无机元素分析仪备机的，每提供一项得</w:t>
            </w:r>
            <w:r>
              <w:rPr>
                <w:rFonts w:hint="eastAsia" w:ascii="宋体" w:cs="宋体"/>
                <w:sz w:val="24"/>
                <w:szCs w:val="24"/>
                <w:lang w:val="en-US" w:eastAsia="zh-CN"/>
              </w:rPr>
              <w:t>3</w:t>
            </w:r>
            <w:r>
              <w:rPr>
                <w:rFonts w:hint="eastAsia" w:ascii="宋体" w:cs="宋体"/>
                <w:sz w:val="24"/>
                <w:szCs w:val="24"/>
              </w:rPr>
              <w:t>分，最高得</w:t>
            </w:r>
            <w:r>
              <w:rPr>
                <w:rFonts w:hint="eastAsia" w:ascii="宋体" w:cs="宋体"/>
                <w:sz w:val="24"/>
                <w:szCs w:val="24"/>
                <w:lang w:val="en-US" w:eastAsia="zh-CN"/>
              </w:rPr>
              <w:t>9</w:t>
            </w:r>
            <w:r>
              <w:rPr>
                <w:rFonts w:hint="eastAsia" w:ascii="宋体" w:cs="宋体"/>
                <w:sz w:val="24"/>
                <w:szCs w:val="24"/>
              </w:rPr>
              <w:t>分，</w:t>
            </w:r>
            <w:r>
              <w:rPr>
                <w:rFonts w:ascii="宋体" w:cs="宋体"/>
                <w:sz w:val="24"/>
                <w:szCs w:val="24"/>
              </w:rPr>
              <w:t>提供设备照片和相关参数、功能</w:t>
            </w:r>
            <w:r>
              <w:rPr>
                <w:rFonts w:hint="eastAsia" w:ascii="宋体" w:cs="宋体"/>
                <w:sz w:val="24"/>
                <w:szCs w:val="24"/>
              </w:rPr>
              <w:t>证</w:t>
            </w:r>
            <w:r>
              <w:rPr>
                <w:rFonts w:ascii="宋体" w:cs="宋体"/>
                <w:sz w:val="24"/>
                <w:szCs w:val="24"/>
              </w:rPr>
              <w:t>明材料。</w:t>
            </w:r>
          </w:p>
          <w:p w14:paraId="5D8EBD09">
            <w:pPr>
              <w:pStyle w:val="39"/>
              <w:spacing w:line="440" w:lineRule="exact"/>
              <w:ind w:left="0" w:leftChars="0"/>
              <w:rPr>
                <w:rFonts w:ascii="宋体" w:cs="宋体"/>
                <w:sz w:val="24"/>
                <w:szCs w:val="24"/>
              </w:rPr>
            </w:pPr>
            <w:r>
              <w:rPr>
                <w:rFonts w:hint="eastAsia" w:ascii="宋体" w:cs="宋体"/>
                <w:sz w:val="24"/>
                <w:szCs w:val="24"/>
              </w:rPr>
              <w:t>3.实验室配备科学、合理，检测设备先进、可靠，数量能</w:t>
            </w:r>
            <w:r>
              <w:rPr>
                <w:rFonts w:ascii="宋体" w:cs="宋体"/>
                <w:sz w:val="24"/>
                <w:szCs w:val="24"/>
              </w:rPr>
              <w:t>满足项目实施要求的，</w:t>
            </w:r>
            <w:r>
              <w:rPr>
                <w:rFonts w:ascii="宋体" w:hAnsiTheme="minorHAnsi" w:cstheme="minorBidi"/>
                <w:sz w:val="24"/>
              </w:rPr>
              <w:t>不漏项且有针对性解释说明得</w:t>
            </w:r>
            <w:r>
              <w:rPr>
                <w:rFonts w:hint="eastAsia" w:ascii="宋体" w:hAnsiTheme="minorHAnsi" w:cstheme="minorBidi"/>
                <w:sz w:val="24"/>
              </w:rPr>
              <w:t>6</w:t>
            </w:r>
            <w:r>
              <w:rPr>
                <w:rFonts w:ascii="宋体" w:hAnsiTheme="minorHAnsi" w:cstheme="minorBidi"/>
                <w:sz w:val="24"/>
              </w:rPr>
              <w:t>分；提供的</w:t>
            </w:r>
            <w:r>
              <w:rPr>
                <w:rFonts w:hint="eastAsia" w:ascii="宋体" w:hAnsiTheme="minorHAnsi" w:cstheme="minorBidi"/>
                <w:sz w:val="24"/>
              </w:rPr>
              <w:t>配备</w:t>
            </w:r>
            <w:r>
              <w:rPr>
                <w:rFonts w:ascii="宋体" w:hAnsiTheme="minorHAnsi" w:cstheme="minorBidi"/>
                <w:sz w:val="24"/>
              </w:rPr>
              <w:t>漏缺1项或2项，有针对性解释说明得</w:t>
            </w:r>
            <w:r>
              <w:rPr>
                <w:rFonts w:hint="eastAsia" w:ascii="宋体" w:hAnsiTheme="minorHAnsi" w:cstheme="minorBidi"/>
                <w:sz w:val="24"/>
              </w:rPr>
              <w:t>5</w:t>
            </w:r>
            <w:r>
              <w:rPr>
                <w:rFonts w:ascii="宋体" w:hAnsiTheme="minorHAnsi" w:cstheme="minorBidi"/>
                <w:sz w:val="24"/>
              </w:rPr>
              <w:t>分；提供的</w:t>
            </w:r>
            <w:r>
              <w:rPr>
                <w:rFonts w:hint="eastAsia" w:ascii="宋体" w:hAnsiTheme="minorHAnsi" w:cstheme="minorBidi"/>
                <w:sz w:val="24"/>
              </w:rPr>
              <w:t>配备</w:t>
            </w:r>
            <w:r>
              <w:rPr>
                <w:rFonts w:ascii="宋体" w:hAnsiTheme="minorHAnsi" w:cstheme="minorBidi"/>
                <w:sz w:val="24"/>
              </w:rPr>
              <w:t>基本全面，有针对性解释说明得</w:t>
            </w:r>
            <w:r>
              <w:rPr>
                <w:rFonts w:hint="eastAsia" w:ascii="宋体" w:hAnsiTheme="minorHAnsi" w:cstheme="minorBidi"/>
                <w:sz w:val="24"/>
              </w:rPr>
              <w:t>4</w:t>
            </w:r>
            <w:r>
              <w:rPr>
                <w:rFonts w:ascii="宋体" w:hAnsiTheme="minorHAnsi" w:cstheme="minorBidi"/>
                <w:sz w:val="24"/>
              </w:rPr>
              <w:t>分；提供的</w:t>
            </w:r>
            <w:r>
              <w:rPr>
                <w:rFonts w:hint="eastAsia" w:ascii="宋体" w:hAnsiTheme="minorHAnsi" w:cstheme="minorBidi"/>
                <w:sz w:val="24"/>
              </w:rPr>
              <w:t>配备</w:t>
            </w:r>
            <w:r>
              <w:rPr>
                <w:rFonts w:ascii="宋体" w:hAnsiTheme="minorHAnsi" w:cstheme="minorBidi"/>
                <w:sz w:val="24"/>
              </w:rPr>
              <w:t>不全面，有针对性解释说明得</w:t>
            </w:r>
            <w:r>
              <w:rPr>
                <w:rFonts w:hint="eastAsia" w:ascii="宋体" w:hAnsiTheme="minorHAnsi" w:cstheme="minorBidi"/>
                <w:sz w:val="24"/>
              </w:rPr>
              <w:t>3</w:t>
            </w:r>
            <w:r>
              <w:rPr>
                <w:rFonts w:ascii="宋体" w:hAnsiTheme="minorHAnsi" w:cstheme="minorBidi"/>
                <w:sz w:val="24"/>
              </w:rPr>
              <w:t>分；提供的</w:t>
            </w:r>
            <w:r>
              <w:rPr>
                <w:rFonts w:hint="eastAsia" w:ascii="宋体" w:hAnsiTheme="minorHAnsi" w:cstheme="minorBidi"/>
                <w:sz w:val="24"/>
              </w:rPr>
              <w:t>配备</w:t>
            </w:r>
            <w:r>
              <w:rPr>
                <w:rFonts w:ascii="宋体" w:hAnsiTheme="minorHAnsi" w:cstheme="minorBidi"/>
                <w:sz w:val="24"/>
              </w:rPr>
              <w:t>不全面，没有解释说明得1分；未提供不得分。</w:t>
            </w:r>
          </w:p>
        </w:tc>
        <w:tc>
          <w:tcPr>
            <w:tcW w:w="1276" w:type="dxa"/>
            <w:vAlign w:val="center"/>
          </w:tcPr>
          <w:p w14:paraId="01FE94B2">
            <w:pPr>
              <w:pStyle w:val="39"/>
              <w:spacing w:line="440" w:lineRule="exact"/>
              <w:ind w:left="0" w:leftChars="0"/>
              <w:jc w:val="center"/>
              <w:rPr>
                <w:rFonts w:hint="eastAsia" w:ascii="宋体" w:cs="宋体"/>
                <w:sz w:val="24"/>
                <w:szCs w:val="24"/>
              </w:rPr>
            </w:pPr>
            <w:r>
              <w:rPr>
                <w:rFonts w:hint="eastAsia" w:ascii="宋体" w:cs="宋体"/>
                <w:sz w:val="24"/>
                <w:szCs w:val="24"/>
                <w:lang w:val="en-US" w:eastAsia="zh-CN"/>
              </w:rPr>
              <w:t>20</w:t>
            </w:r>
            <w:r>
              <w:rPr>
                <w:rFonts w:hint="eastAsia" w:ascii="宋体" w:cs="宋体"/>
                <w:sz w:val="24"/>
                <w:szCs w:val="24"/>
              </w:rPr>
              <w:t>分</w:t>
            </w:r>
          </w:p>
          <w:p w14:paraId="7D3FB588">
            <w:pPr>
              <w:pStyle w:val="39"/>
              <w:spacing w:line="440" w:lineRule="exact"/>
              <w:ind w:left="0" w:leftChars="0"/>
              <w:jc w:val="center"/>
              <w:rPr>
                <w:rFonts w:hint="default" w:ascii="宋体" w:eastAsia="宋体" w:cs="宋体"/>
                <w:sz w:val="24"/>
                <w:szCs w:val="24"/>
                <w:lang w:val="en-US" w:eastAsia="zh-CN"/>
              </w:rPr>
            </w:pPr>
          </w:p>
        </w:tc>
      </w:tr>
      <w:tr w14:paraId="7E9B4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vAlign w:val="center"/>
          </w:tcPr>
          <w:p w14:paraId="1A4D0F5B">
            <w:pPr>
              <w:spacing w:line="360" w:lineRule="auto"/>
              <w:rPr>
                <w:rFonts w:hint="eastAsia" w:ascii="宋体" w:cs="宋体" w:eastAsiaTheme="minorEastAsia"/>
                <w:sz w:val="24"/>
                <w:lang w:eastAsia="zh-CN"/>
              </w:rPr>
            </w:pPr>
            <w:r>
              <w:rPr>
                <w:rFonts w:hint="eastAsia" w:ascii="宋体" w:cs="宋体"/>
                <w:sz w:val="24"/>
                <w:lang w:val="en-US" w:eastAsia="zh-CN"/>
              </w:rPr>
              <w:t>7</w:t>
            </w:r>
          </w:p>
        </w:tc>
        <w:tc>
          <w:tcPr>
            <w:tcW w:w="1417" w:type="dxa"/>
            <w:vAlign w:val="center"/>
          </w:tcPr>
          <w:p w14:paraId="79FE1984">
            <w:pPr>
              <w:pStyle w:val="39"/>
              <w:spacing w:line="440" w:lineRule="exact"/>
              <w:ind w:left="0" w:leftChars="0"/>
              <w:rPr>
                <w:rFonts w:ascii="宋体" w:cs="宋体"/>
                <w:sz w:val="24"/>
                <w:szCs w:val="24"/>
              </w:rPr>
            </w:pPr>
            <w:r>
              <w:rPr>
                <w:rFonts w:hint="eastAsia" w:ascii="宋体" w:cs="宋体"/>
                <w:sz w:val="24"/>
                <w:szCs w:val="24"/>
              </w:rPr>
              <w:t>合理化建议</w:t>
            </w:r>
          </w:p>
        </w:tc>
        <w:tc>
          <w:tcPr>
            <w:tcW w:w="7088" w:type="dxa"/>
            <w:vAlign w:val="center"/>
          </w:tcPr>
          <w:p w14:paraId="52A98DD4">
            <w:pPr>
              <w:pStyle w:val="39"/>
              <w:spacing w:line="440" w:lineRule="exact"/>
              <w:ind w:left="0" w:leftChars="0"/>
              <w:rPr>
                <w:rFonts w:ascii="宋体" w:cs="宋体"/>
                <w:sz w:val="24"/>
                <w:szCs w:val="24"/>
              </w:rPr>
            </w:pPr>
            <w:r>
              <w:rPr>
                <w:rFonts w:hint="eastAsia" w:ascii="宋体" w:cs="宋体"/>
                <w:sz w:val="24"/>
                <w:szCs w:val="24"/>
              </w:rPr>
              <w:t>根据供应商提供的针对本项目的理解，结合自身专业优势，提出针对本项目的开展，在资料收集、项目实施过程中的合理化建议，根据其提出的建议的可行性、有效性等方面 ，每提供一条有效建议得1分，最高得</w:t>
            </w:r>
            <w:r>
              <w:rPr>
                <w:rFonts w:hint="eastAsia" w:ascii="宋体" w:cs="宋体"/>
                <w:sz w:val="24"/>
                <w:szCs w:val="24"/>
                <w:lang w:val="en-US" w:eastAsia="zh-CN"/>
              </w:rPr>
              <w:t>3</w:t>
            </w:r>
            <w:r>
              <w:rPr>
                <w:rFonts w:hint="eastAsia" w:ascii="宋体" w:cs="宋体"/>
                <w:sz w:val="24"/>
                <w:szCs w:val="24"/>
              </w:rPr>
              <w:t>分。</w:t>
            </w:r>
          </w:p>
        </w:tc>
        <w:tc>
          <w:tcPr>
            <w:tcW w:w="1276" w:type="dxa"/>
            <w:vAlign w:val="center"/>
          </w:tcPr>
          <w:p w14:paraId="0229B7A7">
            <w:pPr>
              <w:pStyle w:val="39"/>
              <w:spacing w:line="440" w:lineRule="exact"/>
              <w:ind w:left="0" w:leftChars="0"/>
              <w:jc w:val="center"/>
              <w:rPr>
                <w:rFonts w:hint="eastAsia" w:ascii="宋体" w:cs="宋体"/>
                <w:sz w:val="24"/>
                <w:szCs w:val="24"/>
              </w:rPr>
            </w:pPr>
            <w:r>
              <w:rPr>
                <w:rFonts w:hint="eastAsia" w:ascii="宋体" w:cs="宋体"/>
                <w:sz w:val="24"/>
                <w:szCs w:val="24"/>
                <w:lang w:val="en-US" w:eastAsia="zh-CN"/>
              </w:rPr>
              <w:t>3</w:t>
            </w:r>
            <w:r>
              <w:rPr>
                <w:rFonts w:hint="eastAsia" w:ascii="宋体" w:cs="宋体"/>
                <w:sz w:val="24"/>
                <w:szCs w:val="24"/>
              </w:rPr>
              <w:t>分</w:t>
            </w:r>
          </w:p>
          <w:p w14:paraId="56B8C156">
            <w:pPr>
              <w:pStyle w:val="39"/>
              <w:spacing w:line="440" w:lineRule="exact"/>
              <w:ind w:left="0" w:leftChars="0"/>
              <w:jc w:val="center"/>
              <w:rPr>
                <w:rFonts w:hint="eastAsia" w:ascii="宋体" w:eastAsia="宋体" w:cs="宋体"/>
                <w:sz w:val="24"/>
                <w:szCs w:val="24"/>
                <w:lang w:val="en-US" w:eastAsia="zh-CN"/>
              </w:rPr>
            </w:pPr>
          </w:p>
        </w:tc>
      </w:tr>
      <w:tr w14:paraId="35D0A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9215" w:type="dxa"/>
            <w:gridSpan w:val="3"/>
            <w:vAlign w:val="center"/>
          </w:tcPr>
          <w:p w14:paraId="1A03EF2C">
            <w:pPr>
              <w:adjustRightInd w:val="0"/>
              <w:snapToGrid w:val="0"/>
              <w:spacing w:line="360" w:lineRule="auto"/>
              <w:textAlignment w:val="center"/>
              <w:rPr>
                <w:rFonts w:ascii="宋体"/>
                <w:sz w:val="24"/>
                <w:szCs w:val="24"/>
              </w:rPr>
            </w:pPr>
            <w:r>
              <w:rPr>
                <w:rFonts w:hint="eastAsia" w:hAnsi="宋体" w:cs="宋体"/>
                <w:sz w:val="24"/>
                <w:szCs w:val="24"/>
              </w:rPr>
              <w:t>资信</w:t>
            </w:r>
            <w:r>
              <w:rPr>
                <w:rFonts w:hint="eastAsia"/>
                <w:bCs/>
                <w:sz w:val="24"/>
              </w:rPr>
              <w:t>、商务</w:t>
            </w:r>
            <w:r>
              <w:rPr>
                <w:rFonts w:hint="eastAsia" w:hAnsi="宋体" w:cs="宋体"/>
                <w:sz w:val="24"/>
                <w:szCs w:val="24"/>
              </w:rPr>
              <w:t>及其他部分</w:t>
            </w:r>
          </w:p>
        </w:tc>
        <w:tc>
          <w:tcPr>
            <w:tcW w:w="1276" w:type="dxa"/>
            <w:vAlign w:val="center"/>
          </w:tcPr>
          <w:p w14:paraId="2B1DFE97">
            <w:pPr>
              <w:adjustRightInd w:val="0"/>
              <w:snapToGrid w:val="0"/>
              <w:spacing w:line="360" w:lineRule="auto"/>
              <w:jc w:val="center"/>
              <w:textAlignment w:val="center"/>
              <w:rPr>
                <w:rFonts w:asciiTheme="majorEastAsia" w:hAnsiTheme="majorEastAsia" w:eastAsiaTheme="majorEastAsia"/>
                <w:sz w:val="24"/>
              </w:rPr>
            </w:pPr>
            <w:r>
              <w:rPr>
                <w:rFonts w:hint="eastAsia" w:asciiTheme="majorEastAsia" w:hAnsiTheme="majorEastAsia" w:eastAsiaTheme="majorEastAsia"/>
                <w:sz w:val="24"/>
                <w:lang w:val="en-US" w:eastAsia="zh-CN"/>
              </w:rPr>
              <w:t>7</w:t>
            </w:r>
            <w:r>
              <w:rPr>
                <w:rFonts w:hint="eastAsia" w:ascii="宋体" w:hAnsi="Times New Roman" w:eastAsia="宋体" w:cs="宋体"/>
                <w:kern w:val="0"/>
                <w:sz w:val="24"/>
                <w:szCs w:val="24"/>
              </w:rPr>
              <w:t>分</w:t>
            </w:r>
          </w:p>
        </w:tc>
      </w:tr>
      <w:tr w14:paraId="0F77F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vAlign w:val="center"/>
          </w:tcPr>
          <w:p w14:paraId="43F2B41F">
            <w:pPr>
              <w:widowControl/>
              <w:rPr>
                <w:rFonts w:hint="eastAsia" w:ascii="宋体" w:hAnsi="宋体" w:cs="宋体" w:eastAsiaTheme="minorEastAsia"/>
                <w:sz w:val="24"/>
                <w:lang w:eastAsia="zh-CN"/>
              </w:rPr>
            </w:pPr>
            <w:r>
              <w:rPr>
                <w:rFonts w:hint="eastAsia" w:ascii="宋体" w:hAnsi="宋体" w:cs="宋体"/>
                <w:sz w:val="24"/>
                <w:lang w:val="en-US" w:eastAsia="zh-CN"/>
              </w:rPr>
              <w:t>8</w:t>
            </w:r>
          </w:p>
        </w:tc>
        <w:tc>
          <w:tcPr>
            <w:tcW w:w="1417" w:type="dxa"/>
            <w:vAlign w:val="center"/>
          </w:tcPr>
          <w:p w14:paraId="08FEF385">
            <w:pPr>
              <w:pStyle w:val="39"/>
              <w:spacing w:line="440" w:lineRule="exact"/>
              <w:ind w:left="0" w:leftChars="0"/>
              <w:rPr>
                <w:rFonts w:ascii="宋体" w:cs="宋体"/>
                <w:sz w:val="24"/>
                <w:szCs w:val="24"/>
              </w:rPr>
            </w:pPr>
            <w:r>
              <w:rPr>
                <w:rFonts w:ascii="宋体" w:cs="宋体"/>
                <w:sz w:val="24"/>
                <w:szCs w:val="24"/>
              </w:rPr>
              <w:t>企业业绩</w:t>
            </w:r>
          </w:p>
        </w:tc>
        <w:tc>
          <w:tcPr>
            <w:tcW w:w="7088" w:type="dxa"/>
            <w:vAlign w:val="center"/>
          </w:tcPr>
          <w:p w14:paraId="6FC700EE">
            <w:pPr>
              <w:adjustRightInd w:val="0"/>
              <w:snapToGrid w:val="0"/>
              <w:spacing w:line="400" w:lineRule="exact"/>
              <w:rPr>
                <w:rFonts w:ascii="宋体" w:hAnsi="Times New Roman" w:eastAsia="宋体" w:cs="宋体"/>
                <w:kern w:val="0"/>
                <w:sz w:val="24"/>
                <w:szCs w:val="24"/>
              </w:rPr>
            </w:pPr>
            <w:r>
              <w:rPr>
                <w:rFonts w:hint="eastAsia" w:ascii="宋体" w:hAnsi="Times New Roman" w:eastAsia="宋体" w:cs="宋体"/>
                <w:kern w:val="0"/>
                <w:sz w:val="24"/>
                <w:szCs w:val="24"/>
              </w:rPr>
              <w:t>投标人20</w:t>
            </w:r>
            <w:r>
              <w:rPr>
                <w:rFonts w:ascii="宋体" w:hAnsi="Times New Roman" w:eastAsia="宋体" w:cs="宋体"/>
                <w:kern w:val="0"/>
                <w:sz w:val="24"/>
                <w:szCs w:val="24"/>
              </w:rPr>
              <w:t>20</w:t>
            </w:r>
            <w:r>
              <w:rPr>
                <w:rFonts w:hint="eastAsia" w:ascii="宋体" w:hAnsi="Times New Roman" w:eastAsia="宋体" w:cs="宋体"/>
                <w:kern w:val="0"/>
                <w:sz w:val="24"/>
                <w:szCs w:val="24"/>
              </w:rPr>
              <w:t>年1月1日至今（以合同签订时间为准），每提供1个同类项目业绩得0.5分，最高得1分。提供合同复印件。</w:t>
            </w:r>
          </w:p>
        </w:tc>
        <w:tc>
          <w:tcPr>
            <w:tcW w:w="1276" w:type="dxa"/>
            <w:vAlign w:val="center"/>
          </w:tcPr>
          <w:p w14:paraId="0652F2CF">
            <w:pPr>
              <w:adjustRightInd w:val="0"/>
              <w:snapToGrid w:val="0"/>
              <w:spacing w:line="360" w:lineRule="auto"/>
              <w:jc w:val="center"/>
              <w:textAlignment w:val="center"/>
              <w:rPr>
                <w:rFonts w:hint="eastAsia" w:ascii="宋体" w:hAnsi="Times New Roman" w:eastAsia="宋体" w:cs="宋体"/>
                <w:kern w:val="0"/>
                <w:sz w:val="24"/>
                <w:szCs w:val="24"/>
                <w:lang w:val="en-US" w:eastAsia="zh-CN"/>
              </w:rPr>
            </w:pPr>
            <w:r>
              <w:rPr>
                <w:rFonts w:hint="eastAsia" w:ascii="宋体" w:hAnsi="Times New Roman" w:eastAsia="宋体" w:cs="宋体"/>
                <w:kern w:val="0"/>
                <w:sz w:val="24"/>
                <w:szCs w:val="24"/>
              </w:rPr>
              <w:t>1分</w:t>
            </w:r>
          </w:p>
        </w:tc>
      </w:tr>
      <w:tr w14:paraId="15A66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vAlign w:val="center"/>
          </w:tcPr>
          <w:p w14:paraId="452BBF54">
            <w:pPr>
              <w:widowControl/>
              <w:rPr>
                <w:rFonts w:hint="eastAsia" w:ascii="宋体" w:hAnsi="宋体" w:cs="宋体" w:eastAsiaTheme="minorEastAsia"/>
                <w:sz w:val="24"/>
                <w:lang w:eastAsia="zh-CN"/>
              </w:rPr>
            </w:pPr>
            <w:r>
              <w:rPr>
                <w:rFonts w:hint="eastAsia" w:ascii="宋体" w:hAnsi="宋体" w:cs="宋体"/>
                <w:sz w:val="24"/>
                <w:lang w:val="en-US" w:eastAsia="zh-CN"/>
              </w:rPr>
              <w:t>9</w:t>
            </w:r>
          </w:p>
        </w:tc>
        <w:tc>
          <w:tcPr>
            <w:tcW w:w="1417" w:type="dxa"/>
            <w:vAlign w:val="center"/>
          </w:tcPr>
          <w:p w14:paraId="64C530AB">
            <w:pPr>
              <w:pStyle w:val="39"/>
              <w:spacing w:line="440" w:lineRule="exact"/>
              <w:ind w:left="0" w:leftChars="0"/>
              <w:rPr>
                <w:rFonts w:ascii="宋体" w:cs="宋体"/>
                <w:sz w:val="24"/>
                <w:szCs w:val="24"/>
              </w:rPr>
            </w:pPr>
            <w:r>
              <w:rPr>
                <w:rFonts w:hint="eastAsia" w:ascii="宋体" w:cs="宋体"/>
                <w:sz w:val="24"/>
                <w:szCs w:val="24"/>
              </w:rPr>
              <w:t>权威</w:t>
            </w:r>
            <w:r>
              <w:rPr>
                <w:rFonts w:ascii="宋体" w:cs="宋体"/>
                <w:sz w:val="24"/>
                <w:szCs w:val="24"/>
              </w:rPr>
              <w:t>认证</w:t>
            </w:r>
          </w:p>
        </w:tc>
        <w:tc>
          <w:tcPr>
            <w:tcW w:w="7088" w:type="dxa"/>
            <w:vAlign w:val="center"/>
          </w:tcPr>
          <w:p w14:paraId="040F8944">
            <w:pPr>
              <w:pStyle w:val="39"/>
              <w:spacing w:line="440" w:lineRule="exact"/>
              <w:ind w:left="0" w:leftChars="0"/>
              <w:rPr>
                <w:rFonts w:ascii="宋体" w:cs="宋体"/>
                <w:sz w:val="24"/>
                <w:szCs w:val="24"/>
              </w:rPr>
            </w:pPr>
            <w:r>
              <w:rPr>
                <w:rFonts w:hint="eastAsia" w:ascii="宋体" w:cs="宋体"/>
                <w:sz w:val="24"/>
                <w:szCs w:val="24"/>
              </w:rPr>
              <w:t>供应商具有有效的省级及以上计量监督管理部门颁发的计量认证证书</w:t>
            </w:r>
            <w:r>
              <w:rPr>
                <w:rFonts w:hint="eastAsia" w:ascii="宋体" w:cs="宋体"/>
                <w:sz w:val="24"/>
                <w:szCs w:val="24"/>
                <w:lang w:eastAsia="zh-CN"/>
              </w:rPr>
              <w:t>（</w:t>
            </w:r>
            <w:r>
              <w:rPr>
                <w:rFonts w:hint="eastAsia" w:ascii="宋体" w:cs="宋体"/>
                <w:sz w:val="24"/>
                <w:szCs w:val="24"/>
              </w:rPr>
              <w:t>CMA</w:t>
            </w:r>
            <w:r>
              <w:rPr>
                <w:rFonts w:hint="eastAsia" w:ascii="宋体" w:cs="宋体"/>
                <w:sz w:val="24"/>
                <w:szCs w:val="24"/>
                <w:lang w:eastAsia="zh-CN"/>
              </w:rPr>
              <w:t>）</w:t>
            </w:r>
            <w:r>
              <w:rPr>
                <w:rFonts w:hint="eastAsia" w:ascii="宋体" w:cs="宋体"/>
                <w:sz w:val="24"/>
                <w:szCs w:val="24"/>
              </w:rPr>
              <w:t>的得</w:t>
            </w:r>
            <w:r>
              <w:rPr>
                <w:rFonts w:hint="eastAsia" w:ascii="宋体" w:cs="宋体"/>
                <w:sz w:val="24"/>
                <w:szCs w:val="24"/>
                <w:lang w:val="en-US" w:eastAsia="zh-CN"/>
              </w:rPr>
              <w:t>3</w:t>
            </w:r>
            <w:r>
              <w:rPr>
                <w:rFonts w:hint="eastAsia" w:ascii="宋体" w:cs="宋体"/>
                <w:sz w:val="24"/>
                <w:szCs w:val="24"/>
              </w:rPr>
              <w:t>分；具有有效的中国合格评定国家认可委员会颁发的实验室认可证书</w:t>
            </w:r>
            <w:r>
              <w:rPr>
                <w:rFonts w:hint="eastAsia" w:ascii="宋体" w:cs="宋体"/>
                <w:sz w:val="24"/>
                <w:szCs w:val="24"/>
                <w:lang w:eastAsia="zh-CN"/>
              </w:rPr>
              <w:t>（</w:t>
            </w:r>
            <w:r>
              <w:rPr>
                <w:rFonts w:hint="eastAsia" w:ascii="宋体" w:cs="宋体"/>
                <w:sz w:val="24"/>
                <w:szCs w:val="24"/>
              </w:rPr>
              <w:t>CNAS</w:t>
            </w:r>
            <w:r>
              <w:rPr>
                <w:rFonts w:hint="eastAsia" w:ascii="宋体" w:cs="宋体"/>
                <w:sz w:val="24"/>
                <w:szCs w:val="24"/>
                <w:lang w:eastAsia="zh-CN"/>
              </w:rPr>
              <w:t>）</w:t>
            </w:r>
            <w:r>
              <w:rPr>
                <w:rFonts w:hint="eastAsia" w:ascii="宋体" w:cs="宋体"/>
                <w:sz w:val="24"/>
                <w:szCs w:val="24"/>
              </w:rPr>
              <w:t>的得</w:t>
            </w:r>
            <w:r>
              <w:rPr>
                <w:rFonts w:hint="eastAsia" w:ascii="宋体" w:cs="宋体"/>
                <w:sz w:val="24"/>
                <w:szCs w:val="24"/>
                <w:lang w:val="en-US" w:eastAsia="zh-CN"/>
              </w:rPr>
              <w:t>3</w:t>
            </w:r>
            <w:r>
              <w:rPr>
                <w:rFonts w:hint="eastAsia" w:ascii="宋体" w:cs="宋体"/>
                <w:sz w:val="24"/>
                <w:szCs w:val="24"/>
              </w:rPr>
              <w:t>分；提供证书复印件，未提供不得分。</w:t>
            </w:r>
          </w:p>
        </w:tc>
        <w:tc>
          <w:tcPr>
            <w:tcW w:w="1276" w:type="dxa"/>
            <w:vAlign w:val="center"/>
          </w:tcPr>
          <w:p w14:paraId="373D38C8">
            <w:pPr>
              <w:adjustRightInd w:val="0"/>
              <w:snapToGrid w:val="0"/>
              <w:spacing w:line="360" w:lineRule="auto"/>
              <w:ind w:firstLine="240" w:firstLineChars="100"/>
              <w:textAlignment w:val="center"/>
              <w:rPr>
                <w:rFonts w:ascii="宋体" w:hAnsi="Times New Roman" w:eastAsia="宋体" w:cs="宋体"/>
                <w:kern w:val="0"/>
                <w:sz w:val="24"/>
                <w:szCs w:val="24"/>
              </w:rPr>
            </w:pPr>
            <w:r>
              <w:rPr>
                <w:rFonts w:hint="eastAsia" w:ascii="宋体" w:hAnsi="Times New Roman" w:eastAsia="宋体" w:cs="宋体"/>
                <w:kern w:val="0"/>
                <w:sz w:val="24"/>
                <w:szCs w:val="24"/>
                <w:lang w:val="en-US" w:eastAsia="zh-CN"/>
              </w:rPr>
              <w:t>6</w:t>
            </w:r>
            <w:r>
              <w:rPr>
                <w:rFonts w:hint="eastAsia" w:ascii="宋体" w:hAnsi="Times New Roman" w:eastAsia="宋体" w:cs="宋体"/>
                <w:kern w:val="0"/>
                <w:sz w:val="24"/>
                <w:szCs w:val="24"/>
              </w:rPr>
              <w:t>分</w:t>
            </w:r>
          </w:p>
        </w:tc>
      </w:tr>
    </w:tbl>
    <w:p w14:paraId="3D87BFBA">
      <w:pPr>
        <w:spacing w:line="360" w:lineRule="auto"/>
        <w:ind w:left="9094" w:leftChars="200" w:hanging="8674" w:hangingChars="3600"/>
        <w:jc w:val="left"/>
        <w:rPr>
          <w:rFonts w:ascii="宋体" w:hAnsi="宋体"/>
          <w:b/>
          <w:bCs/>
          <w:sz w:val="24"/>
        </w:rPr>
      </w:pPr>
      <w:r>
        <w:rPr>
          <w:rFonts w:hint="eastAsia" w:ascii="宋体" w:hAnsi="宋体"/>
          <w:b/>
          <w:bCs/>
          <w:sz w:val="24"/>
        </w:rPr>
        <w:t>5.技术、商务、资信及其他分的计算</w:t>
      </w:r>
    </w:p>
    <w:p w14:paraId="4978ACE0">
      <w:pPr>
        <w:spacing w:before="156" w:beforeLines="50" w:after="156" w:afterLines="50" w:line="360" w:lineRule="auto"/>
        <w:ind w:firstLine="480" w:firstLineChars="200"/>
        <w:rPr>
          <w:rFonts w:hint="eastAsia" w:ascii="宋体" w:hAnsi="宋体" w:eastAsiaTheme="minorEastAsia"/>
          <w:sz w:val="24"/>
          <w:lang w:eastAsia="zh-CN"/>
        </w:rPr>
      </w:pPr>
      <w:r>
        <w:rPr>
          <w:rFonts w:hint="eastAsia" w:ascii="宋体" w:hAnsi="宋体"/>
          <w:sz w:val="24"/>
        </w:rPr>
        <w:t>技术、商务、资信及其他分按照评标委员会成员的独立评分结果汇总数的算术平均分计算，计算公式为：技术商务资信分=（评标委员会所有成员评分合计数）/（评标委员会组成人员数）</w:t>
      </w:r>
      <w:r>
        <w:rPr>
          <w:rFonts w:hint="eastAsia" w:ascii="宋体" w:hAnsi="宋体"/>
          <w:sz w:val="24"/>
          <w:lang w:eastAsia="zh-CN"/>
        </w:rPr>
        <w:t>。</w:t>
      </w:r>
    </w:p>
    <w:p w14:paraId="6178B121">
      <w:pPr>
        <w:spacing w:line="360" w:lineRule="auto"/>
        <w:ind w:left="9060" w:leftChars="200" w:hanging="8640" w:hangingChars="3600"/>
        <w:jc w:val="left"/>
        <w:rPr>
          <w:rFonts w:ascii="宋体" w:hAnsi="宋体" w:cs="宋体"/>
          <w:sz w:val="24"/>
          <w:szCs w:val="24"/>
        </w:rPr>
      </w:pPr>
    </w:p>
    <w:sectPr>
      <w:headerReference r:id="rId5" w:type="default"/>
      <w:footerReference r:id="rId6" w:type="default"/>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ime new roman">
    <w:altName w:val="微软雅黑"/>
    <w:panose1 w:val="00000000000000000000"/>
    <w:charset w:val="00"/>
    <w:family w:val="roman"/>
    <w:pitch w:val="default"/>
    <w:sig w:usb0="00000000" w:usb1="00000000" w:usb2="00000000" w:usb3="00000000" w:csb0="00040001" w:csb1="00000000"/>
  </w:font>
  <w:font w:name="长城粗隶书">
    <w:altName w:val="宋体"/>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monospace">
    <w:altName w:val="微软雅黑"/>
    <w:panose1 w:val="00000000000000000000"/>
    <w:charset w:val="00"/>
    <w:family w:val="auto"/>
    <w:pitch w:val="default"/>
    <w:sig w:usb0="00000000" w:usb1="00000000" w:usb2="00000000" w:usb3="00000000" w:csb0="00040001" w:csb1="00000000"/>
  </w:font>
  <w:font w:name="长城仿宋">
    <w:altName w:val="黑体"/>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A00002EF" w:usb1="4000207B" w:usb2="00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Verdana">
    <w:panose1 w:val="020B0604030504040204"/>
    <w:charset w:val="00"/>
    <w:family w:val="swiss"/>
    <w:pitch w:val="default"/>
    <w:sig w:usb0="A10006FF" w:usb1="4000205B" w:usb2="00000010" w:usb3="00000000" w:csb0="2000019F" w:csb1="00000000"/>
  </w:font>
  <w:font w:name="??">
    <w:altName w:val="Times New Roman"/>
    <w:panose1 w:val="00000000000000000000"/>
    <w:charset w:val="00"/>
    <w:family w:val="roman"/>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CG Times (W1)">
    <w:altName w:val="Times New Roman"/>
    <w:panose1 w:val="00000000000000000000"/>
    <w:charset w:val="00"/>
    <w:family w:val="roman"/>
    <w:pitch w:val="default"/>
    <w:sig w:usb0="00000000" w:usb1="00000000" w:usb2="00000000" w:usb3="00000000" w:csb0="00000001" w:csb1="00000000"/>
  </w:font>
  <w:font w:name="Arial Unicode MS">
    <w:altName w:val="宋体"/>
    <w:panose1 w:val="020B0604020202020204"/>
    <w:charset w:val="86"/>
    <w:family w:val="roman"/>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003" w:usb1="288F0000" w:usb2="0000000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Palatino">
    <w:altName w:val="Palatino Linotype"/>
    <w:panose1 w:val="00000000000000000000"/>
    <w:charset w:val="00"/>
    <w:family w:val="roman"/>
    <w:pitch w:val="default"/>
    <w:sig w:usb0="00000000" w:usb1="00000000" w:usb2="00000000" w:usb3="00000000" w:csb0="00000001" w:csb1="00000000"/>
  </w:font>
  <w:font w:name="华文仿宋">
    <w:altName w:val="仿宋"/>
    <w:panose1 w:val="02010600040101010101"/>
    <w:charset w:val="86"/>
    <w:family w:val="auto"/>
    <w:pitch w:val="default"/>
    <w:sig w:usb0="00000000" w:usb1="00000000" w:usb2="00000000" w:usb3="00000000" w:csb0="0004009F" w:csb1="DFD70000"/>
  </w:font>
  <w:font w:name="文鼎粗黑">
    <w:altName w:val="黑体"/>
    <w:panose1 w:val="00000000000000000000"/>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Times New Roman Regular">
    <w:altName w:val="Times New Roman"/>
    <w:panose1 w:val="00000000000000000000"/>
    <w:charset w:val="00"/>
    <w:family w:val="auto"/>
    <w:pitch w:val="default"/>
    <w:sig w:usb0="00000000" w:usb1="00000000" w:usb2="00000000" w:usb3="00000000" w:csb0="00040001" w:csb1="00000000"/>
  </w:font>
  <w:font w:name="TimesNewRomanPSMT">
    <w:altName w:val="Times New Roman"/>
    <w:panose1 w:val="00000000000000000000"/>
    <w:charset w:val="00"/>
    <w:family w:val="auto"/>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Palatino Linotype">
    <w:panose1 w:val="02040502050505030304"/>
    <w:charset w:val="00"/>
    <w:family w:val="auto"/>
    <w:pitch w:val="default"/>
    <w:sig w:usb0="E0000287" w:usb1="40000013"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A9F9AD">
    <w:pPr>
      <w:pStyle w:val="41"/>
      <w:rPr>
        <w:sz w:val="24"/>
        <w:szCs w:val="24"/>
      </w:rPr>
    </w:pPr>
    <w:r>
      <w:rPr>
        <w:rFonts w:hint="eastAsia" w:cs="宋体"/>
        <w:sz w:val="24"/>
        <w:szCs w:val="24"/>
      </w:rPr>
      <w:t>浙江华耀建设咨询有限公司</w:t>
    </w:r>
    <w:r>
      <w:rPr>
        <w:sz w:val="24"/>
        <w:szCs w:val="24"/>
      </w:rPr>
      <w:tab/>
    </w:r>
    <w:r>
      <w:rPr>
        <w:sz w:val="24"/>
        <w:szCs w:val="24"/>
      </w:rPr>
      <w:t xml:space="preserve">- </w:t>
    </w:r>
    <w:r>
      <w:rPr>
        <w:sz w:val="24"/>
        <w:szCs w:val="24"/>
      </w:rPr>
      <w:fldChar w:fldCharType="begin"/>
    </w:r>
    <w:r>
      <w:rPr>
        <w:sz w:val="24"/>
        <w:szCs w:val="24"/>
      </w:rPr>
      <w:instrText xml:space="preserve"> PAGE </w:instrText>
    </w:r>
    <w:r>
      <w:rPr>
        <w:sz w:val="24"/>
        <w:szCs w:val="24"/>
      </w:rPr>
      <w:fldChar w:fldCharType="separate"/>
    </w:r>
    <w:r>
      <w:rPr>
        <w:sz w:val="24"/>
        <w:szCs w:val="24"/>
      </w:rPr>
      <w:t>3</w:t>
    </w:r>
    <w:r>
      <w:rPr>
        <w:sz w:val="24"/>
        <w:szCs w:val="24"/>
      </w:rPr>
      <w:fldChar w:fldCharType="end"/>
    </w:r>
    <w:r>
      <w:rPr>
        <w:sz w:val="24"/>
        <w:szCs w:val="24"/>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93354C">
    <w:pPr>
      <w:pStyle w:val="41"/>
      <w:spacing w:before="120"/>
      <w:rPr>
        <w:rFonts w:ascii="宋体" w:hAnsi="宋体" w:cs="宋体"/>
        <w:sz w:val="21"/>
        <w:szCs w:val="21"/>
      </w:rPr>
    </w:pPr>
    <w:r>
      <w:rPr>
        <w:rFonts w:hint="eastAsia" w:ascii="宋体" w:hAnsi="宋体" w:cs="宋体"/>
        <w:sz w:val="21"/>
        <w:szCs w:val="21"/>
      </w:rPr>
      <w:t xml:space="preserve">浙江华耀建设咨询有限公司 </w:t>
    </w:r>
    <w:r>
      <w:rPr>
        <w:rFonts w:ascii="宋体"/>
        <w:sz w:val="21"/>
        <w:szCs w:val="21"/>
      </w:rPr>
      <w:tab/>
    </w:r>
    <w:r>
      <w:rPr>
        <w:rFonts w:ascii="宋体" w:hAnsi="宋体" w:cs="宋体"/>
        <w:sz w:val="21"/>
        <w:szCs w:val="21"/>
      </w:rPr>
      <w:t xml:space="preserve">- </w:t>
    </w:r>
    <w:r>
      <w:rPr>
        <w:rFonts w:ascii="宋体" w:hAnsi="宋体" w:cs="宋体"/>
        <w:sz w:val="21"/>
        <w:szCs w:val="21"/>
      </w:rPr>
      <w:fldChar w:fldCharType="begin"/>
    </w:r>
    <w:r>
      <w:rPr>
        <w:rFonts w:ascii="宋体" w:hAnsi="宋体" w:cs="宋体"/>
        <w:sz w:val="21"/>
        <w:szCs w:val="21"/>
      </w:rPr>
      <w:instrText xml:space="preserve"> PAGE </w:instrText>
    </w:r>
    <w:r>
      <w:rPr>
        <w:rFonts w:ascii="宋体" w:hAnsi="宋体" w:cs="宋体"/>
        <w:sz w:val="21"/>
        <w:szCs w:val="21"/>
      </w:rPr>
      <w:fldChar w:fldCharType="separate"/>
    </w:r>
    <w:r>
      <w:rPr>
        <w:rFonts w:ascii="宋体" w:hAnsi="宋体" w:cs="宋体"/>
        <w:sz w:val="21"/>
        <w:szCs w:val="21"/>
      </w:rPr>
      <w:t>41</w:t>
    </w:r>
    <w:r>
      <w:rPr>
        <w:rFonts w:ascii="宋体" w:hAnsi="宋体" w:cs="宋体"/>
        <w:sz w:val="21"/>
        <w:szCs w:val="21"/>
      </w:rPr>
      <w:fldChar w:fldCharType="end"/>
    </w:r>
    <w:r>
      <w:rPr>
        <w:rFonts w:ascii="宋体" w:hAnsi="宋体" w:cs="宋体"/>
        <w:sz w:val="21"/>
        <w:szCs w:val="21"/>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ABD029">
    <w:pPr>
      <w:pStyle w:val="34"/>
      <w:snapToGrid w:val="0"/>
      <w:spacing w:beforeLines="0" w:afterLines="0" w:line="360" w:lineRule="auto"/>
      <w:ind w:left="178" w:leftChars="85"/>
      <w:rPr>
        <w:sz w:val="24"/>
        <w:szCs w:val="24"/>
        <w:u w:val="single"/>
      </w:rPr>
    </w:pPr>
    <w:r>
      <w:rPr>
        <w:rFonts w:hint="eastAsia"/>
        <w:sz w:val="24"/>
        <w:szCs w:val="24"/>
        <w:u w:val="single"/>
        <w:lang w:eastAsia="zh-CN"/>
      </w:rPr>
      <w:t>大气颗粒物组分手工监测项目</w:t>
    </w:r>
    <w:r>
      <w:rPr>
        <w:rFonts w:hint="eastAsia"/>
        <w:sz w:val="24"/>
        <w:szCs w:val="24"/>
        <w:u w:val="single"/>
      </w:rPr>
      <w:t xml:space="preserve">      </w:t>
    </w:r>
    <w:r>
      <w:rPr>
        <w:rFonts w:hint="eastAsia"/>
        <w:sz w:val="24"/>
        <w:szCs w:val="24"/>
        <w:u w:val="single"/>
        <w:lang w:val="en-US" w:eastAsia="zh-CN"/>
      </w:rPr>
      <w:t xml:space="preserve">                         </w:t>
    </w:r>
    <w:r>
      <w:rPr>
        <w:rFonts w:hint="eastAsia"/>
        <w:sz w:val="24"/>
        <w:szCs w:val="24"/>
        <w:u w:val="single"/>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79731">
    <w:pPr>
      <w:pStyle w:val="34"/>
      <w:snapToGrid w:val="0"/>
      <w:spacing w:beforeLines="0" w:afterLines="0" w:line="360" w:lineRule="auto"/>
      <w:ind w:left="178" w:leftChars="85"/>
      <w:rPr>
        <w:u w:val="single"/>
      </w:rPr>
    </w:pPr>
    <w:r>
      <w:rPr>
        <w:rFonts w:hint="eastAsia"/>
        <w:u w:val="single"/>
        <w:lang w:eastAsia="zh-CN"/>
      </w:rPr>
      <w:t>大气颗粒物组分手工监测项目</w:t>
    </w:r>
    <w:r>
      <w:rPr>
        <w:rFonts w:hint="eastAsia"/>
        <w:u w:val="single"/>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BF5865"/>
    <w:multiLevelType w:val="singleLevel"/>
    <w:tmpl w:val="88BF5865"/>
    <w:lvl w:ilvl="0" w:tentative="0">
      <w:start w:val="1"/>
      <w:numFmt w:val="decimal"/>
      <w:suff w:val="nothing"/>
      <w:lvlText w:val="%1、"/>
      <w:lvlJc w:val="left"/>
    </w:lvl>
  </w:abstractNum>
  <w:abstractNum w:abstractNumId="1">
    <w:nsid w:val="B5FB79E6"/>
    <w:multiLevelType w:val="singleLevel"/>
    <w:tmpl w:val="B5FB79E6"/>
    <w:lvl w:ilvl="0" w:tentative="0">
      <w:start w:val="1"/>
      <w:numFmt w:val="decimal"/>
      <w:suff w:val="nothing"/>
      <w:lvlText w:val="%1、"/>
      <w:lvlJc w:val="left"/>
    </w:lvl>
  </w:abstractNum>
  <w:abstractNum w:abstractNumId="2">
    <w:nsid w:val="00000002"/>
    <w:multiLevelType w:val="singleLevel"/>
    <w:tmpl w:val="00000002"/>
    <w:lvl w:ilvl="0" w:tentative="0">
      <w:start w:val="2"/>
      <w:numFmt w:val="decimal"/>
      <w:lvlText w:val="%1."/>
      <w:lvlJc w:val="left"/>
      <w:pPr>
        <w:tabs>
          <w:tab w:val="left" w:pos="312"/>
        </w:tabs>
      </w:pPr>
    </w:lvl>
  </w:abstractNum>
  <w:abstractNum w:abstractNumId="3">
    <w:nsid w:val="00000003"/>
    <w:multiLevelType w:val="multilevel"/>
    <w:tmpl w:val="00000003"/>
    <w:lvl w:ilvl="0" w:tentative="0">
      <w:start w:val="2"/>
      <w:numFmt w:val="japaneseCounting"/>
      <w:lvlText w:val="%1、"/>
      <w:lvlJc w:val="left"/>
      <w:pPr>
        <w:ind w:left="720" w:hanging="720"/>
      </w:pPr>
      <w:rPr>
        <w:rFonts w:hint="default"/>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04"/>
    <w:multiLevelType w:val="multilevel"/>
    <w:tmpl w:val="00000004"/>
    <w:lvl w:ilvl="0" w:tentative="0">
      <w:start w:val="1"/>
      <w:numFmt w:val="decimalEnclosedCircle"/>
      <w:lvlText w:val="%1"/>
      <w:lvlJc w:val="left"/>
      <w:pPr>
        <w:ind w:left="360" w:hanging="360"/>
      </w:pPr>
      <w:rPr>
        <w:rFonts w:hint="eastAsia" w:ascii="宋体" w:hAnsi="宋体" w:eastAsia="宋体" w:cs="TimesNewRomanPSMT"/>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03533815"/>
    <w:multiLevelType w:val="multilevel"/>
    <w:tmpl w:val="03533815"/>
    <w:lvl w:ilvl="0" w:tentative="0">
      <w:start w:val="2"/>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24CA855"/>
    <w:multiLevelType w:val="singleLevel"/>
    <w:tmpl w:val="324CA855"/>
    <w:lvl w:ilvl="0" w:tentative="0">
      <w:start w:val="1"/>
      <w:numFmt w:val="decimal"/>
      <w:suff w:val="nothing"/>
      <w:lvlText w:val="%1、"/>
      <w:lvlJc w:val="left"/>
    </w:lvl>
  </w:abstractNum>
  <w:num w:numId="1">
    <w:abstractNumId w:val="5"/>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I3YzJlMmZmMDkwMzU3M2RlN2ZjMTllNmYwMDAxODAifQ=="/>
  </w:docVars>
  <w:rsids>
    <w:rsidRoot w:val="00A112CB"/>
    <w:rsid w:val="00001624"/>
    <w:rsid w:val="00010748"/>
    <w:rsid w:val="00011704"/>
    <w:rsid w:val="00012EB0"/>
    <w:rsid w:val="00015E32"/>
    <w:rsid w:val="00027886"/>
    <w:rsid w:val="00030703"/>
    <w:rsid w:val="00037348"/>
    <w:rsid w:val="00037E2E"/>
    <w:rsid w:val="00040131"/>
    <w:rsid w:val="0004041E"/>
    <w:rsid w:val="000411C1"/>
    <w:rsid w:val="00042830"/>
    <w:rsid w:val="00043997"/>
    <w:rsid w:val="00045186"/>
    <w:rsid w:val="0005246D"/>
    <w:rsid w:val="000563C1"/>
    <w:rsid w:val="00056E08"/>
    <w:rsid w:val="00060058"/>
    <w:rsid w:val="00060346"/>
    <w:rsid w:val="0006361A"/>
    <w:rsid w:val="00064AFF"/>
    <w:rsid w:val="00064D35"/>
    <w:rsid w:val="000651BA"/>
    <w:rsid w:val="000677AC"/>
    <w:rsid w:val="000708C7"/>
    <w:rsid w:val="00071C40"/>
    <w:rsid w:val="0007234B"/>
    <w:rsid w:val="000762AE"/>
    <w:rsid w:val="000807F5"/>
    <w:rsid w:val="00086E82"/>
    <w:rsid w:val="000872D8"/>
    <w:rsid w:val="00090A69"/>
    <w:rsid w:val="00092007"/>
    <w:rsid w:val="0009313F"/>
    <w:rsid w:val="00097ACB"/>
    <w:rsid w:val="000A00A4"/>
    <w:rsid w:val="000A5068"/>
    <w:rsid w:val="000A63E3"/>
    <w:rsid w:val="000A6A93"/>
    <w:rsid w:val="000A7A72"/>
    <w:rsid w:val="000A7D7C"/>
    <w:rsid w:val="000B2594"/>
    <w:rsid w:val="000B2A3B"/>
    <w:rsid w:val="000B2D68"/>
    <w:rsid w:val="000C2AC8"/>
    <w:rsid w:val="000C6834"/>
    <w:rsid w:val="000C73BA"/>
    <w:rsid w:val="000D03FA"/>
    <w:rsid w:val="000D19C5"/>
    <w:rsid w:val="000D1E91"/>
    <w:rsid w:val="000D22D2"/>
    <w:rsid w:val="000F1742"/>
    <w:rsid w:val="000F17F2"/>
    <w:rsid w:val="000F564A"/>
    <w:rsid w:val="000F65E0"/>
    <w:rsid w:val="00102765"/>
    <w:rsid w:val="00103585"/>
    <w:rsid w:val="001075BC"/>
    <w:rsid w:val="00112A81"/>
    <w:rsid w:val="0011720B"/>
    <w:rsid w:val="001204A7"/>
    <w:rsid w:val="00120E95"/>
    <w:rsid w:val="00133385"/>
    <w:rsid w:val="00137972"/>
    <w:rsid w:val="00140D57"/>
    <w:rsid w:val="00140F3C"/>
    <w:rsid w:val="00141069"/>
    <w:rsid w:val="0014490B"/>
    <w:rsid w:val="00145F18"/>
    <w:rsid w:val="0014788C"/>
    <w:rsid w:val="0015004A"/>
    <w:rsid w:val="0015361A"/>
    <w:rsid w:val="001556BA"/>
    <w:rsid w:val="00162679"/>
    <w:rsid w:val="00164AF1"/>
    <w:rsid w:val="00165C8B"/>
    <w:rsid w:val="00165F53"/>
    <w:rsid w:val="00166CE5"/>
    <w:rsid w:val="00166F43"/>
    <w:rsid w:val="001704AC"/>
    <w:rsid w:val="001704B8"/>
    <w:rsid w:val="00171E3B"/>
    <w:rsid w:val="00171EE2"/>
    <w:rsid w:val="00173AC8"/>
    <w:rsid w:val="0018343F"/>
    <w:rsid w:val="00183F10"/>
    <w:rsid w:val="0018568C"/>
    <w:rsid w:val="00185BFB"/>
    <w:rsid w:val="00186294"/>
    <w:rsid w:val="00191250"/>
    <w:rsid w:val="001953F6"/>
    <w:rsid w:val="001A022F"/>
    <w:rsid w:val="001A1CEC"/>
    <w:rsid w:val="001A44DD"/>
    <w:rsid w:val="001A4C6B"/>
    <w:rsid w:val="001A60FB"/>
    <w:rsid w:val="001A7497"/>
    <w:rsid w:val="001B2831"/>
    <w:rsid w:val="001B2A03"/>
    <w:rsid w:val="001B3B25"/>
    <w:rsid w:val="001B554B"/>
    <w:rsid w:val="001B63CF"/>
    <w:rsid w:val="001C2B17"/>
    <w:rsid w:val="001C32EB"/>
    <w:rsid w:val="001C3CEF"/>
    <w:rsid w:val="001C4BA0"/>
    <w:rsid w:val="001C588D"/>
    <w:rsid w:val="001D2F1E"/>
    <w:rsid w:val="001D5CC6"/>
    <w:rsid w:val="001D7537"/>
    <w:rsid w:val="001F068C"/>
    <w:rsid w:val="001F176F"/>
    <w:rsid w:val="001F41A5"/>
    <w:rsid w:val="001F60D4"/>
    <w:rsid w:val="00201664"/>
    <w:rsid w:val="002027C4"/>
    <w:rsid w:val="00206AFA"/>
    <w:rsid w:val="002070FB"/>
    <w:rsid w:val="00207F3A"/>
    <w:rsid w:val="002136ED"/>
    <w:rsid w:val="00224574"/>
    <w:rsid w:val="002421A5"/>
    <w:rsid w:val="00242389"/>
    <w:rsid w:val="00244182"/>
    <w:rsid w:val="00247F18"/>
    <w:rsid w:val="00251209"/>
    <w:rsid w:val="002515FE"/>
    <w:rsid w:val="00252EB8"/>
    <w:rsid w:val="0025425D"/>
    <w:rsid w:val="00254EE0"/>
    <w:rsid w:val="002569E3"/>
    <w:rsid w:val="002577F6"/>
    <w:rsid w:val="00260A74"/>
    <w:rsid w:val="0026515A"/>
    <w:rsid w:val="00274B2A"/>
    <w:rsid w:val="00281AE7"/>
    <w:rsid w:val="00283DC0"/>
    <w:rsid w:val="002859C5"/>
    <w:rsid w:val="0029197C"/>
    <w:rsid w:val="00295B37"/>
    <w:rsid w:val="002A7A1E"/>
    <w:rsid w:val="002B10BB"/>
    <w:rsid w:val="002B37DB"/>
    <w:rsid w:val="002B4EEC"/>
    <w:rsid w:val="002B5053"/>
    <w:rsid w:val="002B561B"/>
    <w:rsid w:val="002B65FE"/>
    <w:rsid w:val="002B7637"/>
    <w:rsid w:val="002C2459"/>
    <w:rsid w:val="002D072A"/>
    <w:rsid w:val="002D1439"/>
    <w:rsid w:val="002D15FA"/>
    <w:rsid w:val="002D3FD3"/>
    <w:rsid w:val="002D67C7"/>
    <w:rsid w:val="002D6B8D"/>
    <w:rsid w:val="002E2BAA"/>
    <w:rsid w:val="002E4EF0"/>
    <w:rsid w:val="002E7757"/>
    <w:rsid w:val="002F2ED3"/>
    <w:rsid w:val="002F4BF6"/>
    <w:rsid w:val="002F7681"/>
    <w:rsid w:val="00300707"/>
    <w:rsid w:val="00301D9D"/>
    <w:rsid w:val="00304837"/>
    <w:rsid w:val="003074EF"/>
    <w:rsid w:val="003120E9"/>
    <w:rsid w:val="00313AC3"/>
    <w:rsid w:val="0031415A"/>
    <w:rsid w:val="003145CD"/>
    <w:rsid w:val="00314E71"/>
    <w:rsid w:val="00314EF6"/>
    <w:rsid w:val="00316205"/>
    <w:rsid w:val="00316E1D"/>
    <w:rsid w:val="0032294E"/>
    <w:rsid w:val="00324A7C"/>
    <w:rsid w:val="003316BA"/>
    <w:rsid w:val="00333D70"/>
    <w:rsid w:val="00340AED"/>
    <w:rsid w:val="003442D4"/>
    <w:rsid w:val="00350693"/>
    <w:rsid w:val="00350782"/>
    <w:rsid w:val="003510F1"/>
    <w:rsid w:val="003511AD"/>
    <w:rsid w:val="0035453C"/>
    <w:rsid w:val="00361F0E"/>
    <w:rsid w:val="00362D34"/>
    <w:rsid w:val="0036326F"/>
    <w:rsid w:val="003643EB"/>
    <w:rsid w:val="00384B2E"/>
    <w:rsid w:val="00394598"/>
    <w:rsid w:val="0039743A"/>
    <w:rsid w:val="003977EB"/>
    <w:rsid w:val="00397C79"/>
    <w:rsid w:val="003A4EE8"/>
    <w:rsid w:val="003A5A83"/>
    <w:rsid w:val="003B4246"/>
    <w:rsid w:val="003B433D"/>
    <w:rsid w:val="003B5DA3"/>
    <w:rsid w:val="003C048D"/>
    <w:rsid w:val="003C382B"/>
    <w:rsid w:val="003C69C4"/>
    <w:rsid w:val="003C7F47"/>
    <w:rsid w:val="003E0D04"/>
    <w:rsid w:val="003F11CF"/>
    <w:rsid w:val="003F2DA6"/>
    <w:rsid w:val="003F416A"/>
    <w:rsid w:val="00402019"/>
    <w:rsid w:val="004034CB"/>
    <w:rsid w:val="00406A5A"/>
    <w:rsid w:val="004122AD"/>
    <w:rsid w:val="004166DB"/>
    <w:rsid w:val="0042175B"/>
    <w:rsid w:val="0042626A"/>
    <w:rsid w:val="00431B83"/>
    <w:rsid w:val="0043362F"/>
    <w:rsid w:val="00434C76"/>
    <w:rsid w:val="00434D55"/>
    <w:rsid w:val="004356CF"/>
    <w:rsid w:val="0043582F"/>
    <w:rsid w:val="0044553C"/>
    <w:rsid w:val="004467F9"/>
    <w:rsid w:val="00450468"/>
    <w:rsid w:val="004518B0"/>
    <w:rsid w:val="0045198D"/>
    <w:rsid w:val="00454B10"/>
    <w:rsid w:val="00465FDA"/>
    <w:rsid w:val="004672EE"/>
    <w:rsid w:val="00471703"/>
    <w:rsid w:val="0048132D"/>
    <w:rsid w:val="004821F0"/>
    <w:rsid w:val="0048607F"/>
    <w:rsid w:val="00486BCA"/>
    <w:rsid w:val="00491EE2"/>
    <w:rsid w:val="004A027D"/>
    <w:rsid w:val="004A1337"/>
    <w:rsid w:val="004A43A5"/>
    <w:rsid w:val="004A61BD"/>
    <w:rsid w:val="004A745E"/>
    <w:rsid w:val="004B0421"/>
    <w:rsid w:val="004B30EA"/>
    <w:rsid w:val="004B4A99"/>
    <w:rsid w:val="004C2053"/>
    <w:rsid w:val="004C2284"/>
    <w:rsid w:val="004C2B67"/>
    <w:rsid w:val="004C52A7"/>
    <w:rsid w:val="004C5BF7"/>
    <w:rsid w:val="004D0EC7"/>
    <w:rsid w:val="004D4CAA"/>
    <w:rsid w:val="004E0C89"/>
    <w:rsid w:val="004E1891"/>
    <w:rsid w:val="004E363D"/>
    <w:rsid w:val="004E65DC"/>
    <w:rsid w:val="004E6625"/>
    <w:rsid w:val="004E73BB"/>
    <w:rsid w:val="004F2A09"/>
    <w:rsid w:val="004F39F2"/>
    <w:rsid w:val="004F44F7"/>
    <w:rsid w:val="004F47FD"/>
    <w:rsid w:val="004F6BF6"/>
    <w:rsid w:val="005003CC"/>
    <w:rsid w:val="0050572B"/>
    <w:rsid w:val="00506F31"/>
    <w:rsid w:val="005130DE"/>
    <w:rsid w:val="00514372"/>
    <w:rsid w:val="00523E1D"/>
    <w:rsid w:val="00537B03"/>
    <w:rsid w:val="00546329"/>
    <w:rsid w:val="00546BEE"/>
    <w:rsid w:val="00547E84"/>
    <w:rsid w:val="00550637"/>
    <w:rsid w:val="00550FE4"/>
    <w:rsid w:val="00555132"/>
    <w:rsid w:val="0055686F"/>
    <w:rsid w:val="005618F0"/>
    <w:rsid w:val="00561E63"/>
    <w:rsid w:val="0056641F"/>
    <w:rsid w:val="00574D37"/>
    <w:rsid w:val="00576BCD"/>
    <w:rsid w:val="005777EA"/>
    <w:rsid w:val="00577DE2"/>
    <w:rsid w:val="005822C3"/>
    <w:rsid w:val="00587BF9"/>
    <w:rsid w:val="00591FB1"/>
    <w:rsid w:val="00594DD2"/>
    <w:rsid w:val="005A0CD3"/>
    <w:rsid w:val="005A4BF4"/>
    <w:rsid w:val="005A5AA0"/>
    <w:rsid w:val="005A62A8"/>
    <w:rsid w:val="005B33BA"/>
    <w:rsid w:val="005B748E"/>
    <w:rsid w:val="005C045F"/>
    <w:rsid w:val="005D0F8D"/>
    <w:rsid w:val="005D3833"/>
    <w:rsid w:val="005E584A"/>
    <w:rsid w:val="005E6BB6"/>
    <w:rsid w:val="005F3A14"/>
    <w:rsid w:val="005F4B5A"/>
    <w:rsid w:val="00601F8B"/>
    <w:rsid w:val="00606955"/>
    <w:rsid w:val="0061029F"/>
    <w:rsid w:val="00611FD2"/>
    <w:rsid w:val="00612693"/>
    <w:rsid w:val="00617A9F"/>
    <w:rsid w:val="00627508"/>
    <w:rsid w:val="0063140B"/>
    <w:rsid w:val="006400E8"/>
    <w:rsid w:val="006419BE"/>
    <w:rsid w:val="00643119"/>
    <w:rsid w:val="006444DC"/>
    <w:rsid w:val="00644C2D"/>
    <w:rsid w:val="00646459"/>
    <w:rsid w:val="006475DF"/>
    <w:rsid w:val="006500B9"/>
    <w:rsid w:val="00650D6E"/>
    <w:rsid w:val="006511FD"/>
    <w:rsid w:val="00652859"/>
    <w:rsid w:val="006576CE"/>
    <w:rsid w:val="0065781E"/>
    <w:rsid w:val="00660687"/>
    <w:rsid w:val="00662AD2"/>
    <w:rsid w:val="00664421"/>
    <w:rsid w:val="00673FAE"/>
    <w:rsid w:val="0068147D"/>
    <w:rsid w:val="006833B8"/>
    <w:rsid w:val="006920EA"/>
    <w:rsid w:val="00693DF2"/>
    <w:rsid w:val="00696778"/>
    <w:rsid w:val="00696898"/>
    <w:rsid w:val="006968AE"/>
    <w:rsid w:val="006969C6"/>
    <w:rsid w:val="006A3911"/>
    <w:rsid w:val="006A5DA4"/>
    <w:rsid w:val="006B0582"/>
    <w:rsid w:val="006C037E"/>
    <w:rsid w:val="006C6164"/>
    <w:rsid w:val="006D50E0"/>
    <w:rsid w:val="006D573B"/>
    <w:rsid w:val="006D5E2F"/>
    <w:rsid w:val="006D7CD8"/>
    <w:rsid w:val="006E1225"/>
    <w:rsid w:val="00705B6E"/>
    <w:rsid w:val="00705EE7"/>
    <w:rsid w:val="00710D09"/>
    <w:rsid w:val="00716FAA"/>
    <w:rsid w:val="00717550"/>
    <w:rsid w:val="00721B59"/>
    <w:rsid w:val="007238E0"/>
    <w:rsid w:val="007242FA"/>
    <w:rsid w:val="00725761"/>
    <w:rsid w:val="00742B19"/>
    <w:rsid w:val="00742EEC"/>
    <w:rsid w:val="00746036"/>
    <w:rsid w:val="007553D0"/>
    <w:rsid w:val="007617AA"/>
    <w:rsid w:val="007635B2"/>
    <w:rsid w:val="00763D1F"/>
    <w:rsid w:val="00772862"/>
    <w:rsid w:val="0077346C"/>
    <w:rsid w:val="00774A6A"/>
    <w:rsid w:val="0077688C"/>
    <w:rsid w:val="007770FF"/>
    <w:rsid w:val="007805EE"/>
    <w:rsid w:val="007817F7"/>
    <w:rsid w:val="00782E37"/>
    <w:rsid w:val="007915F5"/>
    <w:rsid w:val="00791E94"/>
    <w:rsid w:val="007943BB"/>
    <w:rsid w:val="00796479"/>
    <w:rsid w:val="00796AAB"/>
    <w:rsid w:val="00796FDD"/>
    <w:rsid w:val="007974EF"/>
    <w:rsid w:val="007A1F07"/>
    <w:rsid w:val="007A58A3"/>
    <w:rsid w:val="007A7B0F"/>
    <w:rsid w:val="007B15E3"/>
    <w:rsid w:val="007B1AA0"/>
    <w:rsid w:val="007B745C"/>
    <w:rsid w:val="007C4D0F"/>
    <w:rsid w:val="007C5B1A"/>
    <w:rsid w:val="007C7174"/>
    <w:rsid w:val="007D44B7"/>
    <w:rsid w:val="007E2D8C"/>
    <w:rsid w:val="007E3CD6"/>
    <w:rsid w:val="007E49A3"/>
    <w:rsid w:val="007E6829"/>
    <w:rsid w:val="007F3C16"/>
    <w:rsid w:val="007F558D"/>
    <w:rsid w:val="007F5D14"/>
    <w:rsid w:val="007F6372"/>
    <w:rsid w:val="007F65E3"/>
    <w:rsid w:val="00804B7C"/>
    <w:rsid w:val="0080647B"/>
    <w:rsid w:val="00811D50"/>
    <w:rsid w:val="00821872"/>
    <w:rsid w:val="00826AE6"/>
    <w:rsid w:val="00827F8F"/>
    <w:rsid w:val="00835C6F"/>
    <w:rsid w:val="00836BF4"/>
    <w:rsid w:val="00837183"/>
    <w:rsid w:val="00840664"/>
    <w:rsid w:val="00840782"/>
    <w:rsid w:val="008451DC"/>
    <w:rsid w:val="0085282C"/>
    <w:rsid w:val="0085534E"/>
    <w:rsid w:val="0085678F"/>
    <w:rsid w:val="008633BE"/>
    <w:rsid w:val="008635A5"/>
    <w:rsid w:val="00867701"/>
    <w:rsid w:val="0087312C"/>
    <w:rsid w:val="0088172C"/>
    <w:rsid w:val="0088200E"/>
    <w:rsid w:val="00885BD6"/>
    <w:rsid w:val="00891560"/>
    <w:rsid w:val="00893E4F"/>
    <w:rsid w:val="008961C6"/>
    <w:rsid w:val="00896222"/>
    <w:rsid w:val="008962EA"/>
    <w:rsid w:val="008A0D14"/>
    <w:rsid w:val="008A4F98"/>
    <w:rsid w:val="008A6060"/>
    <w:rsid w:val="008A67C5"/>
    <w:rsid w:val="008A6CB6"/>
    <w:rsid w:val="008B0B2D"/>
    <w:rsid w:val="008B42FB"/>
    <w:rsid w:val="008B441B"/>
    <w:rsid w:val="008B5FFE"/>
    <w:rsid w:val="008B698A"/>
    <w:rsid w:val="008C3374"/>
    <w:rsid w:val="008C50A7"/>
    <w:rsid w:val="008C5789"/>
    <w:rsid w:val="008D071F"/>
    <w:rsid w:val="008D1EF1"/>
    <w:rsid w:val="008D4B0E"/>
    <w:rsid w:val="008E0C83"/>
    <w:rsid w:val="008E14B3"/>
    <w:rsid w:val="008E14BC"/>
    <w:rsid w:val="008E2D83"/>
    <w:rsid w:val="008F7BCF"/>
    <w:rsid w:val="0090125F"/>
    <w:rsid w:val="0090750E"/>
    <w:rsid w:val="00911795"/>
    <w:rsid w:val="00912F90"/>
    <w:rsid w:val="00915FE0"/>
    <w:rsid w:val="00924FEC"/>
    <w:rsid w:val="009254DC"/>
    <w:rsid w:val="00930ECF"/>
    <w:rsid w:val="0093190B"/>
    <w:rsid w:val="00936E6B"/>
    <w:rsid w:val="00937336"/>
    <w:rsid w:val="00937B69"/>
    <w:rsid w:val="00941B65"/>
    <w:rsid w:val="0094245E"/>
    <w:rsid w:val="00956F96"/>
    <w:rsid w:val="009730F6"/>
    <w:rsid w:val="00975D40"/>
    <w:rsid w:val="009762F0"/>
    <w:rsid w:val="00976980"/>
    <w:rsid w:val="00977478"/>
    <w:rsid w:val="00981FB1"/>
    <w:rsid w:val="00983A58"/>
    <w:rsid w:val="00984C1A"/>
    <w:rsid w:val="00984C35"/>
    <w:rsid w:val="009A0910"/>
    <w:rsid w:val="009A56F8"/>
    <w:rsid w:val="009C0814"/>
    <w:rsid w:val="009C383C"/>
    <w:rsid w:val="009C7FF7"/>
    <w:rsid w:val="009D4638"/>
    <w:rsid w:val="009D7096"/>
    <w:rsid w:val="009E6C52"/>
    <w:rsid w:val="009F46A0"/>
    <w:rsid w:val="009F5E40"/>
    <w:rsid w:val="009F7617"/>
    <w:rsid w:val="009F7C3B"/>
    <w:rsid w:val="00A03855"/>
    <w:rsid w:val="00A112B9"/>
    <w:rsid w:val="00A112CB"/>
    <w:rsid w:val="00A141AF"/>
    <w:rsid w:val="00A208EB"/>
    <w:rsid w:val="00A26CD9"/>
    <w:rsid w:val="00A311A7"/>
    <w:rsid w:val="00A32661"/>
    <w:rsid w:val="00A373F1"/>
    <w:rsid w:val="00A403CD"/>
    <w:rsid w:val="00A4229F"/>
    <w:rsid w:val="00A42FBD"/>
    <w:rsid w:val="00A47162"/>
    <w:rsid w:val="00A4723B"/>
    <w:rsid w:val="00A55919"/>
    <w:rsid w:val="00A56E6B"/>
    <w:rsid w:val="00A6113A"/>
    <w:rsid w:val="00A635DF"/>
    <w:rsid w:val="00A641BA"/>
    <w:rsid w:val="00A67741"/>
    <w:rsid w:val="00A700FE"/>
    <w:rsid w:val="00A72B3A"/>
    <w:rsid w:val="00A73AB5"/>
    <w:rsid w:val="00A73BE0"/>
    <w:rsid w:val="00A74156"/>
    <w:rsid w:val="00A741A4"/>
    <w:rsid w:val="00A75744"/>
    <w:rsid w:val="00A80B90"/>
    <w:rsid w:val="00A82828"/>
    <w:rsid w:val="00A83A8F"/>
    <w:rsid w:val="00A869C1"/>
    <w:rsid w:val="00A928D4"/>
    <w:rsid w:val="00A95B7D"/>
    <w:rsid w:val="00A97CE6"/>
    <w:rsid w:val="00AA4C35"/>
    <w:rsid w:val="00AB5223"/>
    <w:rsid w:val="00AB6FCC"/>
    <w:rsid w:val="00AC4D44"/>
    <w:rsid w:val="00AC5149"/>
    <w:rsid w:val="00AD109C"/>
    <w:rsid w:val="00AD3621"/>
    <w:rsid w:val="00AE55F7"/>
    <w:rsid w:val="00AE6777"/>
    <w:rsid w:val="00AF1012"/>
    <w:rsid w:val="00AF5DD8"/>
    <w:rsid w:val="00B00B5C"/>
    <w:rsid w:val="00B01A2C"/>
    <w:rsid w:val="00B03CC4"/>
    <w:rsid w:val="00B075F1"/>
    <w:rsid w:val="00B12AA3"/>
    <w:rsid w:val="00B21F71"/>
    <w:rsid w:val="00B2270F"/>
    <w:rsid w:val="00B26A8B"/>
    <w:rsid w:val="00B313AF"/>
    <w:rsid w:val="00B347ED"/>
    <w:rsid w:val="00B40C7A"/>
    <w:rsid w:val="00B52638"/>
    <w:rsid w:val="00B556EF"/>
    <w:rsid w:val="00B573EA"/>
    <w:rsid w:val="00B6215D"/>
    <w:rsid w:val="00B62415"/>
    <w:rsid w:val="00B64613"/>
    <w:rsid w:val="00B665AC"/>
    <w:rsid w:val="00B679F7"/>
    <w:rsid w:val="00B702A7"/>
    <w:rsid w:val="00B7213A"/>
    <w:rsid w:val="00B73BB8"/>
    <w:rsid w:val="00B74B91"/>
    <w:rsid w:val="00B83CC7"/>
    <w:rsid w:val="00B90704"/>
    <w:rsid w:val="00B9095B"/>
    <w:rsid w:val="00B942FD"/>
    <w:rsid w:val="00BA0DC4"/>
    <w:rsid w:val="00BA610A"/>
    <w:rsid w:val="00BA7B2A"/>
    <w:rsid w:val="00BB102D"/>
    <w:rsid w:val="00BC19E3"/>
    <w:rsid w:val="00BC40C2"/>
    <w:rsid w:val="00BC675D"/>
    <w:rsid w:val="00BD021D"/>
    <w:rsid w:val="00BD1540"/>
    <w:rsid w:val="00BD2EEA"/>
    <w:rsid w:val="00BE0DE0"/>
    <w:rsid w:val="00BE1DC1"/>
    <w:rsid w:val="00BE2868"/>
    <w:rsid w:val="00BE2D68"/>
    <w:rsid w:val="00BE47C3"/>
    <w:rsid w:val="00BE71C8"/>
    <w:rsid w:val="00BF27A6"/>
    <w:rsid w:val="00BF2D0B"/>
    <w:rsid w:val="00BF472A"/>
    <w:rsid w:val="00BF7E22"/>
    <w:rsid w:val="00C06C4F"/>
    <w:rsid w:val="00C11402"/>
    <w:rsid w:val="00C15852"/>
    <w:rsid w:val="00C1634E"/>
    <w:rsid w:val="00C218B7"/>
    <w:rsid w:val="00C254CC"/>
    <w:rsid w:val="00C25E6D"/>
    <w:rsid w:val="00C27F7E"/>
    <w:rsid w:val="00C3086D"/>
    <w:rsid w:val="00C44E6C"/>
    <w:rsid w:val="00C4505F"/>
    <w:rsid w:val="00C57901"/>
    <w:rsid w:val="00C57C9D"/>
    <w:rsid w:val="00C62D08"/>
    <w:rsid w:val="00C62E19"/>
    <w:rsid w:val="00C76B2E"/>
    <w:rsid w:val="00C77318"/>
    <w:rsid w:val="00C81B0E"/>
    <w:rsid w:val="00C846B0"/>
    <w:rsid w:val="00C846BB"/>
    <w:rsid w:val="00C84B89"/>
    <w:rsid w:val="00C86E62"/>
    <w:rsid w:val="00C87BDB"/>
    <w:rsid w:val="00C94423"/>
    <w:rsid w:val="00C97688"/>
    <w:rsid w:val="00CA4683"/>
    <w:rsid w:val="00CA7916"/>
    <w:rsid w:val="00CB0529"/>
    <w:rsid w:val="00CC07B6"/>
    <w:rsid w:val="00CC2E9A"/>
    <w:rsid w:val="00CC4677"/>
    <w:rsid w:val="00CC7D0A"/>
    <w:rsid w:val="00CD12A1"/>
    <w:rsid w:val="00CD1A20"/>
    <w:rsid w:val="00CD7D16"/>
    <w:rsid w:val="00CE3AF7"/>
    <w:rsid w:val="00CF314A"/>
    <w:rsid w:val="00D011BA"/>
    <w:rsid w:val="00D03A4E"/>
    <w:rsid w:val="00D12647"/>
    <w:rsid w:val="00D214F4"/>
    <w:rsid w:val="00D27BB3"/>
    <w:rsid w:val="00D304B4"/>
    <w:rsid w:val="00D31422"/>
    <w:rsid w:val="00D31612"/>
    <w:rsid w:val="00D34683"/>
    <w:rsid w:val="00D36BAB"/>
    <w:rsid w:val="00D44FD0"/>
    <w:rsid w:val="00D46E8A"/>
    <w:rsid w:val="00D47D94"/>
    <w:rsid w:val="00D505CE"/>
    <w:rsid w:val="00D551A3"/>
    <w:rsid w:val="00D5586D"/>
    <w:rsid w:val="00D624CB"/>
    <w:rsid w:val="00D65E45"/>
    <w:rsid w:val="00D6739C"/>
    <w:rsid w:val="00D70B1D"/>
    <w:rsid w:val="00D74089"/>
    <w:rsid w:val="00D80C47"/>
    <w:rsid w:val="00D87EFB"/>
    <w:rsid w:val="00D92561"/>
    <w:rsid w:val="00D93F4D"/>
    <w:rsid w:val="00DA47FB"/>
    <w:rsid w:val="00DA4D81"/>
    <w:rsid w:val="00DA72FA"/>
    <w:rsid w:val="00DA7695"/>
    <w:rsid w:val="00DB1B38"/>
    <w:rsid w:val="00DB4354"/>
    <w:rsid w:val="00DB72DB"/>
    <w:rsid w:val="00DB7685"/>
    <w:rsid w:val="00DC1B25"/>
    <w:rsid w:val="00DC4BAE"/>
    <w:rsid w:val="00DC4E6E"/>
    <w:rsid w:val="00DC6605"/>
    <w:rsid w:val="00DD15A3"/>
    <w:rsid w:val="00DD26EA"/>
    <w:rsid w:val="00DD3490"/>
    <w:rsid w:val="00DD4D65"/>
    <w:rsid w:val="00DD5825"/>
    <w:rsid w:val="00DD59B9"/>
    <w:rsid w:val="00DD69CE"/>
    <w:rsid w:val="00DE4312"/>
    <w:rsid w:val="00DF0EB3"/>
    <w:rsid w:val="00E020A6"/>
    <w:rsid w:val="00E12FEB"/>
    <w:rsid w:val="00E16A51"/>
    <w:rsid w:val="00E170B6"/>
    <w:rsid w:val="00E20E46"/>
    <w:rsid w:val="00E21BBD"/>
    <w:rsid w:val="00E220D0"/>
    <w:rsid w:val="00E22382"/>
    <w:rsid w:val="00E2345B"/>
    <w:rsid w:val="00E25829"/>
    <w:rsid w:val="00E258A1"/>
    <w:rsid w:val="00E40600"/>
    <w:rsid w:val="00E4104E"/>
    <w:rsid w:val="00E4332D"/>
    <w:rsid w:val="00E46D47"/>
    <w:rsid w:val="00E53E0A"/>
    <w:rsid w:val="00E54F79"/>
    <w:rsid w:val="00E609B8"/>
    <w:rsid w:val="00E60E54"/>
    <w:rsid w:val="00E65F9B"/>
    <w:rsid w:val="00E66E82"/>
    <w:rsid w:val="00E6785F"/>
    <w:rsid w:val="00E67D80"/>
    <w:rsid w:val="00E7537B"/>
    <w:rsid w:val="00E7614A"/>
    <w:rsid w:val="00E779C5"/>
    <w:rsid w:val="00E855E7"/>
    <w:rsid w:val="00E873AD"/>
    <w:rsid w:val="00E94215"/>
    <w:rsid w:val="00EA1618"/>
    <w:rsid w:val="00EA7341"/>
    <w:rsid w:val="00EB0D9D"/>
    <w:rsid w:val="00EB1FBF"/>
    <w:rsid w:val="00EB1FF6"/>
    <w:rsid w:val="00EB7193"/>
    <w:rsid w:val="00EC0A6E"/>
    <w:rsid w:val="00EC1349"/>
    <w:rsid w:val="00EC4686"/>
    <w:rsid w:val="00EC60FB"/>
    <w:rsid w:val="00ED2922"/>
    <w:rsid w:val="00ED3315"/>
    <w:rsid w:val="00ED3800"/>
    <w:rsid w:val="00ED43FE"/>
    <w:rsid w:val="00ED4796"/>
    <w:rsid w:val="00ED4DBF"/>
    <w:rsid w:val="00ED6CFB"/>
    <w:rsid w:val="00EE1940"/>
    <w:rsid w:val="00EE442F"/>
    <w:rsid w:val="00EE4636"/>
    <w:rsid w:val="00EF1DF9"/>
    <w:rsid w:val="00EF3F98"/>
    <w:rsid w:val="00F027E4"/>
    <w:rsid w:val="00F05512"/>
    <w:rsid w:val="00F1206B"/>
    <w:rsid w:val="00F14587"/>
    <w:rsid w:val="00F16AC0"/>
    <w:rsid w:val="00F21600"/>
    <w:rsid w:val="00F24E8A"/>
    <w:rsid w:val="00F2634B"/>
    <w:rsid w:val="00F33FF7"/>
    <w:rsid w:val="00F349CE"/>
    <w:rsid w:val="00F42AA3"/>
    <w:rsid w:val="00F43092"/>
    <w:rsid w:val="00F44919"/>
    <w:rsid w:val="00F4519D"/>
    <w:rsid w:val="00F528BA"/>
    <w:rsid w:val="00F657B0"/>
    <w:rsid w:val="00F70B99"/>
    <w:rsid w:val="00F70C75"/>
    <w:rsid w:val="00F739E9"/>
    <w:rsid w:val="00F73F74"/>
    <w:rsid w:val="00F801DD"/>
    <w:rsid w:val="00F8169E"/>
    <w:rsid w:val="00F82787"/>
    <w:rsid w:val="00F82DD7"/>
    <w:rsid w:val="00F91C32"/>
    <w:rsid w:val="00F92E07"/>
    <w:rsid w:val="00FA6CA3"/>
    <w:rsid w:val="00FA7582"/>
    <w:rsid w:val="00FB3E45"/>
    <w:rsid w:val="00FB6831"/>
    <w:rsid w:val="00FB7091"/>
    <w:rsid w:val="00FB7683"/>
    <w:rsid w:val="00FC3484"/>
    <w:rsid w:val="00FC726F"/>
    <w:rsid w:val="00FD3B33"/>
    <w:rsid w:val="00FD3D6C"/>
    <w:rsid w:val="00FD6F02"/>
    <w:rsid w:val="00FE4926"/>
    <w:rsid w:val="00FE5DFB"/>
    <w:rsid w:val="00FF5191"/>
    <w:rsid w:val="010E6AB2"/>
    <w:rsid w:val="01125BD7"/>
    <w:rsid w:val="02B433E8"/>
    <w:rsid w:val="04EA52D3"/>
    <w:rsid w:val="05031892"/>
    <w:rsid w:val="067E4BBE"/>
    <w:rsid w:val="06BA4C54"/>
    <w:rsid w:val="07163C30"/>
    <w:rsid w:val="09C92276"/>
    <w:rsid w:val="0AC70CA5"/>
    <w:rsid w:val="0B723D8C"/>
    <w:rsid w:val="0EC33C50"/>
    <w:rsid w:val="0F306D12"/>
    <w:rsid w:val="0FA04933"/>
    <w:rsid w:val="12A96A18"/>
    <w:rsid w:val="138F00F5"/>
    <w:rsid w:val="151B61B6"/>
    <w:rsid w:val="153A4553"/>
    <w:rsid w:val="1616403B"/>
    <w:rsid w:val="167F9A00"/>
    <w:rsid w:val="167FE824"/>
    <w:rsid w:val="17CE60BA"/>
    <w:rsid w:val="18273373"/>
    <w:rsid w:val="18F47E53"/>
    <w:rsid w:val="19D01756"/>
    <w:rsid w:val="1AA55B8D"/>
    <w:rsid w:val="1AE00575"/>
    <w:rsid w:val="1D74E4F9"/>
    <w:rsid w:val="1DE6354A"/>
    <w:rsid w:val="1EC81E4E"/>
    <w:rsid w:val="1FBD0B37"/>
    <w:rsid w:val="2078393B"/>
    <w:rsid w:val="23580E78"/>
    <w:rsid w:val="239B199E"/>
    <w:rsid w:val="2F469B7F"/>
    <w:rsid w:val="2F505567"/>
    <w:rsid w:val="2FF6356F"/>
    <w:rsid w:val="337B07FD"/>
    <w:rsid w:val="34B548EA"/>
    <w:rsid w:val="37D49263"/>
    <w:rsid w:val="381C3894"/>
    <w:rsid w:val="39CC0835"/>
    <w:rsid w:val="3B690201"/>
    <w:rsid w:val="3D0F3194"/>
    <w:rsid w:val="3E832EAB"/>
    <w:rsid w:val="3F2F48C6"/>
    <w:rsid w:val="3F7FF164"/>
    <w:rsid w:val="3FED8CAB"/>
    <w:rsid w:val="409475F6"/>
    <w:rsid w:val="40C67F6C"/>
    <w:rsid w:val="40EB2F89"/>
    <w:rsid w:val="423B3522"/>
    <w:rsid w:val="44A53B06"/>
    <w:rsid w:val="453C0257"/>
    <w:rsid w:val="45A33E32"/>
    <w:rsid w:val="45CB396C"/>
    <w:rsid w:val="45D77CED"/>
    <w:rsid w:val="474B7374"/>
    <w:rsid w:val="4AB94CB0"/>
    <w:rsid w:val="4C0F8D96"/>
    <w:rsid w:val="4E3874F0"/>
    <w:rsid w:val="4F5410AE"/>
    <w:rsid w:val="50616441"/>
    <w:rsid w:val="5618767D"/>
    <w:rsid w:val="57FF69C3"/>
    <w:rsid w:val="582B03E3"/>
    <w:rsid w:val="5A9D6C4B"/>
    <w:rsid w:val="5AB602D5"/>
    <w:rsid w:val="5C52173C"/>
    <w:rsid w:val="5EE93F1C"/>
    <w:rsid w:val="60D40EEC"/>
    <w:rsid w:val="617F2D1C"/>
    <w:rsid w:val="618D703E"/>
    <w:rsid w:val="62600B67"/>
    <w:rsid w:val="6371674E"/>
    <w:rsid w:val="64DD241E"/>
    <w:rsid w:val="6601356A"/>
    <w:rsid w:val="66B20EA2"/>
    <w:rsid w:val="66D94CBA"/>
    <w:rsid w:val="67C2233F"/>
    <w:rsid w:val="67FD2C0A"/>
    <w:rsid w:val="68932B65"/>
    <w:rsid w:val="68B2323E"/>
    <w:rsid w:val="6B711203"/>
    <w:rsid w:val="6B742A91"/>
    <w:rsid w:val="6DCF768A"/>
    <w:rsid w:val="6DD41FC6"/>
    <w:rsid w:val="6E8851C0"/>
    <w:rsid w:val="7318110C"/>
    <w:rsid w:val="73754293"/>
    <w:rsid w:val="763A1DEA"/>
    <w:rsid w:val="77204E1B"/>
    <w:rsid w:val="78EFD273"/>
    <w:rsid w:val="78F03532"/>
    <w:rsid w:val="7B7DF556"/>
    <w:rsid w:val="7DFD948A"/>
    <w:rsid w:val="BDEFBE60"/>
    <w:rsid w:val="BFF33D32"/>
    <w:rsid w:val="E87E1812"/>
    <w:rsid w:val="EDDE8C38"/>
    <w:rsid w:val="EEFB1CD1"/>
    <w:rsid w:val="F3751A0F"/>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3"/>
    <w:qFormat/>
    <w:uiPriority w:val="0"/>
    <w:pPr>
      <w:keepNext/>
      <w:keepLines/>
      <w:spacing w:before="156" w:line="420" w:lineRule="exact"/>
      <w:ind w:left="425"/>
      <w:jc w:val="center"/>
      <w:outlineLvl w:val="0"/>
    </w:pPr>
    <w:rPr>
      <w:rFonts w:ascii="Times New Roman" w:hAnsi="Times New Roman" w:eastAsia="宋体" w:cs="Times New Roman"/>
      <w:b/>
      <w:bCs/>
      <w:kern w:val="44"/>
      <w:sz w:val="44"/>
      <w:szCs w:val="44"/>
    </w:rPr>
  </w:style>
  <w:style w:type="paragraph" w:styleId="3">
    <w:name w:val="heading 2"/>
    <w:basedOn w:val="1"/>
    <w:next w:val="1"/>
    <w:link w:val="84"/>
    <w:qFormat/>
    <w:uiPriority w:val="0"/>
    <w:pPr>
      <w:keepNext/>
      <w:keepLines/>
      <w:spacing w:before="260" w:after="260" w:line="416" w:lineRule="auto"/>
      <w:outlineLvl w:val="1"/>
    </w:pPr>
    <w:rPr>
      <w:rFonts w:ascii="Arial" w:hAnsi="Arial" w:eastAsia="黑体" w:cs="Times New Roman"/>
      <w:b/>
      <w:bCs/>
      <w:kern w:val="0"/>
      <w:sz w:val="32"/>
      <w:szCs w:val="32"/>
    </w:rPr>
  </w:style>
  <w:style w:type="paragraph" w:styleId="4">
    <w:name w:val="heading 3"/>
    <w:basedOn w:val="1"/>
    <w:next w:val="1"/>
    <w:link w:val="85"/>
    <w:qFormat/>
    <w:uiPriority w:val="0"/>
    <w:pPr>
      <w:keepNext/>
      <w:keepLines/>
      <w:spacing w:before="260" w:after="260" w:line="416" w:lineRule="auto"/>
      <w:outlineLvl w:val="2"/>
    </w:pPr>
    <w:rPr>
      <w:rFonts w:ascii="Times New Roman" w:hAnsi="Times New Roman" w:eastAsia="宋体" w:cs="Times New Roman"/>
      <w:b/>
      <w:bCs/>
      <w:kern w:val="0"/>
      <w:sz w:val="32"/>
      <w:szCs w:val="32"/>
    </w:rPr>
  </w:style>
  <w:style w:type="paragraph" w:styleId="5">
    <w:name w:val="heading 4"/>
    <w:basedOn w:val="1"/>
    <w:next w:val="1"/>
    <w:link w:val="86"/>
    <w:qFormat/>
    <w:uiPriority w:val="0"/>
    <w:pPr>
      <w:keepNext/>
      <w:keepLines/>
      <w:spacing w:before="280" w:after="290" w:line="376" w:lineRule="auto"/>
      <w:outlineLvl w:val="3"/>
    </w:pPr>
    <w:rPr>
      <w:rFonts w:ascii="Arial" w:hAnsi="Arial" w:eastAsia="黑体" w:cs="Times New Roman"/>
      <w:b/>
      <w:bCs/>
      <w:kern w:val="0"/>
      <w:sz w:val="28"/>
      <w:szCs w:val="28"/>
    </w:rPr>
  </w:style>
  <w:style w:type="paragraph" w:styleId="6">
    <w:name w:val="heading 5"/>
    <w:basedOn w:val="1"/>
    <w:next w:val="1"/>
    <w:link w:val="87"/>
    <w:qFormat/>
    <w:uiPriority w:val="0"/>
    <w:pPr>
      <w:keepNext/>
      <w:keepLines/>
      <w:spacing w:before="280" w:after="290" w:line="376" w:lineRule="auto"/>
      <w:outlineLvl w:val="4"/>
    </w:pPr>
    <w:rPr>
      <w:rFonts w:ascii="Times New Roman" w:hAnsi="Times New Roman" w:eastAsia="宋体" w:cs="Times New Roman"/>
      <w:b/>
      <w:bCs/>
      <w:kern w:val="0"/>
      <w:sz w:val="28"/>
      <w:szCs w:val="28"/>
    </w:rPr>
  </w:style>
  <w:style w:type="paragraph" w:styleId="7">
    <w:name w:val="heading 6"/>
    <w:basedOn w:val="1"/>
    <w:next w:val="1"/>
    <w:link w:val="88"/>
    <w:qFormat/>
    <w:uiPriority w:val="0"/>
    <w:pPr>
      <w:keepNext/>
      <w:keepLines/>
      <w:spacing w:before="240" w:after="64" w:line="320" w:lineRule="auto"/>
      <w:outlineLvl w:val="5"/>
    </w:pPr>
    <w:rPr>
      <w:rFonts w:ascii="Arial" w:hAnsi="Arial" w:eastAsia="黑体" w:cs="Times New Roman"/>
      <w:b/>
      <w:bCs/>
      <w:kern w:val="0"/>
      <w:sz w:val="24"/>
      <w:szCs w:val="24"/>
    </w:rPr>
  </w:style>
  <w:style w:type="paragraph" w:styleId="8">
    <w:name w:val="heading 7"/>
    <w:basedOn w:val="1"/>
    <w:next w:val="1"/>
    <w:link w:val="89"/>
    <w:qFormat/>
    <w:uiPriority w:val="0"/>
    <w:pPr>
      <w:keepNext/>
      <w:keepLines/>
      <w:spacing w:before="240" w:after="64" w:line="320" w:lineRule="auto"/>
      <w:outlineLvl w:val="6"/>
    </w:pPr>
    <w:rPr>
      <w:rFonts w:ascii="Times New Roman" w:hAnsi="Times New Roman" w:eastAsia="宋体" w:cs="Times New Roman"/>
      <w:b/>
      <w:bCs/>
      <w:kern w:val="0"/>
      <w:sz w:val="24"/>
      <w:szCs w:val="24"/>
    </w:rPr>
  </w:style>
  <w:style w:type="paragraph" w:styleId="9">
    <w:name w:val="heading 8"/>
    <w:basedOn w:val="1"/>
    <w:next w:val="1"/>
    <w:link w:val="90"/>
    <w:qFormat/>
    <w:uiPriority w:val="0"/>
    <w:pPr>
      <w:keepNext/>
      <w:keepLines/>
      <w:spacing w:before="240" w:after="64" w:line="320" w:lineRule="auto"/>
      <w:outlineLvl w:val="7"/>
    </w:pPr>
    <w:rPr>
      <w:rFonts w:ascii="Arial" w:hAnsi="Arial" w:eastAsia="黑体" w:cs="Times New Roman"/>
      <w:kern w:val="0"/>
      <w:sz w:val="24"/>
      <w:szCs w:val="24"/>
    </w:rPr>
  </w:style>
  <w:style w:type="paragraph" w:styleId="10">
    <w:name w:val="heading 9"/>
    <w:basedOn w:val="1"/>
    <w:next w:val="1"/>
    <w:link w:val="91"/>
    <w:qFormat/>
    <w:uiPriority w:val="0"/>
    <w:pPr>
      <w:keepNext/>
      <w:keepLines/>
      <w:spacing w:before="240" w:after="64" w:line="320" w:lineRule="auto"/>
      <w:outlineLvl w:val="8"/>
    </w:pPr>
    <w:rPr>
      <w:rFonts w:ascii="Arial" w:hAnsi="Arial" w:eastAsia="黑体" w:cs="Times New Roman"/>
      <w:kern w:val="0"/>
      <w:szCs w:val="21"/>
    </w:rPr>
  </w:style>
  <w:style w:type="character" w:default="1" w:styleId="65">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260" w:hanging="420"/>
    </w:pPr>
    <w:rPr>
      <w:rFonts w:ascii="Times New Roman" w:hAnsi="Times New Roman" w:eastAsia="宋体" w:cs="Times New Roman"/>
      <w:szCs w:val="21"/>
    </w:rPr>
  </w:style>
  <w:style w:type="paragraph" w:styleId="12">
    <w:name w:val="toc 7"/>
    <w:basedOn w:val="1"/>
    <w:next w:val="1"/>
    <w:qFormat/>
    <w:uiPriority w:val="0"/>
    <w:pPr>
      <w:ind w:left="1260"/>
      <w:jc w:val="left"/>
    </w:pPr>
    <w:rPr>
      <w:rFonts w:ascii="Times New Roman" w:hAnsi="Times New Roman" w:eastAsia="宋体" w:cs="Times New Roman"/>
      <w:sz w:val="18"/>
      <w:szCs w:val="18"/>
    </w:rPr>
  </w:style>
  <w:style w:type="paragraph" w:styleId="13">
    <w:name w:val="List Number 2"/>
    <w:basedOn w:val="1"/>
    <w:qFormat/>
    <w:uiPriority w:val="0"/>
    <w:pPr>
      <w:tabs>
        <w:tab w:val="left" w:pos="780"/>
      </w:tabs>
      <w:ind w:left="780" w:hanging="360"/>
    </w:pPr>
    <w:rPr>
      <w:rFonts w:ascii="Times New Roman" w:hAnsi="Times New Roman" w:eastAsia="宋体" w:cs="Times New Roman"/>
      <w:szCs w:val="21"/>
    </w:rPr>
  </w:style>
  <w:style w:type="paragraph" w:styleId="14">
    <w:name w:val="Note Heading"/>
    <w:basedOn w:val="1"/>
    <w:next w:val="1"/>
    <w:link w:val="92"/>
    <w:qFormat/>
    <w:uiPriority w:val="0"/>
    <w:pPr>
      <w:jc w:val="center"/>
    </w:pPr>
    <w:rPr>
      <w:rFonts w:ascii="time new roman" w:hAnsi="time new roman" w:eastAsia="长城粗隶书" w:cs="Times New Roman"/>
      <w:kern w:val="0"/>
      <w:sz w:val="24"/>
      <w:szCs w:val="24"/>
    </w:rPr>
  </w:style>
  <w:style w:type="paragraph" w:styleId="15">
    <w:name w:val="List Bullet 4"/>
    <w:basedOn w:val="1"/>
    <w:qFormat/>
    <w:uiPriority w:val="0"/>
    <w:pPr>
      <w:tabs>
        <w:tab w:val="left" w:pos="1620"/>
      </w:tabs>
      <w:ind w:left="1620" w:hanging="360"/>
    </w:pPr>
    <w:rPr>
      <w:rFonts w:ascii="Times New Roman" w:hAnsi="Times New Roman" w:eastAsia="宋体" w:cs="Times New Roman"/>
      <w:szCs w:val="21"/>
    </w:rPr>
  </w:style>
  <w:style w:type="paragraph" w:styleId="16">
    <w:name w:val="E-mail Signature"/>
    <w:basedOn w:val="1"/>
    <w:link w:val="94"/>
    <w:qFormat/>
    <w:uiPriority w:val="0"/>
    <w:rPr>
      <w:rFonts w:ascii="Times New Roman" w:hAnsi="Times New Roman" w:eastAsia="宋体" w:cs="Times New Roman"/>
      <w:kern w:val="0"/>
      <w:sz w:val="20"/>
      <w:szCs w:val="20"/>
    </w:rPr>
  </w:style>
  <w:style w:type="paragraph" w:styleId="17">
    <w:name w:val="List Number"/>
    <w:basedOn w:val="1"/>
    <w:qFormat/>
    <w:uiPriority w:val="0"/>
    <w:pPr>
      <w:widowControl/>
      <w:tabs>
        <w:tab w:val="left" w:pos="454"/>
        <w:tab w:val="left" w:pos="720"/>
      </w:tabs>
      <w:spacing w:afterLines="50"/>
      <w:ind w:left="454" w:hanging="284"/>
      <w:jc w:val="left"/>
    </w:pPr>
    <w:rPr>
      <w:rFonts w:ascii="Times New Roman" w:hAnsi="Times New Roman" w:eastAsia="宋体" w:cs="Times New Roman"/>
      <w:kern w:val="0"/>
      <w:sz w:val="24"/>
      <w:szCs w:val="24"/>
    </w:rPr>
  </w:style>
  <w:style w:type="paragraph" w:styleId="18">
    <w:name w:val="Normal Indent"/>
    <w:basedOn w:val="1"/>
    <w:link w:val="95"/>
    <w:qFormat/>
    <w:uiPriority w:val="0"/>
    <w:pPr>
      <w:ind w:firstLine="420"/>
    </w:pPr>
    <w:rPr>
      <w:rFonts w:ascii="Times New Roman" w:hAnsi="Times New Roman" w:eastAsia="宋体" w:cs="Times New Roman"/>
      <w:kern w:val="0"/>
      <w:sz w:val="20"/>
      <w:szCs w:val="20"/>
    </w:rPr>
  </w:style>
  <w:style w:type="paragraph" w:styleId="19">
    <w:name w:val="caption"/>
    <w:basedOn w:val="1"/>
    <w:next w:val="1"/>
    <w:qFormat/>
    <w:uiPriority w:val="0"/>
    <w:rPr>
      <w:rFonts w:ascii="Arial" w:hAnsi="Arial" w:eastAsia="黑体" w:cs="Arial"/>
      <w:sz w:val="20"/>
      <w:szCs w:val="20"/>
    </w:rPr>
  </w:style>
  <w:style w:type="paragraph" w:styleId="20">
    <w:name w:val="List Bullet"/>
    <w:basedOn w:val="1"/>
    <w:link w:val="96"/>
    <w:qFormat/>
    <w:uiPriority w:val="0"/>
    <w:pPr>
      <w:tabs>
        <w:tab w:val="left" w:pos="360"/>
      </w:tabs>
      <w:ind w:left="360" w:hanging="360"/>
    </w:pPr>
    <w:rPr>
      <w:rFonts w:ascii="Times New Roman" w:hAnsi="Times New Roman" w:eastAsia="宋体" w:cs="Times New Roman"/>
      <w:kern w:val="0"/>
      <w:sz w:val="24"/>
      <w:szCs w:val="24"/>
    </w:rPr>
  </w:style>
  <w:style w:type="paragraph" w:styleId="21">
    <w:name w:val="Document Map"/>
    <w:basedOn w:val="1"/>
    <w:link w:val="98"/>
    <w:qFormat/>
    <w:uiPriority w:val="0"/>
    <w:pPr>
      <w:shd w:val="clear" w:color="auto" w:fill="000080"/>
    </w:pPr>
    <w:rPr>
      <w:rFonts w:ascii="宋体" w:hAnsi="Times New Roman" w:eastAsia="宋体" w:cs="Times New Roman"/>
      <w:kern w:val="0"/>
      <w:sz w:val="18"/>
      <w:szCs w:val="18"/>
    </w:rPr>
  </w:style>
  <w:style w:type="paragraph" w:styleId="22">
    <w:name w:val="toa heading"/>
    <w:basedOn w:val="1"/>
    <w:next w:val="1"/>
    <w:qFormat/>
    <w:uiPriority w:val="0"/>
    <w:pPr>
      <w:spacing w:before="120"/>
    </w:pPr>
    <w:rPr>
      <w:rFonts w:ascii="Arial" w:hAnsi="Arial" w:eastAsia="宋体" w:cs="Arial"/>
      <w:b/>
      <w:bCs/>
      <w:szCs w:val="21"/>
    </w:rPr>
  </w:style>
  <w:style w:type="paragraph" w:styleId="23">
    <w:name w:val="annotation text"/>
    <w:basedOn w:val="1"/>
    <w:link w:val="100"/>
    <w:qFormat/>
    <w:uiPriority w:val="0"/>
    <w:pPr>
      <w:jc w:val="left"/>
    </w:pPr>
    <w:rPr>
      <w:rFonts w:ascii="Times New Roman" w:hAnsi="Times New Roman" w:eastAsia="宋体" w:cs="Times New Roman"/>
      <w:kern w:val="0"/>
      <w:sz w:val="20"/>
      <w:szCs w:val="20"/>
    </w:rPr>
  </w:style>
  <w:style w:type="paragraph" w:styleId="24">
    <w:name w:val="Body Text 3"/>
    <w:basedOn w:val="1"/>
    <w:link w:val="102"/>
    <w:qFormat/>
    <w:uiPriority w:val="0"/>
    <w:pPr>
      <w:spacing w:after="120"/>
    </w:pPr>
    <w:rPr>
      <w:rFonts w:ascii="Times New Roman" w:hAnsi="Times New Roman" w:eastAsia="宋体" w:cs="Times New Roman"/>
      <w:kern w:val="0"/>
      <w:sz w:val="16"/>
      <w:szCs w:val="16"/>
    </w:rPr>
  </w:style>
  <w:style w:type="paragraph" w:styleId="25">
    <w:name w:val="List Bullet 3"/>
    <w:basedOn w:val="1"/>
    <w:qFormat/>
    <w:uiPriority w:val="0"/>
    <w:pPr>
      <w:tabs>
        <w:tab w:val="left" w:pos="1200"/>
      </w:tabs>
      <w:ind w:left="1200" w:hanging="360"/>
    </w:pPr>
    <w:rPr>
      <w:rFonts w:ascii="Times New Roman" w:hAnsi="Times New Roman" w:eastAsia="宋体" w:cs="Times New Roman"/>
      <w:szCs w:val="21"/>
    </w:rPr>
  </w:style>
  <w:style w:type="paragraph" w:styleId="26">
    <w:name w:val="Body Text"/>
    <w:basedOn w:val="1"/>
    <w:link w:val="104"/>
    <w:qFormat/>
    <w:uiPriority w:val="0"/>
    <w:pPr>
      <w:spacing w:after="120"/>
    </w:pPr>
    <w:rPr>
      <w:rFonts w:ascii="Times New Roman" w:hAnsi="Times New Roman" w:eastAsia="宋体" w:cs="Times New Roman"/>
      <w:kern w:val="0"/>
      <w:sz w:val="20"/>
      <w:szCs w:val="20"/>
    </w:rPr>
  </w:style>
  <w:style w:type="paragraph" w:styleId="27">
    <w:name w:val="Body Text Indent"/>
    <w:basedOn w:val="1"/>
    <w:link w:val="106"/>
    <w:qFormat/>
    <w:uiPriority w:val="0"/>
    <w:pPr>
      <w:spacing w:after="120"/>
      <w:ind w:left="420" w:leftChars="200"/>
    </w:pPr>
    <w:rPr>
      <w:rFonts w:ascii="Times New Roman" w:hAnsi="Times New Roman" w:eastAsia="宋体" w:cs="Times New Roman"/>
      <w:kern w:val="0"/>
      <w:sz w:val="20"/>
      <w:szCs w:val="20"/>
    </w:rPr>
  </w:style>
  <w:style w:type="paragraph" w:styleId="28">
    <w:name w:val="List Number 3"/>
    <w:basedOn w:val="1"/>
    <w:qFormat/>
    <w:uiPriority w:val="0"/>
    <w:pPr>
      <w:tabs>
        <w:tab w:val="left" w:pos="1200"/>
        <w:tab w:val="left" w:pos="1400"/>
      </w:tabs>
      <w:ind w:left="1400" w:hanging="840"/>
    </w:pPr>
    <w:rPr>
      <w:rFonts w:ascii="Times New Roman" w:hAnsi="Times New Roman" w:eastAsia="宋体" w:cs="Times New Roman"/>
      <w:szCs w:val="21"/>
    </w:rPr>
  </w:style>
  <w:style w:type="paragraph" w:styleId="29">
    <w:name w:val="List 2"/>
    <w:basedOn w:val="1"/>
    <w:qFormat/>
    <w:uiPriority w:val="0"/>
    <w:pPr>
      <w:ind w:left="100" w:leftChars="200" w:hanging="200" w:hangingChars="200"/>
    </w:pPr>
    <w:rPr>
      <w:rFonts w:ascii="Times New Roman" w:hAnsi="Times New Roman" w:eastAsia="宋体" w:cs="Times New Roman"/>
      <w:sz w:val="28"/>
      <w:szCs w:val="28"/>
    </w:rPr>
  </w:style>
  <w:style w:type="paragraph" w:styleId="30">
    <w:name w:val="Block Text"/>
    <w:basedOn w:val="1"/>
    <w:qFormat/>
    <w:uiPriority w:val="0"/>
    <w:pPr>
      <w:spacing w:line="390" w:lineRule="exact"/>
      <w:ind w:left="735" w:right="-296" w:rightChars="-141"/>
    </w:pPr>
    <w:rPr>
      <w:rFonts w:ascii="宋体" w:hAnsi="Times New Roman" w:eastAsia="宋体" w:cs="宋体"/>
      <w:szCs w:val="21"/>
    </w:rPr>
  </w:style>
  <w:style w:type="paragraph" w:styleId="31">
    <w:name w:val="List Bullet 2"/>
    <w:basedOn w:val="1"/>
    <w:qFormat/>
    <w:uiPriority w:val="0"/>
    <w:pPr>
      <w:tabs>
        <w:tab w:val="left" w:pos="1890"/>
      </w:tabs>
      <w:adjustRightInd w:val="0"/>
      <w:spacing w:line="390" w:lineRule="exact"/>
      <w:ind w:left="420" w:right="51" w:firstLine="418" w:firstLineChars="167"/>
      <w:jc w:val="left"/>
      <w:textAlignment w:val="baseline"/>
    </w:pPr>
    <w:rPr>
      <w:rFonts w:ascii="宋体" w:hAnsi="宋体" w:eastAsia="宋体" w:cs="宋体"/>
      <w:spacing w:val="20"/>
      <w:kern w:val="0"/>
      <w:szCs w:val="21"/>
    </w:rPr>
  </w:style>
  <w:style w:type="paragraph" w:styleId="32">
    <w:name w:val="toc 5"/>
    <w:basedOn w:val="1"/>
    <w:next w:val="1"/>
    <w:qFormat/>
    <w:uiPriority w:val="0"/>
    <w:pPr>
      <w:ind w:left="840"/>
      <w:jc w:val="left"/>
    </w:pPr>
    <w:rPr>
      <w:rFonts w:ascii="Times New Roman" w:hAnsi="Times New Roman" w:eastAsia="宋体" w:cs="Times New Roman"/>
      <w:sz w:val="18"/>
      <w:szCs w:val="18"/>
    </w:rPr>
  </w:style>
  <w:style w:type="paragraph" w:styleId="33">
    <w:name w:val="toc 3"/>
    <w:basedOn w:val="1"/>
    <w:next w:val="1"/>
    <w:qFormat/>
    <w:uiPriority w:val="0"/>
    <w:pPr>
      <w:ind w:left="840" w:leftChars="400"/>
    </w:pPr>
    <w:rPr>
      <w:rFonts w:ascii="Times New Roman" w:hAnsi="Times New Roman" w:eastAsia="宋体" w:cs="Times New Roman"/>
      <w:szCs w:val="21"/>
    </w:rPr>
  </w:style>
  <w:style w:type="paragraph" w:styleId="34">
    <w:name w:val="Plain Text"/>
    <w:basedOn w:val="1"/>
    <w:link w:val="108"/>
    <w:qFormat/>
    <w:uiPriority w:val="0"/>
    <w:pPr>
      <w:spacing w:beforeLines="50" w:afterLines="50" w:line="400" w:lineRule="exact"/>
    </w:pPr>
    <w:rPr>
      <w:rFonts w:ascii="宋体" w:hAnsi="Courier New" w:eastAsia="宋体" w:cs="Times New Roman"/>
      <w:kern w:val="0"/>
      <w:szCs w:val="21"/>
    </w:rPr>
  </w:style>
  <w:style w:type="paragraph" w:styleId="35">
    <w:name w:val="List Bullet 5"/>
    <w:basedOn w:val="1"/>
    <w:qFormat/>
    <w:uiPriority w:val="0"/>
    <w:pPr>
      <w:tabs>
        <w:tab w:val="left" w:pos="2040"/>
      </w:tabs>
      <w:ind w:left="2040" w:hanging="360"/>
    </w:pPr>
    <w:rPr>
      <w:rFonts w:ascii="Times New Roman" w:hAnsi="Times New Roman" w:eastAsia="宋体" w:cs="Times New Roman"/>
      <w:szCs w:val="21"/>
    </w:rPr>
  </w:style>
  <w:style w:type="paragraph" w:styleId="36">
    <w:name w:val="List Number 4"/>
    <w:basedOn w:val="1"/>
    <w:qFormat/>
    <w:uiPriority w:val="0"/>
    <w:pPr>
      <w:tabs>
        <w:tab w:val="left" w:pos="1620"/>
      </w:tabs>
      <w:ind w:left="1620" w:hanging="360"/>
    </w:pPr>
    <w:rPr>
      <w:rFonts w:ascii="Times New Roman" w:hAnsi="Times New Roman" w:eastAsia="宋体" w:cs="Times New Roman"/>
      <w:szCs w:val="21"/>
    </w:rPr>
  </w:style>
  <w:style w:type="paragraph" w:styleId="37">
    <w:name w:val="toc 8"/>
    <w:basedOn w:val="1"/>
    <w:next w:val="1"/>
    <w:qFormat/>
    <w:uiPriority w:val="0"/>
    <w:pPr>
      <w:ind w:left="1470"/>
      <w:jc w:val="left"/>
    </w:pPr>
    <w:rPr>
      <w:rFonts w:ascii="Times New Roman" w:hAnsi="Times New Roman" w:eastAsia="宋体" w:cs="Times New Roman"/>
      <w:sz w:val="18"/>
      <w:szCs w:val="18"/>
    </w:rPr>
  </w:style>
  <w:style w:type="paragraph" w:styleId="38">
    <w:name w:val="Date"/>
    <w:basedOn w:val="1"/>
    <w:next w:val="1"/>
    <w:link w:val="110"/>
    <w:qFormat/>
    <w:uiPriority w:val="0"/>
    <w:pPr>
      <w:ind w:left="100" w:leftChars="2500"/>
    </w:pPr>
    <w:rPr>
      <w:rFonts w:ascii="Times New Roman" w:hAnsi="Times New Roman" w:eastAsia="宋体" w:cs="Times New Roman"/>
      <w:kern w:val="0"/>
      <w:sz w:val="20"/>
      <w:szCs w:val="20"/>
    </w:rPr>
  </w:style>
  <w:style w:type="paragraph" w:styleId="39">
    <w:name w:val="Body Text Indent 2"/>
    <w:basedOn w:val="1"/>
    <w:link w:val="112"/>
    <w:qFormat/>
    <w:uiPriority w:val="0"/>
    <w:pPr>
      <w:spacing w:after="120" w:line="480" w:lineRule="auto"/>
      <w:ind w:left="420" w:leftChars="200"/>
    </w:pPr>
    <w:rPr>
      <w:rFonts w:ascii="Times New Roman" w:hAnsi="Times New Roman" w:eastAsia="宋体" w:cs="Times New Roman"/>
      <w:kern w:val="0"/>
      <w:sz w:val="20"/>
      <w:szCs w:val="20"/>
    </w:rPr>
  </w:style>
  <w:style w:type="paragraph" w:styleId="40">
    <w:name w:val="Balloon Text"/>
    <w:basedOn w:val="1"/>
    <w:link w:val="114"/>
    <w:qFormat/>
    <w:uiPriority w:val="0"/>
    <w:rPr>
      <w:rFonts w:ascii="Times New Roman" w:hAnsi="Times New Roman" w:eastAsia="宋体" w:cs="Times New Roman"/>
      <w:kern w:val="0"/>
      <w:sz w:val="18"/>
      <w:szCs w:val="18"/>
    </w:rPr>
  </w:style>
  <w:style w:type="paragraph" w:styleId="41">
    <w:name w:val="footer"/>
    <w:basedOn w:val="1"/>
    <w:link w:val="82"/>
    <w:unhideWhenUsed/>
    <w:qFormat/>
    <w:uiPriority w:val="0"/>
    <w:pPr>
      <w:tabs>
        <w:tab w:val="center" w:pos="4153"/>
        <w:tab w:val="right" w:pos="8306"/>
      </w:tabs>
      <w:snapToGrid w:val="0"/>
      <w:jc w:val="left"/>
    </w:pPr>
    <w:rPr>
      <w:sz w:val="18"/>
      <w:szCs w:val="18"/>
    </w:rPr>
  </w:style>
  <w:style w:type="paragraph" w:styleId="42">
    <w:name w:val="header"/>
    <w:basedOn w:val="1"/>
    <w:link w:val="81"/>
    <w:unhideWhenUsed/>
    <w:qFormat/>
    <w:uiPriority w:val="0"/>
    <w:pPr>
      <w:pBdr>
        <w:bottom w:val="single" w:color="auto" w:sz="6" w:space="1"/>
      </w:pBdr>
      <w:tabs>
        <w:tab w:val="center" w:pos="4153"/>
        <w:tab w:val="right" w:pos="8306"/>
      </w:tabs>
      <w:snapToGrid w:val="0"/>
      <w:jc w:val="center"/>
    </w:pPr>
    <w:rPr>
      <w:sz w:val="18"/>
      <w:szCs w:val="18"/>
    </w:rPr>
  </w:style>
  <w:style w:type="paragraph" w:styleId="43">
    <w:name w:val="toc 1"/>
    <w:basedOn w:val="1"/>
    <w:next w:val="1"/>
    <w:qFormat/>
    <w:uiPriority w:val="0"/>
    <w:pPr>
      <w:tabs>
        <w:tab w:val="right" w:leader="dot" w:pos="8494"/>
      </w:tabs>
    </w:pPr>
    <w:rPr>
      <w:rFonts w:ascii="宋体" w:hAnsi="宋体" w:eastAsia="宋体" w:cs="宋体"/>
      <w:sz w:val="32"/>
      <w:szCs w:val="32"/>
    </w:rPr>
  </w:style>
  <w:style w:type="paragraph" w:styleId="44">
    <w:name w:val="toc 4"/>
    <w:basedOn w:val="1"/>
    <w:next w:val="1"/>
    <w:qFormat/>
    <w:uiPriority w:val="0"/>
    <w:pPr>
      <w:ind w:firstLine="600" w:firstLineChars="600"/>
      <w:jc w:val="left"/>
    </w:pPr>
    <w:rPr>
      <w:rFonts w:ascii="Times New Roman" w:hAnsi="Times New Roman" w:eastAsia="宋体" w:cs="Times New Roman"/>
      <w:sz w:val="20"/>
      <w:szCs w:val="20"/>
    </w:rPr>
  </w:style>
  <w:style w:type="paragraph" w:styleId="45">
    <w:name w:val="index heading"/>
    <w:basedOn w:val="1"/>
    <w:next w:val="46"/>
    <w:qFormat/>
    <w:uiPriority w:val="0"/>
    <w:rPr>
      <w:rFonts w:ascii="Times New Roman" w:hAnsi="Times New Roman" w:eastAsia="宋体" w:cs="Times New Roman"/>
      <w:szCs w:val="21"/>
    </w:rPr>
  </w:style>
  <w:style w:type="paragraph" w:styleId="46">
    <w:name w:val="index 1"/>
    <w:basedOn w:val="1"/>
    <w:next w:val="1"/>
    <w:unhideWhenUsed/>
    <w:qFormat/>
    <w:uiPriority w:val="0"/>
  </w:style>
  <w:style w:type="paragraph" w:styleId="47">
    <w:name w:val="Subtitle"/>
    <w:basedOn w:val="1"/>
    <w:next w:val="1"/>
    <w:link w:val="116"/>
    <w:qFormat/>
    <w:uiPriority w:val="0"/>
    <w:pPr>
      <w:spacing w:before="240" w:after="60" w:line="312" w:lineRule="auto"/>
      <w:jc w:val="center"/>
      <w:outlineLvl w:val="1"/>
    </w:pPr>
    <w:rPr>
      <w:rFonts w:ascii="Cambria" w:hAnsi="Cambria" w:eastAsia="宋体" w:cs="Times New Roman"/>
      <w:b/>
      <w:bCs/>
      <w:kern w:val="28"/>
      <w:sz w:val="32"/>
      <w:szCs w:val="32"/>
    </w:rPr>
  </w:style>
  <w:style w:type="paragraph" w:styleId="48">
    <w:name w:val="List Number 5"/>
    <w:basedOn w:val="1"/>
    <w:qFormat/>
    <w:uiPriority w:val="0"/>
    <w:pPr>
      <w:tabs>
        <w:tab w:val="left" w:pos="2040"/>
      </w:tabs>
      <w:ind w:left="2040" w:hanging="360"/>
    </w:pPr>
    <w:rPr>
      <w:rFonts w:ascii="Times New Roman" w:hAnsi="Times New Roman" w:eastAsia="宋体" w:cs="Times New Roman"/>
      <w:szCs w:val="21"/>
    </w:rPr>
  </w:style>
  <w:style w:type="paragraph" w:styleId="49">
    <w:name w:val="List"/>
    <w:basedOn w:val="1"/>
    <w:qFormat/>
    <w:uiPriority w:val="0"/>
    <w:pPr>
      <w:ind w:left="200" w:hanging="200" w:hangingChars="200"/>
    </w:pPr>
    <w:rPr>
      <w:rFonts w:ascii="Times New Roman" w:hAnsi="Times New Roman" w:eastAsia="宋体" w:cs="Times New Roman"/>
      <w:sz w:val="28"/>
      <w:szCs w:val="28"/>
    </w:rPr>
  </w:style>
  <w:style w:type="paragraph" w:styleId="50">
    <w:name w:val="footnote text"/>
    <w:basedOn w:val="1"/>
    <w:link w:val="118"/>
    <w:qFormat/>
    <w:uiPriority w:val="0"/>
    <w:pPr>
      <w:snapToGrid w:val="0"/>
      <w:jc w:val="left"/>
    </w:pPr>
    <w:rPr>
      <w:rFonts w:ascii="Times New Roman" w:hAnsi="Times New Roman" w:eastAsia="宋体" w:cs="Times New Roman"/>
      <w:kern w:val="0"/>
      <w:sz w:val="18"/>
      <w:szCs w:val="18"/>
    </w:rPr>
  </w:style>
  <w:style w:type="paragraph" w:styleId="51">
    <w:name w:val="toc 6"/>
    <w:basedOn w:val="1"/>
    <w:next w:val="1"/>
    <w:qFormat/>
    <w:uiPriority w:val="0"/>
    <w:pPr>
      <w:ind w:left="1050"/>
      <w:jc w:val="left"/>
    </w:pPr>
    <w:rPr>
      <w:rFonts w:ascii="Times New Roman" w:hAnsi="Times New Roman" w:eastAsia="宋体" w:cs="Times New Roman"/>
      <w:sz w:val="18"/>
      <w:szCs w:val="18"/>
    </w:rPr>
  </w:style>
  <w:style w:type="paragraph" w:styleId="52">
    <w:name w:val="Body Text Indent 3"/>
    <w:basedOn w:val="1"/>
    <w:link w:val="120"/>
    <w:qFormat/>
    <w:uiPriority w:val="0"/>
    <w:pPr>
      <w:spacing w:after="120"/>
      <w:ind w:left="420" w:leftChars="200"/>
    </w:pPr>
    <w:rPr>
      <w:rFonts w:ascii="Times New Roman" w:hAnsi="Times New Roman" w:eastAsia="宋体" w:cs="Times New Roman"/>
      <w:kern w:val="0"/>
      <w:sz w:val="16"/>
      <w:szCs w:val="16"/>
    </w:rPr>
  </w:style>
  <w:style w:type="paragraph" w:styleId="53">
    <w:name w:val="toc 2"/>
    <w:basedOn w:val="1"/>
    <w:next w:val="1"/>
    <w:qFormat/>
    <w:uiPriority w:val="0"/>
    <w:pPr>
      <w:tabs>
        <w:tab w:val="right" w:leader="dot" w:pos="8494"/>
      </w:tabs>
    </w:pPr>
    <w:rPr>
      <w:rFonts w:ascii="Times New Roman" w:hAnsi="Times New Roman" w:eastAsia="宋体" w:cs="Times New Roman"/>
      <w:sz w:val="30"/>
      <w:szCs w:val="30"/>
    </w:rPr>
  </w:style>
  <w:style w:type="paragraph" w:styleId="54">
    <w:name w:val="toc 9"/>
    <w:basedOn w:val="1"/>
    <w:next w:val="1"/>
    <w:qFormat/>
    <w:uiPriority w:val="0"/>
    <w:pPr>
      <w:ind w:left="1680"/>
      <w:jc w:val="left"/>
    </w:pPr>
    <w:rPr>
      <w:rFonts w:ascii="Times New Roman" w:hAnsi="Times New Roman" w:eastAsia="宋体" w:cs="Times New Roman"/>
      <w:sz w:val="18"/>
      <w:szCs w:val="18"/>
    </w:rPr>
  </w:style>
  <w:style w:type="paragraph" w:styleId="55">
    <w:name w:val="Body Text 2"/>
    <w:basedOn w:val="1"/>
    <w:link w:val="122"/>
    <w:qFormat/>
    <w:uiPriority w:val="0"/>
    <w:pPr>
      <w:widowControl/>
      <w:snapToGrid w:val="0"/>
      <w:spacing w:before="50" w:afterLines="50" w:line="400" w:lineRule="exact"/>
      <w:jc w:val="left"/>
    </w:pPr>
    <w:rPr>
      <w:rFonts w:ascii="Times New Roman" w:hAnsi="Times New Roman" w:eastAsia="宋体" w:cs="Times New Roman"/>
      <w:kern w:val="0"/>
      <w:sz w:val="20"/>
      <w:szCs w:val="20"/>
    </w:rPr>
  </w:style>
  <w:style w:type="paragraph" w:styleId="56">
    <w:name w:val="List 4"/>
    <w:basedOn w:val="1"/>
    <w:qFormat/>
    <w:uiPriority w:val="0"/>
    <w:pPr>
      <w:ind w:left="1680" w:hanging="420"/>
    </w:pPr>
    <w:rPr>
      <w:rFonts w:ascii="Times New Roman" w:hAnsi="Times New Roman" w:eastAsia="宋体" w:cs="Times New Roman"/>
      <w:szCs w:val="21"/>
    </w:rPr>
  </w:style>
  <w:style w:type="paragraph" w:styleId="57">
    <w:name w:val="HTML Preformatted"/>
    <w:basedOn w:val="1"/>
    <w:link w:val="12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8">
    <w:name w:val="Normal (Web)"/>
    <w:basedOn w:val="1"/>
    <w:link w:val="125"/>
    <w:qFormat/>
    <w:uiPriority w:val="0"/>
    <w:pPr>
      <w:widowControl/>
      <w:spacing w:line="300" w:lineRule="atLeast"/>
      <w:jc w:val="left"/>
    </w:pPr>
    <w:rPr>
      <w:rFonts w:ascii="宋体" w:hAnsi="Times New Roman" w:eastAsia="宋体" w:cs="Times New Roman"/>
      <w:kern w:val="0"/>
      <w:sz w:val="24"/>
      <w:szCs w:val="24"/>
    </w:rPr>
  </w:style>
  <w:style w:type="paragraph" w:styleId="59">
    <w:name w:val="Title"/>
    <w:basedOn w:val="1"/>
    <w:next w:val="1"/>
    <w:link w:val="127"/>
    <w:qFormat/>
    <w:uiPriority w:val="0"/>
    <w:pPr>
      <w:spacing w:before="240" w:after="60" w:line="480" w:lineRule="exact"/>
      <w:jc w:val="center"/>
      <w:outlineLvl w:val="0"/>
    </w:pPr>
    <w:rPr>
      <w:rFonts w:ascii="Cambria" w:hAnsi="Cambria" w:eastAsia="宋体" w:cs="Times New Roman"/>
      <w:b/>
      <w:bCs/>
      <w:kern w:val="0"/>
      <w:sz w:val="32"/>
      <w:szCs w:val="32"/>
    </w:rPr>
  </w:style>
  <w:style w:type="paragraph" w:styleId="60">
    <w:name w:val="annotation subject"/>
    <w:basedOn w:val="23"/>
    <w:next w:val="23"/>
    <w:link w:val="129"/>
    <w:qFormat/>
    <w:uiPriority w:val="0"/>
    <w:rPr>
      <w:b/>
      <w:bCs/>
    </w:rPr>
  </w:style>
  <w:style w:type="paragraph" w:styleId="61">
    <w:name w:val="Body Text First Indent"/>
    <w:basedOn w:val="26"/>
    <w:link w:val="132"/>
    <w:qFormat/>
    <w:uiPriority w:val="0"/>
    <w:pPr>
      <w:spacing w:line="390" w:lineRule="atLeast"/>
      <w:ind w:firstLine="420" w:firstLineChars="100"/>
    </w:pPr>
    <w:rPr>
      <w:sz w:val="24"/>
      <w:szCs w:val="24"/>
    </w:rPr>
  </w:style>
  <w:style w:type="paragraph" w:styleId="62">
    <w:name w:val="Body Text First Indent 2"/>
    <w:basedOn w:val="27"/>
    <w:link w:val="134"/>
    <w:qFormat/>
    <w:uiPriority w:val="0"/>
    <w:pPr>
      <w:ind w:firstLine="420" w:firstLineChars="200"/>
    </w:p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6">
    <w:name w:val="Strong"/>
    <w:qFormat/>
    <w:uiPriority w:val="0"/>
    <w:rPr>
      <w:rFonts w:ascii="Times New Roman" w:hAnsi="Times New Roman" w:eastAsia="宋体" w:cs="Times New Roman"/>
      <w:b/>
      <w:bCs/>
    </w:rPr>
  </w:style>
  <w:style w:type="character" w:styleId="67">
    <w:name w:val="page number"/>
    <w:qFormat/>
    <w:uiPriority w:val="0"/>
    <w:rPr>
      <w:rFonts w:ascii="Times New Roman" w:hAnsi="Times New Roman" w:eastAsia="宋体" w:cs="Times New Roman"/>
    </w:rPr>
  </w:style>
  <w:style w:type="character" w:styleId="68">
    <w:name w:val="FollowedHyperlink"/>
    <w:qFormat/>
    <w:uiPriority w:val="0"/>
    <w:rPr>
      <w:rFonts w:ascii="Times New Roman" w:hAnsi="Times New Roman" w:eastAsia="宋体" w:cs="Times New Roman"/>
      <w:color w:val="333333"/>
      <w:u w:val="none"/>
    </w:rPr>
  </w:style>
  <w:style w:type="character" w:styleId="69">
    <w:name w:val="Emphasis"/>
    <w:qFormat/>
    <w:uiPriority w:val="0"/>
    <w:rPr>
      <w:rFonts w:ascii="Times New Roman" w:hAnsi="Times New Roman" w:eastAsia="宋体" w:cs="Times New Roman"/>
      <w:color w:val="auto"/>
    </w:rPr>
  </w:style>
  <w:style w:type="character" w:styleId="70">
    <w:name w:val="HTML Definition"/>
    <w:qFormat/>
    <w:uiPriority w:val="0"/>
    <w:rPr>
      <w:rFonts w:ascii="Times New Roman" w:hAnsi="Times New Roman" w:eastAsia="宋体" w:cs="Times New Roman"/>
    </w:rPr>
  </w:style>
  <w:style w:type="character" w:styleId="71">
    <w:name w:val="HTML Typewriter"/>
    <w:qFormat/>
    <w:uiPriority w:val="0"/>
    <w:rPr>
      <w:rFonts w:ascii="宋体" w:hAnsi="宋体" w:eastAsia="宋体" w:cs="宋体"/>
      <w:sz w:val="24"/>
      <w:szCs w:val="24"/>
    </w:rPr>
  </w:style>
  <w:style w:type="character" w:styleId="72">
    <w:name w:val="HTML Acronym"/>
    <w:qFormat/>
    <w:uiPriority w:val="0"/>
    <w:rPr>
      <w:rFonts w:ascii="Times New Roman" w:hAnsi="Times New Roman" w:eastAsia="宋体" w:cs="Times New Roman"/>
    </w:rPr>
  </w:style>
  <w:style w:type="character" w:styleId="73">
    <w:name w:val="HTML Variable"/>
    <w:qFormat/>
    <w:uiPriority w:val="0"/>
    <w:rPr>
      <w:rFonts w:ascii="Times New Roman" w:hAnsi="Times New Roman" w:eastAsia="宋体" w:cs="Times New Roman"/>
    </w:rPr>
  </w:style>
  <w:style w:type="character" w:styleId="74">
    <w:name w:val="Hyperlink"/>
    <w:qFormat/>
    <w:uiPriority w:val="0"/>
    <w:rPr>
      <w:rFonts w:ascii="Times New Roman" w:hAnsi="Times New Roman" w:eastAsia="宋体" w:cs="Times New Roman"/>
      <w:color w:val="333333"/>
      <w:u w:val="none"/>
    </w:rPr>
  </w:style>
  <w:style w:type="character" w:styleId="75">
    <w:name w:val="HTML Code"/>
    <w:qFormat/>
    <w:uiPriority w:val="0"/>
    <w:rPr>
      <w:rFonts w:hint="default" w:ascii="monospace" w:hAnsi="monospace" w:eastAsia="monospace" w:cs="monospace"/>
      <w:sz w:val="20"/>
    </w:rPr>
  </w:style>
  <w:style w:type="character" w:styleId="76">
    <w:name w:val="annotation reference"/>
    <w:qFormat/>
    <w:uiPriority w:val="0"/>
    <w:rPr>
      <w:rFonts w:ascii="Times New Roman" w:hAnsi="Times New Roman" w:eastAsia="宋体" w:cs="Times New Roman"/>
      <w:sz w:val="21"/>
      <w:szCs w:val="21"/>
    </w:rPr>
  </w:style>
  <w:style w:type="character" w:styleId="77">
    <w:name w:val="HTML Cite"/>
    <w:qFormat/>
    <w:uiPriority w:val="0"/>
    <w:rPr>
      <w:rFonts w:ascii="Times New Roman" w:hAnsi="Times New Roman" w:eastAsia="宋体" w:cs="Times New Roman"/>
    </w:rPr>
  </w:style>
  <w:style w:type="character" w:styleId="78">
    <w:name w:val="footnote reference"/>
    <w:qFormat/>
    <w:uiPriority w:val="0"/>
    <w:rPr>
      <w:rFonts w:ascii="Times New Roman" w:hAnsi="Times New Roman" w:eastAsia="宋体" w:cs="Times New Roman"/>
      <w:vertAlign w:val="superscript"/>
    </w:rPr>
  </w:style>
  <w:style w:type="character" w:styleId="79">
    <w:name w:val="HTML Keyboard"/>
    <w:qFormat/>
    <w:uiPriority w:val="0"/>
    <w:rPr>
      <w:rFonts w:hint="default" w:ascii="monospace" w:hAnsi="monospace" w:eastAsia="monospace" w:cs="monospace"/>
      <w:sz w:val="20"/>
    </w:rPr>
  </w:style>
  <w:style w:type="character" w:styleId="80">
    <w:name w:val="HTML Sample"/>
    <w:qFormat/>
    <w:uiPriority w:val="0"/>
    <w:rPr>
      <w:rFonts w:hint="default" w:ascii="monospace" w:hAnsi="monospace" w:eastAsia="monospace" w:cs="monospace"/>
    </w:rPr>
  </w:style>
  <w:style w:type="character" w:customStyle="1" w:styleId="81">
    <w:name w:val="页眉 Char"/>
    <w:basedOn w:val="65"/>
    <w:link w:val="42"/>
    <w:qFormat/>
    <w:uiPriority w:val="0"/>
    <w:rPr>
      <w:sz w:val="18"/>
      <w:szCs w:val="18"/>
    </w:rPr>
  </w:style>
  <w:style w:type="character" w:customStyle="1" w:styleId="82">
    <w:name w:val="页脚 Char"/>
    <w:basedOn w:val="65"/>
    <w:link w:val="41"/>
    <w:qFormat/>
    <w:uiPriority w:val="0"/>
    <w:rPr>
      <w:sz w:val="18"/>
      <w:szCs w:val="18"/>
    </w:rPr>
  </w:style>
  <w:style w:type="character" w:customStyle="1" w:styleId="83">
    <w:name w:val="标题 1 Char"/>
    <w:basedOn w:val="65"/>
    <w:link w:val="2"/>
    <w:qFormat/>
    <w:uiPriority w:val="0"/>
    <w:rPr>
      <w:b/>
      <w:bCs/>
      <w:kern w:val="44"/>
      <w:sz w:val="44"/>
      <w:szCs w:val="44"/>
    </w:rPr>
  </w:style>
  <w:style w:type="character" w:customStyle="1" w:styleId="84">
    <w:name w:val="标题 2 Char"/>
    <w:basedOn w:val="65"/>
    <w:link w:val="3"/>
    <w:qFormat/>
    <w:uiPriority w:val="0"/>
    <w:rPr>
      <w:rFonts w:ascii="Arial" w:hAnsi="Arial" w:eastAsia="黑体" w:cs="Times New Roman"/>
      <w:b/>
      <w:bCs/>
      <w:kern w:val="0"/>
      <w:sz w:val="32"/>
      <w:szCs w:val="32"/>
    </w:rPr>
  </w:style>
  <w:style w:type="character" w:customStyle="1" w:styleId="85">
    <w:name w:val="标题 3 Char"/>
    <w:basedOn w:val="65"/>
    <w:link w:val="4"/>
    <w:qFormat/>
    <w:uiPriority w:val="0"/>
    <w:rPr>
      <w:rFonts w:ascii="Times New Roman" w:hAnsi="Times New Roman" w:eastAsia="宋体" w:cs="Times New Roman"/>
      <w:b/>
      <w:bCs/>
      <w:kern w:val="0"/>
      <w:sz w:val="32"/>
      <w:szCs w:val="32"/>
    </w:rPr>
  </w:style>
  <w:style w:type="character" w:customStyle="1" w:styleId="86">
    <w:name w:val="标题 4 Char"/>
    <w:basedOn w:val="65"/>
    <w:link w:val="5"/>
    <w:qFormat/>
    <w:uiPriority w:val="0"/>
    <w:rPr>
      <w:rFonts w:ascii="Arial" w:hAnsi="Arial" w:eastAsia="黑体" w:cs="Times New Roman"/>
      <w:b/>
      <w:bCs/>
      <w:kern w:val="0"/>
      <w:sz w:val="28"/>
      <w:szCs w:val="28"/>
    </w:rPr>
  </w:style>
  <w:style w:type="character" w:customStyle="1" w:styleId="87">
    <w:name w:val="标题 5 Char"/>
    <w:basedOn w:val="65"/>
    <w:link w:val="6"/>
    <w:qFormat/>
    <w:uiPriority w:val="0"/>
    <w:rPr>
      <w:rFonts w:ascii="Times New Roman" w:hAnsi="Times New Roman" w:eastAsia="宋体" w:cs="Times New Roman"/>
      <w:b/>
      <w:bCs/>
      <w:kern w:val="0"/>
      <w:sz w:val="28"/>
      <w:szCs w:val="28"/>
    </w:rPr>
  </w:style>
  <w:style w:type="character" w:customStyle="1" w:styleId="88">
    <w:name w:val="标题 6 Char"/>
    <w:basedOn w:val="65"/>
    <w:link w:val="7"/>
    <w:qFormat/>
    <w:uiPriority w:val="0"/>
    <w:rPr>
      <w:rFonts w:ascii="Arial" w:hAnsi="Arial" w:eastAsia="黑体" w:cs="Times New Roman"/>
      <w:b/>
      <w:bCs/>
      <w:kern w:val="0"/>
      <w:sz w:val="24"/>
      <w:szCs w:val="24"/>
    </w:rPr>
  </w:style>
  <w:style w:type="character" w:customStyle="1" w:styleId="89">
    <w:name w:val="标题 7 Char"/>
    <w:basedOn w:val="65"/>
    <w:link w:val="8"/>
    <w:qFormat/>
    <w:uiPriority w:val="0"/>
    <w:rPr>
      <w:rFonts w:ascii="Times New Roman" w:hAnsi="Times New Roman" w:eastAsia="宋体" w:cs="Times New Roman"/>
      <w:b/>
      <w:bCs/>
      <w:kern w:val="0"/>
      <w:sz w:val="24"/>
      <w:szCs w:val="24"/>
    </w:rPr>
  </w:style>
  <w:style w:type="character" w:customStyle="1" w:styleId="90">
    <w:name w:val="标题 8 Char"/>
    <w:basedOn w:val="65"/>
    <w:link w:val="9"/>
    <w:qFormat/>
    <w:uiPriority w:val="0"/>
    <w:rPr>
      <w:rFonts w:ascii="Arial" w:hAnsi="Arial" w:eastAsia="黑体" w:cs="Times New Roman"/>
      <w:kern w:val="0"/>
      <w:sz w:val="24"/>
      <w:szCs w:val="24"/>
    </w:rPr>
  </w:style>
  <w:style w:type="character" w:customStyle="1" w:styleId="91">
    <w:name w:val="标题 9 Char"/>
    <w:basedOn w:val="65"/>
    <w:link w:val="10"/>
    <w:qFormat/>
    <w:uiPriority w:val="0"/>
    <w:rPr>
      <w:rFonts w:ascii="Arial" w:hAnsi="Arial" w:eastAsia="黑体" w:cs="Times New Roman"/>
      <w:kern w:val="0"/>
      <w:szCs w:val="21"/>
    </w:rPr>
  </w:style>
  <w:style w:type="character" w:customStyle="1" w:styleId="92">
    <w:name w:val="注释标题 Char"/>
    <w:basedOn w:val="65"/>
    <w:link w:val="14"/>
    <w:qFormat/>
    <w:uiPriority w:val="0"/>
    <w:rPr>
      <w:rFonts w:ascii="time new roman" w:hAnsi="time new roman" w:eastAsia="长城粗隶书" w:cs="Times New Roman"/>
      <w:kern w:val="0"/>
      <w:sz w:val="24"/>
      <w:szCs w:val="24"/>
    </w:rPr>
  </w:style>
  <w:style w:type="character" w:customStyle="1" w:styleId="93">
    <w:name w:val="电子邮件签名 Char"/>
    <w:basedOn w:val="65"/>
    <w:qFormat/>
    <w:uiPriority w:val="0"/>
  </w:style>
  <w:style w:type="character" w:customStyle="1" w:styleId="94">
    <w:name w:val="电子邮件签名 Char2"/>
    <w:link w:val="16"/>
    <w:qFormat/>
    <w:uiPriority w:val="0"/>
    <w:rPr>
      <w:rFonts w:ascii="Times New Roman" w:hAnsi="Times New Roman" w:eastAsia="宋体" w:cs="Times New Roman"/>
      <w:kern w:val="0"/>
      <w:sz w:val="20"/>
      <w:szCs w:val="20"/>
    </w:rPr>
  </w:style>
  <w:style w:type="character" w:customStyle="1" w:styleId="95">
    <w:name w:val="正文缩进 Char"/>
    <w:link w:val="18"/>
    <w:qFormat/>
    <w:uiPriority w:val="0"/>
    <w:rPr>
      <w:rFonts w:ascii="Times New Roman" w:hAnsi="Times New Roman" w:eastAsia="宋体" w:cs="Times New Roman"/>
      <w:kern w:val="0"/>
      <w:sz w:val="20"/>
      <w:szCs w:val="20"/>
    </w:rPr>
  </w:style>
  <w:style w:type="character" w:customStyle="1" w:styleId="96">
    <w:name w:val="列表项目符号 Char"/>
    <w:link w:val="20"/>
    <w:qFormat/>
    <w:uiPriority w:val="0"/>
    <w:rPr>
      <w:rFonts w:ascii="Times New Roman" w:hAnsi="Times New Roman" w:eastAsia="宋体" w:cs="Times New Roman"/>
      <w:kern w:val="0"/>
      <w:sz w:val="24"/>
      <w:szCs w:val="24"/>
    </w:rPr>
  </w:style>
  <w:style w:type="character" w:customStyle="1" w:styleId="97">
    <w:name w:val="文档结构图 Char"/>
    <w:basedOn w:val="65"/>
    <w:qFormat/>
    <w:uiPriority w:val="0"/>
    <w:rPr>
      <w:rFonts w:ascii="宋体" w:eastAsia="宋体"/>
      <w:sz w:val="18"/>
      <w:szCs w:val="18"/>
    </w:rPr>
  </w:style>
  <w:style w:type="character" w:customStyle="1" w:styleId="98">
    <w:name w:val="文档结构图 Char1"/>
    <w:link w:val="21"/>
    <w:qFormat/>
    <w:uiPriority w:val="0"/>
    <w:rPr>
      <w:rFonts w:ascii="宋体" w:hAnsi="Times New Roman" w:eastAsia="宋体" w:cs="Times New Roman"/>
      <w:kern w:val="0"/>
      <w:sz w:val="18"/>
      <w:szCs w:val="18"/>
      <w:shd w:val="clear" w:color="auto" w:fill="000080"/>
    </w:rPr>
  </w:style>
  <w:style w:type="character" w:customStyle="1" w:styleId="99">
    <w:name w:val="批注文字 Char"/>
    <w:basedOn w:val="65"/>
    <w:qFormat/>
    <w:uiPriority w:val="0"/>
  </w:style>
  <w:style w:type="character" w:customStyle="1" w:styleId="100">
    <w:name w:val="批注文字 Char1"/>
    <w:link w:val="23"/>
    <w:qFormat/>
    <w:uiPriority w:val="0"/>
    <w:rPr>
      <w:rFonts w:ascii="Times New Roman" w:hAnsi="Times New Roman" w:eastAsia="宋体" w:cs="Times New Roman"/>
      <w:kern w:val="0"/>
      <w:sz w:val="20"/>
      <w:szCs w:val="20"/>
    </w:rPr>
  </w:style>
  <w:style w:type="character" w:customStyle="1" w:styleId="101">
    <w:name w:val="正文文本 3 Char"/>
    <w:basedOn w:val="65"/>
    <w:qFormat/>
    <w:uiPriority w:val="0"/>
    <w:rPr>
      <w:sz w:val="16"/>
      <w:szCs w:val="16"/>
    </w:rPr>
  </w:style>
  <w:style w:type="character" w:customStyle="1" w:styleId="102">
    <w:name w:val="正文文本 3 Char1"/>
    <w:link w:val="24"/>
    <w:qFormat/>
    <w:uiPriority w:val="0"/>
    <w:rPr>
      <w:rFonts w:ascii="Times New Roman" w:hAnsi="Times New Roman" w:eastAsia="宋体" w:cs="Times New Roman"/>
      <w:kern w:val="0"/>
      <w:sz w:val="16"/>
      <w:szCs w:val="16"/>
    </w:rPr>
  </w:style>
  <w:style w:type="character" w:customStyle="1" w:styleId="103">
    <w:name w:val="正文文本 Char"/>
    <w:basedOn w:val="65"/>
    <w:qFormat/>
    <w:uiPriority w:val="0"/>
  </w:style>
  <w:style w:type="character" w:customStyle="1" w:styleId="104">
    <w:name w:val="正文文本 Char1"/>
    <w:link w:val="26"/>
    <w:qFormat/>
    <w:uiPriority w:val="0"/>
    <w:rPr>
      <w:rFonts w:ascii="Times New Roman" w:hAnsi="Times New Roman" w:eastAsia="宋体" w:cs="Times New Roman"/>
      <w:kern w:val="0"/>
      <w:sz w:val="20"/>
      <w:szCs w:val="20"/>
    </w:rPr>
  </w:style>
  <w:style w:type="character" w:customStyle="1" w:styleId="105">
    <w:name w:val="正文文本缩进 Char"/>
    <w:basedOn w:val="65"/>
    <w:qFormat/>
    <w:uiPriority w:val="0"/>
  </w:style>
  <w:style w:type="character" w:customStyle="1" w:styleId="106">
    <w:name w:val="正文文本缩进 Char1"/>
    <w:link w:val="27"/>
    <w:qFormat/>
    <w:uiPriority w:val="0"/>
    <w:rPr>
      <w:rFonts w:ascii="Times New Roman" w:hAnsi="Times New Roman" w:eastAsia="宋体" w:cs="Times New Roman"/>
      <w:kern w:val="0"/>
      <w:sz w:val="20"/>
      <w:szCs w:val="20"/>
    </w:rPr>
  </w:style>
  <w:style w:type="character" w:customStyle="1" w:styleId="107">
    <w:name w:val="纯文本 Char"/>
    <w:basedOn w:val="65"/>
    <w:qFormat/>
    <w:uiPriority w:val="0"/>
    <w:rPr>
      <w:rFonts w:ascii="宋体" w:hAnsi="Courier New" w:eastAsia="宋体" w:cs="Courier New"/>
      <w:szCs w:val="21"/>
    </w:rPr>
  </w:style>
  <w:style w:type="character" w:customStyle="1" w:styleId="108">
    <w:name w:val="纯文本 Char4"/>
    <w:link w:val="34"/>
    <w:qFormat/>
    <w:uiPriority w:val="99"/>
    <w:rPr>
      <w:rFonts w:ascii="宋体" w:hAnsi="Courier New" w:eastAsia="宋体" w:cs="Times New Roman"/>
      <w:kern w:val="0"/>
      <w:szCs w:val="21"/>
    </w:rPr>
  </w:style>
  <w:style w:type="character" w:customStyle="1" w:styleId="109">
    <w:name w:val="日期 Char"/>
    <w:basedOn w:val="65"/>
    <w:qFormat/>
    <w:uiPriority w:val="0"/>
  </w:style>
  <w:style w:type="character" w:customStyle="1" w:styleId="110">
    <w:name w:val="日期 Char1"/>
    <w:link w:val="38"/>
    <w:qFormat/>
    <w:uiPriority w:val="0"/>
    <w:rPr>
      <w:rFonts w:ascii="Times New Roman" w:hAnsi="Times New Roman" w:eastAsia="宋体" w:cs="Times New Roman"/>
      <w:kern w:val="0"/>
      <w:sz w:val="20"/>
      <w:szCs w:val="20"/>
    </w:rPr>
  </w:style>
  <w:style w:type="character" w:customStyle="1" w:styleId="111">
    <w:name w:val="正文文本缩进 2 Char"/>
    <w:basedOn w:val="65"/>
    <w:qFormat/>
    <w:uiPriority w:val="0"/>
  </w:style>
  <w:style w:type="character" w:customStyle="1" w:styleId="112">
    <w:name w:val="正文文本缩进 2 Char1"/>
    <w:link w:val="39"/>
    <w:qFormat/>
    <w:uiPriority w:val="99"/>
    <w:rPr>
      <w:rFonts w:ascii="Times New Roman" w:hAnsi="Times New Roman" w:eastAsia="宋体" w:cs="Times New Roman"/>
      <w:kern w:val="0"/>
      <w:sz w:val="20"/>
      <w:szCs w:val="20"/>
    </w:rPr>
  </w:style>
  <w:style w:type="character" w:customStyle="1" w:styleId="113">
    <w:name w:val="批注框文本 Char"/>
    <w:basedOn w:val="65"/>
    <w:qFormat/>
    <w:uiPriority w:val="0"/>
    <w:rPr>
      <w:sz w:val="18"/>
      <w:szCs w:val="18"/>
    </w:rPr>
  </w:style>
  <w:style w:type="character" w:customStyle="1" w:styleId="114">
    <w:name w:val="批注框文本 Char1"/>
    <w:link w:val="40"/>
    <w:qFormat/>
    <w:uiPriority w:val="0"/>
    <w:rPr>
      <w:rFonts w:ascii="Times New Roman" w:hAnsi="Times New Roman" w:eastAsia="宋体" w:cs="Times New Roman"/>
      <w:kern w:val="0"/>
      <w:sz w:val="18"/>
      <w:szCs w:val="18"/>
    </w:rPr>
  </w:style>
  <w:style w:type="character" w:customStyle="1" w:styleId="115">
    <w:name w:val="副标题 Char"/>
    <w:basedOn w:val="65"/>
    <w:qFormat/>
    <w:uiPriority w:val="0"/>
    <w:rPr>
      <w:rFonts w:eastAsia="宋体" w:asciiTheme="majorHAnsi" w:hAnsiTheme="majorHAnsi" w:cstheme="majorBidi"/>
      <w:b/>
      <w:bCs/>
      <w:kern w:val="28"/>
      <w:sz w:val="32"/>
      <w:szCs w:val="32"/>
    </w:rPr>
  </w:style>
  <w:style w:type="character" w:customStyle="1" w:styleId="116">
    <w:name w:val="副标题 Char2"/>
    <w:link w:val="47"/>
    <w:qFormat/>
    <w:uiPriority w:val="0"/>
    <w:rPr>
      <w:rFonts w:ascii="Cambria" w:hAnsi="Cambria" w:eastAsia="宋体" w:cs="Times New Roman"/>
      <w:b/>
      <w:bCs/>
      <w:kern w:val="28"/>
      <w:sz w:val="32"/>
      <w:szCs w:val="32"/>
    </w:rPr>
  </w:style>
  <w:style w:type="character" w:customStyle="1" w:styleId="117">
    <w:name w:val="脚注文本 Char"/>
    <w:basedOn w:val="65"/>
    <w:qFormat/>
    <w:uiPriority w:val="0"/>
    <w:rPr>
      <w:sz w:val="18"/>
      <w:szCs w:val="18"/>
    </w:rPr>
  </w:style>
  <w:style w:type="character" w:customStyle="1" w:styleId="118">
    <w:name w:val="脚注文本 Char2"/>
    <w:link w:val="50"/>
    <w:qFormat/>
    <w:uiPriority w:val="0"/>
    <w:rPr>
      <w:rFonts w:ascii="Times New Roman" w:hAnsi="Times New Roman" w:eastAsia="宋体" w:cs="Times New Roman"/>
      <w:kern w:val="0"/>
      <w:sz w:val="18"/>
      <w:szCs w:val="18"/>
    </w:rPr>
  </w:style>
  <w:style w:type="character" w:customStyle="1" w:styleId="119">
    <w:name w:val="正文文本缩进 3 Char"/>
    <w:basedOn w:val="65"/>
    <w:qFormat/>
    <w:uiPriority w:val="0"/>
    <w:rPr>
      <w:sz w:val="16"/>
      <w:szCs w:val="16"/>
    </w:rPr>
  </w:style>
  <w:style w:type="character" w:customStyle="1" w:styleId="120">
    <w:name w:val="正文文本缩进 3 Char1"/>
    <w:link w:val="52"/>
    <w:qFormat/>
    <w:uiPriority w:val="0"/>
    <w:rPr>
      <w:rFonts w:ascii="Times New Roman" w:hAnsi="Times New Roman" w:eastAsia="宋体" w:cs="Times New Roman"/>
      <w:kern w:val="0"/>
      <w:sz w:val="16"/>
      <w:szCs w:val="16"/>
    </w:rPr>
  </w:style>
  <w:style w:type="character" w:customStyle="1" w:styleId="121">
    <w:name w:val="正文文本 2 Char"/>
    <w:basedOn w:val="65"/>
    <w:qFormat/>
    <w:uiPriority w:val="0"/>
  </w:style>
  <w:style w:type="character" w:customStyle="1" w:styleId="122">
    <w:name w:val="正文文本 2 Char1"/>
    <w:link w:val="55"/>
    <w:qFormat/>
    <w:uiPriority w:val="0"/>
    <w:rPr>
      <w:rFonts w:ascii="Times New Roman" w:hAnsi="Times New Roman" w:eastAsia="宋体" w:cs="Times New Roman"/>
      <w:kern w:val="0"/>
      <w:sz w:val="20"/>
      <w:szCs w:val="20"/>
    </w:rPr>
  </w:style>
  <w:style w:type="character" w:customStyle="1" w:styleId="123">
    <w:name w:val="HTML 预设格式 Char"/>
    <w:basedOn w:val="65"/>
    <w:qFormat/>
    <w:uiPriority w:val="0"/>
    <w:rPr>
      <w:rFonts w:ascii="Courier New" w:hAnsi="Courier New" w:cs="Courier New"/>
      <w:sz w:val="20"/>
      <w:szCs w:val="20"/>
    </w:rPr>
  </w:style>
  <w:style w:type="character" w:customStyle="1" w:styleId="124">
    <w:name w:val="HTML 预设格式 Char2"/>
    <w:link w:val="57"/>
    <w:qFormat/>
    <w:uiPriority w:val="0"/>
    <w:rPr>
      <w:rFonts w:ascii="Courier New" w:hAnsi="Courier New" w:eastAsia="宋体" w:cs="Times New Roman"/>
      <w:kern w:val="0"/>
      <w:sz w:val="20"/>
      <w:szCs w:val="20"/>
    </w:rPr>
  </w:style>
  <w:style w:type="character" w:customStyle="1" w:styleId="125">
    <w:name w:val="普通(网站) Char"/>
    <w:link w:val="58"/>
    <w:qFormat/>
    <w:uiPriority w:val="0"/>
    <w:rPr>
      <w:rFonts w:ascii="宋体" w:hAnsi="Times New Roman" w:eastAsia="宋体" w:cs="Times New Roman"/>
      <w:kern w:val="0"/>
      <w:sz w:val="24"/>
      <w:szCs w:val="24"/>
    </w:rPr>
  </w:style>
  <w:style w:type="character" w:customStyle="1" w:styleId="126">
    <w:name w:val="标题 Char"/>
    <w:basedOn w:val="65"/>
    <w:qFormat/>
    <w:uiPriority w:val="0"/>
    <w:rPr>
      <w:rFonts w:eastAsia="宋体" w:asciiTheme="majorHAnsi" w:hAnsiTheme="majorHAnsi" w:cstheme="majorBidi"/>
      <w:b/>
      <w:bCs/>
      <w:sz w:val="32"/>
      <w:szCs w:val="32"/>
    </w:rPr>
  </w:style>
  <w:style w:type="character" w:customStyle="1" w:styleId="127">
    <w:name w:val="标题 Char1"/>
    <w:link w:val="59"/>
    <w:qFormat/>
    <w:uiPriority w:val="0"/>
    <w:rPr>
      <w:rFonts w:ascii="Cambria" w:hAnsi="Cambria" w:eastAsia="宋体" w:cs="Times New Roman"/>
      <w:b/>
      <w:bCs/>
      <w:kern w:val="0"/>
      <w:sz w:val="32"/>
      <w:szCs w:val="32"/>
    </w:rPr>
  </w:style>
  <w:style w:type="character" w:customStyle="1" w:styleId="128">
    <w:name w:val="批注主题 Char"/>
    <w:basedOn w:val="99"/>
    <w:qFormat/>
    <w:uiPriority w:val="0"/>
    <w:rPr>
      <w:b/>
      <w:bCs/>
    </w:rPr>
  </w:style>
  <w:style w:type="character" w:customStyle="1" w:styleId="129">
    <w:name w:val="批注主题 Char1"/>
    <w:link w:val="60"/>
    <w:qFormat/>
    <w:uiPriority w:val="0"/>
    <w:rPr>
      <w:rFonts w:ascii="Times New Roman" w:hAnsi="Times New Roman" w:eastAsia="宋体" w:cs="Times New Roman"/>
      <w:b/>
      <w:bCs/>
      <w:kern w:val="0"/>
      <w:sz w:val="20"/>
      <w:szCs w:val="20"/>
    </w:rPr>
  </w:style>
  <w:style w:type="character" w:customStyle="1" w:styleId="130">
    <w:name w:val="正文首行缩进 Char"/>
    <w:basedOn w:val="103"/>
    <w:link w:val="131"/>
    <w:qFormat/>
    <w:uiPriority w:val="0"/>
  </w:style>
  <w:style w:type="paragraph" w:customStyle="1" w:styleId="131">
    <w:name w:val="正文首行缩进1"/>
    <w:link w:val="130"/>
    <w:qFormat/>
    <w:uiPriority w:val="0"/>
    <w:pPr>
      <w:widowControl w:val="0"/>
      <w:spacing w:after="120" w:line="360" w:lineRule="auto"/>
      <w:ind w:firstLine="420" w:firstLineChars="100"/>
    </w:pPr>
    <w:rPr>
      <w:rFonts w:ascii="Calibri" w:hAnsi="Calibri" w:eastAsia="宋体" w:cs="Calibri"/>
      <w:kern w:val="2"/>
      <w:sz w:val="24"/>
      <w:szCs w:val="24"/>
      <w:lang w:val="en-US" w:eastAsia="zh-CN" w:bidi="ar-SA"/>
    </w:rPr>
  </w:style>
  <w:style w:type="character" w:customStyle="1" w:styleId="132">
    <w:name w:val="正文首行缩进 Char2"/>
    <w:link w:val="61"/>
    <w:qFormat/>
    <w:uiPriority w:val="0"/>
    <w:rPr>
      <w:rFonts w:ascii="Times New Roman" w:hAnsi="Times New Roman" w:eastAsia="宋体" w:cs="Times New Roman"/>
      <w:kern w:val="0"/>
      <w:sz w:val="24"/>
      <w:szCs w:val="24"/>
    </w:rPr>
  </w:style>
  <w:style w:type="character" w:customStyle="1" w:styleId="133">
    <w:name w:val="正文首行缩进 2 Char"/>
    <w:basedOn w:val="105"/>
    <w:qFormat/>
    <w:uiPriority w:val="0"/>
  </w:style>
  <w:style w:type="character" w:customStyle="1" w:styleId="134">
    <w:name w:val="正文首行缩进 2 Char2"/>
    <w:link w:val="62"/>
    <w:qFormat/>
    <w:uiPriority w:val="0"/>
    <w:rPr>
      <w:rFonts w:ascii="Times New Roman" w:hAnsi="Times New Roman" w:eastAsia="宋体" w:cs="Times New Roman"/>
      <w:kern w:val="0"/>
      <w:sz w:val="20"/>
      <w:szCs w:val="20"/>
    </w:rPr>
  </w:style>
  <w:style w:type="paragraph" w:customStyle="1" w:styleId="135">
    <w:name w:val="样式 列表编号 + 段后: 0.5 行"/>
    <w:basedOn w:val="17"/>
    <w:qFormat/>
    <w:uiPriority w:val="0"/>
    <w:pPr>
      <w:tabs>
        <w:tab w:val="left" w:pos="360"/>
        <w:tab w:val="clear" w:pos="454"/>
        <w:tab w:val="clear" w:pos="720"/>
      </w:tabs>
      <w:ind w:left="360" w:hanging="360"/>
    </w:pPr>
  </w:style>
  <w:style w:type="paragraph" w:customStyle="1" w:styleId="136">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37">
    <w:name w:val="titlered1"/>
    <w:qFormat/>
    <w:uiPriority w:val="0"/>
    <w:rPr>
      <w:rFonts w:ascii="Times New Roman" w:hAnsi="Times New Roman" w:eastAsia="宋体" w:cs="Times New Roman"/>
      <w:b/>
      <w:bCs/>
      <w:color w:val="FF0000"/>
      <w:sz w:val="21"/>
      <w:szCs w:val="21"/>
    </w:rPr>
  </w:style>
  <w:style w:type="character" w:customStyle="1" w:styleId="138">
    <w:name w:val="纯文本 Char1"/>
    <w:qFormat/>
    <w:uiPriority w:val="0"/>
    <w:rPr>
      <w:rFonts w:ascii="宋体" w:hAnsi="Courier New" w:eastAsia="宋体" w:cs="宋体"/>
      <w:kern w:val="2"/>
      <w:sz w:val="24"/>
      <w:szCs w:val="24"/>
      <w:lang w:val="en-US" w:eastAsia="zh-CN"/>
    </w:rPr>
  </w:style>
  <w:style w:type="character" w:customStyle="1" w:styleId="139">
    <w:name w:val="style8"/>
    <w:qFormat/>
    <w:uiPriority w:val="0"/>
    <w:rPr>
      <w:rFonts w:ascii="Times New Roman" w:hAnsi="Times New Roman" w:eastAsia="宋体" w:cs="Times New Roman"/>
    </w:rPr>
  </w:style>
  <w:style w:type="character" w:customStyle="1" w:styleId="140">
    <w:name w:val="huei12b"/>
    <w:qFormat/>
    <w:uiPriority w:val="0"/>
    <w:rPr>
      <w:rFonts w:ascii="Times New Roman" w:hAnsi="Times New Roman" w:eastAsia="宋体" w:cs="Times New Roman"/>
    </w:rPr>
  </w:style>
  <w:style w:type="character" w:customStyle="1" w:styleId="141">
    <w:name w:val="Normal Indent Char Char"/>
    <w:qFormat/>
    <w:uiPriority w:val="0"/>
    <w:rPr>
      <w:rFonts w:ascii="Times New Roman" w:hAnsi="Times New Roman" w:eastAsia="宋体" w:cs="Times New Roman"/>
      <w:kern w:val="2"/>
      <w:sz w:val="24"/>
      <w:szCs w:val="24"/>
      <w:lang w:val="en-US" w:eastAsia="zh-CN"/>
    </w:rPr>
  </w:style>
  <w:style w:type="character" w:customStyle="1" w:styleId="142">
    <w:name w:val="paramname3"/>
    <w:qFormat/>
    <w:uiPriority w:val="0"/>
    <w:rPr>
      <w:rFonts w:ascii="Times New Roman" w:hAnsi="Times New Roman" w:eastAsia="宋体" w:cs="Times New Roman"/>
    </w:rPr>
  </w:style>
  <w:style w:type="character" w:customStyle="1" w:styleId="143">
    <w:name w:val="tpc_content1"/>
    <w:qFormat/>
    <w:uiPriority w:val="0"/>
    <w:rPr>
      <w:rFonts w:ascii="Times New Roman" w:hAnsi="Times New Roman" w:eastAsia="宋体" w:cs="Times New Roman"/>
      <w:sz w:val="20"/>
      <w:szCs w:val="20"/>
    </w:rPr>
  </w:style>
  <w:style w:type="character" w:customStyle="1" w:styleId="144">
    <w:name w:val="title_emph1"/>
    <w:qFormat/>
    <w:uiPriority w:val="0"/>
    <w:rPr>
      <w:rFonts w:ascii="Arial" w:hAnsi="Arial" w:eastAsia="宋体" w:cs="Arial"/>
      <w:b/>
      <w:bCs/>
      <w:sz w:val="18"/>
      <w:szCs w:val="18"/>
    </w:rPr>
  </w:style>
  <w:style w:type="character" w:customStyle="1" w:styleId="145">
    <w:name w:val="body1"/>
    <w:qFormat/>
    <w:uiPriority w:val="0"/>
    <w:rPr>
      <w:rFonts w:ascii="Times New Roman" w:hAnsi="Times New Roman" w:eastAsia="宋体" w:cs="Times New Roman"/>
      <w:sz w:val="18"/>
      <w:szCs w:val="18"/>
    </w:rPr>
  </w:style>
  <w:style w:type="character" w:customStyle="1" w:styleId="146">
    <w:name w:val="span21"/>
    <w:qFormat/>
    <w:uiPriority w:val="0"/>
    <w:rPr>
      <w:rFonts w:ascii="Times New Roman" w:hAnsi="Times New Roman" w:eastAsia="宋体" w:cs="Times New Roman"/>
      <w:color w:val="auto"/>
    </w:rPr>
  </w:style>
  <w:style w:type="character" w:customStyle="1" w:styleId="147">
    <w:name w:val="标题三文本 Char Char"/>
    <w:qFormat/>
    <w:uiPriority w:val="0"/>
    <w:rPr>
      <w:rFonts w:ascii="Times New Roman" w:hAnsi="Times New Roman" w:eastAsia="宋体" w:cs="Times New Roman"/>
      <w:kern w:val="2"/>
      <w:sz w:val="24"/>
      <w:szCs w:val="24"/>
      <w:lang w:val="en-US" w:eastAsia="zh-CN"/>
    </w:rPr>
  </w:style>
  <w:style w:type="character" w:customStyle="1" w:styleId="148">
    <w:name w:val="标题 2 Char Char"/>
    <w:qFormat/>
    <w:uiPriority w:val="0"/>
    <w:rPr>
      <w:rFonts w:ascii="Arial" w:hAnsi="Arial" w:eastAsia="黑体" w:cs="Arial"/>
      <w:b/>
      <w:bCs/>
      <w:kern w:val="2"/>
      <w:sz w:val="32"/>
      <w:szCs w:val="32"/>
      <w:lang w:val="en-US" w:eastAsia="zh-CN"/>
    </w:rPr>
  </w:style>
  <w:style w:type="paragraph" w:customStyle="1" w:styleId="149">
    <w:name w:val="标题 3 Alt+3！"/>
    <w:basedOn w:val="4"/>
    <w:link w:val="150"/>
    <w:qFormat/>
    <w:uiPriority w:val="0"/>
    <w:pPr>
      <w:keepNext w:val="0"/>
      <w:keepLines w:val="0"/>
      <w:tabs>
        <w:tab w:val="left" w:pos="4140"/>
      </w:tabs>
      <w:spacing w:beforeLines="50" w:after="0" w:line="360" w:lineRule="auto"/>
      <w:ind w:right="-796" w:rightChars="-379"/>
      <w:jc w:val="left"/>
    </w:pPr>
    <w:rPr>
      <w:rFonts w:ascii="宋体"/>
      <w:sz w:val="21"/>
      <w:szCs w:val="21"/>
    </w:rPr>
  </w:style>
  <w:style w:type="character" w:customStyle="1" w:styleId="150">
    <w:name w:val="标题 3 Alt+3！ Char Char"/>
    <w:link w:val="149"/>
    <w:qFormat/>
    <w:uiPriority w:val="0"/>
    <w:rPr>
      <w:rFonts w:ascii="宋体" w:hAnsi="Times New Roman" w:eastAsia="宋体" w:cs="Times New Roman"/>
      <w:b/>
      <w:bCs/>
      <w:kern w:val="0"/>
      <w:szCs w:val="21"/>
    </w:rPr>
  </w:style>
  <w:style w:type="character" w:customStyle="1" w:styleId="151">
    <w:name w:val="font01"/>
    <w:qFormat/>
    <w:uiPriority w:val="0"/>
    <w:rPr>
      <w:rFonts w:ascii="长城粗隶书" w:hAnsi="Times New Roman" w:eastAsia="长城粗隶书" w:cs="长城粗隶书"/>
      <w:color w:val="000000"/>
      <w:sz w:val="21"/>
      <w:szCs w:val="21"/>
      <w:u w:val="none"/>
    </w:rPr>
  </w:style>
  <w:style w:type="character" w:customStyle="1" w:styleId="152">
    <w:name w:val="font101"/>
    <w:qFormat/>
    <w:uiPriority w:val="0"/>
    <w:rPr>
      <w:rFonts w:ascii="Times New Roman" w:hAnsi="Times New Roman" w:eastAsia="宋体" w:cs="Times New Roman"/>
      <w:sz w:val="20"/>
      <w:szCs w:val="20"/>
    </w:rPr>
  </w:style>
  <w:style w:type="character" w:customStyle="1" w:styleId="153">
    <w:name w:val="line1"/>
    <w:qFormat/>
    <w:uiPriority w:val="0"/>
    <w:rPr>
      <w:rFonts w:ascii="Times New Roman" w:hAnsi="Times New Roman" w:eastAsia="宋体" w:cs="Times New Roman"/>
    </w:rPr>
  </w:style>
  <w:style w:type="character" w:customStyle="1" w:styleId="154">
    <w:name w:val="spantable1"/>
    <w:qFormat/>
    <w:uiPriority w:val="0"/>
    <w:rPr>
      <w:rFonts w:ascii="Times New Roman" w:hAnsi="Times New Roman" w:eastAsia="宋体" w:cs="Times New Roman"/>
      <w:sz w:val="18"/>
      <w:szCs w:val="18"/>
    </w:rPr>
  </w:style>
  <w:style w:type="character" w:customStyle="1" w:styleId="155">
    <w:name w:val="unnamed11"/>
    <w:qFormat/>
    <w:uiPriority w:val="0"/>
    <w:rPr>
      <w:rFonts w:ascii="Times New Roman" w:hAnsi="Times New Roman" w:eastAsia="宋体" w:cs="Times New Roman"/>
      <w:color w:val="000000"/>
      <w:sz w:val="20"/>
      <w:szCs w:val="20"/>
    </w:rPr>
  </w:style>
  <w:style w:type="paragraph" w:customStyle="1" w:styleId="156">
    <w:name w:val="文档正文"/>
    <w:basedOn w:val="1"/>
    <w:link w:val="157"/>
    <w:qFormat/>
    <w:uiPriority w:val="0"/>
    <w:pPr>
      <w:adjustRightInd w:val="0"/>
      <w:spacing w:line="312" w:lineRule="atLeast"/>
      <w:ind w:firstLine="567"/>
      <w:textAlignment w:val="baseline"/>
    </w:pPr>
    <w:rPr>
      <w:rFonts w:ascii="长城仿宋" w:hAnsi="Times New Roman" w:eastAsia="长城仿宋" w:cs="Times New Roman"/>
      <w:kern w:val="0"/>
      <w:sz w:val="28"/>
      <w:szCs w:val="28"/>
    </w:rPr>
  </w:style>
  <w:style w:type="character" w:customStyle="1" w:styleId="157">
    <w:name w:val="文档正文 Char Char"/>
    <w:link w:val="156"/>
    <w:qFormat/>
    <w:uiPriority w:val="0"/>
    <w:rPr>
      <w:rFonts w:ascii="长城仿宋" w:hAnsi="Times New Roman" w:eastAsia="长城仿宋" w:cs="Times New Roman"/>
      <w:kern w:val="0"/>
      <w:sz w:val="28"/>
      <w:szCs w:val="28"/>
    </w:rPr>
  </w:style>
  <w:style w:type="character" w:customStyle="1" w:styleId="158">
    <w:name w:val="正文首行缩进 Char1"/>
    <w:qFormat/>
    <w:uiPriority w:val="0"/>
    <w:rPr>
      <w:rFonts w:ascii="宋体" w:hAnsi="宋体" w:eastAsia="宋体" w:cs="宋体"/>
      <w:kern w:val="2"/>
      <w:sz w:val="24"/>
      <w:szCs w:val="24"/>
    </w:rPr>
  </w:style>
  <w:style w:type="character" w:customStyle="1" w:styleId="159">
    <w:name w:val="fontblankb"/>
    <w:qFormat/>
    <w:uiPriority w:val="0"/>
    <w:rPr>
      <w:rFonts w:ascii="Times New Roman" w:hAnsi="Times New Roman" w:eastAsia="宋体" w:cs="Times New Roman"/>
    </w:rPr>
  </w:style>
  <w:style w:type="character" w:customStyle="1" w:styleId="160">
    <w:name w:val="特点 Char"/>
    <w:qFormat/>
    <w:uiPriority w:val="0"/>
    <w:rPr>
      <w:rFonts w:ascii="Times New Roman" w:hAnsi="Times New Roman" w:eastAsia="宋体" w:cs="Times New Roman"/>
      <w:kern w:val="2"/>
      <w:sz w:val="21"/>
      <w:szCs w:val="21"/>
      <w:lang w:val="en-US" w:eastAsia="zh-CN"/>
    </w:rPr>
  </w:style>
  <w:style w:type="character" w:customStyle="1" w:styleId="161">
    <w:name w:val="ww"/>
    <w:qFormat/>
    <w:uiPriority w:val="0"/>
    <w:rPr>
      <w:rFonts w:ascii="Times New Roman" w:hAnsi="Times New Roman" w:eastAsia="宋体" w:cs="Times New Roman"/>
    </w:rPr>
  </w:style>
  <w:style w:type="character" w:customStyle="1" w:styleId="162">
    <w:name w:val="ca-22"/>
    <w:qFormat/>
    <w:uiPriority w:val="0"/>
    <w:rPr>
      <w:rFonts w:ascii="Times New Roman" w:hAnsi="Times New Roman" w:eastAsia="宋体" w:cs="Times New Roman"/>
    </w:rPr>
  </w:style>
  <w:style w:type="character" w:customStyle="1" w:styleId="163">
    <w:name w:val="apple-converted-space"/>
    <w:qFormat/>
    <w:uiPriority w:val="0"/>
    <w:rPr>
      <w:rFonts w:ascii="Times New Roman" w:hAnsi="Times New Roman" w:eastAsia="宋体" w:cs="Times New Roman"/>
    </w:rPr>
  </w:style>
  <w:style w:type="character" w:customStyle="1" w:styleId="164">
    <w:name w:val="font41"/>
    <w:qFormat/>
    <w:uiPriority w:val="0"/>
    <w:rPr>
      <w:rFonts w:hint="eastAsia" w:ascii="仿宋" w:hAnsi="仿宋" w:eastAsia="仿宋" w:cs="仿宋"/>
      <w:color w:val="000000"/>
      <w:sz w:val="24"/>
      <w:szCs w:val="24"/>
      <w:u w:val="none"/>
    </w:rPr>
  </w:style>
  <w:style w:type="paragraph" w:customStyle="1" w:styleId="165">
    <w:name w:val="标题 21"/>
    <w:basedOn w:val="3"/>
    <w:link w:val="166"/>
    <w:qFormat/>
    <w:uiPriority w:val="0"/>
    <w:pPr>
      <w:widowControl/>
      <w:ind w:firstLine="360"/>
      <w:jc w:val="left"/>
    </w:pPr>
    <w:rPr>
      <w:rFonts w:ascii="Calibri Light" w:hAnsi="Calibri Light"/>
      <w:lang w:eastAsia="en-US"/>
    </w:rPr>
  </w:style>
  <w:style w:type="character" w:customStyle="1" w:styleId="166">
    <w:name w:val="标题 2 (文字)"/>
    <w:link w:val="165"/>
    <w:qFormat/>
    <w:uiPriority w:val="0"/>
    <w:rPr>
      <w:rFonts w:ascii="Calibri Light" w:hAnsi="Calibri Light" w:eastAsia="黑体" w:cs="Times New Roman"/>
      <w:b/>
      <w:bCs/>
      <w:kern w:val="0"/>
      <w:sz w:val="32"/>
      <w:szCs w:val="32"/>
      <w:lang w:eastAsia="en-US"/>
    </w:rPr>
  </w:style>
  <w:style w:type="character" w:customStyle="1" w:styleId="167">
    <w:name w:val="spnmessagetext"/>
    <w:qFormat/>
    <w:uiPriority w:val="0"/>
    <w:rPr>
      <w:rFonts w:ascii="Times New Roman" w:hAnsi="Times New Roman" w:eastAsia="宋体" w:cs="Times New Roman"/>
    </w:rPr>
  </w:style>
  <w:style w:type="character" w:customStyle="1" w:styleId="168">
    <w:name w:val="font1"/>
    <w:qFormat/>
    <w:uiPriority w:val="0"/>
    <w:rPr>
      <w:rFonts w:ascii="Times New Roman" w:hAnsi="Times New Roman" w:eastAsia="宋体" w:cs="Times New Roman"/>
      <w:sz w:val="18"/>
      <w:szCs w:val="18"/>
    </w:rPr>
  </w:style>
  <w:style w:type="character" w:customStyle="1" w:styleId="169">
    <w:name w:val="blacktext"/>
    <w:qFormat/>
    <w:uiPriority w:val="0"/>
    <w:rPr>
      <w:rFonts w:ascii="Times New Roman" w:hAnsi="Times New Roman" w:eastAsia="宋体" w:cs="Times New Roman"/>
    </w:rPr>
  </w:style>
  <w:style w:type="character" w:customStyle="1" w:styleId="170">
    <w:name w:val="标书正文格式 Char Char Char Char Char Char"/>
    <w:qFormat/>
    <w:uiPriority w:val="0"/>
    <w:rPr>
      <w:rFonts w:ascii="Times New Roman" w:hAnsi="Times New Roman" w:eastAsia="楷体_GB2312" w:cs="Times New Roman"/>
      <w:kern w:val="2"/>
      <w:sz w:val="24"/>
      <w:szCs w:val="24"/>
      <w:lang w:val="en-US" w:eastAsia="zh-CN"/>
    </w:rPr>
  </w:style>
  <w:style w:type="character" w:customStyle="1" w:styleId="171">
    <w:name w:val="副标题 Char1"/>
    <w:qFormat/>
    <w:uiPriority w:val="0"/>
    <w:rPr>
      <w:rFonts w:ascii="Cambria" w:hAnsi="Cambria" w:eastAsia="宋体" w:cs="Cambria"/>
      <w:b/>
      <w:bCs/>
      <w:kern w:val="28"/>
      <w:sz w:val="32"/>
      <w:szCs w:val="32"/>
    </w:rPr>
  </w:style>
  <w:style w:type="character" w:customStyle="1" w:styleId="172">
    <w:name w:val="spelle"/>
    <w:qFormat/>
    <w:uiPriority w:val="0"/>
    <w:rPr>
      <w:rFonts w:ascii="Times New Roman" w:hAnsi="Times New Roman" w:eastAsia="宋体" w:cs="Times New Roman"/>
    </w:rPr>
  </w:style>
  <w:style w:type="character" w:customStyle="1" w:styleId="173">
    <w:name w:val="html_txt1"/>
    <w:qFormat/>
    <w:uiPriority w:val="0"/>
    <w:rPr>
      <w:rFonts w:ascii="Times New Roman" w:hAnsi="Times New Roman" w:eastAsia="宋体" w:cs="Times New Roman"/>
      <w:color w:val="000000"/>
    </w:rPr>
  </w:style>
  <w:style w:type="character" w:customStyle="1" w:styleId="174">
    <w:name w:val="脚注文本 Char1"/>
    <w:qFormat/>
    <w:uiPriority w:val="0"/>
    <w:rPr>
      <w:rFonts w:ascii="Times New Roman" w:hAnsi="Times New Roman" w:eastAsia="宋体" w:cs="Times New Roman"/>
      <w:kern w:val="2"/>
      <w:sz w:val="18"/>
      <w:szCs w:val="18"/>
    </w:rPr>
  </w:style>
  <w:style w:type="character" w:customStyle="1" w:styleId="175">
    <w:name w:val="gray11"/>
    <w:qFormat/>
    <w:uiPriority w:val="0"/>
    <w:rPr>
      <w:rFonts w:ascii="Times New Roman" w:hAnsi="Times New Roman" w:eastAsia="宋体" w:cs="Times New Roman"/>
      <w:color w:val="000000"/>
      <w:sz w:val="18"/>
      <w:szCs w:val="18"/>
      <w:u w:val="none"/>
    </w:rPr>
  </w:style>
  <w:style w:type="character" w:customStyle="1" w:styleId="176">
    <w:name w:val="style111"/>
    <w:qFormat/>
    <w:uiPriority w:val="0"/>
    <w:rPr>
      <w:rFonts w:ascii="Times New Roman" w:hAnsi="Times New Roman" w:eastAsia="宋体" w:cs="Times New Roman"/>
      <w:color w:val="auto"/>
      <w:sz w:val="24"/>
      <w:szCs w:val="24"/>
    </w:rPr>
  </w:style>
  <w:style w:type="character" w:customStyle="1" w:styleId="177">
    <w:name w:val="unnamed1nn"/>
    <w:qFormat/>
    <w:uiPriority w:val="0"/>
    <w:rPr>
      <w:rFonts w:ascii="Times New Roman" w:hAnsi="Times New Roman" w:eastAsia="宋体" w:cs="Times New Roman"/>
    </w:rPr>
  </w:style>
  <w:style w:type="character" w:customStyle="1" w:styleId="178">
    <w:name w:val="mm_word_url"/>
    <w:qFormat/>
    <w:uiPriority w:val="0"/>
    <w:rPr>
      <w:rFonts w:ascii="Times New Roman" w:hAnsi="Times New Roman" w:eastAsia="宋体" w:cs="Times New Roman"/>
    </w:rPr>
  </w:style>
  <w:style w:type="character" w:customStyle="1" w:styleId="179">
    <w:name w:val="style2"/>
    <w:qFormat/>
    <w:uiPriority w:val="0"/>
    <w:rPr>
      <w:rFonts w:ascii="Times New Roman" w:hAnsi="Times New Roman" w:eastAsia="宋体" w:cs="Times New Roman"/>
    </w:rPr>
  </w:style>
  <w:style w:type="character" w:customStyle="1" w:styleId="180">
    <w:name w:val="标题 2 + 宋体 四号 非加粗 Char Char Char Char"/>
    <w:qFormat/>
    <w:uiPriority w:val="0"/>
    <w:rPr>
      <w:rFonts w:ascii="Times New Roman" w:hAnsi="Times New Roman" w:eastAsia="宋体" w:cs="Times New Roman"/>
      <w:b/>
      <w:bCs/>
      <w:color w:val="000000"/>
      <w:kern w:val="2"/>
      <w:sz w:val="24"/>
      <w:szCs w:val="24"/>
      <w:lang w:val="en-US" w:eastAsia="zh-CN"/>
    </w:rPr>
  </w:style>
  <w:style w:type="character" w:customStyle="1" w:styleId="181">
    <w:name w:val="font21"/>
    <w:qFormat/>
    <w:uiPriority w:val="0"/>
    <w:rPr>
      <w:rFonts w:ascii="Verdana" w:hAnsi="Verdana" w:eastAsia="宋体" w:cs="Verdana"/>
      <w:color w:val="000000"/>
      <w:sz w:val="20"/>
      <w:szCs w:val="20"/>
    </w:rPr>
  </w:style>
  <w:style w:type="character" w:customStyle="1" w:styleId="182">
    <w:name w:val="z-窗体底端 Char"/>
    <w:qFormat/>
    <w:uiPriority w:val="0"/>
    <w:rPr>
      <w:rFonts w:ascii="Arial" w:hAnsi="Arial" w:eastAsia="宋体" w:cs="Arial"/>
      <w:vanish/>
      <w:sz w:val="16"/>
      <w:szCs w:val="16"/>
    </w:rPr>
  </w:style>
  <w:style w:type="character" w:customStyle="1" w:styleId="183">
    <w:name w:val="标题 3 Char1"/>
    <w:qFormat/>
    <w:uiPriority w:val="0"/>
    <w:rPr>
      <w:rFonts w:ascii="Times New Roman" w:hAnsi="Times New Roman" w:eastAsia="黑体" w:cs="Times New Roman"/>
      <w:b/>
      <w:bCs/>
      <w:kern w:val="2"/>
      <w:sz w:val="32"/>
      <w:szCs w:val="32"/>
      <w:lang w:val="en-US" w:eastAsia="zh-CN"/>
    </w:rPr>
  </w:style>
  <w:style w:type="character" w:customStyle="1" w:styleId="184">
    <w:name w:val="text-01"/>
    <w:qFormat/>
    <w:uiPriority w:val="0"/>
    <w:rPr>
      <w:rFonts w:ascii="Verdana" w:hAnsi="Verdana" w:eastAsia="宋体" w:cs="Verdana"/>
      <w:sz w:val="18"/>
      <w:szCs w:val="18"/>
    </w:rPr>
  </w:style>
  <w:style w:type="character" w:customStyle="1" w:styleId="185">
    <w:name w:val="font11"/>
    <w:qFormat/>
    <w:uiPriority w:val="0"/>
    <w:rPr>
      <w:rFonts w:ascii="Times New Roman" w:hAnsi="Times New Roman" w:eastAsia="宋体" w:cs="Times New Roman"/>
      <w:color w:val="000000"/>
      <w:sz w:val="21"/>
      <w:szCs w:val="21"/>
      <w:u w:val="none"/>
    </w:rPr>
  </w:style>
  <w:style w:type="paragraph" w:customStyle="1" w:styleId="186">
    <w:name w:val="列表1"/>
    <w:basedOn w:val="20"/>
    <w:link w:val="187"/>
    <w:qFormat/>
    <w:uiPriority w:val="0"/>
    <w:pPr>
      <w:spacing w:line="360" w:lineRule="auto"/>
      <w:ind w:hanging="200" w:hangingChars="200"/>
    </w:pPr>
    <w:rPr>
      <w:b/>
      <w:bCs/>
      <w:sz w:val="20"/>
      <w:szCs w:val="20"/>
    </w:rPr>
  </w:style>
  <w:style w:type="character" w:customStyle="1" w:styleId="187">
    <w:name w:val="LIST Char Char"/>
    <w:link w:val="186"/>
    <w:qFormat/>
    <w:uiPriority w:val="0"/>
    <w:rPr>
      <w:rFonts w:ascii="Times New Roman" w:hAnsi="Times New Roman" w:eastAsia="宋体" w:cs="Times New Roman"/>
      <w:b/>
      <w:bCs/>
      <w:kern w:val="0"/>
      <w:sz w:val="20"/>
      <w:szCs w:val="20"/>
    </w:rPr>
  </w:style>
  <w:style w:type="paragraph" w:customStyle="1" w:styleId="188">
    <w:name w:val="文字"/>
    <w:basedOn w:val="1"/>
    <w:link w:val="189"/>
    <w:qFormat/>
    <w:uiPriority w:val="0"/>
    <w:pPr>
      <w:tabs>
        <w:tab w:val="left" w:pos="8520"/>
      </w:tabs>
      <w:spacing w:line="312" w:lineRule="auto"/>
      <w:ind w:right="-210" w:firstLine="556"/>
    </w:pPr>
    <w:rPr>
      <w:rFonts w:ascii="宋体" w:hAnsi="Times New Roman" w:eastAsia="宋体" w:cs="Times New Roman"/>
      <w:kern w:val="0"/>
      <w:sz w:val="28"/>
      <w:szCs w:val="28"/>
    </w:rPr>
  </w:style>
  <w:style w:type="character" w:customStyle="1" w:styleId="189">
    <w:name w:val="文字 Char Char"/>
    <w:link w:val="188"/>
    <w:qFormat/>
    <w:uiPriority w:val="0"/>
    <w:rPr>
      <w:rFonts w:ascii="宋体" w:hAnsi="Times New Roman" w:eastAsia="宋体" w:cs="Times New Roman"/>
      <w:kern w:val="0"/>
      <w:sz w:val="28"/>
      <w:szCs w:val="28"/>
    </w:rPr>
  </w:style>
  <w:style w:type="character" w:customStyle="1" w:styleId="190">
    <w:name w:val="song101"/>
    <w:qFormat/>
    <w:uiPriority w:val="0"/>
    <w:rPr>
      <w:rFonts w:ascii="宋体" w:hAnsi="宋体" w:eastAsia="宋体" w:cs="宋体"/>
      <w:sz w:val="20"/>
      <w:szCs w:val="20"/>
    </w:rPr>
  </w:style>
  <w:style w:type="character" w:customStyle="1" w:styleId="191">
    <w:name w:val="页码1"/>
    <w:qFormat/>
    <w:uiPriority w:val="0"/>
    <w:rPr>
      <w:rFonts w:ascii="Times New Roman" w:hAnsi="Times New Roman" w:eastAsia="宋体" w:cs="Times New Roman"/>
    </w:rPr>
  </w:style>
  <w:style w:type="character" w:customStyle="1" w:styleId="192">
    <w:name w:val="fc_hui_6666661"/>
    <w:qFormat/>
    <w:uiPriority w:val="0"/>
    <w:rPr>
      <w:rFonts w:ascii="Times New Roman" w:hAnsi="Times New Roman" w:eastAsia="宋体" w:cs="Times New Roman"/>
      <w:color w:val="auto"/>
    </w:rPr>
  </w:style>
  <w:style w:type="character" w:customStyle="1" w:styleId="193">
    <w:name w:val="HTML 预设格式 Char1"/>
    <w:qFormat/>
    <w:uiPriority w:val="0"/>
    <w:rPr>
      <w:rFonts w:ascii="Courier New" w:hAnsi="Courier New" w:eastAsia="宋体" w:cs="Courier New"/>
      <w:kern w:val="2"/>
    </w:rPr>
  </w:style>
  <w:style w:type="character" w:customStyle="1" w:styleId="194">
    <w:name w:val="v151"/>
    <w:qFormat/>
    <w:uiPriority w:val="0"/>
    <w:rPr>
      <w:rFonts w:ascii="Times New Roman" w:hAnsi="Times New Roman" w:eastAsia="宋体" w:cs="Times New Roman"/>
      <w:sz w:val="18"/>
      <w:szCs w:val="18"/>
    </w:rPr>
  </w:style>
  <w:style w:type="character" w:customStyle="1" w:styleId="195">
    <w:name w:val="tw4winMark"/>
    <w:qFormat/>
    <w:uiPriority w:val="0"/>
    <w:rPr>
      <w:rFonts w:ascii="Courier New" w:hAnsi="Courier New" w:eastAsia="宋体" w:cs="Courier New"/>
      <w:vanish/>
      <w:color w:val="800080"/>
      <w:vertAlign w:val="subscript"/>
    </w:rPr>
  </w:style>
  <w:style w:type="character" w:customStyle="1" w:styleId="196">
    <w:name w:val="正文（首行缩进两字） Char Char Char Char1"/>
    <w:qFormat/>
    <w:uiPriority w:val="0"/>
    <w:rPr>
      <w:rFonts w:ascii="Times New Roman" w:hAnsi="Times New Roman" w:eastAsia="宋体" w:cs="Times New Roman"/>
      <w:kern w:val="2"/>
      <w:sz w:val="21"/>
      <w:szCs w:val="21"/>
      <w:lang w:val="en-US" w:eastAsia="zh-CN"/>
    </w:rPr>
  </w:style>
  <w:style w:type="character" w:customStyle="1" w:styleId="197">
    <w:name w:val="发展规划1"/>
    <w:qFormat/>
    <w:uiPriority w:val="0"/>
    <w:rPr>
      <w:rFonts w:ascii="Arial" w:hAnsi="Arial" w:eastAsia="宋体" w:cs="Arial"/>
      <w:color w:val="auto"/>
      <w:sz w:val="21"/>
      <w:szCs w:val="21"/>
    </w:rPr>
  </w:style>
  <w:style w:type="paragraph" w:customStyle="1" w:styleId="198">
    <w:name w:val="文章样式2"/>
    <w:basedOn w:val="1"/>
    <w:link w:val="199"/>
    <w:qFormat/>
    <w:uiPriority w:val="0"/>
    <w:pPr>
      <w:widowControl/>
      <w:adjustRightInd w:val="0"/>
      <w:snapToGrid w:val="0"/>
      <w:spacing w:line="360" w:lineRule="auto"/>
      <w:ind w:firstLine="151" w:firstLineChars="72"/>
    </w:pPr>
    <w:rPr>
      <w:rFonts w:ascii="??" w:hAnsi="??" w:eastAsia="宋体" w:cs="Times New Roman"/>
      <w:color w:val="333333"/>
      <w:kern w:val="0"/>
      <w:sz w:val="20"/>
      <w:szCs w:val="20"/>
    </w:rPr>
  </w:style>
  <w:style w:type="character" w:customStyle="1" w:styleId="199">
    <w:name w:val="文章样式2 Char Char"/>
    <w:link w:val="198"/>
    <w:qFormat/>
    <w:uiPriority w:val="0"/>
    <w:rPr>
      <w:rFonts w:ascii="??" w:hAnsi="??" w:eastAsia="宋体" w:cs="Times New Roman"/>
      <w:color w:val="333333"/>
      <w:kern w:val="0"/>
      <w:sz w:val="20"/>
      <w:szCs w:val="20"/>
    </w:rPr>
  </w:style>
  <w:style w:type="character" w:customStyle="1" w:styleId="200">
    <w:name w:val="fl b titlelinkcolor titlename"/>
    <w:qFormat/>
    <w:uiPriority w:val="0"/>
    <w:rPr>
      <w:rFonts w:ascii="Times New Roman" w:hAnsi="Times New Roman" w:eastAsia="宋体" w:cs="Times New Roman"/>
    </w:rPr>
  </w:style>
  <w:style w:type="paragraph" w:customStyle="1" w:styleId="201">
    <w:name w:val="11-正文"/>
    <w:basedOn w:val="1"/>
    <w:link w:val="202"/>
    <w:qFormat/>
    <w:uiPriority w:val="0"/>
    <w:pPr>
      <w:spacing w:beforeLines="50" w:line="360" w:lineRule="auto"/>
      <w:ind w:firstLine="420" w:firstLineChars="200"/>
    </w:pPr>
    <w:rPr>
      <w:rFonts w:ascii="Times New Roman" w:hAnsi="Times New Roman" w:eastAsia="宋体" w:cs="Times New Roman"/>
      <w:kern w:val="0"/>
      <w:sz w:val="20"/>
      <w:szCs w:val="20"/>
    </w:rPr>
  </w:style>
  <w:style w:type="character" w:customStyle="1" w:styleId="202">
    <w:name w:val="11-正文 Char Char"/>
    <w:link w:val="201"/>
    <w:qFormat/>
    <w:uiPriority w:val="0"/>
    <w:rPr>
      <w:rFonts w:ascii="Times New Roman" w:hAnsi="Times New Roman" w:eastAsia="宋体" w:cs="Times New Roman"/>
      <w:kern w:val="0"/>
      <w:sz w:val="20"/>
      <w:szCs w:val="20"/>
    </w:rPr>
  </w:style>
  <w:style w:type="character" w:customStyle="1" w:styleId="203">
    <w:name w:val="普通文字 Char Char3"/>
    <w:qFormat/>
    <w:uiPriority w:val="0"/>
    <w:rPr>
      <w:rFonts w:ascii="宋体" w:hAnsi="Courier New" w:eastAsia="宋体" w:cs="宋体"/>
      <w:kern w:val="2"/>
      <w:sz w:val="24"/>
      <w:szCs w:val="24"/>
      <w:lang w:val="en-US" w:eastAsia="zh-CN"/>
    </w:rPr>
  </w:style>
  <w:style w:type="character" w:customStyle="1" w:styleId="204">
    <w:name w:val="纯文本 Char2"/>
    <w:qFormat/>
    <w:uiPriority w:val="0"/>
    <w:rPr>
      <w:rFonts w:ascii="宋体" w:hAnsi="Courier New" w:eastAsia="宋体" w:cs="宋体"/>
      <w:sz w:val="24"/>
      <w:szCs w:val="24"/>
    </w:rPr>
  </w:style>
  <w:style w:type="character" w:customStyle="1" w:styleId="205">
    <w:name w:val="15"/>
    <w:qFormat/>
    <w:uiPriority w:val="0"/>
    <w:rPr>
      <w:rFonts w:ascii="Times New Roman" w:hAnsi="Times New Roman" w:eastAsia="宋体" w:cs="Times New Roman"/>
    </w:rPr>
  </w:style>
  <w:style w:type="character" w:customStyle="1" w:styleId="206">
    <w:name w:val="font51"/>
    <w:qFormat/>
    <w:uiPriority w:val="0"/>
    <w:rPr>
      <w:rFonts w:ascii="Times New Roman" w:hAnsi="Times New Roman" w:eastAsia="宋体" w:cs="Times New Roman"/>
      <w:color w:val="auto"/>
      <w:sz w:val="20"/>
      <w:szCs w:val="20"/>
    </w:rPr>
  </w:style>
  <w:style w:type="character" w:customStyle="1" w:styleId="207">
    <w:name w:val="txt1"/>
    <w:qFormat/>
    <w:uiPriority w:val="0"/>
    <w:rPr>
      <w:rFonts w:ascii="??" w:hAnsi="??" w:eastAsia="宋体" w:cs="??"/>
      <w:sz w:val="18"/>
      <w:szCs w:val="18"/>
    </w:rPr>
  </w:style>
  <w:style w:type="character" w:customStyle="1" w:styleId="208">
    <w:name w:val="wenzi1"/>
    <w:qFormat/>
    <w:uiPriority w:val="0"/>
    <w:rPr>
      <w:rFonts w:ascii="??" w:hAnsi="??" w:eastAsia="宋体" w:cs="??"/>
      <w:color w:val="000000"/>
      <w:spacing w:val="0"/>
      <w:sz w:val="22"/>
      <w:szCs w:val="22"/>
      <w:u w:val="none"/>
    </w:rPr>
  </w:style>
  <w:style w:type="character" w:customStyle="1" w:styleId="209">
    <w:name w:val="z-窗体底端 Char1"/>
    <w:qFormat/>
    <w:uiPriority w:val="0"/>
    <w:rPr>
      <w:rFonts w:ascii="Arial" w:hAnsi="Arial" w:eastAsia="宋体" w:cs="Arial"/>
      <w:vanish/>
      <w:kern w:val="2"/>
      <w:sz w:val="16"/>
      <w:szCs w:val="16"/>
    </w:rPr>
  </w:style>
  <w:style w:type="character" w:customStyle="1" w:styleId="210">
    <w:name w:val="font"/>
    <w:qFormat/>
    <w:uiPriority w:val="0"/>
    <w:rPr>
      <w:rFonts w:ascii="Times New Roman" w:hAnsi="Times New Roman" w:eastAsia="宋体" w:cs="Times New Roman"/>
    </w:rPr>
  </w:style>
  <w:style w:type="character" w:customStyle="1" w:styleId="211">
    <w:name w:val="azc1"/>
    <w:qFormat/>
    <w:uiPriority w:val="0"/>
    <w:rPr>
      <w:rFonts w:ascii="Times New Roman" w:hAnsi="Times New Roman" w:eastAsia="宋体" w:cs="Times New Roman"/>
      <w:b/>
      <w:bCs/>
      <w:color w:val="auto"/>
      <w:sz w:val="20"/>
      <w:szCs w:val="20"/>
    </w:rPr>
  </w:style>
  <w:style w:type="character" w:customStyle="1" w:styleId="212">
    <w:name w:val="Char Char"/>
    <w:qFormat/>
    <w:uiPriority w:val="0"/>
    <w:rPr>
      <w:rFonts w:ascii="宋体" w:hAnsi="Courier New" w:eastAsia="宋体" w:cs="宋体"/>
      <w:kern w:val="2"/>
      <w:sz w:val="24"/>
      <w:szCs w:val="24"/>
      <w:lang w:val="en-US" w:eastAsia="zh-CN"/>
    </w:rPr>
  </w:style>
  <w:style w:type="character" w:customStyle="1" w:styleId="213">
    <w:name w:val="a41"/>
    <w:qFormat/>
    <w:uiPriority w:val="0"/>
    <w:rPr>
      <w:rFonts w:ascii="Times New Roman" w:hAnsi="Times New Roman" w:eastAsia="宋体" w:cs="Times New Roman"/>
      <w:color w:val="auto"/>
      <w:sz w:val="20"/>
      <w:szCs w:val="20"/>
    </w:rPr>
  </w:style>
  <w:style w:type="character" w:customStyle="1" w:styleId="214">
    <w:name w:val="style12"/>
    <w:qFormat/>
    <w:uiPriority w:val="0"/>
    <w:rPr>
      <w:rFonts w:ascii="Times New Roman" w:hAnsi="Times New Roman" w:eastAsia="宋体" w:cs="Times New Roman"/>
    </w:rPr>
  </w:style>
  <w:style w:type="character" w:customStyle="1" w:styleId="215">
    <w:name w:val="apple-style-span"/>
    <w:qFormat/>
    <w:uiPriority w:val="0"/>
    <w:rPr>
      <w:rFonts w:ascii="Times New Roman" w:hAnsi="Times New Roman" w:eastAsia="宋体" w:cs="Times New Roman"/>
    </w:rPr>
  </w:style>
  <w:style w:type="character" w:customStyle="1" w:styleId="216">
    <w:name w:val="wztext-font"/>
    <w:qFormat/>
    <w:uiPriority w:val="0"/>
    <w:rPr>
      <w:rFonts w:ascii="Times New Roman" w:hAnsi="Times New Roman" w:eastAsia="宋体" w:cs="Times New Roman"/>
    </w:rPr>
  </w:style>
  <w:style w:type="character" w:customStyle="1" w:styleId="217">
    <w:name w:val="param_td12"/>
    <w:qFormat/>
    <w:uiPriority w:val="0"/>
    <w:rPr>
      <w:rFonts w:ascii="Times New Roman" w:hAnsi="Times New Roman" w:eastAsia="宋体" w:cs="Times New Roman"/>
    </w:rPr>
  </w:style>
  <w:style w:type="character" w:customStyle="1" w:styleId="218">
    <w:name w:val="style11"/>
    <w:qFormat/>
    <w:uiPriority w:val="0"/>
    <w:rPr>
      <w:rFonts w:ascii="Times New Roman" w:hAnsi="Times New Roman" w:eastAsia="宋体" w:cs="Times New Roman"/>
      <w:color w:val="auto"/>
    </w:rPr>
  </w:style>
  <w:style w:type="character" w:customStyle="1" w:styleId="219">
    <w:name w:val="bold1"/>
    <w:qFormat/>
    <w:uiPriority w:val="0"/>
    <w:rPr>
      <w:rFonts w:ascii="Times New Roman" w:hAnsi="Times New Roman" w:eastAsia="宋体" w:cs="Times New Roman"/>
      <w:b/>
      <w:bCs/>
    </w:rPr>
  </w:style>
  <w:style w:type="character" w:customStyle="1" w:styleId="220">
    <w:name w:val="标题 3 Char1 Char Char"/>
    <w:qFormat/>
    <w:uiPriority w:val="0"/>
    <w:rPr>
      <w:rFonts w:ascii="Times New Roman" w:hAnsi="Times New Roman" w:eastAsia="黑体" w:cs="Times New Roman"/>
      <w:b/>
      <w:bCs/>
      <w:kern w:val="2"/>
      <w:sz w:val="32"/>
      <w:szCs w:val="32"/>
      <w:lang w:val="en-US" w:eastAsia="zh-CN"/>
    </w:rPr>
  </w:style>
  <w:style w:type="character" w:customStyle="1" w:styleId="221">
    <w:name w:val="font31"/>
    <w:qFormat/>
    <w:uiPriority w:val="0"/>
    <w:rPr>
      <w:rFonts w:ascii="宋体" w:hAnsi="宋体" w:eastAsia="宋体" w:cs="宋体"/>
      <w:b/>
      <w:bCs/>
      <w:color w:val="000000"/>
      <w:sz w:val="20"/>
      <w:szCs w:val="20"/>
      <w:u w:val="none"/>
    </w:rPr>
  </w:style>
  <w:style w:type="character" w:customStyle="1" w:styleId="222">
    <w:name w:val="Char Char11"/>
    <w:qFormat/>
    <w:uiPriority w:val="0"/>
    <w:rPr>
      <w:rFonts w:ascii="宋体" w:hAnsi="Times New Roman" w:eastAsia="宋体" w:cs="宋体"/>
      <w:spacing w:val="15"/>
      <w:sz w:val="21"/>
      <w:szCs w:val="21"/>
    </w:rPr>
  </w:style>
  <w:style w:type="paragraph" w:customStyle="1" w:styleId="223">
    <w:name w:val="z-窗体底端1"/>
    <w:basedOn w:val="1"/>
    <w:next w:val="1"/>
    <w:link w:val="224"/>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224">
    <w:name w:val="z-窗体底端 Char2"/>
    <w:link w:val="223"/>
    <w:qFormat/>
    <w:uiPriority w:val="0"/>
    <w:rPr>
      <w:rFonts w:ascii="Arial" w:hAnsi="Arial" w:eastAsia="宋体" w:cs="Times New Roman"/>
      <w:vanish/>
      <w:kern w:val="0"/>
      <w:sz w:val="16"/>
      <w:szCs w:val="16"/>
    </w:rPr>
  </w:style>
  <w:style w:type="character" w:customStyle="1" w:styleId="225">
    <w:name w:val="haikang1"/>
    <w:qFormat/>
    <w:uiPriority w:val="0"/>
    <w:rPr>
      <w:rFonts w:ascii="Times New Roman" w:hAnsi="Times New Roman" w:eastAsia="宋体" w:cs="Times New Roman"/>
      <w:color w:val="000000"/>
      <w:sz w:val="18"/>
      <w:szCs w:val="18"/>
      <w:u w:val="none"/>
    </w:rPr>
  </w:style>
  <w:style w:type="character" w:customStyle="1" w:styleId="226">
    <w:name w:val="grame"/>
    <w:qFormat/>
    <w:uiPriority w:val="0"/>
    <w:rPr>
      <w:rFonts w:ascii="Times New Roman" w:hAnsi="Times New Roman" w:eastAsia="宋体" w:cs="Times New Roman"/>
    </w:rPr>
  </w:style>
  <w:style w:type="character" w:customStyle="1" w:styleId="227">
    <w:name w:val="para1"/>
    <w:qFormat/>
    <w:uiPriority w:val="0"/>
    <w:rPr>
      <w:rFonts w:ascii="Arial" w:hAnsi="Arial" w:eastAsia="宋体" w:cs="Arial"/>
      <w:sz w:val="18"/>
      <w:szCs w:val="18"/>
    </w:rPr>
  </w:style>
  <w:style w:type="character" w:customStyle="1" w:styleId="228">
    <w:name w:val="pt141"/>
    <w:qFormat/>
    <w:uiPriority w:val="0"/>
    <w:rPr>
      <w:rFonts w:ascii="Times New Roman" w:hAnsi="Times New Roman" w:eastAsia="宋体" w:cs="Times New Roman"/>
      <w:color w:val="auto"/>
      <w:sz w:val="22"/>
      <w:szCs w:val="22"/>
    </w:rPr>
  </w:style>
  <w:style w:type="paragraph" w:customStyle="1" w:styleId="229">
    <w:name w:val="正文 Alt+A"/>
    <w:basedOn w:val="1"/>
    <w:link w:val="230"/>
    <w:qFormat/>
    <w:uiPriority w:val="0"/>
    <w:pPr>
      <w:spacing w:line="240" w:lineRule="exact"/>
      <w:ind w:left="900" w:right="-38" w:rightChars="-18"/>
      <w:jc w:val="left"/>
    </w:pPr>
    <w:rPr>
      <w:rFonts w:ascii="宋体" w:hAnsi="Times New Roman" w:eastAsia="宋体" w:cs="Times New Roman"/>
      <w:kern w:val="0"/>
      <w:sz w:val="24"/>
      <w:szCs w:val="24"/>
    </w:rPr>
  </w:style>
  <w:style w:type="character" w:customStyle="1" w:styleId="230">
    <w:name w:val="正文 Alt+A Char Char"/>
    <w:link w:val="229"/>
    <w:qFormat/>
    <w:uiPriority w:val="0"/>
    <w:rPr>
      <w:rFonts w:ascii="宋体" w:hAnsi="Times New Roman" w:eastAsia="宋体" w:cs="Times New Roman"/>
      <w:kern w:val="0"/>
      <w:sz w:val="24"/>
      <w:szCs w:val="24"/>
    </w:rPr>
  </w:style>
  <w:style w:type="character" w:customStyle="1" w:styleId="231">
    <w:name w:val="正文首行缩进 2 Char1"/>
    <w:qFormat/>
    <w:uiPriority w:val="0"/>
    <w:rPr>
      <w:rFonts w:ascii="仿宋_GB2312" w:hAnsi="宋体" w:eastAsia="仿宋_GB2312" w:cs="仿宋_GB2312"/>
      <w:kern w:val="2"/>
      <w:sz w:val="24"/>
      <w:szCs w:val="24"/>
    </w:rPr>
  </w:style>
  <w:style w:type="paragraph" w:customStyle="1" w:styleId="232">
    <w:name w:val="标书正文格式"/>
    <w:link w:val="233"/>
    <w:qFormat/>
    <w:uiPriority w:val="0"/>
    <w:pPr>
      <w:spacing w:line="360" w:lineRule="auto"/>
      <w:ind w:firstLine="200" w:firstLineChars="200"/>
    </w:pPr>
    <w:rPr>
      <w:rFonts w:ascii="Calibri" w:hAnsi="Calibri" w:eastAsia="楷体_GB2312" w:cs="Calibri"/>
      <w:kern w:val="2"/>
      <w:sz w:val="24"/>
      <w:szCs w:val="24"/>
      <w:lang w:val="en-US" w:eastAsia="zh-CN" w:bidi="ar-SA"/>
    </w:rPr>
  </w:style>
  <w:style w:type="character" w:customStyle="1" w:styleId="233">
    <w:name w:val="标书正文格式 Char Char"/>
    <w:link w:val="232"/>
    <w:qFormat/>
    <w:uiPriority w:val="0"/>
    <w:rPr>
      <w:rFonts w:ascii="Calibri" w:hAnsi="Calibri" w:eastAsia="楷体_GB2312" w:cs="Calibri"/>
      <w:sz w:val="24"/>
      <w:szCs w:val="24"/>
    </w:rPr>
  </w:style>
  <w:style w:type="character" w:customStyle="1" w:styleId="234">
    <w:name w:val="fontblank12"/>
    <w:qFormat/>
    <w:uiPriority w:val="0"/>
    <w:rPr>
      <w:rFonts w:ascii="Times New Roman" w:hAnsi="Times New Roman" w:eastAsia="宋体" w:cs="Times New Roman"/>
    </w:rPr>
  </w:style>
  <w:style w:type="paragraph" w:customStyle="1" w:styleId="235">
    <w:name w:val="无间隔1"/>
    <w:link w:val="236"/>
    <w:qFormat/>
    <w:uiPriority w:val="0"/>
    <w:rPr>
      <w:rFonts w:ascii="Calibri" w:hAnsi="Calibri" w:eastAsia="宋体" w:cs="Calibri"/>
      <w:kern w:val="2"/>
      <w:sz w:val="22"/>
      <w:szCs w:val="22"/>
      <w:lang w:val="en-US" w:eastAsia="zh-CN" w:bidi="ar-SA"/>
    </w:rPr>
  </w:style>
  <w:style w:type="character" w:customStyle="1" w:styleId="236">
    <w:name w:val="无间隔 Char"/>
    <w:link w:val="235"/>
    <w:qFormat/>
    <w:uiPriority w:val="0"/>
    <w:rPr>
      <w:rFonts w:ascii="Calibri" w:hAnsi="Calibri" w:eastAsia="宋体" w:cs="Calibri"/>
      <w:sz w:val="22"/>
    </w:rPr>
  </w:style>
  <w:style w:type="character" w:customStyle="1" w:styleId="237">
    <w:name w:val="bt21"/>
    <w:qFormat/>
    <w:uiPriority w:val="0"/>
    <w:rPr>
      <w:rFonts w:ascii="Times New Roman" w:hAnsi="Times New Roman" w:eastAsia="宋体" w:cs="Times New Roman"/>
      <w:color w:val="000000"/>
      <w:sz w:val="18"/>
      <w:szCs w:val="18"/>
    </w:rPr>
  </w:style>
  <w:style w:type="character" w:customStyle="1" w:styleId="238">
    <w:name w:val="text1"/>
    <w:qFormat/>
    <w:uiPriority w:val="0"/>
    <w:rPr>
      <w:rFonts w:ascii="Times New Roman" w:hAnsi="Times New Roman" w:eastAsia="宋体" w:cs="Times New Roman"/>
      <w:sz w:val="21"/>
      <w:szCs w:val="21"/>
    </w:rPr>
  </w:style>
  <w:style w:type="character" w:customStyle="1" w:styleId="239">
    <w:name w:val="style31"/>
    <w:qFormat/>
    <w:uiPriority w:val="0"/>
    <w:rPr>
      <w:rFonts w:ascii="Times New Roman" w:hAnsi="Times New Roman" w:eastAsia="宋体" w:cs="Times New Roman"/>
      <w:color w:val="auto"/>
    </w:rPr>
  </w:style>
  <w:style w:type="paragraph" w:customStyle="1" w:styleId="240">
    <w:name w:val="产品名称"/>
    <w:basedOn w:val="1"/>
    <w:link w:val="241"/>
    <w:qFormat/>
    <w:uiPriority w:val="0"/>
    <w:pPr>
      <w:widowControl/>
      <w:tabs>
        <w:tab w:val="left" w:pos="780"/>
      </w:tabs>
      <w:spacing w:before="100" w:beforeAutospacing="1" w:after="100" w:afterAutospacing="1"/>
      <w:ind w:left="1275" w:hanging="1275"/>
      <w:jc w:val="left"/>
    </w:pPr>
    <w:rPr>
      <w:rFonts w:ascii="宋体" w:hAnsi="Times New Roman" w:eastAsia="宋体" w:cs="Times New Roman"/>
      <w:color w:val="000000"/>
      <w:kern w:val="0"/>
      <w:sz w:val="27"/>
      <w:szCs w:val="27"/>
      <w:u w:val="single"/>
    </w:rPr>
  </w:style>
  <w:style w:type="character" w:customStyle="1" w:styleId="241">
    <w:name w:val="产品名称 Char Char"/>
    <w:link w:val="240"/>
    <w:qFormat/>
    <w:uiPriority w:val="0"/>
    <w:rPr>
      <w:rFonts w:ascii="宋体" w:hAnsi="Times New Roman" w:eastAsia="宋体" w:cs="Times New Roman"/>
      <w:color w:val="000000"/>
      <w:kern w:val="0"/>
      <w:sz w:val="27"/>
      <w:szCs w:val="27"/>
      <w:u w:val="single"/>
    </w:rPr>
  </w:style>
  <w:style w:type="character" w:customStyle="1" w:styleId="242">
    <w:name w:val="font141"/>
    <w:qFormat/>
    <w:uiPriority w:val="0"/>
    <w:rPr>
      <w:rFonts w:ascii="Times New Roman" w:hAnsi="Times New Roman" w:eastAsia="宋体" w:cs="Times New Roman"/>
      <w:color w:val="000000"/>
      <w:sz w:val="24"/>
      <w:szCs w:val="24"/>
      <w:u w:val="none"/>
    </w:rPr>
  </w:style>
  <w:style w:type="character" w:customStyle="1" w:styleId="243">
    <w:name w:val="css"/>
    <w:qFormat/>
    <w:uiPriority w:val="0"/>
    <w:rPr>
      <w:rFonts w:ascii="Times New Roman" w:hAnsi="Times New Roman" w:eastAsia="宋体" w:cs="Times New Roman"/>
    </w:rPr>
  </w:style>
  <w:style w:type="character" w:customStyle="1" w:styleId="244">
    <w:name w:val="纯文本 Char3"/>
    <w:qFormat/>
    <w:uiPriority w:val="0"/>
    <w:rPr>
      <w:rFonts w:ascii="宋体" w:hAnsi="Courier New" w:eastAsia="宋体" w:cs="宋体"/>
      <w:kern w:val="2"/>
      <w:sz w:val="24"/>
      <w:szCs w:val="24"/>
      <w:lang w:val="en-US" w:eastAsia="zh-CN"/>
    </w:rPr>
  </w:style>
  <w:style w:type="character" w:customStyle="1" w:styleId="245">
    <w:name w:val="font111"/>
    <w:qFormat/>
    <w:uiPriority w:val="0"/>
    <w:rPr>
      <w:rFonts w:ascii="宋体" w:hAnsi="宋体" w:eastAsia="宋体" w:cs="宋体"/>
      <w:color w:val="000000"/>
      <w:sz w:val="22"/>
      <w:szCs w:val="22"/>
      <w:u w:val="none"/>
      <w:vertAlign w:val="superscript"/>
    </w:rPr>
  </w:style>
  <w:style w:type="character" w:customStyle="1" w:styleId="246">
    <w:name w:val="Char Char9"/>
    <w:qFormat/>
    <w:uiPriority w:val="0"/>
    <w:rPr>
      <w:rFonts w:ascii="宋体" w:hAnsi="Courier New" w:eastAsia="宋体" w:cs="宋体"/>
      <w:kern w:val="2"/>
      <w:sz w:val="21"/>
      <w:szCs w:val="21"/>
      <w:lang w:val="en-US" w:eastAsia="zh-CN"/>
    </w:rPr>
  </w:style>
  <w:style w:type="character" w:customStyle="1" w:styleId="247">
    <w:name w:val="电子邮件签名 Char1"/>
    <w:qFormat/>
    <w:uiPriority w:val="0"/>
    <w:rPr>
      <w:rFonts w:ascii="Times New Roman" w:hAnsi="Times New Roman" w:eastAsia="宋体" w:cs="Times New Roman"/>
      <w:kern w:val="2"/>
      <w:sz w:val="24"/>
      <w:szCs w:val="24"/>
    </w:rPr>
  </w:style>
  <w:style w:type="character" w:customStyle="1" w:styleId="248">
    <w:name w:val="huei12b1"/>
    <w:qFormat/>
    <w:uiPriority w:val="0"/>
    <w:rPr>
      <w:rFonts w:ascii="Times New Roman" w:hAnsi="Times New Roman" w:eastAsia="宋体" w:cs="Times New Roman"/>
      <w:b/>
      <w:bCs/>
      <w:color w:val="333333"/>
      <w:sz w:val="18"/>
      <w:szCs w:val="18"/>
    </w:rPr>
  </w:style>
  <w:style w:type="character" w:customStyle="1" w:styleId="249">
    <w:name w:val="rightmiddle1"/>
    <w:qFormat/>
    <w:uiPriority w:val="0"/>
    <w:rPr>
      <w:rFonts w:ascii="Times New Roman" w:hAnsi="Times New Roman" w:eastAsia="宋体" w:cs="Times New Roman"/>
    </w:rPr>
  </w:style>
  <w:style w:type="paragraph" w:customStyle="1" w:styleId="250">
    <w:name w:val="as"/>
    <w:basedOn w:val="1"/>
    <w:qFormat/>
    <w:uiPriority w:val="0"/>
    <w:pPr>
      <w:widowControl/>
      <w:overflowPunct w:val="0"/>
      <w:autoSpaceDE w:val="0"/>
      <w:autoSpaceDN w:val="0"/>
      <w:adjustRightInd w:val="0"/>
      <w:spacing w:line="300" w:lineRule="atLeast"/>
      <w:textAlignment w:val="baseline"/>
    </w:pPr>
    <w:rPr>
      <w:rFonts w:ascii="宋体" w:hAnsi="CG Times (W1)" w:eastAsia="宋体" w:cs="宋体"/>
      <w:spacing w:val="5"/>
      <w:kern w:val="0"/>
      <w:sz w:val="24"/>
      <w:szCs w:val="24"/>
    </w:rPr>
  </w:style>
  <w:style w:type="paragraph" w:customStyle="1" w:styleId="251">
    <w:name w:val="列出段落1"/>
    <w:basedOn w:val="1"/>
    <w:qFormat/>
    <w:uiPriority w:val="0"/>
    <w:pPr>
      <w:ind w:firstLine="420" w:firstLineChars="200"/>
    </w:pPr>
    <w:rPr>
      <w:rFonts w:ascii="Times New Roman" w:hAnsi="Times New Roman" w:eastAsia="宋体" w:cs="Times New Roman"/>
      <w:szCs w:val="21"/>
    </w:rPr>
  </w:style>
  <w:style w:type="paragraph" w:customStyle="1" w:styleId="25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253">
    <w:name w:val="xl58"/>
    <w:basedOn w:val="1"/>
    <w:qFormat/>
    <w:uiPriority w:val="0"/>
    <w:pPr>
      <w:widowControl/>
      <w:spacing w:before="100" w:beforeAutospacing="1" w:after="100" w:afterAutospacing="1"/>
      <w:jc w:val="left"/>
    </w:pPr>
    <w:rPr>
      <w:rFonts w:ascii="Arial" w:hAnsi="Arial" w:eastAsia="宋体" w:cs="Arial"/>
      <w:kern w:val="0"/>
      <w:sz w:val="24"/>
      <w:szCs w:val="24"/>
    </w:rPr>
  </w:style>
  <w:style w:type="paragraph" w:customStyle="1" w:styleId="25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255">
    <w:name w:val="Body-no indent"/>
    <w:qFormat/>
    <w:uiPriority w:val="0"/>
    <w:pPr>
      <w:widowControl w:val="0"/>
      <w:tabs>
        <w:tab w:val="left" w:pos="7920"/>
      </w:tabs>
      <w:spacing w:line="280" w:lineRule="exact"/>
      <w:ind w:right="-14"/>
    </w:pPr>
    <w:rPr>
      <w:rFonts w:ascii="Arial" w:hAnsi="Arial" w:eastAsia="宋体" w:cs="Arial"/>
      <w:sz w:val="19"/>
      <w:szCs w:val="19"/>
      <w:lang w:val="en-US" w:eastAsia="en-US" w:bidi="ar-SA"/>
    </w:rPr>
  </w:style>
  <w:style w:type="paragraph" w:customStyle="1" w:styleId="256">
    <w:name w:val="段落"/>
    <w:qFormat/>
    <w:uiPriority w:val="0"/>
    <w:pPr>
      <w:spacing w:line="400" w:lineRule="exact"/>
      <w:ind w:firstLine="482"/>
      <w:jc w:val="both"/>
    </w:pPr>
    <w:rPr>
      <w:rFonts w:ascii="Times New Roman" w:hAnsi="Times New Roman" w:eastAsia="宋体" w:cs="Times New Roman"/>
      <w:sz w:val="24"/>
      <w:szCs w:val="24"/>
      <w:lang w:val="en-US" w:eastAsia="zh-CN" w:bidi="ar-SA"/>
    </w:rPr>
  </w:style>
  <w:style w:type="paragraph" w:customStyle="1" w:styleId="257">
    <w:name w:val="xl74"/>
    <w:basedOn w:val="1"/>
    <w:qFormat/>
    <w:uiPriority w:val="0"/>
    <w:pPr>
      <w:widowControl/>
      <w:spacing w:before="100" w:beforeAutospacing="1" w:after="100" w:afterAutospacing="1"/>
      <w:jc w:val="left"/>
      <w:textAlignment w:val="center"/>
    </w:pPr>
    <w:rPr>
      <w:rFonts w:ascii="宋体" w:hAnsi="宋体" w:eastAsia="宋体" w:cs="宋体"/>
      <w:color w:val="FF0000"/>
      <w:kern w:val="0"/>
      <w:sz w:val="20"/>
      <w:szCs w:val="20"/>
    </w:rPr>
  </w:style>
  <w:style w:type="paragraph" w:customStyle="1" w:styleId="258">
    <w:name w:val="normalgray"/>
    <w:basedOn w:val="1"/>
    <w:qFormat/>
    <w:uiPriority w:val="0"/>
    <w:pPr>
      <w:widowControl/>
      <w:spacing w:before="100" w:beforeAutospacing="1" w:after="100" w:afterAutospacing="1" w:line="386" w:lineRule="atLeast"/>
      <w:jc w:val="left"/>
    </w:pPr>
    <w:rPr>
      <w:rFonts w:ascii="??" w:hAnsi="??" w:eastAsia="宋体" w:cs="??"/>
      <w:color w:val="777777"/>
      <w:kern w:val="0"/>
      <w:szCs w:val="21"/>
    </w:rPr>
  </w:style>
  <w:style w:type="paragraph" w:customStyle="1" w:styleId="259">
    <w:name w:val="Char4 Char Char Char"/>
    <w:basedOn w:val="1"/>
    <w:qFormat/>
    <w:uiPriority w:val="0"/>
    <w:pPr>
      <w:adjustRightInd w:val="0"/>
      <w:snapToGrid w:val="0"/>
      <w:spacing w:line="360" w:lineRule="auto"/>
      <w:ind w:firstLine="200" w:firstLineChars="200"/>
    </w:pPr>
    <w:rPr>
      <w:rFonts w:ascii="宋体" w:hAnsi="宋体" w:eastAsia="仿宋_GB2312" w:cs="宋体"/>
      <w:sz w:val="24"/>
      <w:szCs w:val="24"/>
    </w:rPr>
  </w:style>
  <w:style w:type="paragraph" w:customStyle="1" w:styleId="26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Arial Unicode MS"/>
      <w:kern w:val="0"/>
      <w:sz w:val="24"/>
      <w:szCs w:val="24"/>
    </w:rPr>
  </w:style>
  <w:style w:type="paragraph" w:customStyle="1" w:styleId="261">
    <w:name w:val="xl107"/>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eastAsia="宋体" w:cs="宋体"/>
      <w:b/>
      <w:bCs/>
      <w:kern w:val="0"/>
      <w:sz w:val="20"/>
      <w:szCs w:val="20"/>
    </w:rPr>
  </w:style>
  <w:style w:type="paragraph" w:customStyle="1" w:styleId="262">
    <w:name w:val="xl52"/>
    <w:basedOn w:val="1"/>
    <w:qFormat/>
    <w:uiPriority w:val="0"/>
    <w:pPr>
      <w:widowControl/>
      <w:spacing w:before="100" w:beforeAutospacing="1" w:after="100" w:afterAutospacing="1"/>
      <w:jc w:val="center"/>
      <w:textAlignment w:val="center"/>
    </w:pPr>
    <w:rPr>
      <w:rFonts w:ascii="Arial Unicode MS" w:hAnsi="Arial Unicode MS" w:eastAsia="宋体" w:cs="Arial Unicode MS"/>
      <w:kern w:val="0"/>
      <w:sz w:val="22"/>
    </w:rPr>
  </w:style>
  <w:style w:type="paragraph" w:customStyle="1" w:styleId="263">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264">
    <w:name w:val="_Style 16"/>
    <w:basedOn w:val="1"/>
    <w:qFormat/>
    <w:uiPriority w:val="0"/>
    <w:pPr>
      <w:tabs>
        <w:tab w:val="left" w:pos="360"/>
      </w:tabs>
      <w:ind w:left="252" w:hanging="252" w:hangingChars="140"/>
    </w:pPr>
    <w:rPr>
      <w:rFonts w:ascii="Times New Roman" w:hAnsi="Times New Roman" w:eastAsia="宋体" w:cs="Times New Roman"/>
      <w:szCs w:val="21"/>
    </w:rPr>
  </w:style>
  <w:style w:type="paragraph" w:customStyle="1" w:styleId="265">
    <w:name w:val="xl48"/>
    <w:basedOn w:val="1"/>
    <w:qFormat/>
    <w:uiPriority w:val="0"/>
    <w:pPr>
      <w:widowControl/>
      <w:pBdr>
        <w:left w:val="single" w:color="FFFFFF" w:sz="4" w:space="0"/>
        <w:right w:val="single" w:color="FFFFFF" w:sz="4" w:space="0"/>
      </w:pBdr>
      <w:spacing w:before="100" w:beforeAutospacing="1" w:after="100" w:afterAutospacing="1"/>
      <w:jc w:val="left"/>
    </w:pPr>
    <w:rPr>
      <w:rFonts w:ascii="Arial" w:hAnsi="Arial" w:eastAsia="宋体" w:cs="Arial"/>
      <w:kern w:val="0"/>
      <w:sz w:val="24"/>
      <w:szCs w:val="24"/>
    </w:rPr>
  </w:style>
  <w:style w:type="paragraph" w:customStyle="1" w:styleId="266">
    <w:name w:val="Char1"/>
    <w:basedOn w:val="1"/>
    <w:qFormat/>
    <w:uiPriority w:val="0"/>
    <w:rPr>
      <w:rFonts w:ascii="Tahoma" w:hAnsi="Tahoma" w:eastAsia="宋体" w:cs="Tahoma"/>
      <w:sz w:val="24"/>
      <w:szCs w:val="24"/>
    </w:rPr>
  </w:style>
  <w:style w:type="paragraph" w:customStyle="1" w:styleId="267">
    <w:name w:val="Tabletext"/>
    <w:basedOn w:val="1"/>
    <w:qFormat/>
    <w:uiPriority w:val="0"/>
    <w:pPr>
      <w:keepLines/>
      <w:spacing w:after="120" w:line="240" w:lineRule="atLeast"/>
      <w:jc w:val="left"/>
    </w:pPr>
    <w:rPr>
      <w:rFonts w:ascii="Arial" w:hAnsi="Arial" w:eastAsia="新宋体" w:cs="Arial"/>
      <w:kern w:val="0"/>
      <w:sz w:val="20"/>
      <w:szCs w:val="20"/>
    </w:rPr>
  </w:style>
  <w:style w:type="paragraph" w:customStyle="1" w:styleId="26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69">
    <w:name w:val="样式1"/>
    <w:basedOn w:val="3"/>
    <w:qFormat/>
    <w:uiPriority w:val="0"/>
    <w:pPr>
      <w:tabs>
        <w:tab w:val="left" w:pos="360"/>
      </w:tabs>
      <w:spacing w:before="120" w:after="120" w:line="240" w:lineRule="auto"/>
      <w:ind w:left="360" w:hanging="360"/>
    </w:pPr>
    <w:rPr>
      <w:rFonts w:ascii="黑体" w:hAnsi="Times New Roman" w:eastAsia="幼圆" w:cs="黑体"/>
    </w:rPr>
  </w:style>
  <w:style w:type="paragraph" w:customStyle="1" w:styleId="270">
    <w:name w:val="标题三文本"/>
    <w:basedOn w:val="1"/>
    <w:qFormat/>
    <w:uiPriority w:val="0"/>
    <w:pPr>
      <w:ind w:left="150" w:leftChars="150" w:firstLine="200" w:firstLineChars="200"/>
    </w:pPr>
    <w:rPr>
      <w:rFonts w:ascii="Times New Roman" w:hAnsi="Times New Roman" w:eastAsia="宋体" w:cs="Times New Roman"/>
      <w:szCs w:val="21"/>
    </w:rPr>
  </w:style>
  <w:style w:type="paragraph" w:customStyle="1" w:styleId="271">
    <w:name w:val="p0"/>
    <w:basedOn w:val="1"/>
    <w:qFormat/>
    <w:uiPriority w:val="0"/>
    <w:pPr>
      <w:widowControl/>
    </w:pPr>
    <w:rPr>
      <w:rFonts w:ascii="Times New Roman" w:hAnsi="Times New Roman" w:eastAsia="宋体" w:cs="Times New Roman"/>
      <w:kern w:val="0"/>
      <w:sz w:val="28"/>
      <w:szCs w:val="28"/>
    </w:rPr>
  </w:style>
  <w:style w:type="paragraph" w:customStyle="1" w:styleId="272">
    <w:name w:val="项目编号1"/>
    <w:basedOn w:val="1"/>
    <w:qFormat/>
    <w:uiPriority w:val="0"/>
    <w:pPr>
      <w:tabs>
        <w:tab w:val="left" w:pos="555"/>
      </w:tabs>
      <w:adjustRightInd w:val="0"/>
      <w:spacing w:line="360" w:lineRule="auto"/>
      <w:ind w:left="555" w:hanging="555"/>
      <w:jc w:val="left"/>
      <w:textAlignment w:val="baseline"/>
    </w:pPr>
    <w:rPr>
      <w:rFonts w:ascii="Times New Roman" w:hAnsi="Times New Roman" w:eastAsia="宋体" w:cs="Times New Roman"/>
      <w:b/>
      <w:bCs/>
      <w:kern w:val="24"/>
      <w:sz w:val="24"/>
      <w:szCs w:val="24"/>
    </w:rPr>
  </w:style>
  <w:style w:type="paragraph" w:customStyle="1" w:styleId="273">
    <w:name w:val="font16"/>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74">
    <w:name w:val="xl9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eastAsia="宋体" w:cs="宋体"/>
      <w:kern w:val="0"/>
      <w:sz w:val="18"/>
      <w:szCs w:val="18"/>
    </w:rPr>
  </w:style>
  <w:style w:type="paragraph" w:customStyle="1" w:styleId="275">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color w:val="000000"/>
      <w:kern w:val="0"/>
      <w:sz w:val="20"/>
      <w:szCs w:val="20"/>
    </w:rPr>
  </w:style>
  <w:style w:type="paragraph" w:customStyle="1" w:styleId="276">
    <w:name w:val="样式 宋体 小四 行距: 1.5 倍行距"/>
    <w:basedOn w:val="1"/>
    <w:qFormat/>
    <w:uiPriority w:val="0"/>
    <w:pPr>
      <w:spacing w:beforeLines="50" w:afterLines="50" w:line="360" w:lineRule="auto"/>
      <w:ind w:firstLine="200" w:firstLineChars="200"/>
    </w:pPr>
    <w:rPr>
      <w:rFonts w:ascii="宋体" w:hAnsi="宋体" w:eastAsia="宋体" w:cs="宋体"/>
      <w:sz w:val="24"/>
      <w:szCs w:val="24"/>
    </w:rPr>
  </w:style>
  <w:style w:type="paragraph" w:customStyle="1" w:styleId="277">
    <w:name w:val="项目二"/>
    <w:basedOn w:val="1"/>
    <w:qFormat/>
    <w:uiPriority w:val="0"/>
    <w:pPr>
      <w:tabs>
        <w:tab w:val="left" w:pos="420"/>
      </w:tabs>
      <w:spacing w:after="100" w:afterAutospacing="1" w:line="360" w:lineRule="auto"/>
      <w:ind w:left="1200" w:hanging="360"/>
    </w:pPr>
    <w:rPr>
      <w:rFonts w:ascii="Times New Roman" w:hAnsi="Times New Roman" w:eastAsia="宋体" w:cs="Times New Roman"/>
      <w:b/>
      <w:bCs/>
      <w:sz w:val="24"/>
      <w:szCs w:val="24"/>
    </w:rPr>
  </w:style>
  <w:style w:type="paragraph" w:customStyle="1" w:styleId="278">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宋体" w:cs="Arial Unicode MS"/>
      <w:kern w:val="0"/>
      <w:sz w:val="24"/>
      <w:szCs w:val="24"/>
    </w:rPr>
  </w:style>
  <w:style w:type="paragraph" w:customStyle="1" w:styleId="279">
    <w:name w:val="font6"/>
    <w:basedOn w:val="1"/>
    <w:qFormat/>
    <w:uiPriority w:val="0"/>
    <w:pPr>
      <w:widowControl/>
      <w:spacing w:before="100" w:beforeAutospacing="1" w:after="100" w:afterAutospacing="1"/>
      <w:jc w:val="left"/>
    </w:pPr>
    <w:rPr>
      <w:rFonts w:ascii="宋体" w:hAnsi="宋体" w:eastAsia="宋体" w:cs="宋体"/>
      <w:kern w:val="0"/>
      <w:sz w:val="22"/>
    </w:rPr>
  </w:style>
  <w:style w:type="paragraph" w:customStyle="1" w:styleId="280">
    <w:name w:val="font9"/>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81">
    <w:name w:val="xl49"/>
    <w:basedOn w:val="1"/>
    <w:qFormat/>
    <w:uiPriority w:val="0"/>
    <w:pPr>
      <w:widowControl/>
      <w:pBdr>
        <w:left w:val="single" w:color="FFFFFF" w:sz="4" w:space="0"/>
        <w:right w:val="single" w:color="FFFFFF" w:sz="4" w:space="0"/>
      </w:pBdr>
      <w:spacing w:before="100" w:beforeAutospacing="1" w:after="100" w:afterAutospacing="1"/>
      <w:jc w:val="center"/>
    </w:pPr>
    <w:rPr>
      <w:rFonts w:ascii="Arial" w:hAnsi="Arial" w:eastAsia="宋体" w:cs="Arial"/>
      <w:kern w:val="0"/>
      <w:sz w:val="24"/>
      <w:szCs w:val="24"/>
    </w:rPr>
  </w:style>
  <w:style w:type="paragraph" w:customStyle="1" w:styleId="282">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0"/>
      <w:szCs w:val="20"/>
    </w:rPr>
  </w:style>
  <w:style w:type="paragraph" w:customStyle="1" w:styleId="283">
    <w:name w:val="Char Char1"/>
    <w:basedOn w:val="1"/>
    <w:qFormat/>
    <w:uiPriority w:val="0"/>
    <w:pPr>
      <w:widowControl/>
      <w:adjustRightInd w:val="0"/>
      <w:spacing w:after="160" w:line="240" w:lineRule="exact"/>
      <w:jc w:val="left"/>
    </w:pPr>
    <w:rPr>
      <w:rFonts w:ascii="Times New Roman" w:hAnsi="Times New Roman" w:eastAsia="仿宋_GB2312" w:cs="Times New Roman"/>
      <w:sz w:val="28"/>
      <w:szCs w:val="28"/>
    </w:rPr>
  </w:style>
  <w:style w:type="paragraph" w:customStyle="1" w:styleId="284">
    <w:name w:val="默认段落字体 Para Char Char Char Char Char Char Char Char Char1 Char Char Char Char"/>
    <w:basedOn w:val="1"/>
    <w:qFormat/>
    <w:uiPriority w:val="0"/>
    <w:rPr>
      <w:rFonts w:ascii="Tahoma" w:hAnsi="Tahoma" w:eastAsia="宋体" w:cs="Tahoma"/>
      <w:sz w:val="24"/>
      <w:szCs w:val="24"/>
    </w:rPr>
  </w:style>
  <w:style w:type="paragraph" w:customStyle="1" w:styleId="285">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2"/>
    </w:rPr>
  </w:style>
  <w:style w:type="paragraph" w:customStyle="1" w:styleId="286">
    <w:name w:val="正文段"/>
    <w:basedOn w:val="1"/>
    <w:qFormat/>
    <w:uiPriority w:val="0"/>
    <w:pPr>
      <w:widowControl/>
      <w:snapToGrid w:val="0"/>
      <w:spacing w:afterLines="50"/>
      <w:ind w:firstLine="200" w:firstLineChars="200"/>
    </w:pPr>
    <w:rPr>
      <w:rFonts w:ascii="Times New Roman" w:hAnsi="Times New Roman" w:eastAsia="宋体" w:cs="Times New Roman"/>
      <w:kern w:val="0"/>
      <w:sz w:val="24"/>
      <w:szCs w:val="24"/>
    </w:rPr>
  </w:style>
  <w:style w:type="paragraph" w:customStyle="1" w:styleId="287">
    <w:name w:val="xl112"/>
    <w:basedOn w:val="1"/>
    <w:qFormat/>
    <w:uiPriority w:val="0"/>
    <w:pPr>
      <w:widowControl/>
      <w:spacing w:before="100" w:beforeAutospacing="1" w:after="100" w:afterAutospacing="1"/>
      <w:jc w:val="center"/>
      <w:textAlignment w:val="center"/>
    </w:pPr>
    <w:rPr>
      <w:rFonts w:ascii="宋体" w:hAnsi="宋体" w:eastAsia="宋体" w:cs="宋体"/>
      <w:kern w:val="0"/>
      <w:sz w:val="24"/>
      <w:szCs w:val="24"/>
    </w:rPr>
  </w:style>
  <w:style w:type="paragraph" w:customStyle="1" w:styleId="288">
    <w:name w:val="xl75"/>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Times New Roman" w:hAnsi="Times New Roman" w:eastAsia="宋体" w:cs="Times New Roman"/>
      <w:kern w:val="0"/>
      <w:sz w:val="20"/>
      <w:szCs w:val="20"/>
    </w:rPr>
  </w:style>
  <w:style w:type="paragraph" w:customStyle="1" w:styleId="289">
    <w:name w:val="表题注"/>
    <w:next w:val="1"/>
    <w:qFormat/>
    <w:uiPriority w:val="0"/>
    <w:pPr>
      <w:tabs>
        <w:tab w:val="left" w:pos="720"/>
      </w:tabs>
      <w:spacing w:before="60" w:after="60"/>
      <w:ind w:left="900" w:hanging="720"/>
      <w:jc w:val="center"/>
    </w:pPr>
    <w:rPr>
      <w:rFonts w:ascii="黑体" w:hAnsi="Times New Roman" w:eastAsia="黑体" w:cs="黑体"/>
      <w:sz w:val="24"/>
      <w:szCs w:val="24"/>
      <w:lang w:val="en-US" w:eastAsia="zh-CN" w:bidi="ar-SA"/>
    </w:rPr>
  </w:style>
  <w:style w:type="paragraph" w:customStyle="1" w:styleId="290">
    <w:name w:val="xl55"/>
    <w:basedOn w:val="1"/>
    <w:qFormat/>
    <w:uiPriority w:val="0"/>
    <w:pPr>
      <w:widowControl/>
      <w:pBdr>
        <w:bottom w:val="single" w:color="auto" w:sz="4" w:space="0"/>
        <w:right w:val="single" w:color="auto" w:sz="4" w:space="0"/>
      </w:pBdr>
      <w:spacing w:before="100" w:beforeAutospacing="1" w:after="100" w:afterAutospacing="1"/>
      <w:jc w:val="left"/>
    </w:pPr>
    <w:rPr>
      <w:rFonts w:ascii="Arial Unicode MS" w:hAnsi="Arial Unicode MS" w:eastAsia="宋体" w:cs="Arial Unicode MS"/>
      <w:kern w:val="0"/>
      <w:sz w:val="20"/>
      <w:szCs w:val="20"/>
    </w:rPr>
  </w:style>
  <w:style w:type="paragraph" w:customStyle="1" w:styleId="291">
    <w:name w:val="书籍标题1"/>
    <w:basedOn w:val="1"/>
    <w:next w:val="1"/>
    <w:qFormat/>
    <w:uiPriority w:val="0"/>
    <w:pPr>
      <w:pageBreakBefore/>
      <w:widowControl/>
      <w:tabs>
        <w:tab w:val="left" w:pos="1200"/>
      </w:tabs>
      <w:spacing w:beforeLines="200" w:afterLines="200"/>
      <w:ind w:hanging="360"/>
      <w:jc w:val="center"/>
      <w:outlineLvl w:val="0"/>
    </w:pPr>
    <w:rPr>
      <w:rFonts w:ascii="Times New Roman" w:hAnsi="Times New Roman" w:eastAsia="黑体" w:cs="Times New Roman"/>
      <w:b/>
      <w:bCs/>
      <w:spacing w:val="20"/>
      <w:kern w:val="44"/>
      <w:sz w:val="44"/>
      <w:szCs w:val="44"/>
    </w:rPr>
  </w:style>
  <w:style w:type="paragraph" w:customStyle="1" w:styleId="292">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0"/>
      <w:szCs w:val="20"/>
    </w:rPr>
  </w:style>
  <w:style w:type="paragraph" w:customStyle="1" w:styleId="293">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eastAsia="宋体" w:cs="Arial"/>
      <w:kern w:val="0"/>
      <w:sz w:val="22"/>
    </w:rPr>
  </w:style>
  <w:style w:type="paragraph" w:customStyle="1" w:styleId="294">
    <w:name w:val="p15"/>
    <w:basedOn w:val="1"/>
    <w:qFormat/>
    <w:uiPriority w:val="0"/>
    <w:pPr>
      <w:widowControl/>
      <w:spacing w:before="100" w:after="100"/>
      <w:jc w:val="left"/>
    </w:pPr>
    <w:rPr>
      <w:rFonts w:ascii="宋体" w:hAnsi="宋体" w:eastAsia="宋体" w:cs="宋体"/>
      <w:kern w:val="0"/>
      <w:sz w:val="24"/>
      <w:szCs w:val="24"/>
    </w:rPr>
  </w:style>
  <w:style w:type="paragraph" w:customStyle="1" w:styleId="295">
    <w:name w:val="重点"/>
    <w:basedOn w:val="26"/>
    <w:qFormat/>
    <w:uiPriority w:val="0"/>
    <w:pPr>
      <w:widowControl/>
      <w:spacing w:after="0" w:line="300" w:lineRule="auto"/>
      <w:jc w:val="left"/>
    </w:pPr>
    <w:rPr>
      <w:rFonts w:hAnsi="Arial"/>
      <w:b/>
      <w:bCs/>
      <w:sz w:val="21"/>
      <w:szCs w:val="21"/>
    </w:rPr>
  </w:style>
  <w:style w:type="paragraph" w:customStyle="1" w:styleId="296">
    <w:name w:val="xl33"/>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eastAsia="宋体" w:cs="Arial"/>
      <w:kern w:val="0"/>
      <w:sz w:val="22"/>
    </w:rPr>
  </w:style>
  <w:style w:type="paragraph" w:customStyle="1" w:styleId="297">
    <w:name w:val="xl116"/>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textAlignment w:val="center"/>
    </w:pPr>
    <w:rPr>
      <w:rFonts w:ascii="宋体" w:hAnsi="宋体" w:eastAsia="宋体" w:cs="宋体"/>
      <w:kern w:val="0"/>
      <w:sz w:val="20"/>
      <w:szCs w:val="20"/>
    </w:rPr>
  </w:style>
  <w:style w:type="paragraph" w:customStyle="1" w:styleId="298">
    <w:name w:val="xl11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299">
    <w:name w:val="font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300">
    <w:name w:val="xl38"/>
    <w:basedOn w:val="1"/>
    <w:qFormat/>
    <w:uiPriority w:val="0"/>
    <w:pPr>
      <w:widowControl/>
      <w:spacing w:before="100" w:beforeAutospacing="1" w:after="100" w:afterAutospacing="1"/>
      <w:jc w:val="left"/>
    </w:pPr>
    <w:rPr>
      <w:rFonts w:ascii="Arial Unicode MS" w:hAnsi="Arial Unicode MS" w:eastAsia="宋体" w:cs="Arial Unicode MS"/>
      <w:kern w:val="0"/>
      <w:sz w:val="22"/>
    </w:rPr>
  </w:style>
  <w:style w:type="paragraph" w:customStyle="1" w:styleId="301">
    <w:name w:val="目录1"/>
    <w:basedOn w:val="1"/>
    <w:qFormat/>
    <w:uiPriority w:val="0"/>
    <w:pPr>
      <w:keepLines/>
      <w:autoSpaceDE w:val="0"/>
      <w:autoSpaceDN w:val="0"/>
      <w:adjustRightInd w:val="0"/>
      <w:ind w:left="113"/>
      <w:jc w:val="left"/>
    </w:pPr>
    <w:rPr>
      <w:rFonts w:ascii="Times New Roman" w:hAnsi="Times New Roman" w:eastAsia="宋体" w:cs="Times New Roman"/>
      <w:kern w:val="0"/>
      <w:szCs w:val="21"/>
    </w:rPr>
  </w:style>
  <w:style w:type="paragraph" w:customStyle="1" w:styleId="302">
    <w:name w:val="±í??"/>
    <w:basedOn w:val="1"/>
    <w:qFormat/>
    <w:uiPriority w:val="0"/>
    <w:pPr>
      <w:widowControl/>
      <w:overflowPunct w:val="0"/>
      <w:autoSpaceDE w:val="0"/>
      <w:autoSpaceDN w:val="0"/>
      <w:adjustRightInd w:val="0"/>
      <w:spacing w:line="300" w:lineRule="auto"/>
      <w:jc w:val="center"/>
      <w:textAlignment w:val="baseline"/>
    </w:pPr>
    <w:rPr>
      <w:rFonts w:ascii="Times New Roman" w:hAnsi="Times New Roman" w:eastAsia="宋体" w:cs="Times New Roman"/>
      <w:kern w:val="0"/>
      <w:sz w:val="18"/>
      <w:szCs w:val="18"/>
    </w:rPr>
  </w:style>
  <w:style w:type="paragraph" w:customStyle="1" w:styleId="303">
    <w:name w:val="正文应用"/>
    <w:basedOn w:val="1"/>
    <w:qFormat/>
    <w:uiPriority w:val="0"/>
    <w:pPr>
      <w:spacing w:line="360" w:lineRule="auto"/>
      <w:ind w:firstLine="480" w:firstLineChars="200"/>
      <w:jc w:val="left"/>
    </w:pPr>
    <w:rPr>
      <w:rFonts w:ascii="Times New Roman" w:hAnsi="Times New Roman" w:eastAsia="宋体" w:cs="Times New Roman"/>
      <w:sz w:val="24"/>
      <w:szCs w:val="24"/>
    </w:rPr>
  </w:style>
  <w:style w:type="paragraph" w:customStyle="1" w:styleId="304">
    <w:name w:val="Char2"/>
    <w:basedOn w:val="1"/>
    <w:qFormat/>
    <w:uiPriority w:val="0"/>
    <w:rPr>
      <w:rFonts w:ascii="仿宋_GB2312" w:hAnsi="仿宋" w:eastAsia="仿宋_GB2312" w:cs="仿宋_GB2312"/>
      <w:sz w:val="32"/>
      <w:szCs w:val="32"/>
    </w:rPr>
  </w:style>
  <w:style w:type="paragraph" w:customStyle="1" w:styleId="305">
    <w:name w:val="正文文字左对齐"/>
    <w:basedOn w:val="26"/>
    <w:qFormat/>
    <w:uiPriority w:val="0"/>
    <w:pPr>
      <w:spacing w:after="0"/>
    </w:pPr>
    <w:rPr>
      <w:rFonts w:ascii="楷体_GB2312" w:eastAsia="楷体_GB2312" w:cs="楷体_GB2312"/>
      <w:b/>
      <w:bCs/>
    </w:rPr>
  </w:style>
  <w:style w:type="paragraph" w:customStyle="1" w:styleId="306">
    <w:name w:val="题注4"/>
    <w:basedOn w:val="1"/>
    <w:next w:val="19"/>
    <w:qFormat/>
    <w:uiPriority w:val="0"/>
    <w:pPr>
      <w:ind w:left="-132" w:leftChars="-64" w:right="-105" w:rightChars="-50" w:hanging="2"/>
      <w:jc w:val="center"/>
    </w:pPr>
    <w:rPr>
      <w:rFonts w:ascii="Times New Roman" w:hAnsi="Times New Roman" w:eastAsia="宋体" w:cs="Times New Roman"/>
      <w:b/>
      <w:bCs/>
      <w:color w:val="FF0000"/>
      <w:szCs w:val="21"/>
      <w:lang w:val="en-GB"/>
    </w:rPr>
  </w:style>
  <w:style w:type="paragraph" w:customStyle="1" w:styleId="307">
    <w:name w:val="标题2"/>
    <w:basedOn w:val="1"/>
    <w:qFormat/>
    <w:uiPriority w:val="0"/>
    <w:pPr>
      <w:widowControl/>
      <w:spacing w:line="360" w:lineRule="auto"/>
    </w:pPr>
    <w:rPr>
      <w:rFonts w:ascii="Arial" w:hAnsi="Arial" w:eastAsia="宋体" w:cs="Arial"/>
      <w:b/>
      <w:bCs/>
      <w:szCs w:val="21"/>
    </w:rPr>
  </w:style>
  <w:style w:type="paragraph" w:customStyle="1" w:styleId="308">
    <w:name w:val="xl29"/>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309">
    <w:name w:val="xl70"/>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w:hAnsi="Arial" w:eastAsia="宋体" w:cs="Arial"/>
      <w:kern w:val="0"/>
      <w:sz w:val="24"/>
      <w:szCs w:val="24"/>
    </w:rPr>
  </w:style>
  <w:style w:type="paragraph" w:customStyle="1" w:styleId="310">
    <w:name w:val="xl9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311">
    <w:name w:val="font18"/>
    <w:basedOn w:val="1"/>
    <w:qFormat/>
    <w:uiPriority w:val="0"/>
    <w:pPr>
      <w:widowControl/>
      <w:spacing w:before="100" w:beforeAutospacing="1" w:after="100" w:afterAutospacing="1"/>
      <w:jc w:val="left"/>
    </w:pPr>
    <w:rPr>
      <w:rFonts w:ascii="宋体" w:hAnsi="宋体" w:eastAsia="宋体" w:cs="宋体"/>
      <w:b/>
      <w:bCs/>
      <w:kern w:val="0"/>
      <w:sz w:val="20"/>
      <w:szCs w:val="20"/>
    </w:rPr>
  </w:style>
  <w:style w:type="paragraph" w:customStyle="1" w:styleId="312">
    <w:name w:val="字母编号列项"/>
    <w:basedOn w:val="256"/>
    <w:qFormat/>
    <w:uiPriority w:val="0"/>
    <w:pPr>
      <w:tabs>
        <w:tab w:val="left" w:pos="842"/>
      </w:tabs>
      <w:ind w:left="1200" w:hanging="360"/>
    </w:pPr>
  </w:style>
  <w:style w:type="paragraph" w:customStyle="1" w:styleId="313">
    <w:name w:val="Char11"/>
    <w:basedOn w:val="1"/>
    <w:qFormat/>
    <w:uiPriority w:val="0"/>
    <w:rPr>
      <w:rFonts w:ascii="仿宋_GB2312" w:hAnsi="Times New Roman" w:eastAsia="仿宋_GB2312" w:cs="仿宋_GB2312"/>
      <w:b/>
      <w:bCs/>
      <w:sz w:val="32"/>
      <w:szCs w:val="32"/>
    </w:rPr>
  </w:style>
  <w:style w:type="paragraph" w:customStyle="1" w:styleId="314">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4"/>
      <w:szCs w:val="24"/>
    </w:rPr>
  </w:style>
  <w:style w:type="paragraph" w:customStyle="1" w:styleId="315">
    <w:name w:val="标准文件_段"/>
    <w:qFormat/>
    <w:uiPriority w:val="0"/>
    <w:pPr>
      <w:widowControl w:val="0"/>
      <w:autoSpaceDE w:val="0"/>
      <w:autoSpaceDN w:val="0"/>
      <w:adjustRightInd w:val="0"/>
      <w:snapToGrid w:val="0"/>
      <w:spacing w:line="276" w:lineRule="auto"/>
      <w:ind w:right="-50" w:rightChars="-50"/>
      <w:jc w:val="center"/>
    </w:pPr>
    <w:rPr>
      <w:rFonts w:ascii="Times New Roman" w:hAnsi="Times New Roman" w:eastAsia="宋体" w:cs="Times New Roman"/>
      <w:spacing w:val="2"/>
      <w:sz w:val="24"/>
      <w:szCs w:val="24"/>
      <w:lang w:val="fr-FR" w:eastAsia="zh-CN" w:bidi="ar-SA"/>
    </w:rPr>
  </w:style>
  <w:style w:type="paragraph" w:customStyle="1" w:styleId="316">
    <w:name w:val="普通表格1"/>
    <w:basedOn w:val="1"/>
    <w:qFormat/>
    <w:uiPriority w:val="0"/>
    <w:pPr>
      <w:widowControl/>
      <w:tabs>
        <w:tab w:val="left" w:pos="4320"/>
        <w:tab w:val="left" w:pos="4680"/>
        <w:tab w:val="left" w:pos="5040"/>
        <w:tab w:val="left" w:pos="5400"/>
        <w:tab w:val="right" w:pos="10080"/>
      </w:tabs>
      <w:spacing w:before="60" w:after="60"/>
      <w:jc w:val="left"/>
    </w:pPr>
    <w:rPr>
      <w:rFonts w:ascii="Palatino" w:hAnsi="Palatino" w:eastAsia="宋体" w:cs="Palatino"/>
      <w:kern w:val="0"/>
      <w:sz w:val="20"/>
      <w:szCs w:val="20"/>
    </w:rPr>
  </w:style>
  <w:style w:type="paragraph" w:customStyle="1" w:styleId="317">
    <w:name w:val="k20"/>
    <w:basedOn w:val="1"/>
    <w:qFormat/>
    <w:uiPriority w:val="0"/>
    <w:pPr>
      <w:widowControl/>
      <w:spacing w:before="100" w:after="100" w:line="330" w:lineRule="atLeast"/>
      <w:jc w:val="left"/>
    </w:pPr>
    <w:rPr>
      <w:rFonts w:ascii="宋体" w:hAnsi="宋体" w:eastAsia="宋体" w:cs="宋体"/>
      <w:kern w:val="0"/>
      <w:sz w:val="24"/>
      <w:szCs w:val="24"/>
    </w:rPr>
  </w:style>
  <w:style w:type="paragraph" w:customStyle="1" w:styleId="318">
    <w:name w:val="默认段落字体 Para Char Char Char Char Char Char Char"/>
    <w:basedOn w:val="1"/>
    <w:qFormat/>
    <w:uiPriority w:val="0"/>
    <w:rPr>
      <w:rFonts w:ascii="Tahoma" w:hAnsi="Tahoma" w:eastAsia="宋体" w:cs="Tahoma"/>
      <w:sz w:val="24"/>
      <w:szCs w:val="24"/>
    </w:rPr>
  </w:style>
  <w:style w:type="paragraph" w:customStyle="1" w:styleId="319">
    <w:name w:val="修订记录"/>
    <w:basedOn w:val="1"/>
    <w:qFormat/>
    <w:uiPriority w:val="0"/>
    <w:pPr>
      <w:pageBreakBefore/>
      <w:autoSpaceDE w:val="0"/>
      <w:autoSpaceDN w:val="0"/>
      <w:adjustRightInd w:val="0"/>
      <w:spacing w:before="300" w:after="150" w:line="360" w:lineRule="auto"/>
      <w:jc w:val="center"/>
    </w:pPr>
    <w:rPr>
      <w:rFonts w:ascii="黑体" w:hAnsi="Times New Roman" w:eastAsia="黑体" w:cs="黑体"/>
      <w:kern w:val="0"/>
      <w:sz w:val="30"/>
      <w:szCs w:val="30"/>
    </w:rPr>
  </w:style>
  <w:style w:type="paragraph" w:customStyle="1" w:styleId="320">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0"/>
      <w:szCs w:val="20"/>
    </w:rPr>
  </w:style>
  <w:style w:type="paragraph" w:customStyle="1" w:styleId="321">
    <w:name w:val="列出段落2"/>
    <w:basedOn w:val="1"/>
    <w:qFormat/>
    <w:uiPriority w:val="0"/>
    <w:pPr>
      <w:ind w:firstLine="420" w:firstLineChars="200"/>
    </w:pPr>
    <w:rPr>
      <w:rFonts w:ascii="Times New Roman" w:hAnsi="Times New Roman" w:eastAsia="宋体" w:cs="Times New Roman"/>
      <w:szCs w:val="21"/>
    </w:rPr>
  </w:style>
  <w:style w:type="paragraph" w:customStyle="1" w:styleId="322">
    <w:name w:val="摘要"/>
    <w:basedOn w:val="1"/>
    <w:qFormat/>
    <w:uiPriority w:val="0"/>
    <w:pPr>
      <w:tabs>
        <w:tab w:val="left" w:pos="907"/>
      </w:tabs>
      <w:autoSpaceDE w:val="0"/>
      <w:autoSpaceDN w:val="0"/>
      <w:adjustRightInd w:val="0"/>
      <w:spacing w:line="360" w:lineRule="auto"/>
      <w:ind w:left="879" w:hanging="879"/>
    </w:pPr>
    <w:rPr>
      <w:rFonts w:ascii="Times New Roman" w:hAnsi="Times New Roman" w:eastAsia="宋体" w:cs="Times New Roman"/>
      <w:kern w:val="0"/>
      <w:szCs w:val="21"/>
    </w:rPr>
  </w:style>
  <w:style w:type="paragraph" w:customStyle="1" w:styleId="323">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4"/>
      <w:szCs w:val="24"/>
    </w:rPr>
  </w:style>
  <w:style w:type="paragraph" w:customStyle="1" w:styleId="324">
    <w:name w:val="font10"/>
    <w:basedOn w:val="1"/>
    <w:qFormat/>
    <w:uiPriority w:val="0"/>
    <w:pPr>
      <w:widowControl/>
      <w:spacing w:before="100" w:beforeAutospacing="1" w:after="100" w:afterAutospacing="1"/>
      <w:jc w:val="left"/>
    </w:pPr>
    <w:rPr>
      <w:rFonts w:ascii="Times New Roman" w:hAnsi="Times New Roman" w:eastAsia="宋体" w:cs="Times New Roman"/>
      <w:kern w:val="0"/>
      <w:sz w:val="18"/>
      <w:szCs w:val="18"/>
    </w:rPr>
  </w:style>
  <w:style w:type="paragraph" w:customStyle="1" w:styleId="325">
    <w:name w:val="xl66"/>
    <w:basedOn w:val="1"/>
    <w:qFormat/>
    <w:uiPriority w:val="0"/>
    <w:pPr>
      <w:widowControl/>
      <w:pBdr>
        <w:top w:val="single" w:color="auto" w:sz="4" w:space="0"/>
        <w:bottom w:val="single" w:color="auto" w:sz="4" w:space="0"/>
      </w:pBdr>
      <w:spacing w:before="100" w:beforeAutospacing="1" w:after="100" w:afterAutospacing="1"/>
      <w:jc w:val="center"/>
    </w:pPr>
    <w:rPr>
      <w:rFonts w:ascii="Arial Unicode MS" w:hAnsi="Arial Unicode MS" w:eastAsia="宋体" w:cs="Arial Unicode MS"/>
      <w:kern w:val="0"/>
      <w:sz w:val="24"/>
      <w:szCs w:val="24"/>
    </w:rPr>
  </w:style>
  <w:style w:type="paragraph" w:customStyle="1" w:styleId="326">
    <w:name w:val="±í???"/>
    <w:basedOn w:val="1"/>
    <w:qFormat/>
    <w:uiPriority w:val="0"/>
    <w:pPr>
      <w:widowControl/>
      <w:overflowPunct w:val="0"/>
      <w:autoSpaceDE w:val="0"/>
      <w:autoSpaceDN w:val="0"/>
      <w:adjustRightInd w:val="0"/>
      <w:spacing w:line="300" w:lineRule="auto"/>
      <w:jc w:val="left"/>
      <w:textAlignment w:val="baseline"/>
    </w:pPr>
    <w:rPr>
      <w:rFonts w:ascii="Times New Roman" w:hAnsi="Times New Roman" w:eastAsia="宋体" w:cs="Times New Roman"/>
      <w:kern w:val="0"/>
      <w:sz w:val="18"/>
      <w:szCs w:val="18"/>
    </w:rPr>
  </w:style>
  <w:style w:type="paragraph" w:customStyle="1" w:styleId="327">
    <w:name w:val="xl125"/>
    <w:basedOn w:val="1"/>
    <w:qFormat/>
    <w:uiPriority w:val="0"/>
    <w:pPr>
      <w:widowControl/>
      <w:spacing w:before="100" w:beforeAutospacing="1" w:after="100" w:afterAutospacing="1"/>
      <w:jc w:val="center"/>
      <w:textAlignment w:val="center"/>
    </w:pPr>
    <w:rPr>
      <w:rFonts w:ascii="宋体" w:hAnsi="宋体" w:eastAsia="宋体" w:cs="宋体"/>
      <w:kern w:val="0"/>
      <w:sz w:val="24"/>
      <w:szCs w:val="24"/>
    </w:rPr>
  </w:style>
  <w:style w:type="paragraph" w:customStyle="1" w:styleId="328">
    <w:name w:val="1 Char"/>
    <w:basedOn w:val="1"/>
    <w:qFormat/>
    <w:uiPriority w:val="0"/>
    <w:pPr>
      <w:widowControl/>
      <w:spacing w:after="160" w:line="240" w:lineRule="exact"/>
      <w:jc w:val="left"/>
    </w:pPr>
    <w:rPr>
      <w:rFonts w:ascii="Verdana" w:hAnsi="Verdana" w:eastAsia="宋体" w:cs="Verdana"/>
      <w:kern w:val="0"/>
      <w:sz w:val="20"/>
      <w:szCs w:val="20"/>
      <w:lang w:eastAsia="en-US"/>
    </w:rPr>
  </w:style>
  <w:style w:type="paragraph" w:customStyle="1" w:styleId="329">
    <w:name w:val="txt_black"/>
    <w:basedOn w:val="1"/>
    <w:qFormat/>
    <w:uiPriority w:val="0"/>
    <w:pPr>
      <w:widowControl/>
      <w:spacing w:before="100" w:beforeAutospacing="1" w:after="100" w:afterAutospacing="1"/>
      <w:jc w:val="left"/>
    </w:pPr>
    <w:rPr>
      <w:rFonts w:ascii="宋体" w:hAnsi="宋体" w:eastAsia="宋体" w:cs="宋体"/>
      <w:color w:val="000000"/>
      <w:kern w:val="0"/>
      <w:sz w:val="24"/>
      <w:szCs w:val="24"/>
    </w:rPr>
  </w:style>
  <w:style w:type="paragraph" w:customStyle="1" w:styleId="330">
    <w:name w:val="xl9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331">
    <w:name w:val="text"/>
    <w:basedOn w:val="1"/>
    <w:qFormat/>
    <w:uiPriority w:val="0"/>
    <w:pPr>
      <w:widowControl/>
      <w:spacing w:before="100" w:beforeAutospacing="1" w:after="100" w:afterAutospacing="1" w:line="300" w:lineRule="atLeast"/>
      <w:jc w:val="left"/>
    </w:pPr>
    <w:rPr>
      <w:rFonts w:ascii="宋体" w:hAnsi="宋体" w:eastAsia="宋体" w:cs="宋体"/>
      <w:kern w:val="0"/>
      <w:sz w:val="18"/>
      <w:szCs w:val="18"/>
    </w:rPr>
  </w:style>
  <w:style w:type="paragraph" w:customStyle="1" w:styleId="332">
    <w:name w:val="features1"/>
    <w:basedOn w:val="1"/>
    <w:qFormat/>
    <w:uiPriority w:val="0"/>
    <w:pPr>
      <w:widowControl/>
      <w:spacing w:before="100" w:beforeAutospacing="1" w:after="100" w:afterAutospacing="1"/>
      <w:jc w:val="left"/>
    </w:pPr>
    <w:rPr>
      <w:rFonts w:ascii="宋体" w:hAnsi="宋体" w:eastAsia="宋体" w:cs="宋体"/>
      <w:b/>
      <w:bCs/>
      <w:kern w:val="0"/>
      <w:sz w:val="20"/>
      <w:szCs w:val="20"/>
    </w:rPr>
  </w:style>
  <w:style w:type="paragraph" w:customStyle="1" w:styleId="333">
    <w:name w:val="封面表格文本"/>
    <w:basedOn w:val="1"/>
    <w:qFormat/>
    <w:uiPriority w:val="0"/>
    <w:pPr>
      <w:autoSpaceDE w:val="0"/>
      <w:autoSpaceDN w:val="0"/>
      <w:adjustRightInd w:val="0"/>
      <w:jc w:val="center"/>
    </w:pPr>
    <w:rPr>
      <w:rFonts w:ascii="Times New Roman" w:hAnsi="Times New Roman" w:eastAsia="宋体" w:cs="Times New Roman"/>
      <w:b/>
      <w:bCs/>
      <w:kern w:val="0"/>
      <w:sz w:val="24"/>
      <w:szCs w:val="24"/>
    </w:rPr>
  </w:style>
  <w:style w:type="paragraph" w:customStyle="1" w:styleId="334">
    <w:name w:val="普通 (Web)"/>
    <w:basedOn w:val="268"/>
    <w:next w:val="268"/>
    <w:qFormat/>
    <w:uiPriority w:val="0"/>
    <w:pPr>
      <w:spacing w:before="100" w:after="100"/>
    </w:pPr>
    <w:rPr>
      <w:rFonts w:ascii="Times New Roman" w:cs="Times New Roman"/>
      <w:color w:val="auto"/>
    </w:rPr>
  </w:style>
  <w:style w:type="paragraph" w:customStyle="1" w:styleId="335">
    <w:name w:val="一般段落"/>
    <w:basedOn w:val="1"/>
    <w:qFormat/>
    <w:uiPriority w:val="0"/>
    <w:pPr>
      <w:ind w:firstLine="630"/>
    </w:pPr>
    <w:rPr>
      <w:rFonts w:ascii="Times New Roman" w:hAnsi="Times New Roman" w:eastAsia="楷体_GB2312" w:cs="Times New Roman"/>
      <w:color w:val="008000"/>
      <w:sz w:val="32"/>
      <w:szCs w:val="32"/>
    </w:rPr>
  </w:style>
  <w:style w:type="paragraph" w:styleId="336">
    <w:name w:val="List Paragraph"/>
    <w:basedOn w:val="1"/>
    <w:link w:val="511"/>
    <w:qFormat/>
    <w:uiPriority w:val="34"/>
    <w:pPr>
      <w:ind w:firstLine="420" w:firstLineChars="200"/>
    </w:pPr>
    <w:rPr>
      <w:rFonts w:ascii="Times New Roman" w:hAnsi="Times New Roman" w:eastAsia="宋体" w:cs="Times New Roman"/>
      <w:szCs w:val="21"/>
    </w:rPr>
  </w:style>
  <w:style w:type="paragraph" w:customStyle="1" w:styleId="337">
    <w:name w:val="样式 楷体_GB2312 小四 行距: 1.5 倍行距"/>
    <w:basedOn w:val="1"/>
    <w:qFormat/>
    <w:uiPriority w:val="0"/>
    <w:pPr>
      <w:tabs>
        <w:tab w:val="left" w:pos="990"/>
      </w:tabs>
      <w:spacing w:line="360" w:lineRule="auto"/>
      <w:ind w:left="990" w:hanging="420"/>
    </w:pPr>
    <w:rPr>
      <w:rFonts w:ascii="楷体_GB2312" w:hAnsi="Times New Roman" w:eastAsia="楷体_GB2312" w:cs="楷体_GB2312"/>
      <w:sz w:val="24"/>
      <w:szCs w:val="24"/>
    </w:rPr>
  </w:style>
  <w:style w:type="paragraph" w:customStyle="1" w:styleId="338">
    <w:name w:val="样式"/>
    <w:basedOn w:val="1"/>
    <w:qFormat/>
    <w:uiPriority w:val="0"/>
    <w:pPr>
      <w:autoSpaceDE w:val="0"/>
      <w:autoSpaceDN w:val="0"/>
      <w:snapToGrid w:val="0"/>
      <w:spacing w:before="120" w:after="120" w:line="360" w:lineRule="auto"/>
    </w:pPr>
    <w:rPr>
      <w:rFonts w:ascii="宋体" w:hAnsi="Times New Roman" w:eastAsia="宋体" w:cs="宋体"/>
      <w:sz w:val="24"/>
      <w:szCs w:val="24"/>
    </w:rPr>
  </w:style>
  <w:style w:type="paragraph" w:customStyle="1" w:styleId="339">
    <w:name w:val="正文文本 21"/>
    <w:basedOn w:val="1"/>
    <w:qFormat/>
    <w:uiPriority w:val="0"/>
    <w:pPr>
      <w:widowControl/>
      <w:tabs>
        <w:tab w:val="left" w:pos="120"/>
      </w:tabs>
      <w:autoSpaceDE w:val="0"/>
      <w:autoSpaceDN w:val="0"/>
      <w:adjustRightInd w:val="0"/>
      <w:spacing w:line="360" w:lineRule="auto"/>
      <w:ind w:left="45" w:firstLine="720"/>
      <w:textAlignment w:val="baseline"/>
    </w:pPr>
    <w:rPr>
      <w:rFonts w:ascii="宋体" w:hAnsi="Times New Roman" w:eastAsia="宋体" w:cs="宋体"/>
      <w:kern w:val="0"/>
      <w:sz w:val="32"/>
      <w:szCs w:val="32"/>
      <w:lang w:val="en-AU"/>
    </w:rPr>
  </w:style>
  <w:style w:type="paragraph" w:customStyle="1" w:styleId="340">
    <w:name w:val="font8"/>
    <w:basedOn w:val="1"/>
    <w:qFormat/>
    <w:uiPriority w:val="0"/>
    <w:pPr>
      <w:widowControl/>
      <w:spacing w:before="100" w:beforeAutospacing="1" w:after="100" w:afterAutospacing="1"/>
      <w:jc w:val="left"/>
    </w:pPr>
    <w:rPr>
      <w:rFonts w:ascii="Arial" w:hAnsi="Arial" w:eastAsia="宋体" w:cs="Arial"/>
      <w:kern w:val="0"/>
      <w:sz w:val="20"/>
      <w:szCs w:val="20"/>
    </w:rPr>
  </w:style>
  <w:style w:type="paragraph" w:customStyle="1" w:styleId="341">
    <w:name w:val="3 Char1 Char Char Char"/>
    <w:basedOn w:val="1"/>
    <w:qFormat/>
    <w:uiPriority w:val="0"/>
    <w:rPr>
      <w:rFonts w:ascii="仿宋_GB2312" w:hAnsi="Times New Roman" w:eastAsia="仿宋_GB2312" w:cs="仿宋_GB2312"/>
      <w:b/>
      <w:bCs/>
      <w:sz w:val="32"/>
      <w:szCs w:val="32"/>
    </w:rPr>
  </w:style>
  <w:style w:type="paragraph" w:customStyle="1" w:styleId="342">
    <w:name w:val="普通正文"/>
    <w:basedOn w:val="1"/>
    <w:qFormat/>
    <w:uiPriority w:val="0"/>
    <w:pPr>
      <w:ind w:firstLine="200" w:firstLineChars="200"/>
    </w:pPr>
    <w:rPr>
      <w:rFonts w:ascii="Times New Roman" w:hAnsi="Times New Roman" w:eastAsia="宋体" w:cs="Times New Roman"/>
      <w:szCs w:val="21"/>
    </w:rPr>
  </w:style>
  <w:style w:type="paragraph" w:customStyle="1" w:styleId="343">
    <w:name w:val="*Body 1"/>
    <w:qFormat/>
    <w:uiPriority w:val="0"/>
    <w:pPr>
      <w:spacing w:before="120" w:after="120" w:line="360" w:lineRule="auto"/>
      <w:jc w:val="both"/>
    </w:pPr>
    <w:rPr>
      <w:rFonts w:ascii="宋体" w:hAnsi="宋体" w:eastAsia="宋体" w:cs="宋体"/>
      <w:sz w:val="24"/>
      <w:szCs w:val="24"/>
      <w:lang w:val="en-US" w:eastAsia="zh-CN" w:bidi="ar-SA"/>
    </w:rPr>
  </w:style>
  <w:style w:type="paragraph" w:customStyle="1" w:styleId="344">
    <w:name w:val="titlered"/>
    <w:basedOn w:val="1"/>
    <w:qFormat/>
    <w:uiPriority w:val="0"/>
    <w:pPr>
      <w:widowControl/>
      <w:spacing w:before="100" w:beforeAutospacing="1" w:after="100" w:afterAutospacing="1"/>
      <w:jc w:val="left"/>
    </w:pPr>
    <w:rPr>
      <w:rFonts w:ascii="宋体" w:hAnsi="宋体" w:eastAsia="宋体" w:cs="宋体"/>
      <w:b/>
      <w:bCs/>
      <w:color w:val="FF0000"/>
      <w:kern w:val="0"/>
      <w:szCs w:val="21"/>
    </w:rPr>
  </w:style>
  <w:style w:type="paragraph" w:customStyle="1" w:styleId="345">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Times New Roman" w:hAnsi="Times New Roman" w:eastAsia="宋体" w:cs="Times New Roman"/>
      <w:kern w:val="0"/>
      <w:sz w:val="20"/>
      <w:szCs w:val="20"/>
    </w:rPr>
  </w:style>
  <w:style w:type="paragraph" w:customStyle="1" w:styleId="346">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0"/>
      <w:szCs w:val="20"/>
    </w:rPr>
  </w:style>
  <w:style w:type="paragraph" w:customStyle="1" w:styleId="347">
    <w:name w:val="title1"/>
    <w:basedOn w:val="2"/>
    <w:qFormat/>
    <w:uiPriority w:val="0"/>
    <w:pPr>
      <w:keepNext w:val="0"/>
      <w:keepLines w:val="0"/>
      <w:autoSpaceDE w:val="0"/>
      <w:autoSpaceDN w:val="0"/>
      <w:adjustRightInd w:val="0"/>
      <w:spacing w:before="240" w:after="120" w:line="360" w:lineRule="auto"/>
      <w:ind w:left="247" w:hanging="247"/>
      <w:jc w:val="left"/>
    </w:pPr>
    <w:rPr>
      <w:rFonts w:ascii="Arial" w:hAnsi="Arial" w:cs="Arial"/>
      <w:kern w:val="0"/>
      <w:sz w:val="24"/>
      <w:szCs w:val="24"/>
    </w:rPr>
  </w:style>
  <w:style w:type="paragraph" w:customStyle="1" w:styleId="348">
    <w:name w:val="文本"/>
    <w:basedOn w:val="1"/>
    <w:qFormat/>
    <w:uiPriority w:val="0"/>
    <w:pPr>
      <w:spacing w:line="360" w:lineRule="auto"/>
      <w:ind w:firstLine="480" w:firstLineChars="200"/>
    </w:pPr>
    <w:rPr>
      <w:rFonts w:ascii="宋体" w:hAnsi="Arial" w:eastAsia="宋体" w:cs="宋体"/>
      <w:kern w:val="0"/>
      <w:sz w:val="24"/>
      <w:szCs w:val="24"/>
    </w:rPr>
  </w:style>
  <w:style w:type="paragraph" w:customStyle="1" w:styleId="349">
    <w:name w:val="表格文字"/>
    <w:basedOn w:val="1"/>
    <w:qFormat/>
    <w:uiPriority w:val="0"/>
    <w:pPr>
      <w:spacing w:before="25" w:after="25"/>
      <w:jc w:val="left"/>
    </w:pPr>
    <w:rPr>
      <w:rFonts w:ascii="Times New Roman" w:hAnsi="Times New Roman" w:eastAsia="宋体" w:cs="Times New Roman"/>
      <w:spacing w:val="10"/>
      <w:kern w:val="0"/>
      <w:sz w:val="24"/>
      <w:szCs w:val="24"/>
    </w:rPr>
  </w:style>
  <w:style w:type="paragraph" w:customStyle="1" w:styleId="350">
    <w:name w:val="项目一"/>
    <w:basedOn w:val="1"/>
    <w:qFormat/>
    <w:uiPriority w:val="0"/>
    <w:pPr>
      <w:tabs>
        <w:tab w:val="left" w:pos="1320"/>
      </w:tabs>
      <w:spacing w:after="100" w:afterAutospacing="1" w:line="360" w:lineRule="auto"/>
      <w:ind w:left="1140" w:hanging="720"/>
    </w:pPr>
    <w:rPr>
      <w:rFonts w:ascii="Times New Roman" w:hAnsi="Times New Roman" w:eastAsia="宋体" w:cs="Times New Roman"/>
      <w:b/>
      <w:bCs/>
      <w:sz w:val="24"/>
      <w:szCs w:val="24"/>
    </w:rPr>
  </w:style>
  <w:style w:type="paragraph" w:customStyle="1" w:styleId="351">
    <w:name w:val="font20"/>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352">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353">
    <w:name w:val="font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54">
    <w:name w:val="xl110"/>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eastAsia="宋体" w:cs="宋体"/>
      <w:kern w:val="0"/>
      <w:sz w:val="24"/>
      <w:szCs w:val="24"/>
    </w:rPr>
  </w:style>
  <w:style w:type="paragraph" w:customStyle="1" w:styleId="355">
    <w:name w:val="目录"/>
    <w:basedOn w:val="1"/>
    <w:qFormat/>
    <w:uiPriority w:val="0"/>
    <w:pPr>
      <w:autoSpaceDE w:val="0"/>
      <w:autoSpaceDN w:val="0"/>
      <w:adjustRightInd w:val="0"/>
      <w:spacing w:before="300" w:after="150" w:line="360" w:lineRule="auto"/>
      <w:jc w:val="center"/>
    </w:pPr>
    <w:rPr>
      <w:rFonts w:ascii="黑体" w:hAnsi="Times New Roman" w:eastAsia="黑体" w:cs="黑体"/>
      <w:kern w:val="0"/>
      <w:sz w:val="30"/>
      <w:szCs w:val="30"/>
    </w:rPr>
  </w:style>
  <w:style w:type="paragraph" w:customStyle="1" w:styleId="356">
    <w:name w:val="p17"/>
    <w:basedOn w:val="1"/>
    <w:qFormat/>
    <w:uiPriority w:val="0"/>
    <w:pPr>
      <w:widowControl/>
    </w:pPr>
    <w:rPr>
      <w:rFonts w:ascii="Times New Roman" w:hAnsi="Times New Roman" w:eastAsia="宋体" w:cs="Times New Roman"/>
      <w:kern w:val="0"/>
      <w:szCs w:val="21"/>
    </w:rPr>
  </w:style>
  <w:style w:type="paragraph" w:customStyle="1" w:styleId="357">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eastAsia="宋体" w:cs="Arial"/>
      <w:kern w:val="0"/>
      <w:sz w:val="22"/>
    </w:rPr>
  </w:style>
  <w:style w:type="paragraph" w:customStyle="1" w:styleId="358">
    <w:name w:val="正文1"/>
    <w:basedOn w:val="1"/>
    <w:qFormat/>
    <w:uiPriority w:val="0"/>
    <w:pPr>
      <w:spacing w:before="240" w:line="460" w:lineRule="exact"/>
    </w:pPr>
    <w:rPr>
      <w:rFonts w:ascii="仿宋_GB2312" w:hAnsi="宋体" w:eastAsia="仿宋_GB2312" w:cs="仿宋_GB2312"/>
      <w:b/>
      <w:bCs/>
      <w:sz w:val="28"/>
      <w:szCs w:val="28"/>
    </w:rPr>
  </w:style>
  <w:style w:type="paragraph" w:customStyle="1" w:styleId="359">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0"/>
      <w:szCs w:val="20"/>
    </w:rPr>
  </w:style>
  <w:style w:type="paragraph" w:customStyle="1" w:styleId="360">
    <w:name w:val="title3"/>
    <w:basedOn w:val="1"/>
    <w:qFormat/>
    <w:uiPriority w:val="0"/>
    <w:rPr>
      <w:rFonts w:ascii="Times New Roman" w:hAnsi="Times New Roman" w:eastAsia="宋体" w:cs="Times New Roman"/>
      <w:b/>
      <w:bCs/>
      <w:szCs w:val="21"/>
    </w:rPr>
  </w:style>
  <w:style w:type="paragraph" w:customStyle="1" w:styleId="361">
    <w:name w:val="Char1 Char Char1 Char"/>
    <w:basedOn w:val="1"/>
    <w:qFormat/>
    <w:uiPriority w:val="0"/>
    <w:pPr>
      <w:widowControl/>
      <w:spacing w:line="400" w:lineRule="exact"/>
      <w:jc w:val="center"/>
    </w:pPr>
    <w:rPr>
      <w:rFonts w:ascii="Verdana" w:hAnsi="Verdana" w:eastAsia="宋体" w:cs="Verdana"/>
      <w:kern w:val="0"/>
      <w:szCs w:val="21"/>
      <w:lang w:eastAsia="en-US"/>
    </w:rPr>
  </w:style>
  <w:style w:type="paragraph" w:customStyle="1" w:styleId="362">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Arial" w:hAnsi="Arial" w:eastAsia="宋体" w:cs="Arial"/>
      <w:kern w:val="0"/>
      <w:sz w:val="24"/>
      <w:szCs w:val="24"/>
    </w:rPr>
  </w:style>
  <w:style w:type="paragraph" w:customStyle="1" w:styleId="363">
    <w:name w:val="列出段落11"/>
    <w:basedOn w:val="1"/>
    <w:qFormat/>
    <w:uiPriority w:val="0"/>
    <w:pPr>
      <w:ind w:firstLine="420" w:firstLineChars="200"/>
    </w:pPr>
    <w:rPr>
      <w:rFonts w:ascii="Times New Roman" w:hAnsi="Times New Roman" w:eastAsia="宋体" w:cs="Times New Roman"/>
      <w:kern w:val="0"/>
      <w:sz w:val="20"/>
      <w:szCs w:val="20"/>
    </w:rPr>
  </w:style>
  <w:style w:type="paragraph" w:customStyle="1" w:styleId="364">
    <w:name w:val="xl27"/>
    <w:basedOn w:val="1"/>
    <w:qFormat/>
    <w:uiPriority w:val="0"/>
    <w:pPr>
      <w:widowControl/>
      <w:pBdr>
        <w:top w:val="single" w:color="FFFFFF" w:sz="4" w:space="0"/>
        <w:left w:val="single" w:color="FFFFFF" w:sz="4" w:space="0"/>
        <w:bottom w:val="single" w:color="FFFFFF" w:sz="4" w:space="0"/>
        <w:right w:val="single" w:color="FFFFFF" w:sz="4" w:space="0"/>
      </w:pBdr>
      <w:spacing w:before="100" w:beforeAutospacing="1" w:after="100" w:afterAutospacing="1"/>
      <w:jc w:val="center"/>
    </w:pPr>
    <w:rPr>
      <w:rFonts w:ascii="Arial" w:hAnsi="Arial" w:eastAsia="宋体" w:cs="Arial"/>
      <w:kern w:val="0"/>
      <w:sz w:val="24"/>
      <w:szCs w:val="24"/>
    </w:rPr>
  </w:style>
  <w:style w:type="paragraph" w:customStyle="1" w:styleId="365">
    <w:name w:val="正文01"/>
    <w:basedOn w:val="1"/>
    <w:qFormat/>
    <w:uiPriority w:val="0"/>
    <w:pPr>
      <w:spacing w:line="560" w:lineRule="exact"/>
      <w:ind w:firstLine="200" w:firstLineChars="200"/>
    </w:pPr>
    <w:rPr>
      <w:rFonts w:ascii="Times New Roman" w:hAnsi="Times New Roman" w:eastAsia="仿宋_GB2312" w:cs="Times New Roman"/>
      <w:color w:val="000000"/>
      <w:sz w:val="32"/>
      <w:szCs w:val="32"/>
    </w:rPr>
  </w:style>
  <w:style w:type="paragraph" w:customStyle="1" w:styleId="366">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4"/>
      <w:szCs w:val="24"/>
    </w:rPr>
  </w:style>
  <w:style w:type="paragraph" w:customStyle="1" w:styleId="367">
    <w:name w:val="xl53"/>
    <w:basedOn w:val="1"/>
    <w:qFormat/>
    <w:uiPriority w:val="0"/>
    <w:pPr>
      <w:widowControl/>
      <w:spacing w:before="100" w:beforeAutospacing="1" w:after="100" w:afterAutospacing="1"/>
      <w:jc w:val="center"/>
      <w:textAlignment w:val="center"/>
    </w:pPr>
    <w:rPr>
      <w:rFonts w:ascii="Arial" w:hAnsi="Arial" w:eastAsia="宋体" w:cs="Arial"/>
      <w:kern w:val="0"/>
      <w:sz w:val="22"/>
    </w:rPr>
  </w:style>
  <w:style w:type="paragraph" w:customStyle="1" w:styleId="368">
    <w:name w:val="xl67"/>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宋体" w:cs="Arial Unicode MS"/>
      <w:kern w:val="0"/>
      <w:sz w:val="24"/>
      <w:szCs w:val="24"/>
    </w:rPr>
  </w:style>
  <w:style w:type="paragraph" w:customStyle="1" w:styleId="369">
    <w:name w:val="font12"/>
    <w:basedOn w:val="1"/>
    <w:qFormat/>
    <w:uiPriority w:val="0"/>
    <w:pPr>
      <w:widowControl/>
      <w:spacing w:before="100" w:beforeAutospacing="1" w:after="100" w:afterAutospacing="1"/>
      <w:jc w:val="left"/>
    </w:pPr>
    <w:rPr>
      <w:rFonts w:ascii="Times New Roman" w:hAnsi="Times New Roman" w:eastAsia="宋体" w:cs="Times New Roman"/>
      <w:kern w:val="0"/>
      <w:sz w:val="20"/>
      <w:szCs w:val="20"/>
    </w:rPr>
  </w:style>
  <w:style w:type="paragraph" w:customStyle="1" w:styleId="370">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宋体" w:cs="Arial Unicode MS"/>
      <w:kern w:val="0"/>
      <w:sz w:val="22"/>
    </w:rPr>
  </w:style>
  <w:style w:type="paragraph" w:customStyle="1" w:styleId="371">
    <w:name w:val="Char Char Char Char Char Char"/>
    <w:basedOn w:val="1"/>
    <w:qFormat/>
    <w:uiPriority w:val="0"/>
    <w:rPr>
      <w:rFonts w:ascii="宋体" w:hAnsi="Times New Roman" w:eastAsia="宋体" w:cs="宋体"/>
      <w:szCs w:val="21"/>
    </w:rPr>
  </w:style>
  <w:style w:type="paragraph" w:customStyle="1" w:styleId="372">
    <w:name w:val="产品简介"/>
    <w:basedOn w:val="1"/>
    <w:qFormat/>
    <w:uiPriority w:val="0"/>
    <w:pPr>
      <w:tabs>
        <w:tab w:val="left" w:pos="420"/>
      </w:tabs>
      <w:ind w:left="1455" w:hanging="1455"/>
    </w:pPr>
    <w:rPr>
      <w:rFonts w:ascii="Times New Roman" w:hAnsi="Times New Roman" w:eastAsia="宋体" w:cs="Times New Roman"/>
      <w:szCs w:val="21"/>
    </w:rPr>
  </w:style>
  <w:style w:type="paragraph" w:customStyle="1" w:styleId="373">
    <w:name w:val="标书表格字体格式"/>
    <w:next w:val="1"/>
    <w:qFormat/>
    <w:uiPriority w:val="0"/>
    <w:rPr>
      <w:rFonts w:ascii="Times New Roman" w:hAnsi="Times New Roman" w:eastAsia="宋体" w:cs="Times New Roman"/>
      <w:kern w:val="2"/>
      <w:sz w:val="21"/>
      <w:szCs w:val="21"/>
      <w:lang w:val="en-US" w:eastAsia="zh-CN" w:bidi="ar-SA"/>
    </w:rPr>
  </w:style>
  <w:style w:type="paragraph" w:customStyle="1" w:styleId="374">
    <w:name w:val="ah1"/>
    <w:basedOn w:val="1"/>
    <w:qFormat/>
    <w:uiPriority w:val="0"/>
    <w:pPr>
      <w:widowControl/>
      <w:spacing w:before="100" w:beforeAutospacing="1" w:after="100" w:afterAutospacing="1"/>
      <w:jc w:val="left"/>
    </w:pPr>
    <w:rPr>
      <w:rFonts w:ascii="宋体" w:hAnsi="宋体" w:eastAsia="宋体" w:cs="宋体"/>
      <w:b/>
      <w:bCs/>
      <w:color w:val="0000CC"/>
      <w:kern w:val="0"/>
      <w:sz w:val="24"/>
      <w:szCs w:val="24"/>
    </w:rPr>
  </w:style>
  <w:style w:type="paragraph" w:customStyle="1" w:styleId="375">
    <w:name w:val="目录3"/>
    <w:basedOn w:val="1"/>
    <w:qFormat/>
    <w:uiPriority w:val="0"/>
    <w:pPr>
      <w:autoSpaceDE w:val="0"/>
      <w:autoSpaceDN w:val="0"/>
      <w:adjustRightInd w:val="0"/>
      <w:ind w:left="833"/>
      <w:jc w:val="left"/>
    </w:pPr>
    <w:rPr>
      <w:rFonts w:ascii="Times New Roman" w:hAnsi="Times New Roman" w:eastAsia="宋体" w:cs="Times New Roman"/>
      <w:kern w:val="0"/>
      <w:szCs w:val="21"/>
    </w:rPr>
  </w:style>
  <w:style w:type="paragraph" w:customStyle="1" w:styleId="376">
    <w:name w:val="xl57"/>
    <w:basedOn w:val="1"/>
    <w:qFormat/>
    <w:uiPriority w:val="0"/>
    <w:pPr>
      <w:widowControl/>
      <w:pBdr>
        <w:top w:val="single" w:color="auto" w:sz="4" w:space="0"/>
        <w:right w:val="single" w:color="auto" w:sz="4" w:space="0"/>
      </w:pBdr>
      <w:spacing w:before="100" w:beforeAutospacing="1" w:after="100" w:afterAutospacing="1"/>
      <w:jc w:val="left"/>
    </w:pPr>
    <w:rPr>
      <w:rFonts w:ascii="Arial Unicode MS" w:hAnsi="Arial Unicode MS" w:eastAsia="宋体" w:cs="Arial Unicode MS"/>
      <w:kern w:val="0"/>
      <w:sz w:val="20"/>
      <w:szCs w:val="20"/>
    </w:rPr>
  </w:style>
  <w:style w:type="paragraph" w:customStyle="1" w:styleId="377">
    <w:name w:val="项目编号A"/>
    <w:basedOn w:val="1"/>
    <w:qFormat/>
    <w:uiPriority w:val="0"/>
    <w:pPr>
      <w:tabs>
        <w:tab w:val="left" w:pos="900"/>
        <w:tab w:val="left" w:pos="5820"/>
      </w:tabs>
      <w:topLinePunct/>
      <w:spacing w:line="360" w:lineRule="auto"/>
      <w:ind w:left="900" w:hanging="420"/>
    </w:pPr>
    <w:rPr>
      <w:rFonts w:ascii="宋体" w:hAnsi="华文仿宋" w:eastAsia="宋体" w:cs="宋体"/>
      <w:sz w:val="24"/>
      <w:szCs w:val="24"/>
    </w:rPr>
  </w:style>
  <w:style w:type="paragraph" w:customStyle="1" w:styleId="378">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379">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380">
    <w:name w:val="Default Text"/>
    <w:basedOn w:val="1"/>
    <w:qFormat/>
    <w:uiPriority w:val="0"/>
    <w:pPr>
      <w:autoSpaceDE w:val="0"/>
      <w:autoSpaceDN w:val="0"/>
      <w:adjustRightInd w:val="0"/>
      <w:jc w:val="left"/>
    </w:pPr>
    <w:rPr>
      <w:rFonts w:ascii="Times New Roman" w:hAnsi="Times New Roman" w:eastAsia="宋体" w:cs="Times New Roman"/>
      <w:kern w:val="0"/>
      <w:sz w:val="24"/>
      <w:szCs w:val="24"/>
    </w:rPr>
  </w:style>
  <w:style w:type="paragraph" w:customStyle="1" w:styleId="381">
    <w:name w:val="wmcz"/>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382">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color w:val="000000"/>
      <w:kern w:val="0"/>
      <w:sz w:val="20"/>
      <w:szCs w:val="20"/>
    </w:rPr>
  </w:style>
  <w:style w:type="paragraph" w:customStyle="1" w:styleId="383">
    <w:name w:val="版权页资料信息"/>
    <w:qFormat/>
    <w:uiPriority w:val="0"/>
    <w:pPr>
      <w:tabs>
        <w:tab w:val="right" w:pos="945"/>
        <w:tab w:val="left" w:pos="1155"/>
      </w:tabs>
      <w:spacing w:line="300" w:lineRule="auto"/>
    </w:pPr>
    <w:rPr>
      <w:rFonts w:ascii="宋体" w:hAnsi="Times New Roman" w:eastAsia="宋体" w:cs="宋体"/>
      <w:sz w:val="24"/>
      <w:szCs w:val="24"/>
      <w:lang w:val="en-US" w:eastAsia="zh-CN" w:bidi="ar-SA"/>
    </w:rPr>
  </w:style>
  <w:style w:type="paragraph" w:customStyle="1" w:styleId="384">
    <w:name w:val="xl6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2"/>
    </w:rPr>
  </w:style>
  <w:style w:type="paragraph" w:customStyle="1" w:styleId="385">
    <w:name w:val="Char Char Char Char Char Char Char"/>
    <w:basedOn w:val="1"/>
    <w:qFormat/>
    <w:uiPriority w:val="0"/>
    <w:pPr>
      <w:tabs>
        <w:tab w:val="left" w:pos="432"/>
      </w:tabs>
      <w:ind w:left="432" w:hanging="432"/>
    </w:pPr>
    <w:rPr>
      <w:rFonts w:ascii="Tahoma" w:hAnsi="Tahoma" w:eastAsia="宋体" w:cs="Tahoma"/>
      <w:sz w:val="24"/>
      <w:szCs w:val="24"/>
    </w:rPr>
  </w:style>
  <w:style w:type="paragraph" w:customStyle="1" w:styleId="386">
    <w:name w:val="para"/>
    <w:basedOn w:val="1"/>
    <w:qFormat/>
    <w:uiPriority w:val="0"/>
    <w:pPr>
      <w:widowControl/>
      <w:spacing w:before="100" w:beforeAutospacing="1" w:after="100" w:afterAutospacing="1"/>
      <w:jc w:val="left"/>
    </w:pPr>
    <w:rPr>
      <w:rFonts w:ascii="Arial" w:hAnsi="Arial" w:eastAsia="宋体" w:cs="Arial"/>
      <w:kern w:val="0"/>
      <w:sz w:val="18"/>
      <w:szCs w:val="18"/>
    </w:rPr>
  </w:style>
  <w:style w:type="paragraph" w:customStyle="1" w:styleId="387">
    <w:name w:val="title2"/>
    <w:basedOn w:val="1"/>
    <w:qFormat/>
    <w:uiPriority w:val="0"/>
    <w:rPr>
      <w:rFonts w:ascii="Times New Roman" w:hAnsi="Times New Roman" w:eastAsia="宋体" w:cs="Times New Roman"/>
      <w:b/>
      <w:bCs/>
      <w:sz w:val="24"/>
      <w:szCs w:val="24"/>
    </w:rPr>
  </w:style>
  <w:style w:type="paragraph" w:customStyle="1" w:styleId="38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b/>
      <w:bCs/>
      <w:kern w:val="0"/>
      <w:sz w:val="20"/>
      <w:szCs w:val="20"/>
    </w:rPr>
  </w:style>
  <w:style w:type="paragraph" w:customStyle="1" w:styleId="389">
    <w:name w:val="缺省文本"/>
    <w:basedOn w:val="1"/>
    <w:qFormat/>
    <w:uiPriority w:val="0"/>
    <w:pPr>
      <w:autoSpaceDE w:val="0"/>
      <w:autoSpaceDN w:val="0"/>
      <w:adjustRightInd w:val="0"/>
      <w:jc w:val="left"/>
    </w:pPr>
    <w:rPr>
      <w:rFonts w:ascii="Times New Roman" w:hAnsi="Times New Roman" w:eastAsia="宋体" w:cs="Times New Roman"/>
      <w:kern w:val="0"/>
      <w:sz w:val="24"/>
      <w:szCs w:val="24"/>
    </w:rPr>
  </w:style>
  <w:style w:type="paragraph" w:customStyle="1" w:styleId="390">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391">
    <w:name w:val="xl100"/>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392">
    <w:name w:val="xl69"/>
    <w:basedOn w:val="1"/>
    <w:qFormat/>
    <w:uiPriority w:val="0"/>
    <w:pPr>
      <w:widowControl/>
      <w:pBdr>
        <w:top w:val="single" w:color="auto" w:sz="4" w:space="0"/>
        <w:bottom w:val="single" w:color="auto" w:sz="4" w:space="0"/>
      </w:pBdr>
      <w:spacing w:before="100" w:beforeAutospacing="1" w:after="100" w:afterAutospacing="1"/>
      <w:jc w:val="left"/>
    </w:pPr>
    <w:rPr>
      <w:rFonts w:ascii="Arial" w:hAnsi="Arial" w:eastAsia="宋体" w:cs="Arial"/>
      <w:kern w:val="0"/>
      <w:sz w:val="24"/>
      <w:szCs w:val="24"/>
    </w:rPr>
  </w:style>
  <w:style w:type="paragraph" w:customStyle="1" w:styleId="393">
    <w:name w:val="xl62"/>
    <w:basedOn w:val="1"/>
    <w:qFormat/>
    <w:uiPriority w:val="0"/>
    <w:pPr>
      <w:widowControl/>
      <w:spacing w:before="100" w:beforeAutospacing="1" w:after="100" w:afterAutospacing="1"/>
      <w:jc w:val="left"/>
    </w:pPr>
    <w:rPr>
      <w:rFonts w:ascii="Arial" w:hAnsi="Arial" w:eastAsia="宋体" w:cs="Arial"/>
      <w:b/>
      <w:bCs/>
      <w:kern w:val="0"/>
      <w:sz w:val="24"/>
      <w:szCs w:val="24"/>
    </w:rPr>
  </w:style>
  <w:style w:type="paragraph" w:customStyle="1" w:styleId="394">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395">
    <w:name w:val="xl71"/>
    <w:basedOn w:val="1"/>
    <w:qFormat/>
    <w:uiPriority w:val="0"/>
    <w:pPr>
      <w:widowControl/>
      <w:pBdr>
        <w:top w:val="single" w:color="auto" w:sz="4" w:space="0"/>
        <w:bottom w:val="single" w:color="auto" w:sz="4" w:space="0"/>
      </w:pBdr>
      <w:spacing w:before="100" w:beforeAutospacing="1" w:after="100" w:afterAutospacing="1"/>
      <w:jc w:val="center"/>
    </w:pPr>
    <w:rPr>
      <w:rFonts w:ascii="Arial Unicode MS" w:hAnsi="Arial Unicode MS" w:eastAsia="宋体" w:cs="Arial Unicode MS"/>
      <w:kern w:val="0"/>
      <w:sz w:val="24"/>
      <w:szCs w:val="24"/>
    </w:rPr>
  </w:style>
  <w:style w:type="paragraph" w:customStyle="1" w:styleId="396">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Arial Unicode MS"/>
      <w:kern w:val="0"/>
      <w:sz w:val="24"/>
      <w:szCs w:val="24"/>
    </w:rPr>
  </w:style>
  <w:style w:type="paragraph" w:customStyle="1" w:styleId="397">
    <w:name w:val="Char1 Char Char Char"/>
    <w:basedOn w:val="1"/>
    <w:qFormat/>
    <w:uiPriority w:val="0"/>
    <w:pPr>
      <w:widowControl/>
      <w:snapToGrid w:val="0"/>
      <w:spacing w:before="120" w:after="160" w:line="360" w:lineRule="auto"/>
      <w:ind w:right="-360"/>
      <w:jc w:val="left"/>
    </w:pPr>
    <w:rPr>
      <w:rFonts w:ascii="Arial" w:hAnsi="Arial" w:eastAsia="宋体" w:cs="Arial"/>
      <w:kern w:val="0"/>
      <w:sz w:val="24"/>
      <w:szCs w:val="24"/>
      <w:lang w:eastAsia="en-US"/>
    </w:rPr>
  </w:style>
  <w:style w:type="paragraph" w:customStyle="1" w:styleId="398">
    <w:name w:val="说明文字"/>
    <w:qFormat/>
    <w:uiPriority w:val="0"/>
    <w:pPr>
      <w:widowControl w:val="0"/>
      <w:autoSpaceDE w:val="0"/>
      <w:autoSpaceDN w:val="0"/>
      <w:adjustRightInd w:val="0"/>
      <w:jc w:val="both"/>
    </w:pPr>
    <w:rPr>
      <w:rFonts w:ascii="幼圆" w:hAnsi="Times New Roman" w:eastAsia="幼圆" w:cs="幼圆"/>
      <w:i/>
      <w:iCs/>
      <w:color w:val="000000"/>
      <w:lang w:val="en-US" w:eastAsia="zh-CN" w:bidi="ar-SA"/>
    </w:rPr>
  </w:style>
  <w:style w:type="paragraph" w:customStyle="1" w:styleId="399">
    <w:name w:val="font19"/>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400">
    <w:name w:val="小标题 1"/>
    <w:basedOn w:val="1"/>
    <w:qFormat/>
    <w:uiPriority w:val="0"/>
    <w:pPr>
      <w:autoSpaceDE w:val="0"/>
      <w:autoSpaceDN w:val="0"/>
      <w:adjustRightInd w:val="0"/>
      <w:spacing w:line="360" w:lineRule="atLeast"/>
    </w:pPr>
    <w:rPr>
      <w:rFonts w:ascii="文鼎粗黑" w:hAnsi="Times New Roman" w:eastAsia="文鼎粗黑" w:cs="文鼎粗黑"/>
      <w:kern w:val="0"/>
      <w:sz w:val="22"/>
    </w:rPr>
  </w:style>
  <w:style w:type="paragraph" w:customStyle="1" w:styleId="401">
    <w:name w:val="Char3 Char Char Char"/>
    <w:basedOn w:val="1"/>
    <w:qFormat/>
    <w:uiPriority w:val="0"/>
    <w:pPr>
      <w:widowControl/>
      <w:spacing w:after="160" w:line="240" w:lineRule="exact"/>
      <w:jc w:val="left"/>
    </w:pPr>
    <w:rPr>
      <w:rFonts w:ascii="Times New Roman" w:hAnsi="Times New Roman" w:eastAsia="宋体" w:cs="Times New Roman"/>
      <w:sz w:val="24"/>
      <w:szCs w:val="24"/>
    </w:rPr>
  </w:style>
  <w:style w:type="paragraph" w:customStyle="1" w:styleId="402">
    <w:name w:val="EHPT"/>
    <w:basedOn w:val="1"/>
    <w:next w:val="26"/>
    <w:qFormat/>
    <w:uiPriority w:val="0"/>
    <w:pPr>
      <w:ind w:right="-694"/>
    </w:pPr>
    <w:rPr>
      <w:rFonts w:ascii="Times New Roman" w:hAnsi="Times New Roman" w:eastAsia="宋体" w:cs="Times New Roman"/>
      <w:sz w:val="24"/>
      <w:szCs w:val="24"/>
    </w:rPr>
  </w:style>
  <w:style w:type="paragraph" w:customStyle="1" w:styleId="403">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404">
    <w:name w:val="xl36"/>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Arial" w:hAnsi="Arial" w:eastAsia="宋体" w:cs="Arial"/>
      <w:kern w:val="0"/>
      <w:sz w:val="22"/>
    </w:rPr>
  </w:style>
  <w:style w:type="paragraph" w:customStyle="1" w:styleId="405">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2"/>
    </w:rPr>
  </w:style>
  <w:style w:type="paragraph" w:customStyle="1" w:styleId="406">
    <w:name w:val="style880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07">
    <w:name w:val="xl28"/>
    <w:basedOn w:val="1"/>
    <w:qFormat/>
    <w:uiPriority w:val="0"/>
    <w:pPr>
      <w:widowControl/>
      <w:pBdr>
        <w:top w:val="single" w:color="FFFFFF" w:sz="4" w:space="0"/>
        <w:left w:val="single" w:color="FFFFFF" w:sz="4" w:space="0"/>
        <w:bottom w:val="single" w:color="FFFFFF" w:sz="4" w:space="0"/>
        <w:right w:val="single" w:color="FFFFFF" w:sz="4" w:space="0"/>
      </w:pBdr>
      <w:spacing w:before="100" w:beforeAutospacing="1" w:after="100" w:afterAutospacing="1"/>
      <w:jc w:val="center"/>
    </w:pPr>
    <w:rPr>
      <w:rFonts w:ascii="Arial" w:hAnsi="Arial" w:eastAsia="宋体" w:cs="Arial"/>
      <w:kern w:val="0"/>
      <w:sz w:val="24"/>
      <w:szCs w:val="24"/>
    </w:rPr>
  </w:style>
  <w:style w:type="paragraph" w:customStyle="1" w:styleId="408">
    <w:name w:val="f1"/>
    <w:basedOn w:val="1"/>
    <w:qFormat/>
    <w:uiPriority w:val="0"/>
    <w:pPr>
      <w:widowControl/>
      <w:spacing w:before="100" w:beforeAutospacing="1" w:after="100" w:afterAutospacing="1"/>
      <w:jc w:val="center"/>
    </w:pPr>
    <w:rPr>
      <w:rFonts w:ascii="Helvetica" w:hAnsi="Helvetica" w:eastAsia="宋体" w:cs="Helvetica"/>
      <w:b/>
      <w:bCs/>
      <w:color w:val="FF8080"/>
      <w:spacing w:val="160"/>
      <w:kern w:val="0"/>
      <w:sz w:val="80"/>
      <w:szCs w:val="80"/>
    </w:rPr>
  </w:style>
  <w:style w:type="paragraph" w:customStyle="1" w:styleId="409">
    <w:name w:val="表内文字"/>
    <w:basedOn w:val="1"/>
    <w:qFormat/>
    <w:uiPriority w:val="0"/>
    <w:pPr>
      <w:widowControl/>
      <w:overflowPunct w:val="0"/>
      <w:autoSpaceDE w:val="0"/>
      <w:autoSpaceDN w:val="0"/>
      <w:adjustRightInd w:val="0"/>
      <w:snapToGrid w:val="0"/>
      <w:spacing w:line="360" w:lineRule="exact"/>
      <w:jc w:val="center"/>
      <w:textAlignment w:val="baseline"/>
    </w:pPr>
    <w:rPr>
      <w:rFonts w:ascii="宋体" w:hAnsi="宋体" w:eastAsia="宋体" w:cs="宋体"/>
      <w:kern w:val="0"/>
      <w:sz w:val="24"/>
      <w:szCs w:val="24"/>
    </w:rPr>
  </w:style>
  <w:style w:type="paragraph" w:customStyle="1" w:styleId="410">
    <w:name w:val="xl5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宋体" w:cs="Arial Unicode MS"/>
      <w:kern w:val="0"/>
      <w:sz w:val="20"/>
      <w:szCs w:val="20"/>
    </w:rPr>
  </w:style>
  <w:style w:type="paragraph" w:customStyle="1" w:styleId="411">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412">
    <w:name w:val="xl59"/>
    <w:basedOn w:val="1"/>
    <w:qFormat/>
    <w:uiPriority w:val="0"/>
    <w:pPr>
      <w:widowControl/>
      <w:spacing w:before="100" w:beforeAutospacing="1" w:after="100" w:afterAutospacing="1"/>
      <w:jc w:val="center"/>
    </w:pPr>
    <w:rPr>
      <w:rFonts w:ascii="Arial" w:hAnsi="Arial" w:eastAsia="宋体" w:cs="Arial"/>
      <w:kern w:val="0"/>
      <w:sz w:val="24"/>
      <w:szCs w:val="24"/>
    </w:rPr>
  </w:style>
  <w:style w:type="paragraph" w:customStyle="1" w:styleId="413">
    <w:name w:val="正文文字"/>
    <w:basedOn w:val="1"/>
    <w:qFormat/>
    <w:uiPriority w:val="0"/>
    <w:pPr>
      <w:spacing w:line="360" w:lineRule="auto"/>
      <w:ind w:firstLine="420"/>
    </w:pPr>
    <w:rPr>
      <w:rFonts w:ascii="Times New Roman" w:hAnsi="Times New Roman" w:eastAsia="宋体" w:cs="Times New Roman"/>
      <w:sz w:val="24"/>
      <w:szCs w:val="24"/>
    </w:rPr>
  </w:style>
  <w:style w:type="paragraph" w:customStyle="1" w:styleId="414">
    <w:name w:val="xl51"/>
    <w:basedOn w:val="1"/>
    <w:qFormat/>
    <w:uiPriority w:val="0"/>
    <w:pPr>
      <w:widowControl/>
      <w:spacing w:before="100" w:beforeAutospacing="1" w:after="100" w:afterAutospacing="1"/>
      <w:jc w:val="left"/>
      <w:textAlignment w:val="center"/>
    </w:pPr>
    <w:rPr>
      <w:rFonts w:ascii="Arial" w:hAnsi="Arial" w:eastAsia="宋体" w:cs="Arial"/>
      <w:kern w:val="0"/>
      <w:sz w:val="22"/>
    </w:rPr>
  </w:style>
  <w:style w:type="paragraph" w:customStyle="1" w:styleId="415">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416">
    <w:name w:val="小点说明"/>
    <w:basedOn w:val="1"/>
    <w:qFormat/>
    <w:uiPriority w:val="0"/>
    <w:pPr>
      <w:tabs>
        <w:tab w:val="left" w:pos="420"/>
      </w:tabs>
      <w:adjustRightInd w:val="0"/>
      <w:snapToGrid w:val="0"/>
      <w:spacing w:line="360" w:lineRule="auto"/>
      <w:ind w:left="1260" w:hanging="720"/>
    </w:pPr>
    <w:rPr>
      <w:rFonts w:ascii="Times New Roman" w:hAnsi="Times New Roman" w:eastAsia="宋体" w:cs="Times New Roman"/>
      <w:szCs w:val="21"/>
    </w:rPr>
  </w:style>
  <w:style w:type="paragraph" w:customStyle="1" w:styleId="417">
    <w:name w:val="样式 正文缩进 + 首行缩进:  2 字符"/>
    <w:basedOn w:val="18"/>
    <w:qFormat/>
    <w:uiPriority w:val="0"/>
    <w:pPr>
      <w:autoSpaceDE w:val="0"/>
      <w:autoSpaceDN w:val="0"/>
      <w:spacing w:line="360" w:lineRule="auto"/>
      <w:ind w:left="686" w:firstLine="480" w:firstLineChars="200"/>
      <w:jc w:val="left"/>
    </w:pPr>
    <w:rPr>
      <w:sz w:val="24"/>
      <w:szCs w:val="24"/>
    </w:rPr>
  </w:style>
  <w:style w:type="paragraph" w:customStyle="1" w:styleId="418">
    <w:name w:val="表文1"/>
    <w:basedOn w:val="1"/>
    <w:qFormat/>
    <w:uiPriority w:val="0"/>
    <w:pPr>
      <w:widowControl/>
      <w:spacing w:line="360" w:lineRule="auto"/>
      <w:ind w:firstLine="520" w:firstLineChars="200"/>
    </w:pPr>
    <w:rPr>
      <w:rFonts w:ascii="楷体_GB2312" w:hAnsi="宋体" w:eastAsia="楷体_GB2312" w:cs="楷体_GB2312"/>
      <w:color w:val="000000"/>
      <w:spacing w:val="10"/>
      <w:kern w:val="0"/>
      <w:sz w:val="24"/>
      <w:szCs w:val="24"/>
    </w:rPr>
  </w:style>
  <w:style w:type="paragraph" w:customStyle="1" w:styleId="419">
    <w:name w:val="Char Char Char"/>
    <w:basedOn w:val="21"/>
    <w:qFormat/>
    <w:uiPriority w:val="0"/>
    <w:rPr>
      <w:rFonts w:ascii="Tahoma" w:hAnsi="Tahoma" w:cs="Tahoma"/>
      <w:sz w:val="24"/>
      <w:szCs w:val="24"/>
    </w:rPr>
  </w:style>
  <w:style w:type="paragraph" w:customStyle="1" w:styleId="420">
    <w:name w:val="xl12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eastAsia="宋体" w:cs="宋体"/>
      <w:b/>
      <w:bCs/>
      <w:kern w:val="0"/>
      <w:sz w:val="20"/>
      <w:szCs w:val="20"/>
    </w:rPr>
  </w:style>
  <w:style w:type="paragraph" w:customStyle="1" w:styleId="421">
    <w:name w:val="xl124"/>
    <w:basedOn w:val="1"/>
    <w:qFormat/>
    <w:uiPriority w:val="0"/>
    <w:pPr>
      <w:widowControl/>
      <w:spacing w:before="100" w:beforeAutospacing="1" w:after="100" w:afterAutospacing="1"/>
      <w:jc w:val="center"/>
      <w:textAlignment w:val="center"/>
    </w:pPr>
    <w:rPr>
      <w:rFonts w:ascii="宋体" w:hAnsi="宋体" w:eastAsia="宋体" w:cs="宋体"/>
      <w:b/>
      <w:bCs/>
      <w:kern w:val="0"/>
      <w:sz w:val="32"/>
      <w:szCs w:val="32"/>
    </w:rPr>
  </w:style>
  <w:style w:type="paragraph" w:customStyle="1" w:styleId="422">
    <w:name w:val="xl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b/>
      <w:bCs/>
      <w:kern w:val="0"/>
      <w:sz w:val="20"/>
      <w:szCs w:val="20"/>
    </w:rPr>
  </w:style>
  <w:style w:type="paragraph" w:customStyle="1" w:styleId="423">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Arial Unicode MS"/>
      <w:kern w:val="0"/>
      <w:sz w:val="24"/>
      <w:szCs w:val="24"/>
    </w:rPr>
  </w:style>
  <w:style w:type="paragraph" w:customStyle="1" w:styleId="424">
    <w:name w:val="Char Char2"/>
    <w:basedOn w:val="1"/>
    <w:qFormat/>
    <w:uiPriority w:val="0"/>
    <w:pPr>
      <w:spacing w:line="360" w:lineRule="auto"/>
    </w:pPr>
    <w:rPr>
      <w:rFonts w:ascii="Tahoma" w:hAnsi="Tahoma" w:eastAsia="宋体" w:cs="Tahoma"/>
      <w:sz w:val="24"/>
      <w:szCs w:val="24"/>
    </w:rPr>
  </w:style>
  <w:style w:type="paragraph" w:customStyle="1" w:styleId="425">
    <w:name w:val="小条目 Char"/>
    <w:basedOn w:val="1"/>
    <w:qFormat/>
    <w:uiPriority w:val="0"/>
    <w:pPr>
      <w:tabs>
        <w:tab w:val="left" w:pos="360"/>
      </w:tabs>
      <w:spacing w:line="360" w:lineRule="auto"/>
      <w:ind w:left="360" w:hanging="360"/>
    </w:pPr>
    <w:rPr>
      <w:rFonts w:ascii="宋体" w:hAnsi="Arial" w:eastAsia="宋体" w:cs="宋体"/>
      <w:b/>
      <w:bCs/>
      <w:caps/>
      <w:kern w:val="44"/>
      <w:sz w:val="24"/>
      <w:szCs w:val="24"/>
    </w:rPr>
  </w:style>
  <w:style w:type="paragraph" w:customStyle="1" w:styleId="426">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427">
    <w:name w:val="xl109"/>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eastAsia="宋体" w:cs="宋体"/>
      <w:b/>
      <w:bCs/>
      <w:kern w:val="0"/>
      <w:sz w:val="20"/>
      <w:szCs w:val="20"/>
    </w:rPr>
  </w:style>
  <w:style w:type="paragraph" w:customStyle="1" w:styleId="428">
    <w:name w:val="p16"/>
    <w:basedOn w:val="1"/>
    <w:qFormat/>
    <w:uiPriority w:val="0"/>
    <w:pPr>
      <w:widowControl/>
    </w:pPr>
    <w:rPr>
      <w:rFonts w:ascii="宋体" w:hAnsi="宋体" w:eastAsia="宋体" w:cs="宋体"/>
      <w:kern w:val="0"/>
      <w:sz w:val="28"/>
      <w:szCs w:val="28"/>
    </w:rPr>
  </w:style>
  <w:style w:type="paragraph" w:customStyle="1" w:styleId="429">
    <w:name w:val="xl35"/>
    <w:basedOn w:val="1"/>
    <w:qFormat/>
    <w:uiPriority w:val="0"/>
    <w:pPr>
      <w:widowControl/>
      <w:pBdr>
        <w:top w:val="single" w:color="FFFFFF" w:sz="4" w:space="0"/>
        <w:bottom w:val="single" w:color="FFFFFF" w:sz="4" w:space="0"/>
        <w:right w:val="single" w:color="FFFFFF" w:sz="4" w:space="0"/>
      </w:pBdr>
      <w:spacing w:before="100" w:beforeAutospacing="1" w:after="100" w:afterAutospacing="1"/>
      <w:jc w:val="left"/>
    </w:pPr>
    <w:rPr>
      <w:rFonts w:ascii="Arial Unicode MS" w:hAnsi="Arial Unicode MS" w:eastAsia="宋体" w:cs="Arial Unicode MS"/>
      <w:kern w:val="0"/>
      <w:sz w:val="22"/>
    </w:rPr>
  </w:style>
  <w:style w:type="paragraph" w:customStyle="1" w:styleId="43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0"/>
      <w:szCs w:val="20"/>
    </w:rPr>
  </w:style>
  <w:style w:type="paragraph" w:customStyle="1" w:styleId="431">
    <w:name w:val="Char Char Char Char"/>
    <w:basedOn w:val="1"/>
    <w:qFormat/>
    <w:uiPriority w:val="0"/>
    <w:pPr>
      <w:widowControl/>
      <w:spacing w:after="160" w:line="240" w:lineRule="exact"/>
      <w:jc w:val="left"/>
    </w:pPr>
    <w:rPr>
      <w:rFonts w:ascii="Arial" w:hAnsi="Arial" w:eastAsia="宋体" w:cs="Arial"/>
      <w:b/>
      <w:bCs/>
      <w:kern w:val="0"/>
      <w:sz w:val="24"/>
      <w:szCs w:val="24"/>
      <w:lang w:eastAsia="en-US"/>
    </w:rPr>
  </w:style>
  <w:style w:type="paragraph" w:customStyle="1" w:styleId="432">
    <w:name w:val="样式 标书正文格式 + 首行缩进:  2 字符"/>
    <w:basedOn w:val="232"/>
    <w:qFormat/>
    <w:uiPriority w:val="0"/>
    <w:pPr>
      <w:spacing w:line="240" w:lineRule="auto"/>
      <w:ind w:firstLine="0" w:firstLineChars="0"/>
      <w:jc w:val="both"/>
    </w:pPr>
    <w:rPr>
      <w:rFonts w:ascii="宋体" w:hAnsi="宋体" w:eastAsia="宋体" w:cs="宋体"/>
      <w:kern w:val="0"/>
      <w:sz w:val="21"/>
      <w:szCs w:val="21"/>
    </w:rPr>
  </w:style>
  <w:style w:type="paragraph" w:customStyle="1" w:styleId="433">
    <w:name w:val="版权声明"/>
    <w:basedOn w:val="1"/>
    <w:qFormat/>
    <w:uiPriority w:val="0"/>
    <w:pPr>
      <w:widowControl/>
      <w:autoSpaceDE w:val="0"/>
      <w:autoSpaceDN w:val="0"/>
      <w:snapToGrid w:val="0"/>
      <w:spacing w:line="360" w:lineRule="auto"/>
      <w:ind w:left="1134"/>
      <w:textAlignment w:val="bottom"/>
    </w:pPr>
    <w:rPr>
      <w:rFonts w:ascii="Times New Roman" w:hAnsi="Times New Roman" w:eastAsia="宋体" w:cs="Times New Roman"/>
      <w:szCs w:val="21"/>
    </w:rPr>
  </w:style>
  <w:style w:type="paragraph" w:customStyle="1" w:styleId="434">
    <w:name w:val="xl117"/>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435">
    <w:name w:val="font1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436">
    <w:name w:val="px12black"/>
    <w:basedOn w:val="1"/>
    <w:qFormat/>
    <w:uiPriority w:val="0"/>
    <w:pPr>
      <w:widowControl/>
      <w:spacing w:before="100" w:beforeAutospacing="1" w:after="100" w:afterAutospacing="1" w:line="360" w:lineRule="auto"/>
      <w:jc w:val="left"/>
    </w:pPr>
    <w:rPr>
      <w:rFonts w:ascii="宋体" w:hAnsi="宋体" w:eastAsia="宋体" w:cs="宋体"/>
      <w:color w:val="000000"/>
      <w:kern w:val="0"/>
      <w:szCs w:val="21"/>
    </w:rPr>
  </w:style>
  <w:style w:type="paragraph" w:customStyle="1" w:styleId="437">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宋体" w:cs="Arial Unicode MS"/>
      <w:kern w:val="0"/>
      <w:sz w:val="22"/>
    </w:rPr>
  </w:style>
  <w:style w:type="paragraph" w:customStyle="1" w:styleId="438">
    <w:name w:val="xl76"/>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Times New Roman" w:hAnsi="Times New Roman" w:eastAsia="宋体" w:cs="Times New Roman"/>
      <w:kern w:val="0"/>
      <w:sz w:val="20"/>
      <w:szCs w:val="20"/>
    </w:rPr>
  </w:style>
  <w:style w:type="paragraph" w:customStyle="1" w:styleId="439">
    <w:name w:val="xl30"/>
    <w:basedOn w:val="1"/>
    <w:qFormat/>
    <w:uiPriority w:val="0"/>
    <w:pPr>
      <w:widowControl/>
      <w:spacing w:before="100" w:beforeAutospacing="1" w:after="100" w:afterAutospacing="1"/>
      <w:jc w:val="center"/>
      <w:textAlignment w:val="center"/>
    </w:pPr>
    <w:rPr>
      <w:rFonts w:ascii="楷体_GB2312" w:hAnsi="宋体" w:eastAsia="楷体_GB2312" w:cs="楷体_GB2312"/>
      <w:b/>
      <w:bCs/>
      <w:kern w:val="0"/>
      <w:sz w:val="32"/>
      <w:szCs w:val="32"/>
    </w:rPr>
  </w:style>
  <w:style w:type="paragraph" w:customStyle="1" w:styleId="440">
    <w:name w:val="xl6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w:hAnsi="Arial" w:eastAsia="宋体" w:cs="Arial"/>
      <w:kern w:val="0"/>
      <w:sz w:val="24"/>
      <w:szCs w:val="24"/>
    </w:rPr>
  </w:style>
  <w:style w:type="paragraph" w:customStyle="1" w:styleId="441">
    <w:name w:val="纯文本 New"/>
    <w:basedOn w:val="1"/>
    <w:qFormat/>
    <w:uiPriority w:val="0"/>
    <w:pPr>
      <w:spacing w:beforeLines="50" w:afterLines="50" w:line="400" w:lineRule="atLeast"/>
    </w:pPr>
    <w:rPr>
      <w:rFonts w:ascii="宋体" w:hAnsi="Courier New" w:eastAsia="宋体" w:cs="宋体"/>
      <w:sz w:val="24"/>
      <w:szCs w:val="24"/>
    </w:rPr>
  </w:style>
  <w:style w:type="paragraph" w:customStyle="1" w:styleId="442">
    <w:name w:val="subtitle 2"/>
    <w:basedOn w:val="1"/>
    <w:qFormat/>
    <w:uiPriority w:val="0"/>
    <w:pPr>
      <w:adjustRightInd w:val="0"/>
      <w:spacing w:before="240" w:after="240" w:line="312" w:lineRule="atLeast"/>
      <w:textAlignment w:val="baseline"/>
    </w:pPr>
    <w:rPr>
      <w:rFonts w:ascii="Times New Roman" w:hAnsi="Times New Roman" w:eastAsia="黑体" w:cs="Times New Roman"/>
      <w:kern w:val="0"/>
      <w:sz w:val="24"/>
      <w:szCs w:val="24"/>
    </w:rPr>
  </w:style>
  <w:style w:type="paragraph" w:customStyle="1" w:styleId="443">
    <w:name w:val="xl50"/>
    <w:basedOn w:val="1"/>
    <w:qFormat/>
    <w:uiPriority w:val="0"/>
    <w:pPr>
      <w:widowControl/>
      <w:pBdr>
        <w:left w:val="single" w:color="FFFFFF" w:sz="4" w:space="0"/>
        <w:right w:val="single" w:color="FFFFFF" w:sz="4" w:space="0"/>
      </w:pBdr>
      <w:spacing w:before="100" w:beforeAutospacing="1" w:after="100" w:afterAutospacing="1"/>
      <w:jc w:val="center"/>
    </w:pPr>
    <w:rPr>
      <w:rFonts w:ascii="Arial" w:hAnsi="Arial" w:eastAsia="宋体" w:cs="Arial"/>
      <w:kern w:val="0"/>
      <w:sz w:val="24"/>
      <w:szCs w:val="24"/>
    </w:rPr>
  </w:style>
  <w:style w:type="paragraph" w:customStyle="1" w:styleId="444">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445">
    <w:name w:val="图"/>
    <w:basedOn w:val="1"/>
    <w:qFormat/>
    <w:uiPriority w:val="0"/>
    <w:pPr>
      <w:keepNext/>
      <w:adjustRightInd w:val="0"/>
      <w:spacing w:before="60" w:after="60" w:line="300" w:lineRule="auto"/>
      <w:jc w:val="center"/>
      <w:textAlignment w:val="center"/>
    </w:pPr>
    <w:rPr>
      <w:rFonts w:ascii="Times New Roman" w:hAnsi="Times New Roman" w:eastAsia="宋体" w:cs="Times New Roman"/>
      <w:spacing w:val="20"/>
      <w:kern w:val="0"/>
      <w:sz w:val="24"/>
      <w:szCs w:val="24"/>
    </w:rPr>
  </w:style>
  <w:style w:type="paragraph" w:customStyle="1" w:styleId="446">
    <w:name w:val="!标题1 Ctrl+1"/>
    <w:basedOn w:val="2"/>
    <w:next w:val="1"/>
    <w:qFormat/>
    <w:uiPriority w:val="0"/>
    <w:pPr>
      <w:keepNext w:val="0"/>
      <w:keepLines w:val="0"/>
      <w:pageBreakBefore/>
      <w:tabs>
        <w:tab w:val="left" w:pos="360"/>
        <w:tab w:val="left" w:pos="1800"/>
      </w:tabs>
      <w:adjustRightInd w:val="0"/>
      <w:snapToGrid w:val="0"/>
      <w:spacing w:beforeLines="100" w:afterLines="100" w:line="240" w:lineRule="auto"/>
    </w:pPr>
    <w:rPr>
      <w:rFonts w:ascii="Arial" w:hAnsi="Arial" w:eastAsia="黑体" w:cs="Arial"/>
      <w:kern w:val="2"/>
    </w:rPr>
  </w:style>
  <w:style w:type="paragraph" w:customStyle="1" w:styleId="447">
    <w:name w:val="xl47"/>
    <w:basedOn w:val="1"/>
    <w:qFormat/>
    <w:uiPriority w:val="0"/>
    <w:pPr>
      <w:widowControl/>
      <w:pBdr>
        <w:left w:val="single" w:color="FFFFFF" w:sz="4" w:space="0"/>
        <w:right w:val="single" w:color="FFFFFF" w:sz="4" w:space="0"/>
      </w:pBdr>
      <w:spacing w:before="100" w:beforeAutospacing="1" w:after="100" w:afterAutospacing="1"/>
      <w:jc w:val="left"/>
    </w:pPr>
    <w:rPr>
      <w:rFonts w:ascii="Arial" w:hAnsi="Arial" w:eastAsia="宋体" w:cs="Arial"/>
      <w:kern w:val="0"/>
      <w:sz w:val="24"/>
      <w:szCs w:val="24"/>
    </w:rPr>
  </w:style>
  <w:style w:type="paragraph" w:customStyle="1" w:styleId="448">
    <w:name w:val="宋"/>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49">
    <w:name w:val="xl9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450">
    <w:name w:val="1 Char Char Char Char Char Char Char Char Char Char"/>
    <w:basedOn w:val="1"/>
    <w:qFormat/>
    <w:uiPriority w:val="0"/>
    <w:pPr>
      <w:adjustRightInd w:val="0"/>
    </w:pPr>
    <w:rPr>
      <w:rFonts w:ascii="Times New Roman" w:hAnsi="Times New Roman" w:eastAsia="宋体" w:cs="Times New Roman"/>
      <w:kern w:val="0"/>
      <w:sz w:val="24"/>
      <w:szCs w:val="24"/>
    </w:rPr>
  </w:style>
  <w:style w:type="paragraph" w:customStyle="1" w:styleId="451">
    <w:name w:val="Char Char Char Char Char Char Char Char Char Char Char Char Char Char Char Char Char Char Char Char Char Char Char Char Char Char Char Char Char Char"/>
    <w:basedOn w:val="1"/>
    <w:qFormat/>
    <w:uiPriority w:val="0"/>
    <w:pPr>
      <w:widowControl/>
      <w:spacing w:before="120" w:after="160" w:line="240" w:lineRule="exact"/>
      <w:jc w:val="left"/>
    </w:pPr>
    <w:rPr>
      <w:rFonts w:ascii="Times New Roman" w:hAnsi="Times New Roman" w:eastAsia="宋体" w:cs="Times New Roman"/>
      <w:sz w:val="24"/>
      <w:szCs w:val="24"/>
    </w:rPr>
  </w:style>
  <w:style w:type="paragraph" w:customStyle="1" w:styleId="452">
    <w:name w:val="Char"/>
    <w:basedOn w:val="1"/>
    <w:qFormat/>
    <w:uiPriority w:val="0"/>
    <w:rPr>
      <w:rFonts w:ascii="Times New Roman" w:hAnsi="Times New Roman" w:eastAsia="宋体" w:cs="Times New Roman"/>
      <w:szCs w:val="21"/>
    </w:rPr>
  </w:style>
  <w:style w:type="paragraph" w:customStyle="1" w:styleId="453">
    <w:name w:val="修订1"/>
    <w:qFormat/>
    <w:uiPriority w:val="0"/>
    <w:rPr>
      <w:rFonts w:ascii="Times New Roman" w:hAnsi="Times New Roman" w:eastAsia="宋体" w:cs="Times New Roman"/>
      <w:kern w:val="2"/>
      <w:sz w:val="21"/>
      <w:szCs w:val="21"/>
      <w:lang w:val="en-US" w:eastAsia="zh-CN" w:bidi="ar-SA"/>
    </w:rPr>
  </w:style>
  <w:style w:type="paragraph" w:customStyle="1" w:styleId="454">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b/>
      <w:bCs/>
      <w:kern w:val="0"/>
      <w:sz w:val="20"/>
      <w:szCs w:val="20"/>
    </w:rPr>
  </w:style>
  <w:style w:type="paragraph" w:customStyle="1" w:styleId="455">
    <w:name w:val="关键词"/>
    <w:basedOn w:val="1"/>
    <w:qFormat/>
    <w:uiPriority w:val="0"/>
    <w:pPr>
      <w:tabs>
        <w:tab w:val="left" w:pos="907"/>
      </w:tabs>
      <w:autoSpaceDE w:val="0"/>
      <w:autoSpaceDN w:val="0"/>
      <w:adjustRightInd w:val="0"/>
      <w:spacing w:line="360" w:lineRule="auto"/>
      <w:ind w:left="879" w:hanging="879"/>
    </w:pPr>
    <w:rPr>
      <w:rFonts w:ascii="Times New Roman" w:hAnsi="Times New Roman" w:eastAsia="宋体" w:cs="Times New Roman"/>
      <w:kern w:val="0"/>
      <w:szCs w:val="21"/>
    </w:rPr>
  </w:style>
  <w:style w:type="paragraph" w:customStyle="1" w:styleId="456">
    <w:name w:val="font22"/>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457">
    <w:name w:val="font14"/>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458">
    <w:name w:val="2册标题4"/>
    <w:basedOn w:val="1"/>
    <w:next w:val="1"/>
    <w:qFormat/>
    <w:uiPriority w:val="0"/>
    <w:pPr>
      <w:spacing w:beforeLines="50" w:afterLines="50" w:line="300" w:lineRule="auto"/>
      <w:ind w:left="420" w:leftChars="200"/>
      <w:outlineLvl w:val="3"/>
    </w:pPr>
    <w:rPr>
      <w:rFonts w:ascii="Arial" w:hAnsi="Arial" w:eastAsia="幼圆" w:cs="Arial"/>
      <w:b/>
      <w:bCs/>
      <w:sz w:val="24"/>
      <w:szCs w:val="24"/>
    </w:rPr>
  </w:style>
  <w:style w:type="paragraph" w:customStyle="1" w:styleId="459">
    <w:name w:val="font13"/>
    <w:basedOn w:val="1"/>
    <w:qFormat/>
    <w:uiPriority w:val="0"/>
    <w:pPr>
      <w:widowControl/>
      <w:spacing w:before="100" w:beforeAutospacing="1" w:after="100" w:afterAutospacing="1"/>
      <w:jc w:val="left"/>
    </w:pPr>
    <w:rPr>
      <w:rFonts w:ascii="Times New Roman" w:hAnsi="Times New Roman" w:eastAsia="宋体" w:cs="Times New Roman"/>
      <w:kern w:val="0"/>
      <w:sz w:val="18"/>
      <w:szCs w:val="18"/>
    </w:rPr>
  </w:style>
  <w:style w:type="paragraph" w:customStyle="1" w:styleId="460">
    <w:name w:val="xl63"/>
    <w:basedOn w:val="1"/>
    <w:qFormat/>
    <w:uiPriority w:val="0"/>
    <w:pPr>
      <w:widowControl/>
      <w:pBdr>
        <w:top w:val="single" w:color="auto" w:sz="4" w:space="0"/>
        <w:bottom w:val="single" w:color="auto" w:sz="4" w:space="0"/>
      </w:pBdr>
      <w:spacing w:before="100" w:beforeAutospacing="1" w:after="100" w:afterAutospacing="1"/>
      <w:jc w:val="left"/>
    </w:pPr>
    <w:rPr>
      <w:rFonts w:ascii="Arial" w:hAnsi="Arial" w:eastAsia="宋体" w:cs="Arial"/>
      <w:kern w:val="0"/>
      <w:sz w:val="24"/>
      <w:szCs w:val="24"/>
    </w:rPr>
  </w:style>
  <w:style w:type="paragraph" w:customStyle="1" w:styleId="461">
    <w:name w:val="xl12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eastAsia="宋体" w:cs="宋体"/>
      <w:kern w:val="0"/>
      <w:sz w:val="24"/>
      <w:szCs w:val="24"/>
    </w:rPr>
  </w:style>
  <w:style w:type="paragraph" w:customStyle="1" w:styleId="462">
    <w:name w:val="xl42"/>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宋体" w:cs="Arial Unicode MS"/>
      <w:kern w:val="0"/>
      <w:sz w:val="24"/>
      <w:szCs w:val="24"/>
    </w:rPr>
  </w:style>
  <w:style w:type="paragraph" w:customStyle="1" w:styleId="463">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0"/>
      <w:szCs w:val="20"/>
    </w:rPr>
  </w:style>
  <w:style w:type="paragraph" w:customStyle="1" w:styleId="464">
    <w:name w:val="a4"/>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65">
    <w:name w:val="font15"/>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66">
    <w:name w:val="自定义正文"/>
    <w:basedOn w:val="1"/>
    <w:qFormat/>
    <w:uiPriority w:val="0"/>
    <w:pPr>
      <w:adjustRightInd w:val="0"/>
      <w:ind w:firstLine="480"/>
    </w:pPr>
    <w:rPr>
      <w:rFonts w:ascii="宋体" w:hAnsi="Times New Roman" w:eastAsia="宋体" w:cs="宋体"/>
      <w:sz w:val="28"/>
      <w:szCs w:val="28"/>
      <w:lang w:val="zh-CN"/>
    </w:rPr>
  </w:style>
  <w:style w:type="paragraph" w:customStyle="1" w:styleId="467">
    <w:name w:val="目录2"/>
    <w:basedOn w:val="1"/>
    <w:qFormat/>
    <w:uiPriority w:val="0"/>
    <w:pPr>
      <w:autoSpaceDE w:val="0"/>
      <w:autoSpaceDN w:val="0"/>
      <w:adjustRightInd w:val="0"/>
      <w:ind w:left="473"/>
      <w:jc w:val="left"/>
    </w:pPr>
    <w:rPr>
      <w:rFonts w:ascii="Times New Roman" w:hAnsi="Times New Roman" w:eastAsia="宋体" w:cs="Times New Roman"/>
      <w:kern w:val="0"/>
      <w:szCs w:val="21"/>
    </w:rPr>
  </w:style>
  <w:style w:type="paragraph" w:customStyle="1" w:styleId="468">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469">
    <w:name w:val="表格正文"/>
    <w:basedOn w:val="1"/>
    <w:qFormat/>
    <w:uiPriority w:val="0"/>
    <w:pPr>
      <w:spacing w:before="100" w:beforeAutospacing="1" w:after="100" w:afterAutospacing="1" w:line="240" w:lineRule="atLeast"/>
    </w:pPr>
    <w:rPr>
      <w:rFonts w:ascii="Times New Roman" w:hAnsi="Times New Roman" w:eastAsia="楷体_GB2312" w:cs="Times New Roman"/>
      <w:sz w:val="24"/>
      <w:szCs w:val="24"/>
    </w:rPr>
  </w:style>
  <w:style w:type="paragraph" w:customStyle="1" w:styleId="470">
    <w:name w:val="段落格式 Char"/>
    <w:basedOn w:val="1"/>
    <w:qFormat/>
    <w:uiPriority w:val="0"/>
    <w:pPr>
      <w:tabs>
        <w:tab w:val="left" w:pos="360"/>
      </w:tabs>
      <w:spacing w:before="240" w:line="360" w:lineRule="auto"/>
      <w:ind w:left="360" w:firstLine="418"/>
    </w:pPr>
    <w:rPr>
      <w:rFonts w:ascii="Times New Roman" w:hAnsi="Times New Roman" w:eastAsia="宋体" w:cs="Times New Roman"/>
      <w:kern w:val="44"/>
      <w:sz w:val="24"/>
      <w:szCs w:val="24"/>
    </w:rPr>
  </w:style>
  <w:style w:type="paragraph" w:customStyle="1" w:styleId="471">
    <w:name w:val="xl61"/>
    <w:basedOn w:val="1"/>
    <w:qFormat/>
    <w:uiPriority w:val="0"/>
    <w:pPr>
      <w:widowControl/>
      <w:spacing w:before="100" w:beforeAutospacing="1" w:after="100" w:afterAutospacing="1"/>
      <w:jc w:val="left"/>
    </w:pPr>
    <w:rPr>
      <w:rFonts w:ascii="Arial Unicode MS" w:hAnsi="Arial Unicode MS" w:eastAsia="宋体" w:cs="Arial Unicode MS"/>
      <w:b/>
      <w:bCs/>
      <w:kern w:val="0"/>
      <w:sz w:val="24"/>
      <w:szCs w:val="24"/>
    </w:rPr>
  </w:style>
  <w:style w:type="paragraph" w:customStyle="1" w:styleId="472">
    <w:name w:val="注释"/>
    <w:basedOn w:val="1"/>
    <w:qFormat/>
    <w:uiPriority w:val="0"/>
    <w:pPr>
      <w:tabs>
        <w:tab w:val="left" w:pos="840"/>
      </w:tabs>
      <w:spacing w:after="100" w:afterAutospacing="1" w:line="360" w:lineRule="auto"/>
      <w:ind w:left="1440" w:hanging="360"/>
    </w:pPr>
    <w:rPr>
      <w:rFonts w:ascii="Times New Roman" w:hAnsi="Times New Roman" w:eastAsia="宋体" w:cs="Times New Roman"/>
      <w:sz w:val="18"/>
      <w:szCs w:val="18"/>
    </w:rPr>
  </w:style>
  <w:style w:type="paragraph" w:customStyle="1" w:styleId="473">
    <w:name w:val="p18"/>
    <w:basedOn w:val="1"/>
    <w:qFormat/>
    <w:uiPriority w:val="0"/>
    <w:pPr>
      <w:widowControl/>
      <w:spacing w:before="100" w:after="100"/>
      <w:jc w:val="left"/>
    </w:pPr>
    <w:rPr>
      <w:rFonts w:ascii="宋体" w:hAnsi="宋体" w:eastAsia="宋体" w:cs="宋体"/>
      <w:kern w:val="0"/>
      <w:sz w:val="24"/>
      <w:szCs w:val="24"/>
    </w:rPr>
  </w:style>
  <w:style w:type="paragraph" w:customStyle="1" w:styleId="474">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475">
    <w:name w:val="xl60"/>
    <w:basedOn w:val="1"/>
    <w:qFormat/>
    <w:uiPriority w:val="0"/>
    <w:pPr>
      <w:widowControl/>
      <w:spacing w:before="100" w:beforeAutospacing="1" w:after="100" w:afterAutospacing="1"/>
      <w:jc w:val="center"/>
    </w:pPr>
    <w:rPr>
      <w:rFonts w:ascii="Arial" w:hAnsi="Arial" w:eastAsia="宋体" w:cs="Arial"/>
      <w:kern w:val="0"/>
      <w:sz w:val="24"/>
      <w:szCs w:val="24"/>
    </w:rPr>
  </w:style>
  <w:style w:type="paragraph" w:customStyle="1" w:styleId="476">
    <w:name w:val="公司地址"/>
    <w:basedOn w:val="1"/>
    <w:qFormat/>
    <w:uiPriority w:val="0"/>
    <w:pPr>
      <w:spacing w:after="80"/>
      <w:jc w:val="center"/>
    </w:pPr>
    <w:rPr>
      <w:rFonts w:ascii="Times New Roman" w:hAnsi="Times New Roman" w:eastAsia="宋体" w:cs="Times New Roman"/>
      <w:sz w:val="18"/>
      <w:szCs w:val="18"/>
    </w:rPr>
  </w:style>
  <w:style w:type="paragraph" w:customStyle="1" w:styleId="477">
    <w:name w:val="xl73"/>
    <w:basedOn w:val="1"/>
    <w:qFormat/>
    <w:uiPriority w:val="0"/>
    <w:pPr>
      <w:widowControl/>
      <w:spacing w:before="100" w:beforeAutospacing="1" w:after="100" w:afterAutospacing="1"/>
      <w:jc w:val="left"/>
      <w:textAlignment w:val="center"/>
    </w:pPr>
    <w:rPr>
      <w:rFonts w:ascii="宋体" w:hAnsi="宋体" w:eastAsia="宋体" w:cs="宋体"/>
      <w:kern w:val="0"/>
      <w:sz w:val="20"/>
      <w:szCs w:val="20"/>
    </w:rPr>
  </w:style>
  <w:style w:type="paragraph" w:customStyle="1" w:styleId="478">
    <w:name w:val="style4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479">
    <w:name w:val="项目符号2"/>
    <w:basedOn w:val="1"/>
    <w:qFormat/>
    <w:uiPriority w:val="0"/>
    <w:pPr>
      <w:adjustRightInd w:val="0"/>
      <w:spacing w:line="360" w:lineRule="auto"/>
      <w:textAlignment w:val="baseline"/>
    </w:pPr>
    <w:rPr>
      <w:rFonts w:ascii="Times New Roman" w:hAnsi="Times New Roman" w:eastAsia="宋体" w:cs="Times New Roman"/>
      <w:kern w:val="24"/>
      <w:sz w:val="24"/>
      <w:szCs w:val="24"/>
    </w:rPr>
  </w:style>
  <w:style w:type="paragraph" w:customStyle="1" w:styleId="480">
    <w:name w:val="文档标题"/>
    <w:basedOn w:val="1"/>
    <w:qFormat/>
    <w:uiPriority w:val="0"/>
    <w:pPr>
      <w:tabs>
        <w:tab w:val="left" w:pos="0"/>
      </w:tabs>
      <w:autoSpaceDE w:val="0"/>
      <w:autoSpaceDN w:val="0"/>
      <w:adjustRightInd w:val="0"/>
      <w:spacing w:before="300" w:after="300"/>
      <w:jc w:val="center"/>
    </w:pPr>
    <w:rPr>
      <w:rFonts w:ascii="Arial" w:hAnsi="Arial" w:eastAsia="宋体" w:cs="Arial"/>
      <w:kern w:val="0"/>
      <w:sz w:val="30"/>
      <w:szCs w:val="30"/>
    </w:rPr>
  </w:style>
  <w:style w:type="paragraph" w:customStyle="1" w:styleId="481">
    <w:name w:val="xl5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Arial" w:hAnsi="Arial" w:eastAsia="宋体" w:cs="Arial"/>
      <w:kern w:val="0"/>
      <w:sz w:val="20"/>
      <w:szCs w:val="20"/>
    </w:rPr>
  </w:style>
  <w:style w:type="paragraph" w:customStyle="1" w:styleId="482">
    <w:name w:val="xl111"/>
    <w:basedOn w:val="1"/>
    <w:qFormat/>
    <w:uiPriority w:val="0"/>
    <w:pPr>
      <w:widowControl/>
      <w:spacing w:before="100" w:beforeAutospacing="1" w:after="100" w:afterAutospacing="1"/>
      <w:jc w:val="center"/>
      <w:textAlignment w:val="center"/>
    </w:pPr>
    <w:rPr>
      <w:rFonts w:ascii="宋体" w:hAnsi="宋体" w:eastAsia="宋体" w:cs="宋体"/>
      <w:b/>
      <w:bCs/>
      <w:kern w:val="0"/>
      <w:sz w:val="32"/>
      <w:szCs w:val="32"/>
    </w:rPr>
  </w:style>
  <w:style w:type="paragraph" w:customStyle="1" w:styleId="483">
    <w:name w:val="标题1"/>
    <w:basedOn w:val="1"/>
    <w:qFormat/>
    <w:uiPriority w:val="0"/>
    <w:pPr>
      <w:tabs>
        <w:tab w:val="left" w:pos="900"/>
      </w:tabs>
      <w:spacing w:line="360" w:lineRule="auto"/>
      <w:jc w:val="center"/>
    </w:pPr>
    <w:rPr>
      <w:rFonts w:ascii="Times New Roman" w:hAnsi="Times New Roman" w:eastAsia="黑体" w:cs="Times New Roman"/>
      <w:sz w:val="44"/>
      <w:szCs w:val="44"/>
    </w:rPr>
  </w:style>
  <w:style w:type="paragraph" w:customStyle="1" w:styleId="484">
    <w:name w:val="xl12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eastAsia="宋体" w:cs="宋体"/>
      <w:kern w:val="0"/>
      <w:sz w:val="24"/>
      <w:szCs w:val="24"/>
    </w:rPr>
  </w:style>
  <w:style w:type="paragraph" w:customStyle="1" w:styleId="485">
    <w:name w:val="xl72"/>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宋体" w:cs="Arial Unicode MS"/>
      <w:kern w:val="0"/>
      <w:sz w:val="24"/>
      <w:szCs w:val="24"/>
    </w:rPr>
  </w:style>
  <w:style w:type="paragraph" w:customStyle="1" w:styleId="486">
    <w:name w:val="xl6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eastAsia="宋体" w:cs="Times New Roman"/>
      <w:kern w:val="0"/>
      <w:sz w:val="22"/>
    </w:rPr>
  </w:style>
  <w:style w:type="paragraph" w:customStyle="1" w:styleId="487">
    <w:name w:val="标书正文（宋体）"/>
    <w:basedOn w:val="18"/>
    <w:qFormat/>
    <w:uiPriority w:val="0"/>
    <w:pPr>
      <w:autoSpaceDE w:val="0"/>
      <w:autoSpaceDN w:val="0"/>
      <w:spacing w:beforeLines="50" w:line="300" w:lineRule="auto"/>
      <w:ind w:left="686"/>
      <w:jc w:val="left"/>
    </w:pPr>
    <w:rPr>
      <w:sz w:val="24"/>
      <w:szCs w:val="24"/>
    </w:rPr>
  </w:style>
  <w:style w:type="paragraph" w:customStyle="1" w:styleId="488">
    <w:name w:val="附录"/>
    <w:basedOn w:val="1"/>
    <w:next w:val="18"/>
    <w:qFormat/>
    <w:uiPriority w:val="0"/>
    <w:pPr>
      <w:spacing w:before="320" w:after="200"/>
    </w:pPr>
    <w:rPr>
      <w:rFonts w:ascii="Arial Narrow" w:hAnsi="Arial Narrow" w:eastAsia="华文新魏" w:cs="Arial Narrow"/>
      <w:b/>
      <w:bCs/>
      <w:sz w:val="32"/>
      <w:szCs w:val="32"/>
    </w:rPr>
  </w:style>
  <w:style w:type="paragraph" w:customStyle="1" w:styleId="489">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4"/>
      <w:szCs w:val="24"/>
    </w:rPr>
  </w:style>
  <w:style w:type="paragraph" w:customStyle="1" w:styleId="490">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491">
    <w:name w:val="标题3"/>
    <w:basedOn w:val="4"/>
    <w:next w:val="1"/>
    <w:qFormat/>
    <w:uiPriority w:val="0"/>
    <w:pPr>
      <w:tabs>
        <w:tab w:val="left" w:pos="840"/>
      </w:tabs>
      <w:spacing w:before="0" w:after="120" w:line="480" w:lineRule="auto"/>
      <w:ind w:left="840" w:hanging="420"/>
    </w:pPr>
    <w:rPr>
      <w:rFonts w:eastAsia="黑体"/>
      <w:sz w:val="24"/>
      <w:szCs w:val="24"/>
    </w:rPr>
  </w:style>
  <w:style w:type="paragraph" w:customStyle="1" w:styleId="492">
    <w:name w:val="È¡ÀÊ¡ÎÄ¡À¾"/>
    <w:basedOn w:val="1"/>
    <w:qFormat/>
    <w:uiPriority w:val="0"/>
    <w:pPr>
      <w:widowControl/>
      <w:overflowPunct w:val="0"/>
      <w:autoSpaceDE w:val="0"/>
      <w:autoSpaceDN w:val="0"/>
      <w:adjustRightInd w:val="0"/>
      <w:spacing w:line="360" w:lineRule="auto"/>
      <w:textAlignment w:val="baseline"/>
    </w:pPr>
    <w:rPr>
      <w:rFonts w:ascii="Times New Roman" w:hAnsi="Times New Roman" w:eastAsia="宋体" w:cs="Times New Roman"/>
      <w:kern w:val="0"/>
      <w:szCs w:val="21"/>
    </w:rPr>
  </w:style>
  <w:style w:type="paragraph" w:customStyle="1" w:styleId="493">
    <w:name w:val="xl108"/>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eastAsia="宋体" w:cs="宋体"/>
      <w:kern w:val="0"/>
      <w:sz w:val="24"/>
      <w:szCs w:val="24"/>
    </w:rPr>
  </w:style>
  <w:style w:type="paragraph" w:customStyle="1" w:styleId="494">
    <w:name w:val="标书正文格式 Char Char Char Char"/>
    <w:qFormat/>
    <w:uiPriority w:val="0"/>
    <w:pPr>
      <w:spacing w:line="360" w:lineRule="auto"/>
      <w:ind w:firstLine="200" w:firstLineChars="200"/>
    </w:pPr>
    <w:rPr>
      <w:rFonts w:ascii="Times New Roman" w:hAnsi="Times New Roman" w:eastAsia="仿宋_GB2312" w:cs="Times New Roman"/>
      <w:kern w:val="2"/>
      <w:sz w:val="30"/>
      <w:szCs w:val="30"/>
      <w:lang w:val="en-US" w:eastAsia="zh-CN" w:bidi="ar-SA"/>
    </w:rPr>
  </w:style>
  <w:style w:type="paragraph" w:customStyle="1" w:styleId="495">
    <w:name w:val="目录页编号文本样式"/>
    <w:basedOn w:val="1"/>
    <w:qFormat/>
    <w:uiPriority w:val="0"/>
    <w:pPr>
      <w:autoSpaceDE w:val="0"/>
      <w:autoSpaceDN w:val="0"/>
      <w:adjustRightInd w:val="0"/>
      <w:jc w:val="right"/>
    </w:pPr>
    <w:rPr>
      <w:rFonts w:ascii="Times New Roman" w:hAnsi="Times New Roman" w:eastAsia="宋体" w:cs="Times New Roman"/>
      <w:kern w:val="0"/>
      <w:szCs w:val="21"/>
    </w:rPr>
  </w:style>
  <w:style w:type="paragraph" w:customStyle="1" w:styleId="496">
    <w:name w:val="正文2"/>
    <w:basedOn w:val="1"/>
    <w:qFormat/>
    <w:uiPriority w:val="0"/>
    <w:pPr>
      <w:spacing w:before="156" w:line="360" w:lineRule="auto"/>
      <w:ind w:firstLine="510" w:firstLineChars="200"/>
    </w:pPr>
    <w:rPr>
      <w:rFonts w:ascii="Times New Roman" w:hAnsi="Times New Roman" w:eastAsia="宋体" w:cs="Times New Roman"/>
      <w:sz w:val="24"/>
      <w:szCs w:val="24"/>
    </w:rPr>
  </w:style>
  <w:style w:type="paragraph" w:customStyle="1" w:styleId="497">
    <w:name w:val="xl97"/>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498">
    <w:name w:val="xl99"/>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0"/>
      <w:szCs w:val="20"/>
    </w:rPr>
  </w:style>
  <w:style w:type="paragraph" w:customStyle="1" w:styleId="499">
    <w:name w:val="Table Paragraph"/>
    <w:basedOn w:val="1"/>
    <w:qFormat/>
    <w:uiPriority w:val="0"/>
    <w:rPr>
      <w:rFonts w:ascii="宋体" w:hAnsi="宋体" w:eastAsia="宋体" w:cs="宋体"/>
      <w:szCs w:val="21"/>
      <w:lang w:val="zh-CN"/>
    </w:rPr>
  </w:style>
  <w:style w:type="table" w:customStyle="1" w:styleId="500">
    <w:name w:val="网格型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501">
    <w:name w:val="BodyText1I2"/>
    <w:basedOn w:val="1"/>
    <w:qFormat/>
    <w:uiPriority w:val="0"/>
    <w:pPr>
      <w:ind w:firstLine="420" w:firstLineChars="200"/>
      <w:textAlignment w:val="baseline"/>
    </w:pPr>
    <w:rPr>
      <w:rFonts w:ascii="仿宋_GB2312" w:hAnsi="Calibri" w:eastAsia="仿宋_GB2312" w:cs="Times New Roman"/>
      <w:sz w:val="32"/>
      <w:szCs w:val="24"/>
    </w:rPr>
  </w:style>
  <w:style w:type="character" w:customStyle="1" w:styleId="502">
    <w:name w:val="bookmark-item"/>
    <w:basedOn w:val="65"/>
    <w:qFormat/>
    <w:uiPriority w:val="0"/>
  </w:style>
  <w:style w:type="paragraph" w:customStyle="1" w:styleId="503">
    <w:name w:val="A表格A"/>
    <w:basedOn w:val="1"/>
    <w:next w:val="1"/>
    <w:qFormat/>
    <w:uiPriority w:val="0"/>
    <w:pPr>
      <w:widowControl/>
      <w:adjustRightInd w:val="0"/>
      <w:snapToGrid w:val="0"/>
      <w:spacing w:line="360" w:lineRule="auto"/>
      <w:ind w:firstLine="480" w:firstLineChars="200"/>
      <w:jc w:val="center"/>
    </w:pPr>
    <w:rPr>
      <w:sz w:val="24"/>
      <w:szCs w:val="24"/>
    </w:rPr>
  </w:style>
  <w:style w:type="paragraph" w:customStyle="1" w:styleId="504">
    <w:name w:val="Body Text First Indent1"/>
    <w:basedOn w:val="26"/>
    <w:qFormat/>
    <w:uiPriority w:val="0"/>
    <w:pPr>
      <w:spacing w:after="0"/>
      <w:ind w:firstLine="100" w:firstLineChars="100"/>
    </w:pPr>
    <w:rPr>
      <w:rFonts w:ascii="Tahoma" w:hAnsi="Tahoma"/>
      <w:kern w:val="2"/>
      <w:sz w:val="21"/>
      <w:szCs w:val="24"/>
    </w:rPr>
  </w:style>
  <w:style w:type="character" w:customStyle="1" w:styleId="505">
    <w:name w:val="NormalCharacter"/>
    <w:qFormat/>
    <w:uiPriority w:val="0"/>
    <w:rPr>
      <w:rFonts w:ascii="Calibri" w:hAnsi="Calibri" w:eastAsia="宋体"/>
    </w:rPr>
  </w:style>
  <w:style w:type="character" w:customStyle="1" w:styleId="506">
    <w:name w:val="*正文 Char"/>
    <w:link w:val="507"/>
    <w:qFormat/>
    <w:uiPriority w:val="0"/>
    <w:rPr>
      <w:rFonts w:ascii="Calibri" w:hAnsi="Calibri"/>
      <w:sz w:val="24"/>
      <w:szCs w:val="24"/>
    </w:rPr>
  </w:style>
  <w:style w:type="paragraph" w:customStyle="1" w:styleId="507">
    <w:name w:val="*正文"/>
    <w:basedOn w:val="1"/>
    <w:link w:val="506"/>
    <w:qFormat/>
    <w:uiPriority w:val="0"/>
    <w:pPr>
      <w:spacing w:line="360" w:lineRule="auto"/>
      <w:ind w:firstLine="200" w:firstLineChars="200"/>
    </w:pPr>
    <w:rPr>
      <w:rFonts w:ascii="Calibri" w:hAnsi="Calibri" w:eastAsia="宋体" w:cs="Times New Roman"/>
      <w:kern w:val="0"/>
      <w:sz w:val="24"/>
      <w:szCs w:val="24"/>
    </w:rPr>
  </w:style>
  <w:style w:type="paragraph" w:customStyle="1" w:styleId="508">
    <w:name w:val="paragraph"/>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09">
    <w:name w:val="修订2"/>
    <w:hidden/>
    <w:unhideWhenUsed/>
    <w:qFormat/>
    <w:uiPriority w:val="99"/>
    <w:rPr>
      <w:rFonts w:asciiTheme="minorHAnsi" w:hAnsiTheme="minorHAnsi" w:eastAsiaTheme="minorEastAsia" w:cstheme="minorBidi"/>
      <w:kern w:val="2"/>
      <w:sz w:val="21"/>
      <w:szCs w:val="22"/>
      <w:lang w:val="en-US" w:eastAsia="zh-CN" w:bidi="ar-SA"/>
    </w:rPr>
  </w:style>
  <w:style w:type="paragraph" w:customStyle="1" w:styleId="510">
    <w:name w:val="样式 正文文本缩进 + 首行缩进:  2 字符 行距: 1.5 倍行距"/>
    <w:qFormat/>
    <w:uiPriority w:val="0"/>
    <w:pPr>
      <w:spacing w:before="156" w:after="120" w:line="500" w:lineRule="exact"/>
      <w:ind w:firstLine="645"/>
      <w:jc w:val="both"/>
    </w:pPr>
    <w:rPr>
      <w:rFonts w:ascii="Calibri" w:hAnsi="Calibri" w:eastAsia="宋体" w:cs="宋体"/>
      <w:sz w:val="28"/>
      <w:lang w:val="en-US" w:eastAsia="zh-CN" w:bidi="ar-SA"/>
    </w:rPr>
  </w:style>
  <w:style w:type="character" w:customStyle="1" w:styleId="511">
    <w:name w:val="列出段落 Char"/>
    <w:link w:val="336"/>
    <w:qFormat/>
    <w:uiPriority w:val="34"/>
    <w:rPr>
      <w:kern w:val="2"/>
      <w:sz w:val="21"/>
      <w:szCs w:val="21"/>
    </w:rPr>
  </w:style>
  <w:style w:type="paragraph" w:customStyle="1" w:styleId="512">
    <w:name w:val="首行缩进"/>
    <w:basedOn w:val="1"/>
    <w:qFormat/>
    <w:uiPriority w:val="0"/>
    <w:pPr>
      <w:ind w:firstLine="480" w:firstLineChars="200"/>
    </w:pPr>
    <w:rPr>
      <w:rFonts w:ascii="Calibri" w:hAnsi="Calibri" w:eastAsia="宋体" w:cs="Times New Roman"/>
      <w:szCs w:val="24"/>
      <w:lang w:val="zh-CN"/>
    </w:rPr>
  </w:style>
  <w:style w:type="paragraph" w:customStyle="1" w:styleId="513">
    <w:name w:val="_Style 3"/>
    <w:unhideWhenUsed/>
    <w:qFormat/>
    <w:uiPriority w:val="99"/>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C2B466B0-BE6D-490D-B92B-C4C54014629E}">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49</Pages>
  <Words>25525</Words>
  <Characters>27698</Characters>
  <Lines>205</Lines>
  <Paragraphs>57</Paragraphs>
  <TotalTime>15</TotalTime>
  <ScaleCrop>false</ScaleCrop>
  <LinksUpToDate>false</LinksUpToDate>
  <CharactersWithSpaces>28091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2022-01-06T17:24:00Z</dcterms:created>
  <dc:creator>NTKO</dc:creator>
  <cp:lastModifiedBy>NTKO</cp:lastModifiedBy>
  <dcterms:modified xsi:type="dcterms:W3CDTF">2024-09-27T08:19:52Z</dcterms:modified>
  <cp:revision>367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4D9A66D86D9842B2968501FBA9308826_13</vt:lpwstr>
  </property>
  <property fmtid="{D5CDD505-2E9C-101B-9397-08002B2CF9AE}" pid="4" name="woTemplateTypoMode" linkTarget="0">
    <vt:lpwstr>web</vt:lpwstr>
  </property>
  <property fmtid="{D5CDD505-2E9C-101B-9397-08002B2CF9AE}" pid="5" name="woTemplate" linkTarget="0">
    <vt:i4>1</vt:i4>
  </property>
</Properties>
</file>