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D1EB11">
      <w:pPr>
        <w:widowControl/>
        <w:adjustRightInd w:val="0"/>
        <w:jc w:val="center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统计基本单位名录库管理工作服务采购</w:t>
      </w:r>
    </w:p>
    <w:p w14:paraId="2FBE342D">
      <w:pPr>
        <w:widowControl/>
        <w:adjustRightInd w:val="0"/>
        <w:jc w:val="center"/>
        <w:rPr>
          <w:b/>
          <w:bCs/>
          <w:color w:val="auto"/>
          <w:sz w:val="28"/>
          <w:szCs w:val="28"/>
        </w:rPr>
      </w:pPr>
      <w:r>
        <w:rPr>
          <w:rFonts w:hint="eastAsia" w:ascii="宋体" w:hAnsi="宋体" w:cs="宋体"/>
          <w:color w:val="auto"/>
          <w:sz w:val="28"/>
          <w:szCs w:val="28"/>
        </w:rPr>
        <w:t>竞争性谈判公告</w:t>
      </w:r>
    </w:p>
    <w:p w14:paraId="4D98BB57">
      <w:pPr>
        <w:widowControl/>
        <w:adjustRightInd w:val="0"/>
        <w:spacing w:line="400" w:lineRule="exact"/>
        <w:ind w:firstLine="560"/>
        <w:jc w:val="left"/>
        <w:rPr>
          <w:rFonts w:cs="宋体"/>
          <w:color w:val="auto"/>
          <w:kern w:val="0"/>
          <w:sz w:val="24"/>
        </w:rPr>
      </w:pPr>
    </w:p>
    <w:p w14:paraId="20D37641">
      <w:pPr>
        <w:widowControl/>
        <w:adjustRightInd w:val="0"/>
        <w:spacing w:line="400" w:lineRule="exact"/>
        <w:ind w:firstLine="560"/>
        <w:jc w:val="left"/>
        <w:rPr>
          <w:rFonts w:cs="宋体"/>
          <w:color w:val="auto"/>
          <w:kern w:val="0"/>
          <w:sz w:val="24"/>
        </w:rPr>
      </w:pPr>
      <w:r>
        <w:rPr>
          <w:rFonts w:hint="eastAsia" w:cs="宋体"/>
          <w:color w:val="auto"/>
          <w:kern w:val="0"/>
          <w:sz w:val="24"/>
        </w:rPr>
        <w:t>根据我</w:t>
      </w:r>
      <w:r>
        <w:rPr>
          <w:rFonts w:hint="eastAsia" w:cs="宋体"/>
          <w:color w:val="auto"/>
          <w:kern w:val="0"/>
          <w:sz w:val="24"/>
          <w:lang w:val="en-US" w:eastAsia="zh-CN"/>
        </w:rPr>
        <w:t>街道</w:t>
      </w:r>
      <w:r>
        <w:rPr>
          <w:rFonts w:hint="eastAsia" w:cs="宋体"/>
          <w:color w:val="auto"/>
          <w:kern w:val="0"/>
          <w:sz w:val="24"/>
        </w:rPr>
        <w:t>需求，拟以综合评分方式选择一家</w:t>
      </w:r>
      <w:r>
        <w:rPr>
          <w:rFonts w:hint="eastAsia" w:ascii="Times New Roman" w:hAnsi="Times New Roman" w:cs="宋体"/>
          <w:color w:val="auto"/>
          <w:kern w:val="0"/>
          <w:sz w:val="24"/>
          <w:szCs w:val="24"/>
          <w:lang w:val="en-US" w:eastAsia="zh-CN"/>
        </w:rPr>
        <w:t>关于</w:t>
      </w:r>
      <w:r>
        <w:rPr>
          <w:rFonts w:hint="eastAsia" w:cs="宋体"/>
          <w:color w:val="auto"/>
          <w:kern w:val="0"/>
          <w:sz w:val="24"/>
          <w:szCs w:val="24"/>
          <w:lang w:val="en-US" w:eastAsia="zh-CN"/>
        </w:rPr>
        <w:t>统计基本单位名录库管理工作服务采购</w:t>
      </w:r>
      <w:r>
        <w:rPr>
          <w:rFonts w:hint="eastAsia" w:cs="宋体"/>
          <w:color w:val="auto"/>
          <w:kern w:val="0"/>
          <w:sz w:val="24"/>
        </w:rPr>
        <w:t>的服务单位，请有意向参与的公司投标。</w:t>
      </w:r>
    </w:p>
    <w:p w14:paraId="7C054DEE">
      <w:pPr>
        <w:widowControl/>
        <w:adjustRightInd w:val="0"/>
        <w:spacing w:line="400" w:lineRule="exact"/>
        <w:jc w:val="left"/>
        <w:rPr>
          <w:rFonts w:cs="宋体"/>
          <w:b/>
          <w:color w:val="auto"/>
          <w:kern w:val="0"/>
          <w:sz w:val="24"/>
        </w:rPr>
      </w:pPr>
      <w:r>
        <w:rPr>
          <w:rFonts w:hint="eastAsia" w:cs="宋体"/>
          <w:b/>
          <w:color w:val="auto"/>
          <w:kern w:val="0"/>
          <w:sz w:val="24"/>
        </w:rPr>
        <w:t>一、项目简介</w:t>
      </w:r>
      <w:bookmarkStart w:id="0" w:name="_GoBack"/>
      <w:bookmarkEnd w:id="0"/>
    </w:p>
    <w:p w14:paraId="0E8080A1">
      <w:pPr>
        <w:widowControl/>
        <w:adjustRightInd w:val="0"/>
        <w:spacing w:line="400" w:lineRule="exact"/>
        <w:ind w:firstLine="560"/>
        <w:jc w:val="left"/>
        <w:rPr>
          <w:rFonts w:hint="eastAsia" w:eastAsia="宋体" w:cs="宋体"/>
          <w:color w:val="auto"/>
          <w:kern w:val="0"/>
          <w:sz w:val="24"/>
          <w:lang w:val="en-US" w:eastAsia="zh-CN"/>
        </w:rPr>
      </w:pPr>
      <w:r>
        <w:rPr>
          <w:rFonts w:hint="eastAsia" w:cs="宋体"/>
          <w:color w:val="auto"/>
          <w:kern w:val="0"/>
          <w:sz w:val="24"/>
        </w:rPr>
        <w:t>1.项目名称：</w:t>
      </w:r>
      <w:r>
        <w:rPr>
          <w:rFonts w:hint="eastAsia" w:cs="宋体"/>
          <w:color w:val="auto"/>
          <w:kern w:val="0"/>
          <w:sz w:val="24"/>
          <w:szCs w:val="24"/>
          <w:lang w:val="en-US" w:eastAsia="zh-CN"/>
        </w:rPr>
        <w:t>统计基本单位名录库管理工作服务采购</w:t>
      </w:r>
      <w:r>
        <w:rPr>
          <w:rFonts w:hint="eastAsia" w:cs="宋体"/>
          <w:color w:val="auto"/>
          <w:kern w:val="0"/>
          <w:sz w:val="24"/>
          <w:szCs w:val="24"/>
          <w:lang w:eastAsia="zh-CN"/>
        </w:rPr>
        <w:t>。</w:t>
      </w:r>
    </w:p>
    <w:p w14:paraId="529A4365">
      <w:pPr>
        <w:widowControl/>
        <w:adjustRightInd w:val="0"/>
        <w:spacing w:line="400" w:lineRule="exact"/>
        <w:ind w:firstLine="560"/>
        <w:jc w:val="left"/>
        <w:rPr>
          <w:rFonts w:hint="eastAsia" w:eastAsia="宋体" w:cs="宋体"/>
          <w:color w:val="auto"/>
          <w:kern w:val="0"/>
          <w:sz w:val="24"/>
          <w:lang w:eastAsia="zh-CN"/>
        </w:rPr>
      </w:pPr>
      <w:r>
        <w:rPr>
          <w:rFonts w:hint="eastAsia" w:cs="宋体"/>
          <w:color w:val="auto"/>
          <w:kern w:val="0"/>
          <w:sz w:val="24"/>
        </w:rPr>
        <w:t>2.项目编号：</w:t>
      </w:r>
      <w:r>
        <w:rPr>
          <w:rFonts w:hint="eastAsia" w:cs="宋体"/>
          <w:color w:val="auto"/>
          <w:kern w:val="0"/>
          <w:sz w:val="24"/>
          <w:lang w:val="en-US" w:eastAsia="zh-CN"/>
        </w:rPr>
        <w:t>ZJDL-2024-QT-012</w:t>
      </w:r>
    </w:p>
    <w:p w14:paraId="4D59593B">
      <w:pPr>
        <w:widowControl/>
        <w:adjustRightInd w:val="0"/>
        <w:spacing w:line="400" w:lineRule="exact"/>
        <w:ind w:firstLine="560"/>
        <w:jc w:val="left"/>
        <w:rPr>
          <w:rFonts w:hint="default" w:eastAsia="宋体" w:cs="宋体"/>
          <w:color w:val="auto"/>
          <w:kern w:val="0"/>
          <w:sz w:val="24"/>
          <w:lang w:val="en-US" w:eastAsia="zh-CN"/>
        </w:rPr>
      </w:pPr>
      <w:r>
        <w:rPr>
          <w:rFonts w:hint="eastAsia" w:cs="宋体"/>
          <w:color w:val="auto"/>
          <w:kern w:val="0"/>
          <w:sz w:val="24"/>
        </w:rPr>
        <w:t>3.项目限价：</w:t>
      </w:r>
      <w:r>
        <w:rPr>
          <w:rFonts w:hint="eastAsia" w:cs="宋体"/>
          <w:color w:val="FF0000"/>
          <w:kern w:val="0"/>
          <w:sz w:val="24"/>
          <w:lang w:val="en-US" w:eastAsia="zh-CN"/>
        </w:rPr>
        <w:t>最高不得超过33万元</w:t>
      </w:r>
      <w:r>
        <w:rPr>
          <w:rFonts w:hint="eastAsia" w:cs="宋体"/>
          <w:color w:val="auto"/>
          <w:kern w:val="0"/>
          <w:sz w:val="24"/>
          <w:lang w:val="en-US" w:eastAsia="zh-CN"/>
        </w:rPr>
        <w:t>，本项目报价为响应报价，高于上述限价作无效标处理。</w:t>
      </w:r>
    </w:p>
    <w:p w14:paraId="5EB0E119">
      <w:pPr>
        <w:widowControl/>
        <w:adjustRightInd w:val="0"/>
        <w:spacing w:line="400" w:lineRule="exact"/>
        <w:ind w:firstLine="0"/>
        <w:jc w:val="left"/>
        <w:rPr>
          <w:rFonts w:cs="宋体"/>
          <w:color w:val="auto"/>
          <w:kern w:val="0"/>
          <w:sz w:val="24"/>
        </w:rPr>
      </w:pPr>
      <w:r>
        <w:rPr>
          <w:rFonts w:hint="eastAsia" w:cs="宋体"/>
          <w:i w:val="0"/>
          <w:caps w:val="0"/>
          <w:color w:val="auto"/>
          <w:spacing w:val="0"/>
          <w:kern w:val="0"/>
          <w:sz w:val="24"/>
          <w:szCs w:val="24"/>
          <w:shd w:val="clear"/>
          <w:lang w:val="en-US" w:eastAsia="zh-CN"/>
        </w:rPr>
        <w:t xml:space="preserve">    </w:t>
      </w:r>
      <w:r>
        <w:rPr>
          <w:rFonts w:hint="eastAsia" w:cs="宋体"/>
          <w:color w:val="auto"/>
          <w:kern w:val="0"/>
          <w:sz w:val="24"/>
        </w:rPr>
        <w:t>4.采购内容 “</w:t>
      </w:r>
      <w:r>
        <w:rPr>
          <w:rFonts w:hint="eastAsia" w:cs="宋体"/>
          <w:color w:val="auto"/>
          <w:kern w:val="0"/>
          <w:sz w:val="24"/>
          <w:szCs w:val="24"/>
          <w:lang w:val="en-US" w:eastAsia="zh-CN"/>
        </w:rPr>
        <w:t>统计基本单位名录库管理工作服务采购</w:t>
      </w:r>
      <w:r>
        <w:rPr>
          <w:rFonts w:hint="eastAsia" w:cs="宋体"/>
          <w:color w:val="auto"/>
          <w:kern w:val="0"/>
          <w:sz w:val="24"/>
        </w:rPr>
        <w:t>，具体内容及主要要求等详见 “采购需求”。</w:t>
      </w:r>
    </w:p>
    <w:p w14:paraId="6140C2EF">
      <w:pPr>
        <w:widowControl/>
        <w:adjustRightInd w:val="0"/>
        <w:spacing w:line="400" w:lineRule="exact"/>
        <w:jc w:val="left"/>
        <w:rPr>
          <w:rFonts w:cs="宋体"/>
          <w:b/>
          <w:color w:val="auto"/>
          <w:kern w:val="0"/>
          <w:sz w:val="24"/>
        </w:rPr>
      </w:pPr>
      <w:r>
        <w:rPr>
          <w:rFonts w:hint="eastAsia" w:cs="宋体"/>
          <w:b/>
          <w:color w:val="auto"/>
          <w:kern w:val="0"/>
          <w:sz w:val="24"/>
        </w:rPr>
        <w:t>二、供应商资格要求</w:t>
      </w:r>
    </w:p>
    <w:p w14:paraId="620E3A00">
      <w:pPr>
        <w:widowControl/>
        <w:adjustRightInd w:val="0"/>
        <w:spacing w:line="400" w:lineRule="exact"/>
        <w:ind w:firstLine="560"/>
        <w:jc w:val="left"/>
        <w:rPr>
          <w:rFonts w:hint="eastAsia" w:cs="宋体"/>
          <w:color w:val="auto"/>
          <w:kern w:val="0"/>
          <w:sz w:val="24"/>
        </w:rPr>
      </w:pPr>
      <w:r>
        <w:rPr>
          <w:rFonts w:hint="eastAsia" w:cs="宋体"/>
          <w:color w:val="auto"/>
          <w:kern w:val="0"/>
          <w:sz w:val="24"/>
        </w:rPr>
        <w:t>1</w:t>
      </w:r>
      <w:r>
        <w:rPr>
          <w:rFonts w:hint="eastAsia" w:cs="宋体"/>
          <w:color w:val="auto"/>
          <w:kern w:val="0"/>
          <w:sz w:val="24"/>
          <w:lang w:eastAsia="zh-CN"/>
        </w:rPr>
        <w:t>、</w:t>
      </w:r>
      <w:r>
        <w:rPr>
          <w:rFonts w:hint="eastAsia" w:cs="宋体"/>
          <w:color w:val="auto"/>
          <w:kern w:val="0"/>
          <w:sz w:val="24"/>
        </w:rPr>
        <w:t>具备《中华人民共和国政府采购法》第二十二条规定的条件；</w:t>
      </w:r>
    </w:p>
    <w:p w14:paraId="6064E22A">
      <w:pPr>
        <w:widowControl/>
        <w:adjustRightInd w:val="0"/>
        <w:spacing w:line="400" w:lineRule="exact"/>
        <w:ind w:firstLine="560"/>
        <w:jc w:val="left"/>
        <w:rPr>
          <w:rFonts w:hint="eastAsia" w:ascii="Times New Roman" w:hAnsi="Times New Roman" w:eastAsia="宋体" w:cs="宋体"/>
          <w:color w:val="auto"/>
          <w:kern w:val="0"/>
          <w:sz w:val="24"/>
          <w:lang w:val="en-US" w:eastAsia="zh-CN"/>
        </w:rPr>
      </w:pPr>
      <w:r>
        <w:rPr>
          <w:rFonts w:hint="eastAsia" w:ascii="Times New Roman" w:hAnsi="Times New Roman" w:cs="宋体"/>
          <w:color w:val="auto"/>
          <w:kern w:val="0"/>
          <w:sz w:val="24"/>
          <w:lang w:val="en-US" w:eastAsia="zh-CN"/>
        </w:rPr>
        <w:t>2、</w:t>
      </w:r>
      <w:r>
        <w:rPr>
          <w:rFonts w:hint="eastAsia" w:ascii="Times New Roman" w:hAnsi="Times New Roman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</w:rPr>
        <w:t>未被“信用中国”（www.creditchina.gov.cn）、中国政府采购网（www.ccgp.gov.cn）列入失信被执行人、重大税收违法案件当事人名单、政府采购严重违法失信行为记录名单；</w:t>
      </w:r>
    </w:p>
    <w:p w14:paraId="3F65FB66">
      <w:pPr>
        <w:widowControl/>
        <w:adjustRightInd w:val="0"/>
        <w:spacing w:line="400" w:lineRule="exact"/>
        <w:ind w:firstLine="480" w:firstLineChars="200"/>
        <w:jc w:val="left"/>
        <w:rPr>
          <w:rFonts w:hint="eastAsia" w:ascii="Times New Roman" w:hAnsi="Times New Roman" w:eastAsia="宋体" w:cs="宋体"/>
          <w:i w:val="0"/>
          <w:color w:val="auto"/>
          <w:kern w:val="0"/>
          <w:sz w:val="24"/>
          <w:lang w:val="en-US" w:eastAsia="zh-CN"/>
        </w:rPr>
      </w:pPr>
      <w:r>
        <w:rPr>
          <w:rFonts w:hint="eastAsia" w:cs="宋体"/>
          <w:color w:val="auto"/>
          <w:kern w:val="0"/>
          <w:sz w:val="24"/>
          <w:lang w:val="en-US" w:eastAsia="zh-CN"/>
        </w:rPr>
        <w:t>3、</w:t>
      </w:r>
      <w:r>
        <w:rPr>
          <w:rFonts w:hint="eastAsia" w:ascii="Times New Roman" w:hAnsi="Times New Roman" w:eastAsia="宋体" w:cs="宋体"/>
          <w:b w:val="0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</w:rPr>
        <w:t>本项目不接受联合体投标。</w:t>
      </w:r>
    </w:p>
    <w:p w14:paraId="204068C6">
      <w:pPr>
        <w:widowControl/>
        <w:adjustRightInd w:val="0"/>
        <w:spacing w:line="400" w:lineRule="exact"/>
        <w:jc w:val="left"/>
        <w:rPr>
          <w:rFonts w:cs="宋体"/>
          <w:b/>
          <w:color w:val="auto"/>
          <w:kern w:val="0"/>
          <w:sz w:val="24"/>
        </w:rPr>
      </w:pPr>
      <w:r>
        <w:rPr>
          <w:rFonts w:hint="eastAsia" w:cs="宋体"/>
          <w:b/>
          <w:color w:val="auto"/>
          <w:kern w:val="0"/>
          <w:sz w:val="24"/>
        </w:rPr>
        <w:t>三、评标办法：综合评分法，综合得分最高的为中标候选人。</w:t>
      </w:r>
    </w:p>
    <w:p w14:paraId="048BFFF9">
      <w:pPr>
        <w:widowControl/>
        <w:adjustRightInd w:val="0"/>
        <w:spacing w:line="400" w:lineRule="exact"/>
        <w:jc w:val="left"/>
        <w:rPr>
          <w:rFonts w:cs="宋体"/>
          <w:b/>
          <w:color w:val="auto"/>
          <w:kern w:val="0"/>
          <w:sz w:val="24"/>
        </w:rPr>
      </w:pPr>
      <w:r>
        <w:rPr>
          <w:rFonts w:hint="eastAsia" w:cs="宋体"/>
          <w:b/>
          <w:color w:val="auto"/>
          <w:kern w:val="0"/>
          <w:sz w:val="24"/>
        </w:rPr>
        <w:t>评分细则如下：</w:t>
      </w:r>
    </w:p>
    <w:tbl>
      <w:tblPr>
        <w:tblStyle w:val="11"/>
        <w:tblW w:w="89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5820"/>
        <w:gridCol w:w="1095"/>
        <w:gridCol w:w="1075"/>
      </w:tblGrid>
      <w:tr w14:paraId="4C6E08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6" w:type="dxa"/>
          </w:tcPr>
          <w:p w14:paraId="41696FBF">
            <w:pPr>
              <w:widowControl/>
              <w:adjustRightInd w:val="0"/>
              <w:spacing w:line="400" w:lineRule="exact"/>
              <w:jc w:val="left"/>
              <w:rPr>
                <w:rFonts w:cs="宋体"/>
                <w:b/>
                <w:color w:val="auto"/>
                <w:kern w:val="0"/>
                <w:sz w:val="24"/>
              </w:rPr>
            </w:pPr>
            <w:r>
              <w:rPr>
                <w:rFonts w:hint="eastAsia" w:cs="宋体"/>
                <w:b/>
                <w:color w:val="auto"/>
                <w:kern w:val="0"/>
                <w:sz w:val="24"/>
              </w:rPr>
              <w:t>序号</w:t>
            </w:r>
          </w:p>
        </w:tc>
        <w:tc>
          <w:tcPr>
            <w:tcW w:w="5820" w:type="dxa"/>
          </w:tcPr>
          <w:p w14:paraId="13F9420C">
            <w:pPr>
              <w:widowControl/>
              <w:adjustRightInd w:val="0"/>
              <w:spacing w:line="400" w:lineRule="exact"/>
              <w:jc w:val="left"/>
              <w:rPr>
                <w:rFonts w:cs="宋体"/>
                <w:b/>
                <w:color w:val="auto"/>
                <w:kern w:val="0"/>
                <w:sz w:val="24"/>
              </w:rPr>
            </w:pPr>
            <w:r>
              <w:rPr>
                <w:rFonts w:hint="eastAsia" w:cs="宋体"/>
                <w:b/>
                <w:color w:val="auto"/>
                <w:kern w:val="0"/>
                <w:sz w:val="24"/>
              </w:rPr>
              <w:t>评分内容</w:t>
            </w:r>
          </w:p>
        </w:tc>
        <w:tc>
          <w:tcPr>
            <w:tcW w:w="1095" w:type="dxa"/>
          </w:tcPr>
          <w:p w14:paraId="75CE3C9B">
            <w:pPr>
              <w:widowControl/>
              <w:adjustRightInd w:val="0"/>
              <w:spacing w:line="400" w:lineRule="exact"/>
              <w:jc w:val="left"/>
              <w:rPr>
                <w:rFonts w:cs="宋体"/>
                <w:b/>
                <w:color w:val="auto"/>
                <w:kern w:val="0"/>
                <w:sz w:val="24"/>
              </w:rPr>
            </w:pPr>
            <w:r>
              <w:rPr>
                <w:rFonts w:hint="eastAsia" w:cs="宋体"/>
                <w:b/>
                <w:color w:val="auto"/>
                <w:kern w:val="0"/>
                <w:sz w:val="24"/>
              </w:rPr>
              <w:t>分值</w:t>
            </w:r>
          </w:p>
        </w:tc>
        <w:tc>
          <w:tcPr>
            <w:tcW w:w="1075" w:type="dxa"/>
          </w:tcPr>
          <w:p w14:paraId="57050E3D">
            <w:pPr>
              <w:widowControl/>
              <w:adjustRightInd w:val="0"/>
              <w:spacing w:line="400" w:lineRule="exact"/>
              <w:jc w:val="left"/>
              <w:rPr>
                <w:rFonts w:cs="宋体"/>
                <w:b/>
                <w:color w:val="auto"/>
                <w:kern w:val="0"/>
                <w:sz w:val="24"/>
              </w:rPr>
            </w:pPr>
            <w:r>
              <w:rPr>
                <w:rFonts w:hint="eastAsia" w:cs="宋体"/>
                <w:b/>
                <w:color w:val="auto"/>
                <w:kern w:val="0"/>
                <w:sz w:val="24"/>
              </w:rPr>
              <w:t>备注</w:t>
            </w:r>
          </w:p>
        </w:tc>
      </w:tr>
      <w:tr w14:paraId="0C27DA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6" w:type="dxa"/>
          </w:tcPr>
          <w:p w14:paraId="6FCA2373">
            <w:pPr>
              <w:widowControl/>
              <w:adjustRightInd w:val="0"/>
              <w:spacing w:line="40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1</w:t>
            </w:r>
          </w:p>
        </w:tc>
        <w:tc>
          <w:tcPr>
            <w:tcW w:w="5820" w:type="dxa"/>
          </w:tcPr>
          <w:p w14:paraId="13523C9B">
            <w:pPr>
              <w:widowControl/>
              <w:adjustRightInd w:val="0"/>
              <w:spacing w:line="400" w:lineRule="exact"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供应商资格要求：满足招标公告中的供应商资格要求的得10分，不满足招标公告中的供应商资格要求的得0分。</w:t>
            </w:r>
          </w:p>
          <w:p w14:paraId="2195F9EB">
            <w:pPr>
              <w:widowControl/>
              <w:adjustRightInd w:val="0"/>
              <w:spacing w:line="400" w:lineRule="exact"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注：得0分取消中标资格。</w:t>
            </w:r>
          </w:p>
        </w:tc>
        <w:tc>
          <w:tcPr>
            <w:tcW w:w="1095" w:type="dxa"/>
          </w:tcPr>
          <w:p w14:paraId="39217739">
            <w:pPr>
              <w:widowControl/>
              <w:adjustRightInd w:val="0"/>
              <w:spacing w:line="400" w:lineRule="exact"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0-10分</w:t>
            </w:r>
          </w:p>
        </w:tc>
        <w:tc>
          <w:tcPr>
            <w:tcW w:w="1075" w:type="dxa"/>
          </w:tcPr>
          <w:p w14:paraId="4B04F68A">
            <w:pPr>
              <w:widowControl/>
              <w:adjustRightInd w:val="0"/>
              <w:spacing w:line="400" w:lineRule="exact"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</w:tr>
      <w:tr w14:paraId="2D1268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6" w:type="dxa"/>
          </w:tcPr>
          <w:p w14:paraId="1ED0744A">
            <w:pPr>
              <w:widowControl/>
              <w:adjustRightInd w:val="0"/>
              <w:spacing w:line="40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2</w:t>
            </w:r>
          </w:p>
        </w:tc>
        <w:tc>
          <w:tcPr>
            <w:tcW w:w="5820" w:type="dxa"/>
          </w:tcPr>
          <w:p w14:paraId="148A0C0C">
            <w:pPr>
              <w:widowControl/>
              <w:adjustRightInd w:val="0"/>
              <w:spacing w:line="400" w:lineRule="exact"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投标文件规范性：投标文件规范、整洁、公章加盖完整等（0-10分）</w:t>
            </w:r>
          </w:p>
        </w:tc>
        <w:tc>
          <w:tcPr>
            <w:tcW w:w="1095" w:type="dxa"/>
          </w:tcPr>
          <w:p w14:paraId="240F91DC">
            <w:pPr>
              <w:widowControl/>
              <w:adjustRightInd w:val="0"/>
              <w:spacing w:line="400" w:lineRule="exact"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0-10分</w:t>
            </w:r>
          </w:p>
        </w:tc>
        <w:tc>
          <w:tcPr>
            <w:tcW w:w="1075" w:type="dxa"/>
          </w:tcPr>
          <w:p w14:paraId="14E23DA2">
            <w:pPr>
              <w:widowControl/>
              <w:adjustRightInd w:val="0"/>
              <w:spacing w:line="400" w:lineRule="exact"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</w:tr>
      <w:tr w14:paraId="690818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6" w:type="dxa"/>
          </w:tcPr>
          <w:p w14:paraId="3F1E2DCF">
            <w:pPr>
              <w:widowControl/>
              <w:adjustRightInd w:val="0"/>
              <w:spacing w:line="40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3</w:t>
            </w:r>
          </w:p>
        </w:tc>
        <w:tc>
          <w:tcPr>
            <w:tcW w:w="5820" w:type="dxa"/>
          </w:tcPr>
          <w:p w14:paraId="40A33E58">
            <w:pPr>
              <w:widowControl/>
              <w:adjustRightInd w:val="0"/>
              <w:spacing w:line="400" w:lineRule="exact"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公司实力：提供公司类似业绩合同复印件加盖公章，每提供一个类似业绩合同的得2分，最高得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0分。</w:t>
            </w:r>
          </w:p>
        </w:tc>
        <w:tc>
          <w:tcPr>
            <w:tcW w:w="1095" w:type="dxa"/>
          </w:tcPr>
          <w:p w14:paraId="32D8D53C">
            <w:pPr>
              <w:widowControl/>
              <w:adjustRightInd w:val="0"/>
              <w:spacing w:line="400" w:lineRule="exact"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0-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分</w:t>
            </w:r>
          </w:p>
        </w:tc>
        <w:tc>
          <w:tcPr>
            <w:tcW w:w="1075" w:type="dxa"/>
          </w:tcPr>
          <w:p w14:paraId="4A0DBD4D">
            <w:pPr>
              <w:widowControl/>
              <w:adjustRightInd w:val="0"/>
              <w:spacing w:line="400" w:lineRule="exact"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</w:tr>
      <w:tr w14:paraId="59FF60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6" w:type="dxa"/>
          </w:tcPr>
          <w:p w14:paraId="07BF3662">
            <w:pPr>
              <w:widowControl/>
              <w:adjustRightInd w:val="0"/>
              <w:spacing w:line="40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4</w:t>
            </w:r>
          </w:p>
        </w:tc>
        <w:tc>
          <w:tcPr>
            <w:tcW w:w="5820" w:type="dxa"/>
          </w:tcPr>
          <w:p w14:paraId="1784A2BC">
            <w:pPr>
              <w:widowControl/>
              <w:adjustRightInd w:val="0"/>
              <w:spacing w:line="400" w:lineRule="exact"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服务方案：理解项目基本要求，方案合理、合法。（0-30分）</w:t>
            </w:r>
          </w:p>
        </w:tc>
        <w:tc>
          <w:tcPr>
            <w:tcW w:w="1095" w:type="dxa"/>
          </w:tcPr>
          <w:p w14:paraId="1E730865">
            <w:pPr>
              <w:widowControl/>
              <w:adjustRightInd w:val="0"/>
              <w:spacing w:line="400" w:lineRule="exact"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0-30分</w:t>
            </w:r>
          </w:p>
        </w:tc>
        <w:tc>
          <w:tcPr>
            <w:tcW w:w="1075" w:type="dxa"/>
          </w:tcPr>
          <w:p w14:paraId="3725B051">
            <w:pPr>
              <w:widowControl/>
              <w:adjustRightInd w:val="0"/>
              <w:spacing w:line="400" w:lineRule="exact"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</w:tr>
      <w:tr w14:paraId="2FF940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6" w:type="dxa"/>
          </w:tcPr>
          <w:p w14:paraId="2A654B42">
            <w:pPr>
              <w:widowControl/>
              <w:adjustRightInd w:val="0"/>
              <w:spacing w:line="40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5</w:t>
            </w:r>
          </w:p>
        </w:tc>
        <w:tc>
          <w:tcPr>
            <w:tcW w:w="5820" w:type="dxa"/>
          </w:tcPr>
          <w:p w14:paraId="3DFEE096">
            <w:pPr>
              <w:widowControl/>
              <w:adjustRightInd w:val="0"/>
              <w:spacing w:line="400" w:lineRule="exact"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服务期限及售后承诺：满足服务要求，提出并承诺能及时处理在服务过程中对可能出现的任何相关问题。（0-10分）</w:t>
            </w:r>
          </w:p>
        </w:tc>
        <w:tc>
          <w:tcPr>
            <w:tcW w:w="1095" w:type="dxa"/>
          </w:tcPr>
          <w:p w14:paraId="1F1981D3">
            <w:pPr>
              <w:widowControl/>
              <w:adjustRightInd w:val="0"/>
              <w:spacing w:line="400" w:lineRule="exact"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0-10分</w:t>
            </w:r>
          </w:p>
        </w:tc>
        <w:tc>
          <w:tcPr>
            <w:tcW w:w="1075" w:type="dxa"/>
          </w:tcPr>
          <w:p w14:paraId="5DA10283">
            <w:pPr>
              <w:widowControl/>
              <w:adjustRightInd w:val="0"/>
              <w:spacing w:line="400" w:lineRule="exact"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</w:tr>
      <w:tr w14:paraId="45A087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6" w:type="dxa"/>
          </w:tcPr>
          <w:p w14:paraId="7B57AA47">
            <w:pPr>
              <w:widowControl/>
              <w:adjustRightInd w:val="0"/>
              <w:spacing w:line="40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6</w:t>
            </w:r>
          </w:p>
        </w:tc>
        <w:tc>
          <w:tcPr>
            <w:tcW w:w="5820" w:type="dxa"/>
          </w:tcPr>
          <w:p w14:paraId="65141ED2">
            <w:pPr>
              <w:widowControl/>
              <w:adjustRightInd w:val="0"/>
              <w:spacing w:line="400" w:lineRule="exact"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shd w:val="clear"/>
              </w:rPr>
              <w:t>价格分：满足招标公告要求且投标价格最低的得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shd w:val="clear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shd w:val="clear"/>
              </w:rPr>
              <w:t>0（如最低投标价格出现相同的，则均得满分），满足招标公告要求且投标价格第二低的得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shd w:val="clear"/>
                <w:lang w:val="en-US" w:eastAsia="zh-CN"/>
              </w:rPr>
              <w:t>18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shd w:val="clear"/>
              </w:rPr>
              <w:t>分，以此类推。本项最低分0分。超过项目上限不得分，并取消中标资格。（0-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shd w:val="clear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shd w:val="clear"/>
              </w:rPr>
              <w:t>0分）</w:t>
            </w:r>
          </w:p>
        </w:tc>
        <w:tc>
          <w:tcPr>
            <w:tcW w:w="1095" w:type="dxa"/>
          </w:tcPr>
          <w:p w14:paraId="01724CF4">
            <w:pPr>
              <w:widowControl/>
              <w:adjustRightInd w:val="0"/>
              <w:spacing w:line="400" w:lineRule="exact"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0-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分</w:t>
            </w:r>
          </w:p>
        </w:tc>
        <w:tc>
          <w:tcPr>
            <w:tcW w:w="1075" w:type="dxa"/>
          </w:tcPr>
          <w:p w14:paraId="26F2F12C">
            <w:pPr>
              <w:widowControl/>
              <w:adjustRightInd w:val="0"/>
              <w:spacing w:line="400" w:lineRule="exact"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</w:tr>
    </w:tbl>
    <w:p w14:paraId="032B35B5">
      <w:pPr>
        <w:widowControl/>
        <w:adjustRightInd w:val="0"/>
        <w:spacing w:line="400" w:lineRule="exact"/>
        <w:jc w:val="left"/>
        <w:rPr>
          <w:rFonts w:cs="宋体"/>
          <w:b/>
          <w:color w:val="auto"/>
          <w:kern w:val="0"/>
          <w:sz w:val="24"/>
        </w:rPr>
      </w:pPr>
      <w:r>
        <w:rPr>
          <w:rFonts w:hint="eastAsia" w:cs="宋体"/>
          <w:b/>
          <w:color w:val="auto"/>
          <w:kern w:val="0"/>
          <w:sz w:val="24"/>
        </w:rPr>
        <w:t>四、服务质量、时间及地点</w:t>
      </w:r>
    </w:p>
    <w:p w14:paraId="47073A37">
      <w:pPr>
        <w:widowControl/>
        <w:adjustRightInd w:val="0"/>
        <w:spacing w:line="400" w:lineRule="exact"/>
        <w:ind w:firstLine="560"/>
        <w:jc w:val="left"/>
        <w:rPr>
          <w:rFonts w:cs="宋体"/>
          <w:color w:val="auto"/>
          <w:kern w:val="0"/>
          <w:sz w:val="24"/>
        </w:rPr>
      </w:pPr>
      <w:r>
        <w:rPr>
          <w:rFonts w:hint="eastAsia" w:cs="宋体"/>
          <w:color w:val="auto"/>
          <w:kern w:val="0"/>
          <w:sz w:val="24"/>
        </w:rPr>
        <w:t>1.服务地点及服务时间：</w:t>
      </w:r>
    </w:p>
    <w:p w14:paraId="694DAF5F">
      <w:pPr>
        <w:widowControl/>
        <w:adjustRightInd w:val="0"/>
        <w:spacing w:line="400" w:lineRule="exact"/>
        <w:ind w:firstLine="560"/>
        <w:jc w:val="left"/>
        <w:rPr>
          <w:rFonts w:cs="宋体"/>
          <w:color w:val="auto"/>
          <w:kern w:val="0"/>
          <w:sz w:val="24"/>
        </w:rPr>
      </w:pPr>
      <w:r>
        <w:rPr>
          <w:rFonts w:hint="eastAsia" w:cs="宋体"/>
          <w:color w:val="auto"/>
          <w:kern w:val="0"/>
          <w:sz w:val="24"/>
        </w:rPr>
        <w:t>服务地点：余杭区</w:t>
      </w:r>
      <w:r>
        <w:rPr>
          <w:rFonts w:hint="eastAsia" w:cs="宋体"/>
          <w:color w:val="auto"/>
          <w:kern w:val="0"/>
          <w:sz w:val="24"/>
          <w:lang w:val="en-US" w:eastAsia="zh-CN"/>
        </w:rPr>
        <w:t>仓前街道辖区内</w:t>
      </w:r>
      <w:r>
        <w:rPr>
          <w:rFonts w:hint="eastAsia" w:cs="宋体"/>
          <w:color w:val="auto"/>
          <w:kern w:val="0"/>
          <w:sz w:val="24"/>
        </w:rPr>
        <w:t>；</w:t>
      </w:r>
    </w:p>
    <w:p w14:paraId="041AB442">
      <w:pPr>
        <w:widowControl/>
        <w:adjustRightInd w:val="0"/>
        <w:spacing w:line="400" w:lineRule="exact"/>
        <w:ind w:firstLine="560"/>
        <w:jc w:val="left"/>
        <w:rPr>
          <w:rFonts w:hint="eastAsia" w:cs="宋体"/>
          <w:color w:val="auto"/>
          <w:kern w:val="0"/>
          <w:sz w:val="24"/>
          <w:lang w:val="en-US" w:eastAsia="zh-CN"/>
        </w:rPr>
      </w:pPr>
      <w:r>
        <w:rPr>
          <w:rFonts w:hint="eastAsia" w:cs="宋体"/>
          <w:color w:val="auto"/>
          <w:kern w:val="0"/>
          <w:sz w:val="24"/>
        </w:rPr>
        <w:t>服务时间：</w:t>
      </w:r>
      <w:r>
        <w:rPr>
          <w:rFonts w:hint="eastAsia" w:cs="宋体"/>
          <w:color w:val="auto"/>
          <w:kern w:val="0"/>
          <w:sz w:val="24"/>
          <w:lang w:eastAsia="zh-CN"/>
        </w:rPr>
        <w:t>1</w:t>
      </w:r>
      <w:r>
        <w:rPr>
          <w:rFonts w:hint="eastAsia" w:cs="宋体"/>
          <w:color w:val="auto"/>
          <w:kern w:val="0"/>
          <w:sz w:val="24"/>
          <w:lang w:val="en-US" w:eastAsia="zh-CN"/>
        </w:rPr>
        <w:t>年（</w:t>
      </w:r>
      <w:r>
        <w:rPr>
          <w:rFonts w:hint="eastAsia" w:cs="宋体"/>
          <w:color w:val="auto"/>
          <w:kern w:val="0"/>
          <w:sz w:val="24"/>
        </w:rPr>
        <w:t>具体以合同</w:t>
      </w:r>
      <w:r>
        <w:rPr>
          <w:rFonts w:hint="eastAsia" w:cs="宋体"/>
          <w:color w:val="auto"/>
          <w:kern w:val="0"/>
          <w:sz w:val="24"/>
          <w:lang w:val="en-US" w:eastAsia="zh-CN"/>
        </w:rPr>
        <w:t>签订</w:t>
      </w:r>
      <w:r>
        <w:rPr>
          <w:rFonts w:hint="eastAsia" w:cs="宋体"/>
          <w:color w:val="auto"/>
          <w:kern w:val="0"/>
          <w:sz w:val="24"/>
        </w:rPr>
        <w:t>为准</w:t>
      </w:r>
      <w:r>
        <w:rPr>
          <w:rFonts w:hint="eastAsia" w:cs="宋体"/>
          <w:color w:val="auto"/>
          <w:kern w:val="0"/>
          <w:sz w:val="24"/>
          <w:lang w:val="en-US" w:eastAsia="zh-CN"/>
        </w:rPr>
        <w:t>）</w:t>
      </w:r>
    </w:p>
    <w:p w14:paraId="604E9102">
      <w:pPr>
        <w:widowControl/>
        <w:numPr>
          <w:ilvl w:val="-1"/>
          <w:numId w:val="0"/>
        </w:numPr>
        <w:adjustRightInd w:val="0"/>
        <w:spacing w:line="400" w:lineRule="exact"/>
        <w:ind w:firstLine="560"/>
        <w:jc w:val="left"/>
        <w:rPr>
          <w:rFonts w:hint="eastAsia" w:cs="宋体"/>
          <w:color w:val="auto"/>
          <w:kern w:val="0"/>
          <w:sz w:val="24"/>
        </w:rPr>
      </w:pPr>
      <w:r>
        <w:rPr>
          <w:rFonts w:hint="eastAsia" w:cs="宋体"/>
          <w:color w:val="auto"/>
          <w:kern w:val="0"/>
          <w:sz w:val="24"/>
        </w:rPr>
        <w:t>服务质量要求：符合相关规定要求及采购人要求。</w:t>
      </w:r>
    </w:p>
    <w:p w14:paraId="610CA68C">
      <w:pPr>
        <w:widowControl/>
        <w:adjustRightInd w:val="0"/>
        <w:spacing w:line="400" w:lineRule="exact"/>
        <w:jc w:val="left"/>
        <w:rPr>
          <w:rFonts w:hint="eastAsia" w:cs="宋体"/>
          <w:b/>
          <w:color w:val="auto"/>
          <w:kern w:val="0"/>
          <w:sz w:val="24"/>
        </w:rPr>
      </w:pPr>
      <w:r>
        <w:rPr>
          <w:rFonts w:hint="eastAsia" w:cs="宋体"/>
          <w:b/>
          <w:color w:val="auto"/>
          <w:kern w:val="0"/>
          <w:sz w:val="24"/>
        </w:rPr>
        <w:t>五、付款方式</w:t>
      </w:r>
    </w:p>
    <w:p w14:paraId="370A1816">
      <w:pPr>
        <w:widowControl/>
        <w:adjustRightInd w:val="0"/>
        <w:spacing w:line="400" w:lineRule="exact"/>
        <w:ind w:firstLine="560" w:firstLineChars="0"/>
        <w:jc w:val="left"/>
        <w:rPr>
          <w:rFonts w:hint="eastAsia" w:cs="宋体"/>
          <w:color w:val="auto"/>
          <w:kern w:val="0"/>
          <w:sz w:val="24"/>
        </w:rPr>
      </w:pPr>
      <w:r>
        <w:rPr>
          <w:rFonts w:hint="eastAsia" w:cs="宋体"/>
          <w:color w:val="auto"/>
          <w:kern w:val="0"/>
          <w:sz w:val="24"/>
        </w:rPr>
        <w:t>具体以合同</w:t>
      </w:r>
      <w:r>
        <w:rPr>
          <w:rFonts w:hint="eastAsia" w:cs="宋体"/>
          <w:color w:val="auto"/>
          <w:kern w:val="0"/>
          <w:sz w:val="24"/>
          <w:lang w:val="en-US" w:eastAsia="zh-CN"/>
        </w:rPr>
        <w:t>签订</w:t>
      </w:r>
      <w:r>
        <w:rPr>
          <w:rFonts w:hint="eastAsia" w:cs="宋体"/>
          <w:color w:val="auto"/>
          <w:kern w:val="0"/>
          <w:sz w:val="24"/>
        </w:rPr>
        <w:t>为准。</w:t>
      </w:r>
    </w:p>
    <w:p w14:paraId="5F3F4A45">
      <w:pPr>
        <w:widowControl/>
        <w:adjustRightInd w:val="0"/>
        <w:spacing w:line="400" w:lineRule="exact"/>
        <w:jc w:val="left"/>
        <w:rPr>
          <w:rFonts w:hint="eastAsia" w:cs="宋体"/>
          <w:b/>
          <w:color w:val="auto"/>
          <w:kern w:val="0"/>
          <w:sz w:val="24"/>
        </w:rPr>
      </w:pPr>
      <w:r>
        <w:rPr>
          <w:rFonts w:hint="eastAsia" w:cs="宋体"/>
          <w:b/>
          <w:color w:val="auto"/>
          <w:kern w:val="0"/>
          <w:sz w:val="24"/>
        </w:rPr>
        <w:t>六、投标文件</w:t>
      </w:r>
    </w:p>
    <w:p w14:paraId="41CD921E">
      <w:pPr>
        <w:widowControl/>
        <w:adjustRightInd w:val="0"/>
        <w:spacing w:line="400" w:lineRule="exact"/>
        <w:ind w:firstLine="560"/>
        <w:jc w:val="left"/>
        <w:rPr>
          <w:rFonts w:cs="宋体"/>
          <w:color w:val="auto"/>
          <w:kern w:val="0"/>
          <w:sz w:val="24"/>
        </w:rPr>
      </w:pPr>
      <w:r>
        <w:rPr>
          <w:rFonts w:hint="eastAsia" w:cs="宋体"/>
          <w:color w:val="auto"/>
          <w:kern w:val="0"/>
          <w:sz w:val="24"/>
        </w:rPr>
        <w:t>1. 供应商应按招标公告的要求与格式编写</w:t>
      </w:r>
      <w:r>
        <w:rPr>
          <w:rFonts w:hint="eastAsia" w:ascii="宋体" w:hAnsi="宋体" w:cs="宋体"/>
          <w:color w:val="auto"/>
          <w:kern w:val="0"/>
          <w:sz w:val="22"/>
          <w:szCs w:val="22"/>
        </w:rPr>
        <w:t>投标</w:t>
      </w:r>
      <w:r>
        <w:rPr>
          <w:rFonts w:hint="eastAsia" w:cs="宋体"/>
          <w:color w:val="auto"/>
          <w:kern w:val="0"/>
          <w:sz w:val="24"/>
        </w:rPr>
        <w:t>文件，</w:t>
      </w:r>
      <w:r>
        <w:rPr>
          <w:rFonts w:hint="eastAsia" w:ascii="宋体" w:hAnsi="宋体" w:cs="宋体"/>
          <w:color w:val="auto"/>
          <w:kern w:val="0"/>
          <w:sz w:val="22"/>
          <w:szCs w:val="22"/>
        </w:rPr>
        <w:t>投标</w:t>
      </w:r>
      <w:r>
        <w:rPr>
          <w:rFonts w:hint="eastAsia" w:cs="宋体"/>
          <w:color w:val="auto"/>
          <w:kern w:val="0"/>
          <w:sz w:val="24"/>
        </w:rPr>
        <w:t>文件一式两份，其中一份应标明“正本”，另一份应标明“副本”，如果正本与副本不一致时，则以正本为准；</w:t>
      </w:r>
    </w:p>
    <w:p w14:paraId="1177B198">
      <w:pPr>
        <w:widowControl/>
        <w:adjustRightInd w:val="0"/>
        <w:spacing w:line="400" w:lineRule="exact"/>
        <w:ind w:left="239" w:leftChars="114" w:firstLine="398" w:firstLineChars="166"/>
        <w:jc w:val="left"/>
        <w:rPr>
          <w:rFonts w:cs="宋体"/>
          <w:b/>
          <w:bCs/>
          <w:color w:val="auto"/>
          <w:kern w:val="0"/>
          <w:sz w:val="24"/>
        </w:rPr>
      </w:pPr>
      <w:r>
        <w:rPr>
          <w:rFonts w:hint="eastAsia" w:cs="宋体"/>
          <w:color w:val="auto"/>
          <w:kern w:val="0"/>
          <w:sz w:val="24"/>
        </w:rPr>
        <w:t>2.供应商须将</w:t>
      </w:r>
      <w:r>
        <w:rPr>
          <w:rFonts w:hint="eastAsia" w:ascii="宋体" w:hAnsi="宋体" w:cs="宋体"/>
          <w:color w:val="auto"/>
          <w:kern w:val="0"/>
          <w:sz w:val="22"/>
          <w:szCs w:val="22"/>
        </w:rPr>
        <w:t>投标</w:t>
      </w:r>
      <w:r>
        <w:rPr>
          <w:rFonts w:hint="eastAsia" w:cs="宋体"/>
          <w:color w:val="auto"/>
          <w:kern w:val="0"/>
          <w:sz w:val="24"/>
        </w:rPr>
        <w:t>文件密封并在封口处加盖单位公章（骑缝章），在202</w:t>
      </w:r>
      <w:r>
        <w:rPr>
          <w:rFonts w:hint="eastAsia" w:cs="宋体"/>
          <w:color w:val="auto"/>
          <w:kern w:val="0"/>
          <w:sz w:val="24"/>
          <w:lang w:val="en-US" w:eastAsia="zh-CN"/>
        </w:rPr>
        <w:t>4</w:t>
      </w:r>
      <w:r>
        <w:rPr>
          <w:rFonts w:hint="eastAsia" w:cs="宋体"/>
          <w:color w:val="auto"/>
          <w:kern w:val="0"/>
          <w:sz w:val="24"/>
        </w:rPr>
        <w:t>年</w:t>
      </w:r>
      <w:r>
        <w:rPr>
          <w:rFonts w:hint="eastAsia" w:cs="宋体"/>
          <w:color w:val="auto"/>
          <w:kern w:val="0"/>
          <w:sz w:val="24"/>
          <w:lang w:val="en-US" w:eastAsia="zh-CN"/>
        </w:rPr>
        <w:t xml:space="preserve"> </w:t>
      </w:r>
      <w:r>
        <w:rPr>
          <w:rFonts w:hint="eastAsia" w:cs="宋体"/>
          <w:color w:val="auto"/>
          <w:kern w:val="0"/>
          <w:sz w:val="24"/>
        </w:rPr>
        <w:t>月</w:t>
      </w:r>
      <w:r>
        <w:rPr>
          <w:rFonts w:hint="eastAsia" w:cs="宋体"/>
          <w:color w:val="auto"/>
          <w:kern w:val="0"/>
          <w:sz w:val="24"/>
          <w:lang w:val="en-US" w:eastAsia="zh-CN"/>
        </w:rPr>
        <w:t xml:space="preserve">  </w:t>
      </w:r>
      <w:r>
        <w:rPr>
          <w:rFonts w:hint="eastAsia" w:cs="宋体"/>
          <w:color w:val="auto"/>
          <w:kern w:val="0"/>
          <w:sz w:val="24"/>
        </w:rPr>
        <w:t>日  点  分至  时</w:t>
      </w:r>
      <w:r>
        <w:rPr>
          <w:rFonts w:hint="eastAsia" w:cs="宋体"/>
          <w:color w:val="auto"/>
          <w:kern w:val="0"/>
          <w:sz w:val="24"/>
          <w:lang w:val="en-US" w:eastAsia="zh-CN"/>
        </w:rPr>
        <w:t xml:space="preserve">   </w:t>
      </w:r>
      <w:r>
        <w:rPr>
          <w:rFonts w:hint="eastAsia" w:cs="宋体"/>
          <w:color w:val="auto"/>
          <w:kern w:val="0"/>
          <w:sz w:val="24"/>
        </w:rPr>
        <w:t>分递交到</w:t>
      </w:r>
      <w:r>
        <w:rPr>
          <w:rFonts w:hint="eastAsia" w:ascii="宋体" w:hAnsi="宋体" w:cs="宋体"/>
          <w:bCs/>
          <w:color w:val="FF0000"/>
          <w:sz w:val="24"/>
        </w:rPr>
        <w:t>乐富海邦园14幢104（公共服务中心）</w:t>
      </w:r>
      <w:r>
        <w:rPr>
          <w:rFonts w:hint="eastAsia" w:cs="宋体"/>
          <w:color w:val="auto"/>
          <w:kern w:val="0"/>
          <w:sz w:val="24"/>
        </w:rPr>
        <w:t xml:space="preserve">。 </w:t>
      </w:r>
      <w:r>
        <w:rPr>
          <w:rFonts w:hint="eastAsia" w:cs="宋体"/>
          <w:b/>
          <w:bCs/>
          <w:color w:val="auto"/>
          <w:kern w:val="0"/>
          <w:sz w:val="24"/>
        </w:rPr>
        <w:t>递交</w:t>
      </w:r>
      <w:r>
        <w:rPr>
          <w:rFonts w:hint="eastAsia" w:ascii="宋体" w:hAnsi="宋体" w:cs="宋体"/>
          <w:b/>
          <w:bCs/>
          <w:color w:val="auto"/>
          <w:kern w:val="0"/>
          <w:sz w:val="22"/>
          <w:szCs w:val="22"/>
        </w:rPr>
        <w:t>投标</w:t>
      </w:r>
      <w:r>
        <w:rPr>
          <w:rFonts w:hint="eastAsia" w:cs="宋体"/>
          <w:b/>
          <w:bCs/>
          <w:color w:val="auto"/>
          <w:kern w:val="0"/>
          <w:sz w:val="24"/>
        </w:rPr>
        <w:t>文件时需单独递交一份营业执照复印件加盖公章</w:t>
      </w:r>
      <w:r>
        <w:rPr>
          <w:rFonts w:hint="eastAsia" w:cs="宋体"/>
          <w:b/>
          <w:bCs/>
          <w:color w:val="auto"/>
          <w:kern w:val="0"/>
          <w:sz w:val="24"/>
          <w:lang w:eastAsia="zh-CN"/>
        </w:rPr>
        <w:t>，</w:t>
      </w:r>
      <w:r>
        <w:rPr>
          <w:rFonts w:hint="eastAsia" w:cs="宋体"/>
          <w:b/>
          <w:bCs/>
          <w:color w:val="auto"/>
          <w:kern w:val="0"/>
          <w:sz w:val="24"/>
          <w:lang w:val="en-US" w:eastAsia="zh-CN"/>
        </w:rPr>
        <w:t>否则不予以接收投标文件。</w:t>
      </w:r>
    </w:p>
    <w:p w14:paraId="70270361">
      <w:pPr>
        <w:widowControl/>
        <w:adjustRightInd w:val="0"/>
        <w:spacing w:line="400" w:lineRule="exact"/>
        <w:ind w:firstLine="560"/>
        <w:jc w:val="left"/>
        <w:rPr>
          <w:rFonts w:cs="宋体"/>
          <w:color w:val="auto"/>
          <w:kern w:val="0"/>
          <w:sz w:val="24"/>
        </w:rPr>
      </w:pPr>
      <w:r>
        <w:rPr>
          <w:rFonts w:hint="eastAsia" w:cs="宋体"/>
          <w:color w:val="auto"/>
          <w:kern w:val="0"/>
          <w:sz w:val="24"/>
        </w:rPr>
        <w:t>3.以投标文件签收时间为准，投标文件逾期送达或者未送达指定地点的，将不予接受。</w:t>
      </w:r>
    </w:p>
    <w:p w14:paraId="6357EE80">
      <w:pPr>
        <w:widowControl/>
        <w:adjustRightInd w:val="0"/>
        <w:spacing w:line="400" w:lineRule="exact"/>
        <w:ind w:firstLine="560"/>
        <w:jc w:val="left"/>
        <w:rPr>
          <w:rFonts w:cs="宋体"/>
          <w:color w:val="auto"/>
          <w:kern w:val="0"/>
          <w:sz w:val="24"/>
        </w:rPr>
      </w:pPr>
      <w:r>
        <w:rPr>
          <w:rFonts w:hint="eastAsia" w:cs="宋体"/>
          <w:color w:val="auto"/>
          <w:kern w:val="0"/>
          <w:sz w:val="24"/>
        </w:rPr>
        <w:t>4.投标文件的组成（建议按下列顺序装订）</w:t>
      </w:r>
    </w:p>
    <w:p w14:paraId="1B279176">
      <w:pPr>
        <w:tabs>
          <w:tab w:val="left" w:pos="420"/>
          <w:tab w:val="left" w:pos="4680"/>
        </w:tabs>
        <w:spacing w:line="400" w:lineRule="exact"/>
        <w:ind w:firstLine="480" w:firstLineChars="200"/>
        <w:rPr>
          <w:color w:val="auto"/>
          <w:sz w:val="24"/>
        </w:rPr>
      </w:pPr>
      <w:r>
        <w:rPr>
          <w:rFonts w:hint="eastAsia"/>
          <w:color w:val="auto"/>
          <w:sz w:val="24"/>
        </w:rPr>
        <w:t>(1)报价函</w:t>
      </w:r>
      <w:r>
        <w:rPr>
          <w:rFonts w:hint="eastAsia" w:cs="宋体"/>
          <w:color w:val="auto"/>
          <w:kern w:val="0"/>
          <w:sz w:val="24"/>
        </w:rPr>
        <w:t>（格式附后）</w:t>
      </w:r>
    </w:p>
    <w:p w14:paraId="32859357">
      <w:pPr>
        <w:tabs>
          <w:tab w:val="left" w:pos="420"/>
          <w:tab w:val="left" w:pos="4680"/>
        </w:tabs>
        <w:spacing w:line="400" w:lineRule="exact"/>
        <w:ind w:firstLine="480" w:firstLineChars="200"/>
        <w:rPr>
          <w:rFonts w:cs="宋体"/>
          <w:color w:val="auto"/>
          <w:kern w:val="0"/>
          <w:sz w:val="24"/>
        </w:rPr>
      </w:pPr>
      <w:r>
        <w:rPr>
          <w:rFonts w:hint="eastAsia"/>
          <w:color w:val="auto"/>
          <w:sz w:val="24"/>
        </w:rPr>
        <w:t>(2)</w:t>
      </w:r>
      <w:r>
        <w:rPr>
          <w:rFonts w:hint="eastAsia" w:cs="宋体"/>
          <w:color w:val="auto"/>
          <w:kern w:val="0"/>
          <w:sz w:val="24"/>
        </w:rPr>
        <w:t>供应商资格要求中的相关证明材料复印件加盖公章（如营业执照等）</w:t>
      </w:r>
    </w:p>
    <w:p w14:paraId="6E47F9ED">
      <w:pPr>
        <w:tabs>
          <w:tab w:val="left" w:pos="420"/>
          <w:tab w:val="left" w:pos="4680"/>
        </w:tabs>
        <w:spacing w:line="400" w:lineRule="exact"/>
        <w:ind w:firstLine="480" w:firstLineChars="200"/>
        <w:rPr>
          <w:color w:val="auto"/>
          <w:sz w:val="24"/>
        </w:rPr>
      </w:pPr>
      <w:r>
        <w:rPr>
          <w:rFonts w:hint="eastAsia"/>
          <w:color w:val="auto"/>
          <w:sz w:val="24"/>
        </w:rPr>
        <w:t>(</w:t>
      </w:r>
      <w:r>
        <w:rPr>
          <w:rFonts w:hint="eastAsia" w:cs="宋体"/>
          <w:color w:val="auto"/>
          <w:kern w:val="0"/>
          <w:sz w:val="24"/>
        </w:rPr>
        <w:t>3</w:t>
      </w:r>
      <w:r>
        <w:rPr>
          <w:rFonts w:hint="eastAsia" w:ascii="Times New Roman" w:hAnsi="Times New Roman" w:cs="宋体"/>
          <w:color w:val="auto"/>
          <w:kern w:val="0"/>
          <w:sz w:val="24"/>
          <w:szCs w:val="24"/>
        </w:rPr>
        <w:t>)公司实力相关证明材料复印件加盖公章</w:t>
      </w:r>
    </w:p>
    <w:p w14:paraId="107D87E3">
      <w:pPr>
        <w:tabs>
          <w:tab w:val="left" w:pos="420"/>
          <w:tab w:val="left" w:pos="4680"/>
        </w:tabs>
        <w:spacing w:line="400" w:lineRule="exact"/>
        <w:ind w:firstLine="480" w:firstLineChars="200"/>
        <w:rPr>
          <w:color w:val="auto"/>
          <w:sz w:val="24"/>
        </w:rPr>
      </w:pPr>
      <w:r>
        <w:rPr>
          <w:rFonts w:hint="eastAsia"/>
          <w:color w:val="auto"/>
          <w:sz w:val="24"/>
        </w:rPr>
        <w:t>(4)</w:t>
      </w:r>
      <w:r>
        <w:rPr>
          <w:color w:val="auto"/>
          <w:sz w:val="24"/>
        </w:rPr>
        <w:t xml:space="preserve"> 授权委托书</w:t>
      </w:r>
      <w:r>
        <w:rPr>
          <w:rFonts w:hint="eastAsia"/>
          <w:color w:val="auto"/>
          <w:sz w:val="24"/>
        </w:rPr>
        <w:t>及被委托人身份证复印件加盖公章</w:t>
      </w:r>
    </w:p>
    <w:p w14:paraId="415A51F8">
      <w:pPr>
        <w:tabs>
          <w:tab w:val="left" w:pos="420"/>
          <w:tab w:val="left" w:pos="4680"/>
        </w:tabs>
        <w:spacing w:line="400" w:lineRule="exact"/>
        <w:ind w:firstLine="480" w:firstLineChars="200"/>
        <w:rPr>
          <w:color w:val="auto"/>
          <w:sz w:val="24"/>
        </w:rPr>
      </w:pPr>
      <w:r>
        <w:rPr>
          <w:rFonts w:hint="eastAsia"/>
          <w:color w:val="auto"/>
          <w:sz w:val="24"/>
        </w:rPr>
        <w:t>(5)</w:t>
      </w:r>
      <w:r>
        <w:rPr>
          <w:color w:val="auto"/>
          <w:sz w:val="24"/>
        </w:rPr>
        <w:t xml:space="preserve"> 服务方案</w:t>
      </w:r>
    </w:p>
    <w:p w14:paraId="4D4EE57D">
      <w:pPr>
        <w:tabs>
          <w:tab w:val="left" w:pos="420"/>
          <w:tab w:val="left" w:pos="4680"/>
        </w:tabs>
        <w:spacing w:line="400" w:lineRule="exact"/>
        <w:ind w:firstLine="480" w:firstLineChars="200"/>
        <w:rPr>
          <w:color w:val="auto"/>
          <w:sz w:val="24"/>
        </w:rPr>
      </w:pPr>
      <w:r>
        <w:rPr>
          <w:rFonts w:hint="eastAsia"/>
          <w:color w:val="auto"/>
          <w:sz w:val="24"/>
        </w:rPr>
        <w:t>(6)服务期限及售后承诺</w:t>
      </w:r>
    </w:p>
    <w:p w14:paraId="2928C06E">
      <w:pPr>
        <w:tabs>
          <w:tab w:val="left" w:pos="420"/>
          <w:tab w:val="left" w:pos="4680"/>
        </w:tabs>
        <w:spacing w:line="400" w:lineRule="exact"/>
        <w:ind w:firstLine="480" w:firstLineChars="200"/>
        <w:rPr>
          <w:color w:val="auto"/>
          <w:sz w:val="24"/>
        </w:rPr>
      </w:pPr>
      <w:r>
        <w:rPr>
          <w:rFonts w:hint="eastAsia"/>
          <w:color w:val="auto"/>
          <w:sz w:val="24"/>
        </w:rPr>
        <w:t>（7）采购文件要求供应商提供的或供应商认为需要提供的其他内容</w:t>
      </w:r>
    </w:p>
    <w:p w14:paraId="2ECDCCD3">
      <w:pPr>
        <w:widowControl/>
        <w:adjustRightInd w:val="0"/>
        <w:spacing w:line="400" w:lineRule="exact"/>
        <w:jc w:val="left"/>
        <w:rPr>
          <w:rFonts w:cs="宋体"/>
          <w:b/>
          <w:color w:val="auto"/>
          <w:kern w:val="0"/>
          <w:sz w:val="24"/>
        </w:rPr>
      </w:pPr>
      <w:r>
        <w:rPr>
          <w:rFonts w:hint="eastAsia" w:cs="宋体"/>
          <w:b/>
          <w:color w:val="auto"/>
          <w:kern w:val="0"/>
          <w:sz w:val="24"/>
        </w:rPr>
        <w:t>七、成交办法</w:t>
      </w:r>
    </w:p>
    <w:p w14:paraId="2CF3E707">
      <w:pPr>
        <w:widowControl/>
        <w:adjustRightInd w:val="0"/>
        <w:spacing w:line="400" w:lineRule="exact"/>
        <w:ind w:firstLine="560"/>
        <w:jc w:val="left"/>
        <w:rPr>
          <w:rFonts w:cs="宋体"/>
          <w:color w:val="auto"/>
          <w:kern w:val="0"/>
          <w:sz w:val="24"/>
        </w:rPr>
      </w:pPr>
      <w:r>
        <w:rPr>
          <w:rFonts w:hint="eastAsia" w:cs="宋体"/>
          <w:color w:val="auto"/>
          <w:kern w:val="0"/>
          <w:sz w:val="24"/>
        </w:rPr>
        <w:t>1.成立采购小组</w:t>
      </w:r>
    </w:p>
    <w:p w14:paraId="0882D1F4">
      <w:pPr>
        <w:widowControl/>
        <w:adjustRightInd w:val="0"/>
        <w:spacing w:line="400" w:lineRule="exact"/>
        <w:ind w:firstLine="560"/>
        <w:jc w:val="left"/>
        <w:rPr>
          <w:rFonts w:cs="宋体"/>
          <w:color w:val="auto"/>
          <w:kern w:val="0"/>
          <w:sz w:val="24"/>
        </w:rPr>
      </w:pPr>
      <w:r>
        <w:rPr>
          <w:rFonts w:hint="eastAsia" w:cs="宋体"/>
          <w:color w:val="auto"/>
          <w:kern w:val="0"/>
          <w:sz w:val="24"/>
        </w:rPr>
        <w:t>评标小组由三人以上单数的采购人代表、纪委等组成。</w:t>
      </w:r>
    </w:p>
    <w:p w14:paraId="42B8F75D">
      <w:pPr>
        <w:widowControl/>
        <w:adjustRightInd w:val="0"/>
        <w:spacing w:line="400" w:lineRule="exact"/>
        <w:ind w:firstLine="560"/>
        <w:jc w:val="left"/>
        <w:rPr>
          <w:rFonts w:cs="宋体"/>
          <w:color w:val="auto"/>
          <w:kern w:val="0"/>
          <w:sz w:val="24"/>
        </w:rPr>
      </w:pPr>
      <w:r>
        <w:rPr>
          <w:rFonts w:hint="eastAsia" w:cs="宋体"/>
          <w:color w:val="auto"/>
          <w:kern w:val="0"/>
          <w:sz w:val="24"/>
        </w:rPr>
        <w:t>2.确定成交供应商</w:t>
      </w:r>
    </w:p>
    <w:p w14:paraId="4CCE62AB">
      <w:pPr>
        <w:widowControl/>
        <w:adjustRightInd w:val="0"/>
        <w:spacing w:line="400" w:lineRule="exact"/>
        <w:ind w:firstLine="560"/>
        <w:jc w:val="left"/>
        <w:rPr>
          <w:rFonts w:cs="宋体"/>
          <w:color w:val="auto"/>
          <w:kern w:val="0"/>
          <w:sz w:val="24"/>
        </w:rPr>
      </w:pPr>
      <w:r>
        <w:rPr>
          <w:rFonts w:hint="eastAsia" w:cs="宋体"/>
          <w:color w:val="auto"/>
          <w:kern w:val="0"/>
          <w:sz w:val="24"/>
        </w:rPr>
        <w:t>评标小组独立开展工作，开启所有投标文件，评标小组根据评比办法确定中标候选人并出具书面采购报告书。报价经评标小组确认，该报价即为双方签约的合同价，投标文件作为合同的组情形之一的，按无效报价处理：</w:t>
      </w:r>
    </w:p>
    <w:p w14:paraId="282D878B">
      <w:pPr>
        <w:widowControl/>
        <w:adjustRightInd w:val="0"/>
        <w:spacing w:line="400" w:lineRule="exact"/>
        <w:ind w:firstLine="560"/>
        <w:jc w:val="left"/>
        <w:rPr>
          <w:rFonts w:cs="宋体"/>
          <w:color w:val="auto"/>
          <w:kern w:val="0"/>
          <w:sz w:val="24"/>
        </w:rPr>
      </w:pPr>
      <w:r>
        <w:rPr>
          <w:rFonts w:hint="eastAsia" w:cs="宋体"/>
          <w:color w:val="auto"/>
          <w:kern w:val="0"/>
          <w:sz w:val="24"/>
        </w:rPr>
        <w:t>(1)投标文件未按规定的格式填写，内容不全或关键字迹模糊、无法辨认的；</w:t>
      </w:r>
    </w:p>
    <w:p w14:paraId="1D6631B3">
      <w:pPr>
        <w:widowControl/>
        <w:adjustRightInd w:val="0"/>
        <w:spacing w:line="400" w:lineRule="exact"/>
        <w:ind w:firstLine="560"/>
        <w:jc w:val="left"/>
        <w:rPr>
          <w:rFonts w:cs="宋体"/>
          <w:color w:val="auto"/>
          <w:kern w:val="0"/>
          <w:sz w:val="24"/>
        </w:rPr>
      </w:pPr>
      <w:r>
        <w:rPr>
          <w:rFonts w:hint="eastAsia" w:cs="宋体"/>
          <w:color w:val="auto"/>
          <w:kern w:val="0"/>
          <w:sz w:val="24"/>
        </w:rPr>
        <w:t>(2)未实质性响应“采购要求”的；</w:t>
      </w:r>
    </w:p>
    <w:p w14:paraId="26A962D7">
      <w:pPr>
        <w:widowControl/>
        <w:adjustRightInd w:val="0"/>
        <w:spacing w:line="400" w:lineRule="exact"/>
        <w:ind w:firstLine="560"/>
        <w:jc w:val="left"/>
        <w:rPr>
          <w:rFonts w:cs="宋体"/>
          <w:color w:val="auto"/>
          <w:kern w:val="0"/>
          <w:sz w:val="24"/>
        </w:rPr>
      </w:pPr>
      <w:r>
        <w:rPr>
          <w:rFonts w:hint="eastAsia" w:cs="宋体"/>
          <w:color w:val="auto"/>
          <w:kern w:val="0"/>
          <w:sz w:val="24"/>
        </w:rPr>
        <w:t>(3)报价超过最高限价的；</w:t>
      </w:r>
    </w:p>
    <w:p w14:paraId="33169247">
      <w:pPr>
        <w:widowControl/>
        <w:adjustRightInd w:val="0"/>
        <w:spacing w:line="400" w:lineRule="exact"/>
        <w:ind w:firstLine="560"/>
        <w:jc w:val="left"/>
        <w:rPr>
          <w:rFonts w:cs="宋体"/>
          <w:color w:val="auto"/>
          <w:kern w:val="0"/>
          <w:sz w:val="24"/>
        </w:rPr>
      </w:pPr>
      <w:r>
        <w:rPr>
          <w:rFonts w:hint="eastAsia" w:cs="宋体"/>
          <w:color w:val="auto"/>
          <w:kern w:val="0"/>
          <w:sz w:val="24"/>
        </w:rPr>
        <w:t>(4)未响应本招标公告其他实质性规定的。</w:t>
      </w:r>
    </w:p>
    <w:p w14:paraId="2204FE34">
      <w:pPr>
        <w:widowControl/>
        <w:adjustRightInd w:val="0"/>
        <w:spacing w:line="400" w:lineRule="exact"/>
        <w:jc w:val="left"/>
        <w:rPr>
          <w:rFonts w:cs="宋体"/>
          <w:color w:val="auto"/>
          <w:kern w:val="0"/>
          <w:sz w:val="24"/>
        </w:rPr>
      </w:pPr>
      <w:r>
        <w:rPr>
          <w:rFonts w:hint="eastAsia" w:cs="宋体"/>
          <w:b/>
          <w:color w:val="auto"/>
          <w:kern w:val="0"/>
          <w:sz w:val="24"/>
        </w:rPr>
        <w:t>八</w:t>
      </w:r>
      <w:r>
        <w:rPr>
          <w:rFonts w:hint="eastAsia" w:cs="宋体"/>
          <w:b/>
          <w:color w:val="auto"/>
          <w:kern w:val="0"/>
          <w:sz w:val="24"/>
          <w:lang w:eastAsia="zh-CN"/>
        </w:rPr>
        <w:t>、</w:t>
      </w:r>
      <w:r>
        <w:rPr>
          <w:rFonts w:hint="eastAsia" w:cs="宋体"/>
          <w:b/>
          <w:color w:val="auto"/>
          <w:kern w:val="0"/>
          <w:sz w:val="24"/>
        </w:rPr>
        <w:t>签订合同</w:t>
      </w:r>
    </w:p>
    <w:p w14:paraId="6A9777F3">
      <w:pPr>
        <w:widowControl/>
        <w:adjustRightInd w:val="0"/>
        <w:spacing w:line="400" w:lineRule="exact"/>
        <w:ind w:firstLine="560"/>
        <w:jc w:val="left"/>
        <w:rPr>
          <w:rFonts w:cs="宋体"/>
          <w:color w:val="auto"/>
          <w:kern w:val="0"/>
          <w:sz w:val="24"/>
        </w:rPr>
      </w:pPr>
      <w:r>
        <w:rPr>
          <w:rFonts w:hint="eastAsia" w:cs="宋体"/>
          <w:color w:val="auto"/>
          <w:kern w:val="0"/>
          <w:sz w:val="24"/>
        </w:rPr>
        <w:t>成交供应商在收到成交通知后5个工作日内签订合同。若成交供应商未在规定时间内签订合同或不按规定履约，采购人有权取消其成交资格，排名第二的供应商递补为成交供应商。同时采购人可保留重新采购的权利。</w:t>
      </w:r>
    </w:p>
    <w:p w14:paraId="0F7E6DE7">
      <w:pPr>
        <w:widowControl/>
        <w:adjustRightInd w:val="0"/>
        <w:spacing w:line="400" w:lineRule="exact"/>
        <w:jc w:val="left"/>
        <w:rPr>
          <w:rFonts w:cs="宋体"/>
          <w:color w:val="auto"/>
          <w:kern w:val="0"/>
          <w:sz w:val="24"/>
        </w:rPr>
      </w:pPr>
      <w:r>
        <w:rPr>
          <w:rFonts w:hint="eastAsia" w:cs="宋体"/>
          <w:b/>
          <w:color w:val="auto"/>
          <w:kern w:val="0"/>
          <w:sz w:val="24"/>
        </w:rPr>
        <w:t>九、其他</w:t>
      </w:r>
    </w:p>
    <w:p w14:paraId="7A324425">
      <w:pPr>
        <w:widowControl/>
        <w:adjustRightInd w:val="0"/>
        <w:spacing w:line="400" w:lineRule="exact"/>
        <w:ind w:firstLine="480" w:firstLineChars="200"/>
        <w:jc w:val="left"/>
        <w:rPr>
          <w:rFonts w:cs="宋体"/>
          <w:color w:val="auto"/>
          <w:kern w:val="0"/>
          <w:sz w:val="24"/>
        </w:rPr>
      </w:pPr>
      <w:r>
        <w:rPr>
          <w:rFonts w:hint="eastAsia" w:ascii="宋体" w:hAnsi="宋体" w:cs="宋体"/>
          <w:color w:val="auto"/>
          <w:sz w:val="24"/>
        </w:rPr>
        <w:t>本项目的招标代理费用由中标单位支付，代理费用为</w:t>
      </w:r>
      <w:r>
        <w:rPr>
          <w:rFonts w:hint="eastAsia" w:ascii="宋体" w:hAnsi="宋体" w:cs="宋体"/>
          <w:color w:val="FF0000"/>
          <w:sz w:val="24"/>
          <w:lang w:val="en-US" w:eastAsia="zh-CN"/>
        </w:rPr>
        <w:t>3000</w:t>
      </w:r>
      <w:r>
        <w:rPr>
          <w:rFonts w:hint="eastAsia" w:ascii="宋体" w:hAnsi="宋体" w:cs="宋体"/>
          <w:color w:val="FF0000"/>
          <w:sz w:val="24"/>
        </w:rPr>
        <w:t>元</w:t>
      </w:r>
      <w:r>
        <w:rPr>
          <w:rFonts w:hint="eastAsia" w:ascii="宋体" w:hAnsi="宋体" w:cs="宋体"/>
          <w:color w:val="auto"/>
          <w:sz w:val="24"/>
        </w:rPr>
        <w:t>直接支付给采购招标代理单位，投标人在报价时应综合考虑该笔费用，但不单列进投标总价</w:t>
      </w:r>
      <w:r>
        <w:rPr>
          <w:rFonts w:hint="eastAsia" w:cs="宋体"/>
          <w:color w:val="auto"/>
          <w:kern w:val="0"/>
          <w:sz w:val="24"/>
        </w:rPr>
        <w:t>。中标单位在</w:t>
      </w:r>
      <w:r>
        <w:rPr>
          <w:rFonts w:cs="宋体"/>
          <w:color w:val="auto"/>
          <w:kern w:val="0"/>
          <w:sz w:val="24"/>
        </w:rPr>
        <w:t>领取中标通知书</w:t>
      </w:r>
      <w:r>
        <w:rPr>
          <w:rFonts w:hint="eastAsia" w:cs="宋体"/>
          <w:color w:val="auto"/>
          <w:kern w:val="0"/>
          <w:sz w:val="24"/>
        </w:rPr>
        <w:t>前需支付招标代理费。</w:t>
      </w:r>
    </w:p>
    <w:p w14:paraId="47A32C3D">
      <w:pPr>
        <w:widowControl/>
        <w:adjustRightInd w:val="0"/>
        <w:spacing w:line="400" w:lineRule="exact"/>
        <w:jc w:val="left"/>
        <w:rPr>
          <w:rFonts w:cs="宋体"/>
          <w:b/>
          <w:color w:val="auto"/>
          <w:kern w:val="0"/>
          <w:sz w:val="24"/>
        </w:rPr>
      </w:pPr>
      <w:r>
        <w:rPr>
          <w:rFonts w:hint="eastAsia" w:cs="宋体"/>
          <w:b/>
          <w:color w:val="auto"/>
          <w:kern w:val="0"/>
          <w:sz w:val="24"/>
        </w:rPr>
        <w:t>十、联系方式</w:t>
      </w:r>
    </w:p>
    <w:p w14:paraId="541B27D8">
      <w:pPr>
        <w:widowControl/>
        <w:adjustRightInd w:val="0"/>
        <w:spacing w:line="400" w:lineRule="exact"/>
        <w:ind w:firstLine="560"/>
        <w:jc w:val="left"/>
        <w:rPr>
          <w:rFonts w:hint="eastAsia" w:ascii="宋体" w:hAnsi="宋体" w:eastAsia="宋体" w:cs="宋体"/>
          <w:color w:val="auto"/>
          <w:kern w:val="0"/>
          <w:sz w:val="24"/>
          <w:lang w:eastAsia="zh-CN"/>
        </w:rPr>
      </w:pPr>
      <w:r>
        <w:rPr>
          <w:rFonts w:hint="eastAsia" w:cs="宋体"/>
          <w:color w:val="auto"/>
          <w:kern w:val="0"/>
          <w:sz w:val="24"/>
        </w:rPr>
        <w:t>采</w:t>
      </w:r>
      <w:r>
        <w:rPr>
          <w:rFonts w:hint="eastAsia" w:ascii="宋体" w:hAnsi="宋体" w:cs="宋体"/>
          <w:color w:val="auto"/>
          <w:kern w:val="0"/>
          <w:sz w:val="24"/>
        </w:rPr>
        <w:t>购人：</w:t>
      </w:r>
      <w:r>
        <w:rPr>
          <w:rFonts w:hint="eastAsia" w:ascii="Times New Roman" w:hAnsi="Times New Roman" w:eastAsia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shd w:val="clear"/>
        </w:rPr>
        <w:t>杭州市余杭区</w:t>
      </w:r>
      <w:r>
        <w:rPr>
          <w:rFonts w:hint="eastAsia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shd w:val="clear"/>
          <w:lang w:val="en-US" w:eastAsia="zh-CN"/>
        </w:rPr>
        <w:t>人民政府</w:t>
      </w:r>
      <w:r>
        <w:rPr>
          <w:rFonts w:hint="eastAsia" w:ascii="Times New Roman" w:hAnsi="Times New Roman" w:eastAsia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shd w:val="clear"/>
        </w:rPr>
        <w:t>仓前街道</w:t>
      </w:r>
      <w:r>
        <w:rPr>
          <w:rFonts w:hint="eastAsia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shd w:val="clear"/>
          <w:lang w:val="en-US" w:eastAsia="zh-CN"/>
        </w:rPr>
        <w:t>办事处</w:t>
      </w:r>
    </w:p>
    <w:p w14:paraId="3FF2015F">
      <w:pPr>
        <w:widowControl/>
        <w:adjustRightInd w:val="0"/>
        <w:spacing w:line="400" w:lineRule="exact"/>
        <w:ind w:firstLine="560"/>
        <w:jc w:val="left"/>
        <w:rPr>
          <w:rFonts w:hint="default" w:ascii="宋体" w:hAnsi="宋体" w:cs="宋体"/>
          <w:color w:val="auto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auto"/>
          <w:kern w:val="0"/>
          <w:sz w:val="24"/>
        </w:rPr>
        <w:t>联系人：</w:t>
      </w:r>
      <w:r>
        <w:rPr>
          <w:rFonts w:hint="eastAsia" w:ascii="宋体" w:hAnsi="宋体" w:cs="宋体"/>
          <w:color w:val="auto"/>
          <w:kern w:val="0"/>
          <w:sz w:val="24"/>
          <w:lang w:val="en-US" w:eastAsia="zh-CN"/>
        </w:rPr>
        <w:t>高工</w:t>
      </w:r>
    </w:p>
    <w:p w14:paraId="4E4DF04A">
      <w:pPr>
        <w:widowControl/>
        <w:adjustRightInd w:val="0"/>
        <w:spacing w:line="400" w:lineRule="exact"/>
        <w:ind w:firstLine="560"/>
        <w:jc w:val="left"/>
        <w:rPr>
          <w:rFonts w:hint="default" w:cs="宋体"/>
          <w:color w:val="auto"/>
          <w:kern w:val="0"/>
          <w:sz w:val="24"/>
          <w:lang w:val="en-US"/>
        </w:rPr>
      </w:pPr>
      <w:r>
        <w:rPr>
          <w:rFonts w:hint="eastAsia" w:ascii="宋体" w:hAnsi="宋体" w:cs="宋体"/>
          <w:color w:val="auto"/>
          <w:kern w:val="0"/>
          <w:sz w:val="24"/>
        </w:rPr>
        <w:t>联系电话：</w:t>
      </w:r>
      <w:r>
        <w:rPr>
          <w:rFonts w:hint="eastAsia" w:ascii="宋体" w:hAnsi="宋体" w:cs="宋体"/>
          <w:color w:val="auto"/>
          <w:kern w:val="0"/>
          <w:sz w:val="24"/>
          <w:lang w:val="en-US" w:eastAsia="zh-CN"/>
        </w:rPr>
        <w:t xml:space="preserve">89519392  </w:t>
      </w:r>
    </w:p>
    <w:p w14:paraId="0A4B84E1">
      <w:pPr>
        <w:widowControl/>
        <w:adjustRightInd w:val="0"/>
        <w:spacing w:line="360" w:lineRule="auto"/>
        <w:ind w:right="480"/>
        <w:jc w:val="right"/>
        <w:rPr>
          <w:rFonts w:hint="eastAsia" w:eastAsia="宋体" w:cs="宋体"/>
          <w:color w:val="auto"/>
          <w:kern w:val="0"/>
          <w:sz w:val="24"/>
          <w:lang w:eastAsia="zh-CN"/>
        </w:rPr>
      </w:pPr>
      <w:r>
        <w:rPr>
          <w:rFonts w:hint="eastAsia" w:ascii="Times New Roman" w:hAnsi="Times New Roman" w:eastAsia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shd w:val="clear"/>
        </w:rPr>
        <w:t>杭州市余杭区</w:t>
      </w:r>
      <w:r>
        <w:rPr>
          <w:rFonts w:hint="eastAsia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shd w:val="clear"/>
          <w:lang w:val="en-US" w:eastAsia="zh-CN"/>
        </w:rPr>
        <w:t>人民政府</w:t>
      </w:r>
      <w:r>
        <w:rPr>
          <w:rFonts w:hint="eastAsia" w:ascii="Times New Roman" w:hAnsi="Times New Roman" w:eastAsia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shd w:val="clear"/>
        </w:rPr>
        <w:t>仓前街道</w:t>
      </w:r>
      <w:r>
        <w:rPr>
          <w:rFonts w:hint="eastAsia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shd w:val="clear"/>
          <w:lang w:val="en-US" w:eastAsia="zh-CN"/>
        </w:rPr>
        <w:t>办事处</w:t>
      </w:r>
    </w:p>
    <w:p w14:paraId="78EEA02D">
      <w:pPr>
        <w:widowControl/>
        <w:adjustRightInd w:val="0"/>
        <w:spacing w:line="360" w:lineRule="auto"/>
        <w:ind w:right="480"/>
        <w:jc w:val="right"/>
        <w:rPr>
          <w:rFonts w:cs="宋体"/>
          <w:color w:val="auto"/>
          <w:kern w:val="0"/>
          <w:sz w:val="24"/>
        </w:rPr>
      </w:pPr>
      <w:r>
        <w:rPr>
          <w:rFonts w:hint="eastAsia" w:cs="宋体"/>
          <w:color w:val="auto"/>
          <w:kern w:val="0"/>
          <w:sz w:val="24"/>
        </w:rPr>
        <w:t>202</w:t>
      </w:r>
      <w:r>
        <w:rPr>
          <w:rFonts w:hint="eastAsia" w:cs="宋体"/>
          <w:color w:val="auto"/>
          <w:kern w:val="0"/>
          <w:sz w:val="24"/>
          <w:lang w:val="en-US" w:eastAsia="zh-CN"/>
        </w:rPr>
        <w:t>4</w:t>
      </w:r>
      <w:r>
        <w:rPr>
          <w:rFonts w:hint="eastAsia" w:cs="宋体"/>
          <w:color w:val="auto"/>
          <w:kern w:val="0"/>
          <w:sz w:val="24"/>
        </w:rPr>
        <w:t>年</w:t>
      </w:r>
      <w:r>
        <w:rPr>
          <w:rFonts w:hint="eastAsia" w:cs="宋体"/>
          <w:color w:val="auto"/>
          <w:kern w:val="0"/>
          <w:sz w:val="24"/>
          <w:lang w:val="en-US" w:eastAsia="zh-CN"/>
        </w:rPr>
        <w:t>10</w:t>
      </w:r>
      <w:r>
        <w:rPr>
          <w:rFonts w:hint="eastAsia" w:cs="宋体"/>
          <w:color w:val="auto"/>
          <w:kern w:val="0"/>
          <w:sz w:val="24"/>
        </w:rPr>
        <w:t>月</w:t>
      </w:r>
      <w:r>
        <w:rPr>
          <w:rFonts w:hint="eastAsia" w:cs="宋体"/>
          <w:color w:val="auto"/>
          <w:kern w:val="0"/>
          <w:sz w:val="24"/>
          <w:lang w:val="en-US" w:eastAsia="zh-CN"/>
        </w:rPr>
        <w:t xml:space="preserve">  </w:t>
      </w:r>
      <w:r>
        <w:rPr>
          <w:rFonts w:hint="eastAsia" w:cs="宋体"/>
          <w:color w:val="auto"/>
          <w:kern w:val="0"/>
          <w:sz w:val="24"/>
        </w:rPr>
        <w:t xml:space="preserve">日     </w:t>
      </w:r>
    </w:p>
    <w:p w14:paraId="6C25B268">
      <w:pPr>
        <w:widowControl/>
        <w:adjustRightInd w:val="0"/>
        <w:jc w:val="center"/>
        <w:rPr>
          <w:rFonts w:cs="宋体"/>
          <w:b/>
          <w:color w:val="auto"/>
          <w:kern w:val="0"/>
          <w:sz w:val="24"/>
        </w:rPr>
      </w:pPr>
      <w:r>
        <w:rPr>
          <w:rFonts w:cs="宋体"/>
          <w:b/>
          <w:color w:val="auto"/>
          <w:kern w:val="0"/>
          <w:sz w:val="24"/>
        </w:rPr>
        <w:br w:type="page"/>
      </w:r>
    </w:p>
    <w:p w14:paraId="2C89D314">
      <w:pPr>
        <w:widowControl/>
        <w:adjustRightInd w:val="0"/>
        <w:jc w:val="center"/>
        <w:rPr>
          <w:rFonts w:eastAsia="黑体"/>
          <w:b/>
          <w:color w:val="auto"/>
          <w:sz w:val="32"/>
          <w:szCs w:val="32"/>
        </w:rPr>
      </w:pPr>
      <w:r>
        <w:rPr>
          <w:rFonts w:hint="eastAsia" w:eastAsia="黑体"/>
          <w:b/>
          <w:color w:val="auto"/>
          <w:sz w:val="32"/>
          <w:szCs w:val="32"/>
        </w:rPr>
        <w:t>第二章  采购需求</w:t>
      </w:r>
    </w:p>
    <w:p w14:paraId="6B3F64F1">
      <w:pPr>
        <w:widowControl/>
        <w:adjustRightInd w:val="0"/>
        <w:jc w:val="left"/>
        <w:rPr>
          <w:rFonts w:cs="宋体"/>
          <w:b/>
          <w:color w:val="auto"/>
          <w:kern w:val="0"/>
        </w:rPr>
      </w:pPr>
      <w:r>
        <w:rPr>
          <w:rFonts w:hint="eastAsia" w:cs="宋体"/>
          <w:b/>
          <w:color w:val="auto"/>
          <w:kern w:val="0"/>
        </w:rPr>
        <w:t>一、采购清单</w:t>
      </w:r>
    </w:p>
    <w:tbl>
      <w:tblPr>
        <w:tblStyle w:val="10"/>
        <w:tblW w:w="82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1470"/>
        <w:gridCol w:w="6045"/>
      </w:tblGrid>
      <w:tr w14:paraId="5AB778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718" w:type="dxa"/>
            <w:vAlign w:val="center"/>
          </w:tcPr>
          <w:p w14:paraId="7B87DE28">
            <w:pPr>
              <w:spacing w:line="440" w:lineRule="exact"/>
              <w:jc w:val="center"/>
              <w:rPr>
                <w:rFonts w:cs="宋体"/>
                <w:color w:val="auto"/>
                <w:kern w:val="0"/>
                <w:sz w:val="24"/>
              </w:rPr>
            </w:pPr>
            <w:r>
              <w:rPr>
                <w:rFonts w:hint="eastAsia" w:cs="宋体"/>
                <w:color w:val="auto"/>
                <w:kern w:val="0"/>
                <w:sz w:val="24"/>
              </w:rPr>
              <w:t>序号</w:t>
            </w:r>
          </w:p>
        </w:tc>
        <w:tc>
          <w:tcPr>
            <w:tcW w:w="1470" w:type="dxa"/>
            <w:vAlign w:val="center"/>
          </w:tcPr>
          <w:p w14:paraId="1F5ECDE7">
            <w:pPr>
              <w:spacing w:line="440" w:lineRule="exact"/>
              <w:jc w:val="center"/>
              <w:rPr>
                <w:rFonts w:cs="宋体"/>
                <w:color w:val="auto"/>
                <w:kern w:val="0"/>
                <w:sz w:val="24"/>
              </w:rPr>
            </w:pPr>
            <w:r>
              <w:rPr>
                <w:rFonts w:hint="eastAsia" w:cs="宋体"/>
                <w:color w:val="auto"/>
                <w:kern w:val="0"/>
                <w:sz w:val="24"/>
              </w:rPr>
              <w:t>服务名称</w:t>
            </w:r>
          </w:p>
        </w:tc>
        <w:tc>
          <w:tcPr>
            <w:tcW w:w="6045" w:type="dxa"/>
            <w:vAlign w:val="center"/>
          </w:tcPr>
          <w:p w14:paraId="1528AA5C">
            <w:pPr>
              <w:spacing w:line="440" w:lineRule="exact"/>
              <w:jc w:val="center"/>
              <w:rPr>
                <w:rFonts w:cs="宋体"/>
                <w:color w:val="0000FF"/>
                <w:kern w:val="0"/>
                <w:sz w:val="24"/>
              </w:rPr>
            </w:pPr>
            <w:r>
              <w:rPr>
                <w:rFonts w:hint="eastAsia" w:cs="宋体"/>
                <w:color w:val="0000FF"/>
                <w:kern w:val="0"/>
                <w:sz w:val="24"/>
              </w:rPr>
              <w:t>服务内容</w:t>
            </w:r>
          </w:p>
        </w:tc>
      </w:tr>
      <w:tr w14:paraId="20D3ED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718" w:type="dxa"/>
            <w:vAlign w:val="center"/>
          </w:tcPr>
          <w:p w14:paraId="45572851">
            <w:pPr>
              <w:spacing w:line="440" w:lineRule="exact"/>
              <w:jc w:val="center"/>
              <w:rPr>
                <w:rFonts w:cs="宋体"/>
                <w:color w:val="auto"/>
                <w:kern w:val="0"/>
                <w:sz w:val="24"/>
              </w:rPr>
            </w:pPr>
            <w:r>
              <w:rPr>
                <w:rFonts w:hint="eastAsia" w:cs="宋体"/>
                <w:color w:val="auto"/>
                <w:kern w:val="0"/>
                <w:sz w:val="24"/>
              </w:rPr>
              <w:t>1</w:t>
            </w:r>
          </w:p>
        </w:tc>
        <w:tc>
          <w:tcPr>
            <w:tcW w:w="1470" w:type="dxa"/>
            <w:vAlign w:val="center"/>
          </w:tcPr>
          <w:p w14:paraId="558209D4">
            <w:pPr>
              <w:widowControl/>
              <w:adjustRightInd w:val="0"/>
              <w:spacing w:line="400" w:lineRule="exact"/>
              <w:jc w:val="left"/>
              <w:rPr>
                <w:rFonts w:cs="宋体"/>
                <w:color w:val="auto"/>
                <w:kern w:val="0"/>
                <w:sz w:val="24"/>
              </w:rPr>
            </w:pPr>
            <w:r>
              <w:rPr>
                <w:rFonts w:hint="eastAsia" w:cs="宋体"/>
                <w:color w:val="auto"/>
                <w:kern w:val="0"/>
                <w:sz w:val="24"/>
                <w:szCs w:val="24"/>
                <w:lang w:val="en-US" w:eastAsia="zh-CN"/>
              </w:rPr>
              <w:t>统计基本单位名录库管理工作服务采购</w:t>
            </w:r>
          </w:p>
        </w:tc>
        <w:tc>
          <w:tcPr>
            <w:tcW w:w="6045" w:type="dxa"/>
            <w:vAlign w:val="center"/>
          </w:tcPr>
          <w:p w14:paraId="0F897CF5">
            <w:pPr>
              <w:widowControl/>
              <w:numPr>
                <w:ilvl w:val="-1"/>
                <w:numId w:val="0"/>
              </w:numPr>
              <w:adjustRightInd/>
              <w:snapToGrid/>
              <w:spacing w:line="440" w:lineRule="exact"/>
              <w:jc w:val="left"/>
              <w:rPr>
                <w:rFonts w:hint="eastAsia" w:cs="宋体"/>
                <w:color w:val="0000FF"/>
                <w:kern w:val="0"/>
                <w:sz w:val="24"/>
              </w:rPr>
            </w:pPr>
            <w:r>
              <w:rPr>
                <w:rFonts w:hint="eastAsia" w:cs="宋体"/>
                <w:color w:val="0000FF"/>
                <w:kern w:val="0"/>
                <w:sz w:val="24"/>
              </w:rPr>
              <w:t>根据省市区名录库维护工作的要求，每季度下发单位具体操作如下：</w:t>
            </w:r>
          </w:p>
          <w:p w14:paraId="58109C69">
            <w:pPr>
              <w:widowControl/>
              <w:numPr>
                <w:ilvl w:val="-1"/>
                <w:numId w:val="0"/>
              </w:numPr>
              <w:adjustRightInd/>
              <w:snapToGrid/>
              <w:spacing w:line="440" w:lineRule="exact"/>
              <w:jc w:val="left"/>
              <w:rPr>
                <w:rFonts w:hint="eastAsia" w:eastAsia="宋体" w:cs="宋体"/>
                <w:color w:val="0000FF"/>
                <w:kern w:val="0"/>
                <w:sz w:val="24"/>
                <w:lang w:eastAsia="zh-CN"/>
              </w:rPr>
            </w:pPr>
            <w:r>
              <w:rPr>
                <w:rFonts w:hint="eastAsia" w:cs="宋体"/>
                <w:color w:val="0000FF"/>
                <w:kern w:val="0"/>
                <w:sz w:val="24"/>
              </w:rPr>
              <w:t>1、</w:t>
            </w:r>
            <w:r>
              <w:rPr>
                <w:rFonts w:hint="eastAsia" w:cs="宋体"/>
                <w:color w:val="0000FF"/>
                <w:kern w:val="0"/>
                <w:sz w:val="24"/>
                <w:lang w:eastAsia="zh-CN"/>
              </w:rPr>
              <w:t>新成立企业</w:t>
            </w:r>
            <w:r>
              <w:rPr>
                <w:rFonts w:hint="eastAsia" w:cs="宋体"/>
                <w:color w:val="0000FF"/>
                <w:kern w:val="0"/>
                <w:sz w:val="24"/>
              </w:rPr>
              <w:t>核实维护：</w:t>
            </w:r>
          </w:p>
          <w:p w14:paraId="6A8FED53">
            <w:pPr>
              <w:widowControl/>
              <w:numPr>
                <w:ilvl w:val="-1"/>
                <w:numId w:val="0"/>
              </w:numPr>
              <w:adjustRightInd/>
              <w:snapToGrid/>
              <w:spacing w:line="440" w:lineRule="exact"/>
              <w:jc w:val="left"/>
              <w:rPr>
                <w:rFonts w:hint="eastAsia" w:cs="宋体"/>
                <w:color w:val="0000FF"/>
                <w:kern w:val="0"/>
                <w:sz w:val="24"/>
              </w:rPr>
            </w:pPr>
            <w:r>
              <w:rPr>
                <w:rFonts w:hint="eastAsia" w:cs="宋体"/>
                <w:color w:val="0000FF"/>
                <w:kern w:val="0"/>
                <w:sz w:val="24"/>
              </w:rPr>
              <w:t>①每季度对部门数据---</w:t>
            </w:r>
            <w:r>
              <w:rPr>
                <w:rFonts w:hint="eastAsia" w:cs="宋体"/>
                <w:color w:val="0000FF"/>
                <w:kern w:val="0"/>
                <w:sz w:val="24"/>
                <w:lang w:eastAsia="zh-CN"/>
              </w:rPr>
              <w:t>新成立企业</w:t>
            </w:r>
            <w:r>
              <w:rPr>
                <w:rFonts w:hint="eastAsia" w:cs="宋体"/>
                <w:color w:val="0000FF"/>
                <w:kern w:val="0"/>
                <w:sz w:val="24"/>
              </w:rPr>
              <w:t>核实维护节点内的新增单位根据地址划分至对应社区账号；</w:t>
            </w:r>
          </w:p>
          <w:p w14:paraId="6015F194">
            <w:pPr>
              <w:widowControl/>
              <w:numPr>
                <w:ilvl w:val="-1"/>
                <w:numId w:val="0"/>
              </w:numPr>
              <w:adjustRightInd/>
              <w:snapToGrid/>
              <w:spacing w:line="440" w:lineRule="exact"/>
              <w:jc w:val="left"/>
              <w:rPr>
                <w:rFonts w:hint="eastAsia" w:cs="宋体"/>
                <w:color w:val="0000FF"/>
                <w:kern w:val="0"/>
                <w:sz w:val="24"/>
              </w:rPr>
            </w:pPr>
            <w:r>
              <w:rPr>
                <w:rFonts w:hint="eastAsia" w:cs="宋体"/>
                <w:color w:val="0000FF"/>
                <w:kern w:val="0"/>
                <w:sz w:val="24"/>
              </w:rPr>
              <w:t>②调查员登录社区账号</w:t>
            </w:r>
            <w:r>
              <w:rPr>
                <w:rFonts w:hint="eastAsia" w:cs="宋体"/>
                <w:color w:val="0000FF"/>
                <w:kern w:val="0"/>
                <w:sz w:val="24"/>
                <w:lang w:eastAsia="zh-CN"/>
              </w:rPr>
              <w:t>，</w:t>
            </w:r>
            <w:r>
              <w:rPr>
                <w:rFonts w:hint="eastAsia" w:cs="宋体"/>
                <w:color w:val="0000FF"/>
                <w:kern w:val="0"/>
                <w:sz w:val="24"/>
              </w:rPr>
              <w:t>根据待处理单位的联系方式</w:t>
            </w:r>
            <w:r>
              <w:rPr>
                <w:rFonts w:hint="eastAsia" w:cs="宋体"/>
                <w:color w:val="0000FF"/>
                <w:kern w:val="0"/>
                <w:sz w:val="24"/>
                <w:lang w:val="en-US" w:eastAsia="zh-CN"/>
              </w:rPr>
              <w:t>通过电话</w:t>
            </w:r>
            <w:r>
              <w:rPr>
                <w:rFonts w:hint="eastAsia" w:cs="宋体"/>
                <w:color w:val="0000FF"/>
                <w:kern w:val="0"/>
                <w:sz w:val="24"/>
              </w:rPr>
              <w:t>联系企业，对联系成功企业进行询问，根据实际情况进行新增入库、搬迁或特殊处理等操作；</w:t>
            </w:r>
          </w:p>
          <w:p w14:paraId="560CA2D2">
            <w:pPr>
              <w:widowControl/>
              <w:numPr>
                <w:ilvl w:val="-1"/>
                <w:numId w:val="0"/>
              </w:numPr>
              <w:adjustRightInd/>
              <w:snapToGrid/>
              <w:spacing w:line="440" w:lineRule="exact"/>
              <w:jc w:val="left"/>
              <w:rPr>
                <w:rFonts w:hint="eastAsia" w:cs="宋体"/>
                <w:color w:val="0000FF"/>
                <w:kern w:val="0"/>
                <w:sz w:val="24"/>
              </w:rPr>
            </w:pPr>
            <w:r>
              <w:rPr>
                <w:rFonts w:hint="eastAsia" w:cs="宋体"/>
                <w:color w:val="0000FF"/>
                <w:kern w:val="0"/>
                <w:sz w:val="24"/>
              </w:rPr>
              <w:t>③调查员对电话无法联系的单位，进行整理归纳后按照</w:t>
            </w:r>
            <w:r>
              <w:rPr>
                <w:rFonts w:hint="eastAsia" w:cs="宋体"/>
                <w:color w:val="0000FF"/>
                <w:kern w:val="0"/>
                <w:sz w:val="24"/>
                <w:lang w:val="en-US" w:eastAsia="zh-CN"/>
              </w:rPr>
              <w:t>注册</w:t>
            </w:r>
            <w:r>
              <w:rPr>
                <w:rFonts w:hint="eastAsia" w:cs="宋体"/>
                <w:color w:val="0000FF"/>
                <w:kern w:val="0"/>
                <w:sz w:val="24"/>
              </w:rPr>
              <w:t>地址实地上门核实信息；</w:t>
            </w:r>
          </w:p>
          <w:p w14:paraId="20D279A6">
            <w:pPr>
              <w:widowControl/>
              <w:numPr>
                <w:ilvl w:val="-1"/>
                <w:numId w:val="0"/>
              </w:numPr>
              <w:adjustRightInd/>
              <w:snapToGrid/>
              <w:spacing w:line="440" w:lineRule="exact"/>
              <w:jc w:val="left"/>
              <w:rPr>
                <w:rFonts w:hint="eastAsia" w:cs="宋体"/>
                <w:color w:val="0000FF"/>
                <w:kern w:val="0"/>
                <w:sz w:val="24"/>
              </w:rPr>
            </w:pPr>
            <w:r>
              <w:rPr>
                <w:rFonts w:hint="eastAsia" w:cs="宋体"/>
                <w:color w:val="0000FF"/>
                <w:kern w:val="0"/>
                <w:sz w:val="24"/>
              </w:rPr>
              <w:t>④调查员对电话联系不上且实地找不到的单位统一整理归纳，反馈</w:t>
            </w:r>
            <w:r>
              <w:rPr>
                <w:rFonts w:hint="eastAsia" w:cs="宋体"/>
                <w:color w:val="0000FF"/>
                <w:kern w:val="0"/>
                <w:sz w:val="24"/>
                <w:lang w:val="en-US" w:eastAsia="zh-CN"/>
              </w:rPr>
              <w:t>区</w:t>
            </w:r>
            <w:r>
              <w:rPr>
                <w:rFonts w:hint="eastAsia" w:cs="宋体"/>
                <w:color w:val="0000FF"/>
                <w:kern w:val="0"/>
                <w:sz w:val="24"/>
              </w:rPr>
              <w:t>统计局进行特殊处理。</w:t>
            </w:r>
          </w:p>
          <w:p w14:paraId="32A19FB5">
            <w:pPr>
              <w:widowControl/>
              <w:numPr>
                <w:ilvl w:val="-1"/>
                <w:numId w:val="0"/>
              </w:numPr>
              <w:adjustRightInd/>
              <w:snapToGrid/>
              <w:spacing w:line="440" w:lineRule="exact"/>
              <w:jc w:val="left"/>
              <w:rPr>
                <w:rFonts w:hint="eastAsia" w:cs="宋体"/>
                <w:color w:val="0000FF"/>
                <w:kern w:val="0"/>
                <w:sz w:val="24"/>
              </w:rPr>
            </w:pPr>
            <w:r>
              <w:rPr>
                <w:rFonts w:hint="eastAsia" w:cs="宋体"/>
                <w:color w:val="0000FF"/>
                <w:kern w:val="0"/>
                <w:sz w:val="24"/>
              </w:rPr>
              <w:t>2、在库单位数据维护：</w:t>
            </w:r>
          </w:p>
          <w:p w14:paraId="3C725491">
            <w:pPr>
              <w:widowControl/>
              <w:numPr>
                <w:ilvl w:val="-1"/>
                <w:numId w:val="0"/>
              </w:numPr>
              <w:adjustRightInd/>
              <w:snapToGrid/>
              <w:spacing w:line="440" w:lineRule="exact"/>
              <w:jc w:val="left"/>
              <w:rPr>
                <w:rFonts w:hint="eastAsia" w:cs="宋体"/>
                <w:color w:val="0000FF"/>
                <w:kern w:val="0"/>
                <w:sz w:val="24"/>
              </w:rPr>
            </w:pPr>
            <w:r>
              <w:rPr>
                <w:rFonts w:hint="eastAsia" w:cs="宋体"/>
                <w:color w:val="0000FF"/>
                <w:kern w:val="0"/>
                <w:sz w:val="24"/>
              </w:rPr>
              <w:t>每季度将按照系统下发的维护清单进行点对点的核实修改，完成单位数据维护。具体操作如下:</w:t>
            </w:r>
          </w:p>
          <w:p w14:paraId="16E1E994">
            <w:pPr>
              <w:widowControl/>
              <w:numPr>
                <w:ilvl w:val="-1"/>
                <w:numId w:val="0"/>
              </w:numPr>
              <w:adjustRightInd/>
              <w:snapToGrid/>
              <w:spacing w:line="440" w:lineRule="exact"/>
              <w:jc w:val="left"/>
              <w:rPr>
                <w:rFonts w:hint="eastAsia" w:eastAsia="宋体" w:cs="宋体"/>
                <w:color w:val="0000FF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FF"/>
                <w:kern w:val="0"/>
                <w:sz w:val="24"/>
              </w:rPr>
              <w:t>①根据基本单位法人维护模板中，对新增单位中统一社会信用代码、单位名称、机构类型、登记注册类型、法定代表人、主营业务活动、机构类型等各项指标进行核实填写。</w:t>
            </w:r>
            <w:r>
              <w:rPr>
                <w:rFonts w:hint="eastAsia" w:ascii="Times New Roman" w:hAnsi="Times New Roman" w:cs="宋体"/>
                <w:color w:val="0000FF"/>
                <w:kern w:val="0"/>
                <w:sz w:val="24"/>
              </w:rPr>
              <w:br w:type="textWrapping"/>
            </w:r>
            <w:r>
              <w:rPr>
                <w:rFonts w:hint="eastAsia" w:ascii="Times New Roman" w:hAnsi="Times New Roman" w:cs="宋体"/>
                <w:color w:val="0000FF"/>
                <w:kern w:val="0"/>
                <w:sz w:val="24"/>
              </w:rPr>
              <w:t>②根据省市区下发要求，及时完成数据审核--首要更正管理各项条件清单需维护单位进行修改，包括法人单位表和产业活动单位表内的错误信息。</w:t>
            </w:r>
          </w:p>
        </w:tc>
      </w:tr>
    </w:tbl>
    <w:p w14:paraId="00CBCCDD">
      <w:pPr>
        <w:widowControl/>
        <w:adjustRightInd w:val="0"/>
        <w:jc w:val="left"/>
        <w:rPr>
          <w:rFonts w:cs="宋体"/>
          <w:b/>
          <w:color w:val="auto"/>
          <w:kern w:val="0"/>
        </w:rPr>
      </w:pPr>
      <w:r>
        <w:rPr>
          <w:rFonts w:hint="eastAsia" w:cs="宋体"/>
          <w:b/>
          <w:color w:val="auto"/>
          <w:kern w:val="0"/>
        </w:rPr>
        <w:t>二、服务要求</w:t>
      </w:r>
    </w:p>
    <w:p w14:paraId="6A5595B9">
      <w:pPr>
        <w:widowControl/>
        <w:adjustRightInd w:val="0"/>
        <w:ind w:firstLine="560"/>
        <w:jc w:val="left"/>
        <w:rPr>
          <w:rFonts w:hint="eastAsia" w:eastAsia="宋体" w:cs="宋体"/>
          <w:color w:val="auto"/>
          <w:kern w:val="0"/>
          <w:sz w:val="24"/>
          <w:lang w:eastAsia="zh-CN"/>
        </w:rPr>
      </w:pPr>
      <w:r>
        <w:rPr>
          <w:rFonts w:hint="eastAsia" w:cs="宋体"/>
          <w:color w:val="auto"/>
          <w:kern w:val="0"/>
          <w:sz w:val="24"/>
        </w:rPr>
        <w:t>1、服务期：</w:t>
      </w:r>
      <w:r>
        <w:rPr>
          <w:rFonts w:hint="eastAsia" w:cs="宋体"/>
          <w:color w:val="auto"/>
          <w:kern w:val="0"/>
          <w:sz w:val="24"/>
          <w:lang w:val="en-US" w:eastAsia="zh-CN"/>
        </w:rPr>
        <w:t>1年</w:t>
      </w:r>
      <w:r>
        <w:rPr>
          <w:rFonts w:hint="eastAsia" w:cs="宋体"/>
          <w:color w:val="auto"/>
          <w:kern w:val="0"/>
          <w:sz w:val="24"/>
        </w:rPr>
        <w:t>。</w:t>
      </w:r>
      <w:r>
        <w:rPr>
          <w:rFonts w:hint="eastAsia" w:cs="宋体"/>
          <w:color w:val="auto"/>
          <w:kern w:val="0"/>
          <w:sz w:val="24"/>
          <w:lang w:eastAsia="zh-CN"/>
        </w:rPr>
        <w:t>（</w:t>
      </w:r>
      <w:r>
        <w:rPr>
          <w:rFonts w:hint="eastAsia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具体以合同</w:t>
      </w:r>
      <w:r>
        <w:rPr>
          <w:rFonts w:hint="eastAsia" w:cs="宋体"/>
          <w:color w:val="000000" w:themeColor="text1"/>
          <w:kern w:val="0"/>
          <w:sz w:val="24"/>
          <w:lang w:val="en-US" w:eastAsia="zh-CN"/>
          <w14:textFill>
            <w14:solidFill>
              <w14:schemeClr w14:val="tx1"/>
            </w14:solidFill>
          </w14:textFill>
        </w:rPr>
        <w:t>签订</w:t>
      </w:r>
      <w:r>
        <w:rPr>
          <w:rFonts w:hint="eastAsia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为准</w:t>
      </w:r>
      <w:r>
        <w:rPr>
          <w:rFonts w:hint="eastAsia" w:cs="宋体"/>
          <w:color w:val="000000" w:themeColor="text1"/>
          <w:kern w:val="0"/>
          <w:sz w:val="24"/>
          <w:lang w:eastAsia="zh-CN"/>
          <w14:textFill>
            <w14:solidFill>
              <w14:schemeClr w14:val="tx1"/>
            </w14:solidFill>
          </w14:textFill>
        </w:rPr>
        <w:t>）</w:t>
      </w:r>
    </w:p>
    <w:p w14:paraId="67510FBC">
      <w:pPr>
        <w:widowControl/>
        <w:adjustRightInd w:val="0"/>
        <w:ind w:firstLine="560"/>
        <w:jc w:val="left"/>
        <w:rPr>
          <w:rFonts w:cs="宋体"/>
          <w:color w:val="auto"/>
          <w:kern w:val="0"/>
          <w:sz w:val="24"/>
        </w:rPr>
      </w:pPr>
      <w:r>
        <w:rPr>
          <w:rFonts w:hint="eastAsia" w:cs="宋体"/>
          <w:color w:val="auto"/>
          <w:kern w:val="0"/>
          <w:sz w:val="24"/>
        </w:rPr>
        <w:t>2、服务地点：余杭区</w:t>
      </w:r>
      <w:r>
        <w:rPr>
          <w:rFonts w:hint="eastAsia" w:cs="宋体"/>
          <w:color w:val="auto"/>
          <w:kern w:val="0"/>
          <w:sz w:val="24"/>
          <w:lang w:val="en-US" w:eastAsia="zh-CN"/>
        </w:rPr>
        <w:t>仓前街道</w:t>
      </w:r>
      <w:r>
        <w:rPr>
          <w:rFonts w:hint="eastAsia" w:cs="宋体"/>
          <w:color w:val="000000" w:themeColor="text1"/>
          <w:kern w:val="0"/>
          <w:sz w:val="24"/>
          <w:lang w:val="en-US" w:eastAsia="zh-CN"/>
          <w14:textFill>
            <w14:solidFill>
              <w14:schemeClr w14:val="tx1"/>
            </w14:solidFill>
          </w14:textFill>
        </w:rPr>
        <w:t>辖区内</w:t>
      </w:r>
      <w:r>
        <w:rPr>
          <w:rFonts w:hint="eastAsia" w:cs="宋体"/>
          <w:color w:val="auto"/>
          <w:kern w:val="0"/>
          <w:sz w:val="24"/>
        </w:rPr>
        <w:t>；</w:t>
      </w:r>
    </w:p>
    <w:p w14:paraId="385EBB64">
      <w:pPr>
        <w:widowControl/>
        <w:adjustRightInd w:val="0"/>
        <w:spacing w:line="400" w:lineRule="exact"/>
        <w:ind w:firstLine="560"/>
        <w:jc w:val="left"/>
        <w:rPr>
          <w:rFonts w:hint="eastAsia" w:cs="宋体"/>
          <w:color w:val="auto"/>
          <w:kern w:val="0"/>
          <w:sz w:val="24"/>
        </w:rPr>
      </w:pPr>
      <w:r>
        <w:rPr>
          <w:rFonts w:hint="eastAsia" w:cs="宋体"/>
          <w:color w:val="auto"/>
          <w:kern w:val="0"/>
          <w:sz w:val="24"/>
        </w:rPr>
        <w:t>3、服务质量要求：符合相关规定要求及采购人要求。</w:t>
      </w:r>
    </w:p>
    <w:p w14:paraId="38286FBB">
      <w:pPr>
        <w:jc w:val="center"/>
        <w:rPr>
          <w:rFonts w:cs="宋体"/>
          <w:color w:val="auto"/>
          <w:kern w:val="0"/>
          <w:sz w:val="24"/>
        </w:rPr>
      </w:pPr>
      <w:r>
        <w:rPr>
          <w:rFonts w:cs="宋体"/>
          <w:color w:val="auto"/>
          <w:kern w:val="0"/>
          <w:sz w:val="24"/>
        </w:rPr>
        <w:br w:type="page"/>
      </w:r>
    </w:p>
    <w:p w14:paraId="500B1F08">
      <w:pPr>
        <w:widowControl/>
        <w:snapToGrid w:val="0"/>
        <w:jc w:val="center"/>
        <w:rPr>
          <w:color w:val="auto"/>
          <w:sz w:val="24"/>
        </w:rPr>
      </w:pPr>
    </w:p>
    <w:p w14:paraId="3BB1CA5A">
      <w:pPr>
        <w:widowControl/>
        <w:snapToGrid w:val="0"/>
        <w:jc w:val="center"/>
        <w:rPr>
          <w:rFonts w:hint="eastAsia" w:ascii="宋体" w:hAnsi="宋体" w:eastAsia="宋体" w:cs="宋体"/>
          <w:sz w:val="22"/>
          <w:szCs w:val="28"/>
        </w:rPr>
      </w:pPr>
      <w:r>
        <w:rPr>
          <w:rFonts w:hint="eastAsia" w:ascii="宋体" w:hAnsi="宋体" w:eastAsia="宋体" w:cs="宋体"/>
          <w:sz w:val="22"/>
          <w:szCs w:val="28"/>
          <w:lang w:val="en-US" w:eastAsia="zh-CN"/>
        </w:rPr>
        <w:t>扫描查看报价函、授权委托书等格式</w:t>
      </w:r>
    </w:p>
    <w:p w14:paraId="7D5D70D5">
      <w:pPr>
        <w:widowControl/>
        <w:snapToGrid w:val="0"/>
        <w:jc w:val="center"/>
      </w:pPr>
    </w:p>
    <w:p w14:paraId="4683BE32">
      <w:pPr>
        <w:widowControl/>
        <w:snapToGrid w:val="0"/>
        <w:jc w:val="center"/>
      </w:pPr>
      <w:r>
        <w:drawing>
          <wp:inline distT="0" distB="0" distL="114300" distR="114300">
            <wp:extent cx="2552700" cy="25146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6DD17C">
      <w:pPr>
        <w:widowControl/>
        <w:snapToGrid w:val="0"/>
        <w:jc w:val="center"/>
        <w:rPr>
          <w:rFonts w:hint="eastAsia"/>
          <w:lang w:eastAsia="zh-CN"/>
        </w:rPr>
      </w:pPr>
    </w:p>
    <w:p w14:paraId="63D01124">
      <w:pPr>
        <w:widowControl/>
        <w:snapToGrid w:val="0"/>
        <w:jc w:val="center"/>
        <w:rPr>
          <w:rFonts w:hint="eastAsia"/>
          <w:lang w:eastAsia="zh-CN"/>
        </w:rPr>
      </w:pPr>
    </w:p>
    <w:p w14:paraId="5AEA42F6">
      <w:pPr>
        <w:widowControl/>
        <w:snapToGrid w:val="0"/>
        <w:jc w:val="center"/>
        <w:rPr>
          <w:rFonts w:hint="eastAsia"/>
          <w:lang w:eastAsia="zh-CN"/>
        </w:rPr>
      </w:pPr>
    </w:p>
    <w:p w14:paraId="5B069C81">
      <w:pPr>
        <w:widowControl/>
        <w:snapToGrid w:val="0"/>
        <w:jc w:val="center"/>
        <w:rPr>
          <w:rFonts w:hint="eastAsia"/>
          <w:lang w:eastAsia="zh-CN"/>
        </w:rPr>
      </w:pPr>
    </w:p>
    <w:p w14:paraId="55F82791">
      <w:pPr>
        <w:widowControl/>
        <w:snapToGrid w:val="0"/>
        <w:jc w:val="center"/>
        <w:rPr>
          <w:rFonts w:hint="eastAsia"/>
          <w:lang w:eastAsia="zh-CN"/>
        </w:rPr>
      </w:pPr>
    </w:p>
    <w:p w14:paraId="63E47A40">
      <w:pPr>
        <w:widowControl/>
        <w:snapToGrid w:val="0"/>
        <w:jc w:val="center"/>
        <w:rPr>
          <w:rFonts w:hint="eastAsia"/>
          <w:lang w:eastAsia="zh-CN"/>
        </w:rPr>
      </w:pPr>
    </w:p>
    <w:p w14:paraId="2C23920B">
      <w:pPr>
        <w:widowControl/>
        <w:snapToGrid w:val="0"/>
        <w:jc w:val="center"/>
        <w:rPr>
          <w:rFonts w:hint="eastAsia"/>
          <w:lang w:eastAsia="zh-CN"/>
        </w:rPr>
      </w:pPr>
    </w:p>
    <w:p w14:paraId="1EA1A73B">
      <w:pPr>
        <w:widowControl/>
        <w:snapToGrid w:val="0"/>
        <w:jc w:val="center"/>
        <w:rPr>
          <w:rFonts w:hint="eastAsia"/>
          <w:lang w:eastAsia="zh-CN"/>
        </w:rPr>
      </w:pPr>
    </w:p>
    <w:p w14:paraId="4B5B0AB4">
      <w:pPr>
        <w:widowControl/>
        <w:snapToGrid w:val="0"/>
        <w:jc w:val="center"/>
        <w:rPr>
          <w:rFonts w:hint="eastAsia"/>
          <w:lang w:eastAsia="zh-CN"/>
        </w:rPr>
      </w:pPr>
    </w:p>
    <w:p w14:paraId="341FC22E">
      <w:pPr>
        <w:widowControl/>
        <w:snapToGrid w:val="0"/>
        <w:jc w:val="center"/>
        <w:rPr>
          <w:rFonts w:hint="eastAsia"/>
          <w:lang w:eastAsia="zh-CN"/>
        </w:rPr>
      </w:pPr>
    </w:p>
    <w:p w14:paraId="6E19A5D3">
      <w:pPr>
        <w:widowControl/>
        <w:snapToGrid w:val="0"/>
        <w:jc w:val="center"/>
        <w:rPr>
          <w:rFonts w:hint="eastAsia"/>
          <w:lang w:eastAsia="zh-CN"/>
        </w:rPr>
      </w:pPr>
    </w:p>
    <w:p w14:paraId="50309F2A">
      <w:pPr>
        <w:widowControl/>
        <w:snapToGrid w:val="0"/>
        <w:jc w:val="center"/>
        <w:rPr>
          <w:rFonts w:hint="eastAsia"/>
          <w:lang w:eastAsia="zh-CN"/>
        </w:rPr>
      </w:pPr>
    </w:p>
    <w:p w14:paraId="21C14192">
      <w:pPr>
        <w:widowControl/>
        <w:snapToGrid w:val="0"/>
        <w:jc w:val="center"/>
        <w:rPr>
          <w:rFonts w:hint="eastAsia"/>
          <w:lang w:eastAsia="zh-CN"/>
        </w:rPr>
      </w:pPr>
    </w:p>
    <w:p w14:paraId="481DEDC5">
      <w:pPr>
        <w:widowControl/>
        <w:snapToGrid w:val="0"/>
        <w:jc w:val="center"/>
        <w:rPr>
          <w:rFonts w:hint="eastAsia"/>
          <w:lang w:eastAsia="zh-CN"/>
        </w:rPr>
      </w:pPr>
    </w:p>
    <w:p w14:paraId="5D787040">
      <w:pPr>
        <w:widowControl/>
        <w:snapToGrid w:val="0"/>
        <w:jc w:val="center"/>
        <w:rPr>
          <w:rFonts w:hint="eastAsia"/>
          <w:lang w:eastAsia="zh-CN"/>
        </w:rPr>
      </w:pPr>
    </w:p>
    <w:p w14:paraId="1786305D">
      <w:pPr>
        <w:widowControl/>
        <w:snapToGrid w:val="0"/>
        <w:jc w:val="center"/>
        <w:rPr>
          <w:rFonts w:hint="eastAsia"/>
          <w:lang w:eastAsia="zh-CN"/>
        </w:rPr>
      </w:pPr>
    </w:p>
    <w:p w14:paraId="750061F5">
      <w:pPr>
        <w:widowControl/>
        <w:snapToGrid w:val="0"/>
        <w:jc w:val="center"/>
        <w:rPr>
          <w:rFonts w:hint="eastAsia"/>
          <w:lang w:eastAsia="zh-CN"/>
        </w:rPr>
      </w:pPr>
    </w:p>
    <w:p w14:paraId="081012B6">
      <w:pPr>
        <w:widowControl/>
        <w:snapToGrid w:val="0"/>
        <w:jc w:val="center"/>
        <w:rPr>
          <w:rFonts w:hint="eastAsia"/>
          <w:lang w:eastAsia="zh-CN"/>
        </w:rPr>
      </w:pPr>
    </w:p>
    <w:p w14:paraId="4F311A36">
      <w:pPr>
        <w:widowControl/>
        <w:snapToGrid w:val="0"/>
        <w:jc w:val="center"/>
        <w:rPr>
          <w:rFonts w:hint="eastAsia"/>
          <w:lang w:eastAsia="zh-CN"/>
        </w:rPr>
      </w:pPr>
    </w:p>
    <w:p w14:paraId="7562C8EC">
      <w:pPr>
        <w:widowControl/>
        <w:snapToGrid w:val="0"/>
        <w:jc w:val="center"/>
        <w:rPr>
          <w:rFonts w:hint="eastAsia"/>
          <w:lang w:eastAsia="zh-CN"/>
        </w:rPr>
      </w:pPr>
    </w:p>
    <w:p w14:paraId="578860AF">
      <w:pPr>
        <w:widowControl/>
        <w:snapToGrid w:val="0"/>
        <w:jc w:val="center"/>
        <w:rPr>
          <w:rFonts w:hint="eastAsia"/>
          <w:lang w:eastAsia="zh-CN"/>
        </w:rPr>
      </w:pPr>
    </w:p>
    <w:p w14:paraId="742DA106">
      <w:pPr>
        <w:widowControl/>
        <w:snapToGrid w:val="0"/>
        <w:jc w:val="center"/>
        <w:rPr>
          <w:rFonts w:hint="eastAsia"/>
          <w:lang w:eastAsia="zh-CN"/>
        </w:rPr>
      </w:pPr>
    </w:p>
    <w:p w14:paraId="341CEE3B">
      <w:pPr>
        <w:widowControl/>
        <w:snapToGrid w:val="0"/>
        <w:jc w:val="center"/>
        <w:rPr>
          <w:rFonts w:hint="eastAsia"/>
          <w:lang w:eastAsia="zh-CN"/>
        </w:rPr>
      </w:pPr>
    </w:p>
    <w:p w14:paraId="457B58A9">
      <w:pPr>
        <w:widowControl/>
        <w:snapToGrid w:val="0"/>
        <w:jc w:val="center"/>
        <w:rPr>
          <w:rFonts w:hint="eastAsia"/>
          <w:lang w:eastAsia="zh-CN"/>
        </w:rPr>
      </w:pPr>
    </w:p>
    <w:p w14:paraId="61AF08AB">
      <w:pPr>
        <w:widowControl/>
        <w:snapToGrid w:val="0"/>
        <w:jc w:val="center"/>
        <w:rPr>
          <w:rFonts w:hint="eastAsia"/>
          <w:lang w:eastAsia="zh-CN"/>
        </w:rPr>
      </w:pPr>
    </w:p>
    <w:p w14:paraId="2E7D8FA2">
      <w:pPr>
        <w:widowControl/>
        <w:snapToGrid w:val="0"/>
        <w:jc w:val="center"/>
        <w:rPr>
          <w:rFonts w:hint="eastAsia"/>
          <w:lang w:eastAsia="zh-CN"/>
        </w:rPr>
      </w:pPr>
    </w:p>
    <w:p w14:paraId="0647CDEC">
      <w:pPr>
        <w:widowControl/>
        <w:snapToGrid w:val="0"/>
        <w:jc w:val="center"/>
        <w:rPr>
          <w:rFonts w:hint="eastAsia"/>
          <w:lang w:eastAsia="zh-CN"/>
        </w:rPr>
      </w:pPr>
    </w:p>
    <w:p w14:paraId="32307017">
      <w:pPr>
        <w:widowControl/>
        <w:snapToGrid w:val="0"/>
        <w:jc w:val="center"/>
        <w:rPr>
          <w:rFonts w:hint="eastAsia"/>
          <w:lang w:eastAsia="zh-CN"/>
        </w:rPr>
      </w:pPr>
    </w:p>
    <w:p w14:paraId="636D4E0C">
      <w:pPr>
        <w:widowControl/>
        <w:snapToGrid w:val="0"/>
        <w:jc w:val="center"/>
        <w:rPr>
          <w:rFonts w:hint="eastAsia"/>
          <w:lang w:eastAsia="zh-CN"/>
        </w:rPr>
      </w:pPr>
    </w:p>
    <w:p w14:paraId="2E5785A2">
      <w:pPr>
        <w:widowControl/>
        <w:snapToGrid w:val="0"/>
        <w:jc w:val="center"/>
        <w:rPr>
          <w:rFonts w:hint="eastAsia"/>
          <w:lang w:eastAsia="zh-CN"/>
        </w:rPr>
      </w:pPr>
    </w:p>
    <w:p w14:paraId="5A6ECAAD">
      <w:pPr>
        <w:widowControl/>
        <w:snapToGrid w:val="0"/>
        <w:jc w:val="center"/>
        <w:rPr>
          <w:rFonts w:hint="eastAsia"/>
          <w:lang w:eastAsia="zh-CN"/>
        </w:rPr>
      </w:pPr>
    </w:p>
    <w:p w14:paraId="2DA91D54">
      <w:pPr>
        <w:widowControl/>
        <w:snapToGrid w:val="0"/>
        <w:jc w:val="center"/>
        <w:rPr>
          <w:rFonts w:hint="eastAsia"/>
          <w:lang w:eastAsia="zh-CN"/>
        </w:rPr>
      </w:pPr>
    </w:p>
    <w:p w14:paraId="7BFB593F">
      <w:pPr>
        <w:widowControl/>
        <w:snapToGrid w:val="0"/>
        <w:jc w:val="center"/>
        <w:rPr>
          <w:rFonts w:hint="eastAsia"/>
          <w:lang w:eastAsia="zh-CN"/>
        </w:rPr>
      </w:pPr>
    </w:p>
    <w:p w14:paraId="590E8EAD">
      <w:pPr>
        <w:widowControl/>
        <w:snapToGrid w:val="0"/>
        <w:jc w:val="center"/>
        <w:rPr>
          <w:rFonts w:hint="eastAsia"/>
          <w:lang w:eastAsia="zh-CN"/>
        </w:rPr>
      </w:pPr>
    </w:p>
    <w:p w14:paraId="48EDEABF">
      <w:pPr>
        <w:widowControl/>
        <w:snapToGrid w:val="0"/>
        <w:jc w:val="center"/>
        <w:rPr>
          <w:rFonts w:hint="eastAsia"/>
          <w:lang w:eastAsia="zh-CN"/>
        </w:rPr>
      </w:pPr>
    </w:p>
    <w:p w14:paraId="00A7D656">
      <w:pPr>
        <w:widowControl/>
        <w:snapToGrid w:val="0"/>
        <w:jc w:val="center"/>
        <w:rPr>
          <w:rFonts w:hint="eastAsia"/>
          <w:lang w:eastAsia="zh-CN"/>
        </w:rPr>
      </w:pPr>
    </w:p>
    <w:p w14:paraId="31FCB774">
      <w:pPr>
        <w:widowControl/>
        <w:snapToGrid w:val="0"/>
        <w:jc w:val="center"/>
        <w:rPr>
          <w:rFonts w:hint="eastAsia"/>
          <w:lang w:eastAsia="zh-CN"/>
        </w:rPr>
      </w:pPr>
    </w:p>
    <w:p w14:paraId="041A8344">
      <w:pPr>
        <w:widowControl/>
        <w:snapToGrid w:val="0"/>
        <w:jc w:val="center"/>
        <w:rPr>
          <w:rFonts w:hint="eastAsia"/>
          <w:lang w:eastAsia="zh-CN"/>
        </w:rPr>
      </w:pPr>
    </w:p>
    <w:p w14:paraId="21C805CD">
      <w:pPr>
        <w:widowControl/>
        <w:snapToGrid w:val="0"/>
        <w:jc w:val="both"/>
        <w:rPr>
          <w:rFonts w:hint="eastAsia"/>
          <w:lang w:eastAsia="zh-CN"/>
        </w:rPr>
      </w:pPr>
    </w:p>
    <w:sectPr>
      <w:pgSz w:w="11906" w:h="16838"/>
      <w:pgMar w:top="1418" w:right="1588" w:bottom="1134" w:left="1588" w:header="851" w:footer="136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hiMGVmMGMzNmM2ZTI2ZDUzNmU2OWUyMmI3YzNiOWMifQ=="/>
  </w:docVars>
  <w:rsids>
    <w:rsidRoot w:val="00DD19EB"/>
    <w:rsid w:val="000C6A95"/>
    <w:rsid w:val="000D1C26"/>
    <w:rsid w:val="0013051E"/>
    <w:rsid w:val="00136264"/>
    <w:rsid w:val="00147BFF"/>
    <w:rsid w:val="001A0075"/>
    <w:rsid w:val="001B3B66"/>
    <w:rsid w:val="00206503"/>
    <w:rsid w:val="00221026"/>
    <w:rsid w:val="00234780"/>
    <w:rsid w:val="00246412"/>
    <w:rsid w:val="002F2DBB"/>
    <w:rsid w:val="00340605"/>
    <w:rsid w:val="0035589A"/>
    <w:rsid w:val="00391FAF"/>
    <w:rsid w:val="003D423E"/>
    <w:rsid w:val="00414448"/>
    <w:rsid w:val="00475E20"/>
    <w:rsid w:val="00516262"/>
    <w:rsid w:val="00537512"/>
    <w:rsid w:val="005C206C"/>
    <w:rsid w:val="005C2C4A"/>
    <w:rsid w:val="005F1A06"/>
    <w:rsid w:val="00625A16"/>
    <w:rsid w:val="006843AB"/>
    <w:rsid w:val="006C7679"/>
    <w:rsid w:val="00730E3B"/>
    <w:rsid w:val="00750B3A"/>
    <w:rsid w:val="007814E2"/>
    <w:rsid w:val="007F6254"/>
    <w:rsid w:val="008C6E51"/>
    <w:rsid w:val="008D6B57"/>
    <w:rsid w:val="00913542"/>
    <w:rsid w:val="009229BD"/>
    <w:rsid w:val="009525C7"/>
    <w:rsid w:val="0096289E"/>
    <w:rsid w:val="009E3711"/>
    <w:rsid w:val="00A11E5D"/>
    <w:rsid w:val="00A14DE0"/>
    <w:rsid w:val="00A164B6"/>
    <w:rsid w:val="00A6760C"/>
    <w:rsid w:val="00AA2459"/>
    <w:rsid w:val="00B01283"/>
    <w:rsid w:val="00B0275C"/>
    <w:rsid w:val="00B277C8"/>
    <w:rsid w:val="00B45A3A"/>
    <w:rsid w:val="00B6134A"/>
    <w:rsid w:val="00B75E83"/>
    <w:rsid w:val="00B971FB"/>
    <w:rsid w:val="00BA1083"/>
    <w:rsid w:val="00BD232C"/>
    <w:rsid w:val="00BF720C"/>
    <w:rsid w:val="00C359AE"/>
    <w:rsid w:val="00CC7D50"/>
    <w:rsid w:val="00CD4F14"/>
    <w:rsid w:val="00CE2527"/>
    <w:rsid w:val="00CE3679"/>
    <w:rsid w:val="00CE7F79"/>
    <w:rsid w:val="00CF11A0"/>
    <w:rsid w:val="00D36F2A"/>
    <w:rsid w:val="00DD19EB"/>
    <w:rsid w:val="00DD1CB8"/>
    <w:rsid w:val="00E122DE"/>
    <w:rsid w:val="00E33285"/>
    <w:rsid w:val="00E90145"/>
    <w:rsid w:val="00E959C7"/>
    <w:rsid w:val="00EA4B51"/>
    <w:rsid w:val="00ED2D82"/>
    <w:rsid w:val="00ED546F"/>
    <w:rsid w:val="00EF367A"/>
    <w:rsid w:val="00F10BCA"/>
    <w:rsid w:val="00F21572"/>
    <w:rsid w:val="00F4715D"/>
    <w:rsid w:val="00F86690"/>
    <w:rsid w:val="00FE0C4A"/>
    <w:rsid w:val="01300815"/>
    <w:rsid w:val="01583B17"/>
    <w:rsid w:val="02202A8B"/>
    <w:rsid w:val="03493909"/>
    <w:rsid w:val="03E2554B"/>
    <w:rsid w:val="063A78C0"/>
    <w:rsid w:val="080812F8"/>
    <w:rsid w:val="0A825391"/>
    <w:rsid w:val="0ADF234F"/>
    <w:rsid w:val="0B057D70"/>
    <w:rsid w:val="0C286AA4"/>
    <w:rsid w:val="0CF06F2A"/>
    <w:rsid w:val="0D4657C2"/>
    <w:rsid w:val="12412B71"/>
    <w:rsid w:val="130354DD"/>
    <w:rsid w:val="143928C2"/>
    <w:rsid w:val="149A3C1F"/>
    <w:rsid w:val="15285BD8"/>
    <w:rsid w:val="15C316EE"/>
    <w:rsid w:val="16424350"/>
    <w:rsid w:val="184A10A1"/>
    <w:rsid w:val="18F84BC4"/>
    <w:rsid w:val="1B406021"/>
    <w:rsid w:val="1BA015A7"/>
    <w:rsid w:val="1BCE5C4E"/>
    <w:rsid w:val="1E672DC4"/>
    <w:rsid w:val="1E9C38E5"/>
    <w:rsid w:val="1FA67A91"/>
    <w:rsid w:val="20384A18"/>
    <w:rsid w:val="208E1E6C"/>
    <w:rsid w:val="21AD4CF8"/>
    <w:rsid w:val="2205277D"/>
    <w:rsid w:val="222F6B77"/>
    <w:rsid w:val="239E2150"/>
    <w:rsid w:val="24584B53"/>
    <w:rsid w:val="25FF7D86"/>
    <w:rsid w:val="26663961"/>
    <w:rsid w:val="266D513D"/>
    <w:rsid w:val="267C45EB"/>
    <w:rsid w:val="27D17500"/>
    <w:rsid w:val="28081174"/>
    <w:rsid w:val="28160359"/>
    <w:rsid w:val="28286C83"/>
    <w:rsid w:val="28294B07"/>
    <w:rsid w:val="295632BD"/>
    <w:rsid w:val="29AC3B78"/>
    <w:rsid w:val="2B2A31B0"/>
    <w:rsid w:val="2B9871BE"/>
    <w:rsid w:val="2BAD5B8F"/>
    <w:rsid w:val="2C1520B2"/>
    <w:rsid w:val="2C355BA6"/>
    <w:rsid w:val="2C730404"/>
    <w:rsid w:val="2D23435A"/>
    <w:rsid w:val="2D292B93"/>
    <w:rsid w:val="2E534CFD"/>
    <w:rsid w:val="2EB5081C"/>
    <w:rsid w:val="2EBA5FE4"/>
    <w:rsid w:val="2F4F58DB"/>
    <w:rsid w:val="30232FAE"/>
    <w:rsid w:val="34476B80"/>
    <w:rsid w:val="34F51B8B"/>
    <w:rsid w:val="355152A1"/>
    <w:rsid w:val="361D7CC2"/>
    <w:rsid w:val="3BAA329D"/>
    <w:rsid w:val="3C0C43EB"/>
    <w:rsid w:val="3D8D4788"/>
    <w:rsid w:val="3E0A19B1"/>
    <w:rsid w:val="3F921DAE"/>
    <w:rsid w:val="409D66C4"/>
    <w:rsid w:val="412877D5"/>
    <w:rsid w:val="437E6337"/>
    <w:rsid w:val="43CF3CBA"/>
    <w:rsid w:val="45F8417E"/>
    <w:rsid w:val="46EE5581"/>
    <w:rsid w:val="47170634"/>
    <w:rsid w:val="473724CA"/>
    <w:rsid w:val="48B75A82"/>
    <w:rsid w:val="499046CE"/>
    <w:rsid w:val="4AA463D5"/>
    <w:rsid w:val="4AAE4608"/>
    <w:rsid w:val="4BCB7C3F"/>
    <w:rsid w:val="4C4C6FD2"/>
    <w:rsid w:val="4CA51B21"/>
    <w:rsid w:val="4D896004"/>
    <w:rsid w:val="4DA14831"/>
    <w:rsid w:val="4E2E0E37"/>
    <w:rsid w:val="4E323FA5"/>
    <w:rsid w:val="50186572"/>
    <w:rsid w:val="508649FE"/>
    <w:rsid w:val="50B02701"/>
    <w:rsid w:val="510E215C"/>
    <w:rsid w:val="54F621D1"/>
    <w:rsid w:val="567A0BDF"/>
    <w:rsid w:val="567D6D47"/>
    <w:rsid w:val="5740603D"/>
    <w:rsid w:val="5AFF0DFA"/>
    <w:rsid w:val="5C252CE6"/>
    <w:rsid w:val="5DB50503"/>
    <w:rsid w:val="5E8F3065"/>
    <w:rsid w:val="5F2418E9"/>
    <w:rsid w:val="60983CA2"/>
    <w:rsid w:val="61861409"/>
    <w:rsid w:val="61F64BA5"/>
    <w:rsid w:val="6262447A"/>
    <w:rsid w:val="62966076"/>
    <w:rsid w:val="6324358B"/>
    <w:rsid w:val="63945AF1"/>
    <w:rsid w:val="64A86918"/>
    <w:rsid w:val="67126078"/>
    <w:rsid w:val="67CD5013"/>
    <w:rsid w:val="6C134D99"/>
    <w:rsid w:val="6C710A1D"/>
    <w:rsid w:val="6C825312"/>
    <w:rsid w:val="6CB26586"/>
    <w:rsid w:val="6CEF7E91"/>
    <w:rsid w:val="6F42344F"/>
    <w:rsid w:val="6F6A3147"/>
    <w:rsid w:val="721D5C7F"/>
    <w:rsid w:val="72BB015E"/>
    <w:rsid w:val="734C6BA3"/>
    <w:rsid w:val="74E4574A"/>
    <w:rsid w:val="75134281"/>
    <w:rsid w:val="75677463"/>
    <w:rsid w:val="75944478"/>
    <w:rsid w:val="76E8279C"/>
    <w:rsid w:val="771F7766"/>
    <w:rsid w:val="77F61103"/>
    <w:rsid w:val="788D656D"/>
    <w:rsid w:val="792662C1"/>
    <w:rsid w:val="79773D18"/>
    <w:rsid w:val="79F44681"/>
    <w:rsid w:val="7AA37E55"/>
    <w:rsid w:val="7D7A4DD9"/>
    <w:rsid w:val="7E751B09"/>
    <w:rsid w:val="7F3061F0"/>
    <w:rsid w:val="7F38501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6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0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qFormat="1" w:unhideWhenUsed="0" w:uiPriority="0" w:semiHidden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6"/>
    <w:pPr>
      <w:keepNext/>
      <w:spacing w:before="240" w:after="60"/>
      <w:outlineLvl w:val="1"/>
    </w:pPr>
    <w:rPr>
      <w:rFonts w:ascii="Arial" w:hAnsi="Arial"/>
      <w:b/>
      <w:i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ind w:firstLine="645"/>
    </w:pPr>
    <w:rPr>
      <w:sz w:val="28"/>
    </w:rPr>
  </w:style>
  <w:style w:type="paragraph" w:styleId="4">
    <w:name w:val="Plain Text"/>
    <w:next w:val="1"/>
    <w:link w:val="16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宋体" w:hAnsi="Times New Roman" w:eastAsia="宋体" w:cs="Times New Roman"/>
      <w:sz w:val="24"/>
      <w:lang w:val="en-US" w:eastAsia="zh-CN" w:bidi="ar-SA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黑体"/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黑体"/>
      <w:sz w:val="18"/>
      <w:szCs w:val="18"/>
    </w:rPr>
  </w:style>
  <w:style w:type="paragraph" w:styleId="7">
    <w:name w:val="toc 1"/>
    <w:basedOn w:val="1"/>
    <w:next w:val="1"/>
    <w:qFormat/>
    <w:uiPriority w:val="0"/>
    <w:pPr>
      <w:widowControl/>
      <w:spacing w:after="100" w:line="259" w:lineRule="auto"/>
      <w:jc w:val="left"/>
    </w:pPr>
    <w:rPr>
      <w:rFonts w:ascii="等线" w:eastAsia="等线"/>
      <w:kern w:val="0"/>
      <w:sz w:val="22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9">
    <w:name w:val="Body Text First Indent 2"/>
    <w:basedOn w:val="3"/>
    <w:qFormat/>
    <w:uiPriority w:val="0"/>
    <w:pPr>
      <w:spacing w:line="200" w:lineRule="atLeast"/>
      <w:ind w:firstLine="420"/>
    </w:pPr>
    <w:rPr>
      <w:rFonts w:ascii="宋体" w:hAnsi="Courier New"/>
      <w:spacing w:val="-4"/>
      <w:sz w:val="18"/>
      <w:szCs w:val="20"/>
    </w:rPr>
  </w:style>
  <w:style w:type="table" w:styleId="11">
    <w:name w:val="Table Grid"/>
    <w:basedOn w:val="10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Char1"/>
    <w:basedOn w:val="1"/>
    <w:qFormat/>
    <w:uiPriority w:val="0"/>
    <w:rPr>
      <w:rFonts w:ascii="仿宋_GB2312" w:eastAsia="仿宋_GB2312"/>
      <w:b/>
      <w:sz w:val="32"/>
      <w:szCs w:val="32"/>
    </w:rPr>
  </w:style>
  <w:style w:type="character" w:customStyle="1" w:styleId="14">
    <w:name w:val="页眉 Char"/>
    <w:basedOn w:val="12"/>
    <w:link w:val="6"/>
    <w:semiHidden/>
    <w:qFormat/>
    <w:uiPriority w:val="99"/>
    <w:rPr>
      <w:sz w:val="18"/>
      <w:szCs w:val="18"/>
    </w:rPr>
  </w:style>
  <w:style w:type="character" w:customStyle="1" w:styleId="15">
    <w:name w:val="页脚 Char"/>
    <w:basedOn w:val="12"/>
    <w:link w:val="5"/>
    <w:semiHidden/>
    <w:qFormat/>
    <w:uiPriority w:val="99"/>
    <w:rPr>
      <w:sz w:val="18"/>
      <w:szCs w:val="18"/>
    </w:rPr>
  </w:style>
  <w:style w:type="character" w:customStyle="1" w:styleId="16">
    <w:name w:val="纯文本 Char"/>
    <w:basedOn w:val="12"/>
    <w:link w:val="4"/>
    <w:qFormat/>
    <w:uiPriority w:val="0"/>
    <w:rPr>
      <w:rFonts w:ascii="宋体" w:hAnsi="Times New Roman" w:eastAsia="宋体" w:cs="Times New Roman"/>
      <w:kern w:val="0"/>
      <w:sz w:val="24"/>
      <w:szCs w:val="20"/>
      <w:lang w:val="en-US" w:eastAsia="zh-CN"/>
    </w:rPr>
  </w:style>
  <w:style w:type="character" w:customStyle="1" w:styleId="17">
    <w:name w:val="font11"/>
    <w:basedOn w:val="1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1777</Words>
  <Characters>1920</Characters>
  <Lines>19</Lines>
  <Paragraphs>5</Paragraphs>
  <TotalTime>3</TotalTime>
  <ScaleCrop>false</ScaleCrop>
  <LinksUpToDate>false</LinksUpToDate>
  <CharactersWithSpaces>1953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2018-08-20T03:03:00Z</dcterms:created>
  <dc:creator>微软用户</dc:creator>
  <cp:lastModifiedBy>义工σ杭州兜妈</cp:lastModifiedBy>
  <cp:lastPrinted>2021-12-23T07:03:00Z</cp:lastPrinted>
  <dcterms:modified xsi:type="dcterms:W3CDTF">2024-10-25T08:17:15Z</dcterms:modified>
  <dc:title>仓前街道政府采购竞争性谈判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C819B9147EA34D5FB0EBD9B45388E537_13</vt:lpwstr>
  </property>
</Properties>
</file>