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D356CE">
      <w:pPr>
        <w:ind w:left="210" w:leftChars="100"/>
        <w:rPr>
          <w:rFonts w:ascii="Times New Roman" w:hAnsi="Times New Roman" w:eastAsia="华文新魏" w:cs="Times New Roman"/>
          <w:b/>
          <w:sz w:val="52"/>
          <w:szCs w:val="52"/>
        </w:rPr>
      </w:pPr>
      <w:bookmarkStart w:id="0" w:name="OLE_LINK1"/>
    </w:p>
    <w:p w14:paraId="5C5953C6">
      <w:pPr>
        <w:jc w:val="center"/>
        <w:rPr>
          <w:rFonts w:ascii="Times New Roman" w:hAnsi="Times New Roman" w:eastAsia="华文新魏" w:cs="Times New Roman"/>
          <w:b/>
          <w:spacing w:val="-14"/>
          <w:sz w:val="52"/>
          <w:szCs w:val="52"/>
        </w:rPr>
      </w:pPr>
    </w:p>
    <w:p w14:paraId="6E5674FF">
      <w:pPr>
        <w:jc w:val="center"/>
        <w:rPr>
          <w:rFonts w:hint="eastAsia" w:eastAsia="华文新魏"/>
          <w:b/>
          <w:spacing w:val="-12"/>
          <w:sz w:val="52"/>
          <w:szCs w:val="52"/>
          <w:lang w:eastAsia="zh-CN"/>
        </w:rPr>
      </w:pPr>
      <w:r>
        <w:rPr>
          <w:rFonts w:hint="eastAsia" w:eastAsia="华文新魏"/>
          <w:b/>
          <w:spacing w:val="-12"/>
          <w:sz w:val="52"/>
          <w:szCs w:val="52"/>
          <w:lang w:eastAsia="zh-CN"/>
        </w:rPr>
        <w:t xml:space="preserve">2025年舟山市（本级）海洋水生生物增殖放流 </w:t>
      </w:r>
    </w:p>
    <w:p w14:paraId="6E3E1826">
      <w:pPr>
        <w:spacing w:after="120"/>
        <w:ind w:firstLine="210" w:firstLineChars="100"/>
        <w:rPr>
          <w:rFonts w:ascii="Times New Roman" w:hAnsi="Calibri" w:eastAsia="宋体" w:cs="Times New Roman"/>
          <w:kern w:val="0"/>
        </w:rPr>
      </w:pPr>
    </w:p>
    <w:p w14:paraId="1266119D">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79287CAD">
      <w:pPr>
        <w:snapToGrid w:val="0"/>
        <w:spacing w:before="120" w:line="312" w:lineRule="auto"/>
        <w:rPr>
          <w:rFonts w:ascii="Times New Roman" w:hAnsi="Times New Roman" w:eastAsia="华文新魏" w:cs="Times New Roman"/>
          <w:b/>
          <w:sz w:val="32"/>
        </w:rPr>
      </w:pPr>
    </w:p>
    <w:p w14:paraId="6D5A1ABB">
      <w:pPr>
        <w:snapToGrid w:val="0"/>
        <w:spacing w:before="120" w:line="312" w:lineRule="auto"/>
        <w:ind w:left="1602" w:hanging="1602" w:hangingChars="500"/>
        <w:rPr>
          <w:rFonts w:eastAsia="华文新魏"/>
          <w:b/>
          <w:sz w:val="32"/>
        </w:rPr>
      </w:pPr>
    </w:p>
    <w:p w14:paraId="300A32A8">
      <w:pPr>
        <w:snapToGrid w:val="0"/>
        <w:spacing w:before="120" w:line="312" w:lineRule="auto"/>
        <w:ind w:left="1602" w:hanging="1602" w:hangingChars="500"/>
        <w:rPr>
          <w:rFonts w:hint="eastAsia" w:eastAsia="华文新魏"/>
          <w:sz w:val="32"/>
          <w:lang w:eastAsia="zh-CN"/>
        </w:rPr>
      </w:pPr>
      <w:r>
        <w:rPr>
          <w:rFonts w:eastAsia="华文新魏"/>
          <w:b/>
          <w:sz w:val="32"/>
        </w:rPr>
        <w:t>项目名称</w:t>
      </w:r>
      <w:r>
        <w:rPr>
          <w:rFonts w:eastAsia="华文新魏"/>
          <w:sz w:val="32"/>
        </w:rPr>
        <w:t>：</w:t>
      </w:r>
      <w:r>
        <w:rPr>
          <w:rFonts w:hint="eastAsia" w:eastAsia="华文新魏"/>
          <w:b/>
          <w:sz w:val="32"/>
          <w:lang w:eastAsia="zh-CN"/>
        </w:rPr>
        <w:t xml:space="preserve">2025年舟山市（本级）海洋水生生物增殖放流 </w:t>
      </w:r>
    </w:p>
    <w:p w14:paraId="6A555D74">
      <w:pPr>
        <w:snapToGrid w:val="0"/>
        <w:spacing w:before="120" w:line="312" w:lineRule="auto"/>
        <w:rPr>
          <w:rFonts w:eastAsia="华文新魏"/>
          <w:b/>
          <w:sz w:val="32"/>
        </w:rPr>
      </w:pPr>
    </w:p>
    <w:p w14:paraId="5ED31A85">
      <w:pPr>
        <w:snapToGrid w:val="0"/>
        <w:spacing w:before="120" w:line="312" w:lineRule="auto"/>
        <w:rPr>
          <w:rFonts w:hint="eastAsia" w:ascii="华文新魏" w:eastAsia="华文新魏"/>
          <w:b/>
          <w:sz w:val="32"/>
          <w:lang w:eastAsia="zh-CN"/>
        </w:rPr>
      </w:pPr>
      <w:r>
        <w:rPr>
          <w:rFonts w:eastAsia="华文新魏"/>
          <w:b/>
          <w:sz w:val="32"/>
        </w:rPr>
        <w:t>项目</w:t>
      </w:r>
      <w:r>
        <w:rPr>
          <w:rFonts w:hint="eastAsia" w:ascii="华文新魏" w:eastAsia="华文新魏"/>
          <w:b/>
          <w:sz w:val="32"/>
        </w:rPr>
        <w:t>编号：</w:t>
      </w:r>
      <w:r>
        <w:rPr>
          <w:rFonts w:hint="eastAsia" w:ascii="华文新魏" w:eastAsia="华文新魏"/>
          <w:b/>
          <w:sz w:val="32"/>
          <w:lang w:eastAsia="zh-CN"/>
        </w:rPr>
        <w:t>SZGXZS2025059</w:t>
      </w:r>
    </w:p>
    <w:p w14:paraId="3481C058">
      <w:pPr>
        <w:snapToGrid w:val="0"/>
        <w:spacing w:before="120" w:line="312" w:lineRule="auto"/>
        <w:rPr>
          <w:rFonts w:eastAsia="华文新魏"/>
          <w:b/>
          <w:w w:val="95"/>
          <w:sz w:val="32"/>
        </w:rPr>
      </w:pPr>
    </w:p>
    <w:p w14:paraId="68E742A6">
      <w:pPr>
        <w:snapToGrid w:val="0"/>
        <w:spacing w:before="120" w:line="312" w:lineRule="auto"/>
        <w:ind w:left="1523" w:hanging="1522" w:hangingChars="500"/>
        <w:rPr>
          <w:rFonts w:hint="eastAsia" w:eastAsia="华文新魏"/>
          <w:sz w:val="32"/>
          <w:lang w:eastAsia="zh-CN"/>
        </w:rPr>
      </w:pPr>
      <w:r>
        <w:rPr>
          <w:rFonts w:eastAsia="华文新魏"/>
          <w:b/>
          <w:w w:val="95"/>
          <w:sz w:val="32"/>
        </w:rPr>
        <w:t>采购单位：</w:t>
      </w:r>
      <w:r>
        <w:rPr>
          <w:rFonts w:hint="eastAsia" w:eastAsia="华文新魏"/>
          <w:b/>
          <w:sz w:val="32"/>
          <w:lang w:eastAsia="zh-CN"/>
        </w:rPr>
        <w:t>舟山市海洋经济发展局</w:t>
      </w:r>
    </w:p>
    <w:p w14:paraId="125C459C">
      <w:pPr>
        <w:snapToGrid w:val="0"/>
        <w:spacing w:before="120" w:line="312" w:lineRule="auto"/>
        <w:rPr>
          <w:rFonts w:eastAsia="华文新魏"/>
          <w:b/>
          <w:w w:val="95"/>
          <w:sz w:val="32"/>
        </w:rPr>
      </w:pPr>
    </w:p>
    <w:p w14:paraId="5FD1E51F">
      <w:pPr>
        <w:snapToGrid w:val="0"/>
        <w:spacing w:before="120" w:line="312" w:lineRule="auto"/>
        <w:rPr>
          <w:rFonts w:eastAsia="华文新魏"/>
          <w:b/>
          <w:w w:val="95"/>
          <w:sz w:val="32"/>
        </w:rPr>
      </w:pPr>
      <w:r>
        <w:rPr>
          <w:rFonts w:eastAsia="华文新魏"/>
          <w:b/>
          <w:w w:val="95"/>
          <w:sz w:val="32"/>
        </w:rPr>
        <w:t>代理机构：深圳市国信招标有限公司</w:t>
      </w:r>
    </w:p>
    <w:p w14:paraId="45E5ED21">
      <w:pPr>
        <w:snapToGrid w:val="0"/>
        <w:spacing w:before="120" w:line="312" w:lineRule="auto"/>
        <w:rPr>
          <w:rFonts w:ascii="Times New Roman" w:hAnsi="Times New Roman" w:eastAsia="华文新魏" w:cs="Times New Roman"/>
          <w:b/>
          <w:w w:val="95"/>
          <w:sz w:val="32"/>
        </w:rPr>
      </w:pPr>
    </w:p>
    <w:p w14:paraId="392DF384">
      <w:pPr>
        <w:snapToGrid w:val="0"/>
        <w:spacing w:before="120" w:line="312" w:lineRule="auto"/>
        <w:ind w:left="5974" w:hanging="5968" w:hangingChars="1961"/>
        <w:rPr>
          <w:rFonts w:ascii="Times New Roman" w:hAnsi="Times New Roman" w:eastAsia="华文新魏" w:cs="Times New Roman"/>
          <w:b/>
          <w:w w:val="95"/>
          <w:sz w:val="32"/>
        </w:rPr>
      </w:pPr>
    </w:p>
    <w:p w14:paraId="4BA99D24">
      <w:pPr>
        <w:snapToGrid w:val="0"/>
        <w:spacing w:before="120" w:line="312" w:lineRule="auto"/>
        <w:rPr>
          <w:rFonts w:ascii="Times New Roman" w:hAnsi="Times New Roman" w:eastAsia="华文新魏" w:cs="Times New Roman"/>
          <w:b/>
          <w:w w:val="95"/>
          <w:sz w:val="32"/>
        </w:rPr>
      </w:pPr>
    </w:p>
    <w:p w14:paraId="777FC714">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lang w:val="en-US" w:eastAsia="zh-CN"/>
        </w:rPr>
        <w:t>5</w:t>
      </w:r>
      <w:r>
        <w:rPr>
          <w:rFonts w:ascii="Times New Roman" w:hAnsi="Times New Roman" w:eastAsia="华文新魏" w:cs="Times New Roman"/>
          <w:b/>
          <w:w w:val="95"/>
          <w:sz w:val="32"/>
        </w:rPr>
        <w:t>年0</w:t>
      </w:r>
      <w:r>
        <w:rPr>
          <w:rFonts w:hint="eastAsia" w:ascii="Times New Roman" w:hAnsi="Times New Roman" w:eastAsia="华文新魏" w:cs="Times New Roman"/>
          <w:b/>
          <w:w w:val="95"/>
          <w:sz w:val="32"/>
          <w:lang w:val="en-US" w:eastAsia="zh-CN"/>
        </w:rPr>
        <w:t>3</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31</w:t>
      </w:r>
      <w:r>
        <w:rPr>
          <w:rFonts w:hint="eastAsia" w:ascii="Times New Roman" w:hAnsi="Times New Roman" w:eastAsia="华文新魏" w:cs="Times New Roman"/>
          <w:b/>
          <w:w w:val="95"/>
          <w:sz w:val="32"/>
        </w:rPr>
        <w:t>日</w:t>
      </w:r>
    </w:p>
    <w:p w14:paraId="29898215">
      <w:pPr>
        <w:snapToGrid w:val="0"/>
        <w:spacing w:before="120" w:line="312" w:lineRule="auto"/>
        <w:ind w:left="6057" w:leftChars="2409" w:hanging="998" w:hangingChars="328"/>
        <w:rPr>
          <w:rFonts w:ascii="Times New Roman" w:hAnsi="Times New Roman" w:eastAsia="华文新魏" w:cs="Times New Roman"/>
          <w:b/>
          <w:w w:val="95"/>
          <w:sz w:val="32"/>
        </w:rPr>
      </w:pPr>
    </w:p>
    <w:p w14:paraId="7A3766DE">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1CBD7437">
      <w:pPr>
        <w:snapToGrid w:val="0"/>
        <w:spacing w:before="120" w:line="312" w:lineRule="auto"/>
        <w:rPr>
          <w:rFonts w:ascii="Times New Roman" w:hAnsi="Times New Roman" w:eastAsia="创艺简标宋" w:cs="Times New Roman"/>
          <w:sz w:val="44"/>
        </w:rPr>
      </w:pPr>
    </w:p>
    <w:p w14:paraId="12F13BA0">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66EDC3AE">
      <w:pPr>
        <w:spacing w:after="120"/>
        <w:ind w:firstLine="210" w:firstLineChars="100"/>
        <w:rPr>
          <w:rFonts w:ascii="Times New Roman" w:hAnsi="Times New Roman" w:eastAsia="宋体" w:cs="Times New Roman"/>
          <w:kern w:val="0"/>
        </w:rPr>
      </w:pPr>
    </w:p>
    <w:p w14:paraId="707F76C0">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39B1BE31">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440E212F">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10B68824">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0D669D9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2084605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55C1AAA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5418168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5490929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3A57457E">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0561B57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0E42FD54">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第四章 </w:t>
      </w:r>
      <w:r>
        <w:rPr>
          <w:rFonts w:ascii="Times New Roman" w:hAnsi="Times New Roman" w:eastAsia="宋体" w:cs="Times New Roman"/>
          <w:sz w:val="24"/>
        </w:rPr>
        <w:t xml:space="preserve"> </w:t>
      </w:r>
      <w:r>
        <w:rPr>
          <w:rFonts w:hint="eastAsia" w:ascii="Times New Roman" w:hAnsi="Times New Roman" w:eastAsia="宋体" w:cs="Times New Roman"/>
          <w:sz w:val="24"/>
          <w:lang w:eastAsia="zh-CN"/>
        </w:rPr>
        <w:t>评标方法</w:t>
      </w:r>
      <w:r>
        <w:rPr>
          <w:rFonts w:hint="eastAsia" w:ascii="Times New Roman" w:hAnsi="Times New Roman" w:eastAsia="宋体" w:cs="Times New Roman"/>
          <w:sz w:val="24"/>
        </w:rPr>
        <w:t>及评分标准</w:t>
      </w:r>
    </w:p>
    <w:p w14:paraId="6C89F211">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第五章 </w:t>
      </w:r>
      <w:r>
        <w:rPr>
          <w:rFonts w:ascii="Times New Roman" w:hAnsi="Times New Roman" w:eastAsia="宋体" w:cs="Times New Roman"/>
          <w:sz w:val="24"/>
        </w:rPr>
        <w:t xml:space="preserve"> </w:t>
      </w:r>
      <w:r>
        <w:rPr>
          <w:rFonts w:hint="eastAsia" w:ascii="Times New Roman" w:hAnsi="Times New Roman" w:eastAsia="宋体" w:cs="Times New Roman"/>
          <w:sz w:val="24"/>
        </w:rPr>
        <w:t>政府采购合同主要条款</w:t>
      </w:r>
    </w:p>
    <w:p w14:paraId="242E6F40">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第六章 </w:t>
      </w:r>
      <w:r>
        <w:rPr>
          <w:rFonts w:ascii="Times New Roman" w:hAnsi="Times New Roman" w:eastAsia="宋体" w:cs="Times New Roman"/>
          <w:sz w:val="24"/>
        </w:rPr>
        <w:t xml:space="preserve"> </w:t>
      </w:r>
      <w:r>
        <w:rPr>
          <w:rFonts w:hint="eastAsia" w:ascii="Times New Roman" w:hAnsi="Times New Roman" w:eastAsia="宋体" w:cs="Times New Roman"/>
          <w:sz w:val="24"/>
        </w:rPr>
        <w:t>投标文件相关格式</w:t>
      </w:r>
    </w:p>
    <w:p w14:paraId="3C6F8E7F">
      <w:pPr>
        <w:snapToGrid w:val="0"/>
        <w:spacing w:before="120" w:line="312" w:lineRule="auto"/>
        <w:outlineLvl w:val="0"/>
        <w:rPr>
          <w:rFonts w:ascii="Times New Roman" w:hAnsi="Times New Roman" w:eastAsia="宋体" w:cs="Times New Roman"/>
        </w:rPr>
      </w:pPr>
    </w:p>
    <w:p w14:paraId="63FC6957">
      <w:pPr>
        <w:snapToGrid w:val="0"/>
        <w:spacing w:before="120" w:line="312" w:lineRule="auto"/>
        <w:outlineLvl w:val="0"/>
        <w:rPr>
          <w:rFonts w:ascii="Times New Roman" w:hAnsi="Times New Roman" w:eastAsia="宋体" w:cs="Times New Roman"/>
        </w:rPr>
      </w:pPr>
    </w:p>
    <w:p w14:paraId="29C9DCDC">
      <w:pPr>
        <w:snapToGrid w:val="0"/>
        <w:spacing w:before="120" w:line="312" w:lineRule="auto"/>
        <w:outlineLvl w:val="0"/>
        <w:rPr>
          <w:rFonts w:ascii="Times New Roman" w:hAnsi="Times New Roman" w:eastAsia="宋体" w:cs="Times New Roman"/>
        </w:rPr>
      </w:pPr>
    </w:p>
    <w:p w14:paraId="75F3DDA0">
      <w:pPr>
        <w:snapToGrid w:val="0"/>
        <w:spacing w:before="120" w:line="312" w:lineRule="auto"/>
        <w:outlineLvl w:val="0"/>
        <w:rPr>
          <w:rFonts w:ascii="Times New Roman" w:hAnsi="Times New Roman" w:eastAsia="宋体" w:cs="Times New Roman"/>
        </w:rPr>
      </w:pPr>
    </w:p>
    <w:p w14:paraId="23C123F8">
      <w:pPr>
        <w:snapToGrid w:val="0"/>
        <w:spacing w:before="120" w:line="312" w:lineRule="auto"/>
        <w:outlineLvl w:val="0"/>
        <w:rPr>
          <w:rFonts w:ascii="Times New Roman" w:hAnsi="Times New Roman" w:eastAsia="宋体" w:cs="Times New Roman"/>
        </w:rPr>
      </w:pPr>
    </w:p>
    <w:p w14:paraId="4F5836DE">
      <w:pPr>
        <w:snapToGrid w:val="0"/>
        <w:spacing w:before="120" w:line="312" w:lineRule="auto"/>
        <w:outlineLvl w:val="0"/>
        <w:rPr>
          <w:rFonts w:ascii="Times New Roman" w:hAnsi="Times New Roman" w:eastAsia="宋体" w:cs="Times New Roman"/>
        </w:rPr>
      </w:pPr>
    </w:p>
    <w:p w14:paraId="0CA04197">
      <w:pPr>
        <w:snapToGrid w:val="0"/>
        <w:spacing w:before="120" w:line="312" w:lineRule="auto"/>
        <w:outlineLvl w:val="0"/>
        <w:rPr>
          <w:rFonts w:ascii="Times New Roman" w:hAnsi="Times New Roman" w:eastAsia="宋体" w:cs="Times New Roman"/>
        </w:rPr>
      </w:pPr>
    </w:p>
    <w:p w14:paraId="3A17ACF5">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2EC98529">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 xml:space="preserve">第一章 </w:t>
      </w:r>
      <w:r>
        <w:rPr>
          <w:rFonts w:ascii="Times New Roman" w:hAnsi="Times New Roman" w:eastAsia="黑体" w:cs="Times New Roman"/>
          <w:sz w:val="30"/>
        </w:rPr>
        <w:t xml:space="preserve"> </w:t>
      </w:r>
      <w:r>
        <w:rPr>
          <w:rFonts w:hint="eastAsia" w:ascii="Times New Roman" w:hAnsi="Times New Roman" w:eastAsia="黑体" w:cs="Times New Roman"/>
          <w:sz w:val="30"/>
        </w:rPr>
        <w:t>公开招标采购公告</w:t>
      </w:r>
    </w:p>
    <w:p w14:paraId="211DE28D">
      <w:pPr>
        <w:spacing w:line="312" w:lineRule="auto"/>
        <w:rPr>
          <w:rFonts w:ascii="Times New Roman" w:hAnsi="Times New Roman" w:eastAsia="宋体" w:cs="Times New Roman"/>
        </w:rPr>
      </w:pPr>
    </w:p>
    <w:p w14:paraId="72C1479E">
      <w:pPr>
        <w:spacing w:line="360" w:lineRule="auto"/>
        <w:ind w:firstLine="420" w:firstLineChars="200"/>
        <w:rPr>
          <w:rFonts w:ascii="宋体" w:hAnsi="宋体" w:eastAsia="宋体" w:cs="宋体"/>
          <w:szCs w:val="21"/>
        </w:rPr>
      </w:pPr>
      <w:r>
        <w:rPr>
          <w:rFonts w:hint="eastAsia" w:ascii="宋体" w:hAnsi="宋体" w:eastAsia="宋体" w:cs="宋体"/>
          <w:szCs w:val="21"/>
        </w:rPr>
        <w:t>根据《中华人民共和国政府采购法》等规定，受</w:t>
      </w:r>
      <w:r>
        <w:rPr>
          <w:rFonts w:hint="eastAsia" w:ascii="宋体" w:hAnsi="宋体" w:eastAsia="宋体" w:cs="宋体"/>
          <w:szCs w:val="21"/>
          <w:lang w:eastAsia="zh-CN"/>
        </w:rPr>
        <w:t>舟山市海洋经济发展局</w:t>
      </w:r>
      <w:r>
        <w:rPr>
          <w:rFonts w:hint="eastAsia" w:ascii="宋体" w:hAnsi="宋体" w:eastAsia="宋体" w:cs="宋体"/>
          <w:szCs w:val="21"/>
        </w:rPr>
        <w:t>委托，现就</w:t>
      </w:r>
      <w:r>
        <w:rPr>
          <w:rFonts w:hint="eastAsia" w:ascii="宋体" w:hAnsi="宋体" w:eastAsia="宋体" w:cs="宋体"/>
          <w:szCs w:val="21"/>
          <w:lang w:eastAsia="zh-CN"/>
        </w:rPr>
        <w:t xml:space="preserve">2025年舟山市（本级）海洋水生生物增殖放流 </w:t>
      </w:r>
      <w:r>
        <w:rPr>
          <w:rFonts w:hint="eastAsia" w:ascii="宋体" w:hAnsi="宋体" w:eastAsia="宋体" w:cs="宋体"/>
          <w:szCs w:val="21"/>
        </w:rPr>
        <w:t>进行公开招标，欢迎符合资质要求并能提供相关服务的供应商参加投标。</w:t>
      </w:r>
    </w:p>
    <w:p w14:paraId="6DECC0C5">
      <w:pPr>
        <w:widowControl/>
        <w:spacing w:line="360" w:lineRule="auto"/>
        <w:jc w:val="left"/>
        <w:rPr>
          <w:rFonts w:hint="eastAsia" w:ascii="宋体" w:hAnsi="宋体" w:eastAsia="宋体" w:cs="宋体"/>
          <w:szCs w:val="21"/>
          <w:lang w:eastAsia="zh-CN"/>
        </w:rPr>
      </w:pPr>
      <w:r>
        <w:rPr>
          <w:rFonts w:hint="eastAsia" w:ascii="宋体" w:hAnsi="宋体" w:eastAsia="宋体" w:cs="宋体"/>
          <w:b/>
          <w:bCs/>
          <w:kern w:val="0"/>
          <w:szCs w:val="21"/>
        </w:rPr>
        <w:t>一、项目名称：</w:t>
      </w:r>
      <w:r>
        <w:rPr>
          <w:rFonts w:hint="eastAsia" w:ascii="宋体" w:hAnsi="宋体" w:eastAsia="宋体" w:cs="宋体"/>
          <w:szCs w:val="21"/>
          <w:lang w:eastAsia="zh-CN"/>
        </w:rPr>
        <w:t xml:space="preserve">2025年舟山市（本级）海洋水生生物增殖放流 </w:t>
      </w:r>
    </w:p>
    <w:p w14:paraId="0162650E">
      <w:pPr>
        <w:widowControl/>
        <w:spacing w:line="360" w:lineRule="auto"/>
        <w:jc w:val="left"/>
        <w:rPr>
          <w:rFonts w:hint="eastAsia" w:ascii="宋体" w:hAnsi="宋体" w:eastAsia="宋体" w:cs="宋体"/>
          <w:b/>
          <w:bCs/>
          <w:szCs w:val="21"/>
          <w:lang w:eastAsia="zh-CN"/>
        </w:rPr>
      </w:pPr>
      <w:r>
        <w:rPr>
          <w:rStyle w:val="70"/>
          <w:rFonts w:hint="eastAsia" w:ascii="宋体" w:hAnsi="宋体" w:eastAsia="宋体" w:cs="宋体"/>
          <w:bCs/>
          <w:szCs w:val="21"/>
        </w:rPr>
        <w:t>二、项目编号：</w:t>
      </w:r>
      <w:r>
        <w:rPr>
          <w:rFonts w:hint="eastAsia" w:ascii="宋体" w:hAnsi="宋体" w:eastAsia="宋体" w:cs="宋体"/>
          <w:kern w:val="0"/>
          <w:szCs w:val="21"/>
          <w:shd w:val="clear" w:color="auto" w:fill="FFFFFF"/>
          <w:lang w:eastAsia="zh-CN"/>
        </w:rPr>
        <w:t>SZGXZS2025059</w:t>
      </w:r>
    </w:p>
    <w:p w14:paraId="5925EC53">
      <w:pPr>
        <w:pStyle w:val="123"/>
        <w:spacing w:beforeAutospacing="0" w:afterAutospacing="0" w:line="360" w:lineRule="auto"/>
        <w:jc w:val="both"/>
        <w:rPr>
          <w:rFonts w:cs="宋体"/>
          <w:sz w:val="21"/>
          <w:szCs w:val="21"/>
          <w:shd w:val="clear" w:color="auto" w:fill="FFFFFF"/>
        </w:rPr>
      </w:pPr>
      <w:r>
        <w:rPr>
          <w:rStyle w:val="70"/>
          <w:rFonts w:hint="eastAsia" w:ascii="宋体" w:hAnsi="宋体" w:cs="宋体"/>
          <w:bCs/>
          <w:sz w:val="21"/>
          <w:szCs w:val="21"/>
        </w:rPr>
        <w:t>三、采购组织类型：</w:t>
      </w:r>
      <w:r>
        <w:rPr>
          <w:rFonts w:hint="eastAsia" w:cs="宋体"/>
          <w:sz w:val="21"/>
          <w:szCs w:val="21"/>
          <w:shd w:val="clear" w:color="auto" w:fill="FFFFFF"/>
        </w:rPr>
        <w:t>分散采购委托代理</w:t>
      </w:r>
    </w:p>
    <w:p w14:paraId="1F4F7AAE">
      <w:pPr>
        <w:pStyle w:val="123"/>
        <w:spacing w:beforeAutospacing="0" w:afterAutospacing="0" w:line="360" w:lineRule="auto"/>
        <w:jc w:val="both"/>
        <w:rPr>
          <w:rFonts w:ascii="Times New Roman" w:hAnsi="Times New Roman"/>
          <w:b/>
          <w:bCs/>
          <w:szCs w:val="21"/>
        </w:rPr>
      </w:pPr>
      <w:r>
        <w:rPr>
          <w:rFonts w:hint="eastAsia" w:ascii="Times New Roman" w:hAnsi="Times New Roman"/>
          <w:b/>
          <w:bCs/>
          <w:sz w:val="21"/>
          <w:szCs w:val="21"/>
        </w:rPr>
        <w:t>四、招标项目概况（内容、用途、数量、简要技术要求等）:</w:t>
      </w:r>
    </w:p>
    <w:tbl>
      <w:tblPr>
        <w:tblStyle w:val="60"/>
        <w:tblW w:w="9039" w:type="dxa"/>
        <w:tblInd w:w="-84" w:type="dxa"/>
        <w:tblLayout w:type="fixed"/>
        <w:tblCellMar>
          <w:top w:w="15" w:type="dxa"/>
          <w:left w:w="15" w:type="dxa"/>
          <w:bottom w:w="15" w:type="dxa"/>
          <w:right w:w="15" w:type="dxa"/>
        </w:tblCellMar>
      </w:tblPr>
      <w:tblGrid>
        <w:gridCol w:w="530"/>
        <w:gridCol w:w="1173"/>
        <w:gridCol w:w="1012"/>
        <w:gridCol w:w="756"/>
        <w:gridCol w:w="1104"/>
        <w:gridCol w:w="888"/>
        <w:gridCol w:w="660"/>
        <w:gridCol w:w="576"/>
        <w:gridCol w:w="840"/>
        <w:gridCol w:w="1500"/>
      </w:tblGrid>
      <w:tr w14:paraId="55F71475">
        <w:tblPrEx>
          <w:tblCellMar>
            <w:top w:w="15" w:type="dxa"/>
            <w:left w:w="15" w:type="dxa"/>
            <w:bottom w:w="15" w:type="dxa"/>
            <w:right w:w="15" w:type="dxa"/>
          </w:tblCellMar>
        </w:tblPrEx>
        <w:trPr>
          <w:trHeight w:val="256" w:hRule="atLeast"/>
        </w:trPr>
        <w:tc>
          <w:tcPr>
            <w:tcW w:w="530" w:type="dxa"/>
            <w:vMerge w:val="restart"/>
            <w:tcBorders>
              <w:top w:val="single" w:color="000000" w:sz="4" w:space="0"/>
              <w:left w:val="single" w:color="000000" w:sz="4" w:space="0"/>
              <w:right w:val="single" w:color="000000" w:sz="4" w:space="0"/>
            </w:tcBorders>
            <w:vAlign w:val="center"/>
          </w:tcPr>
          <w:p w14:paraId="3FA5FB3A">
            <w:pPr>
              <w:jc w:val="center"/>
              <w:rPr>
                <w:rFonts w:ascii="宋体" w:hAnsi="宋体" w:eastAsia="宋体" w:cs="宋体"/>
                <w:b/>
                <w:sz w:val="18"/>
                <w:szCs w:val="18"/>
              </w:rPr>
            </w:pPr>
            <w:r>
              <w:rPr>
                <w:rFonts w:hint="eastAsia" w:ascii="宋体" w:hAnsi="宋体" w:eastAsia="宋体" w:cs="Times New Roman"/>
                <w:b/>
                <w:sz w:val="18"/>
                <w:szCs w:val="18"/>
              </w:rPr>
              <w:t>标项</w:t>
            </w:r>
          </w:p>
        </w:tc>
        <w:tc>
          <w:tcPr>
            <w:tcW w:w="1173" w:type="dxa"/>
            <w:vMerge w:val="restart"/>
            <w:tcBorders>
              <w:top w:val="single" w:color="000000" w:sz="4" w:space="0"/>
              <w:left w:val="single" w:color="000000" w:sz="4" w:space="0"/>
              <w:right w:val="single" w:color="000000" w:sz="4" w:space="0"/>
            </w:tcBorders>
            <w:vAlign w:val="center"/>
          </w:tcPr>
          <w:p w14:paraId="4D1F8BC1">
            <w:pPr>
              <w:jc w:val="center"/>
              <w:rPr>
                <w:rFonts w:ascii="宋体" w:hAnsi="宋体" w:eastAsia="宋体" w:cs="Times New Roman"/>
                <w:sz w:val="18"/>
                <w:szCs w:val="18"/>
              </w:rPr>
            </w:pPr>
            <w:r>
              <w:rPr>
                <w:rFonts w:hint="eastAsia" w:ascii="宋体" w:hAnsi="宋体" w:eastAsia="宋体" w:cs="Times New Roman"/>
                <w:sz w:val="18"/>
                <w:szCs w:val="18"/>
              </w:rPr>
              <w:t>品种</w:t>
            </w:r>
          </w:p>
        </w:tc>
        <w:tc>
          <w:tcPr>
            <w:tcW w:w="1012" w:type="dxa"/>
            <w:vMerge w:val="restart"/>
            <w:tcBorders>
              <w:top w:val="single" w:color="000000" w:sz="4" w:space="0"/>
              <w:left w:val="single" w:color="000000" w:sz="4" w:space="0"/>
              <w:right w:val="single" w:color="000000" w:sz="4" w:space="0"/>
            </w:tcBorders>
            <w:vAlign w:val="center"/>
          </w:tcPr>
          <w:p w14:paraId="59479AD1">
            <w:pPr>
              <w:jc w:val="center"/>
              <w:rPr>
                <w:rFonts w:ascii="宋体" w:hAnsi="宋体" w:eastAsia="宋体" w:cs="Times New Roman"/>
                <w:sz w:val="18"/>
                <w:szCs w:val="18"/>
              </w:rPr>
            </w:pPr>
            <w:r>
              <w:rPr>
                <w:rFonts w:hint="eastAsia" w:ascii="宋体" w:hAnsi="宋体" w:eastAsia="宋体" w:cs="Times New Roman"/>
                <w:sz w:val="18"/>
                <w:szCs w:val="18"/>
              </w:rPr>
              <w:t>规格(≥)</w:t>
            </w:r>
          </w:p>
        </w:tc>
        <w:tc>
          <w:tcPr>
            <w:tcW w:w="756" w:type="dxa"/>
            <w:vMerge w:val="restart"/>
            <w:tcBorders>
              <w:top w:val="single" w:color="000000" w:sz="4" w:space="0"/>
              <w:left w:val="single" w:color="000000" w:sz="4" w:space="0"/>
              <w:right w:val="single" w:color="000000" w:sz="4" w:space="0"/>
            </w:tcBorders>
            <w:vAlign w:val="center"/>
          </w:tcPr>
          <w:p w14:paraId="27328E73">
            <w:pPr>
              <w:jc w:val="center"/>
              <w:rPr>
                <w:rFonts w:ascii="宋体" w:hAnsi="宋体" w:eastAsia="宋体" w:cs="Times New Roman"/>
                <w:sz w:val="18"/>
                <w:szCs w:val="18"/>
              </w:rPr>
            </w:pPr>
            <w:r>
              <w:rPr>
                <w:rFonts w:hint="eastAsia" w:ascii="宋体" w:hAnsi="宋体" w:eastAsia="宋体" w:cs="Times New Roman"/>
                <w:sz w:val="18"/>
                <w:szCs w:val="18"/>
              </w:rPr>
              <w:t>种苗金额(万元)</w:t>
            </w:r>
          </w:p>
        </w:tc>
        <w:tc>
          <w:tcPr>
            <w:tcW w:w="1104" w:type="dxa"/>
            <w:vMerge w:val="restart"/>
            <w:tcBorders>
              <w:top w:val="single" w:color="000000" w:sz="4" w:space="0"/>
              <w:left w:val="single" w:color="000000" w:sz="4" w:space="0"/>
              <w:right w:val="single" w:color="auto" w:sz="4" w:space="0"/>
            </w:tcBorders>
            <w:vAlign w:val="center"/>
          </w:tcPr>
          <w:p w14:paraId="725ADF7B">
            <w:pPr>
              <w:jc w:val="center"/>
              <w:rPr>
                <w:rFonts w:ascii="宋体" w:hAnsi="宋体" w:eastAsia="宋体" w:cs="Times New Roman"/>
                <w:sz w:val="18"/>
                <w:szCs w:val="18"/>
              </w:rPr>
            </w:pPr>
            <w:r>
              <w:rPr>
                <w:rFonts w:hint="eastAsia" w:ascii="宋体" w:hAnsi="宋体" w:eastAsia="宋体" w:cs="Times New Roman"/>
                <w:sz w:val="18"/>
                <w:szCs w:val="18"/>
              </w:rPr>
              <w:t>总种苗数量</w:t>
            </w:r>
          </w:p>
          <w:p w14:paraId="6FF0AEB6">
            <w:pPr>
              <w:jc w:val="center"/>
              <w:rPr>
                <w:rFonts w:ascii="宋体" w:hAnsi="宋体" w:eastAsia="宋体" w:cs="Times New Roman"/>
                <w:sz w:val="18"/>
                <w:szCs w:val="18"/>
              </w:rPr>
            </w:pPr>
            <w:r>
              <w:rPr>
                <w:rFonts w:hint="eastAsia" w:ascii="宋体" w:hAnsi="宋体" w:eastAsia="宋体" w:cs="Times New Roman"/>
                <w:sz w:val="18"/>
                <w:szCs w:val="18"/>
              </w:rPr>
              <w:t>(≥万单位)</w:t>
            </w:r>
          </w:p>
        </w:tc>
        <w:tc>
          <w:tcPr>
            <w:tcW w:w="888" w:type="dxa"/>
            <w:vMerge w:val="restart"/>
            <w:tcBorders>
              <w:top w:val="single" w:color="000000" w:sz="4" w:space="0"/>
              <w:left w:val="single" w:color="auto" w:sz="4" w:space="0"/>
              <w:right w:val="single" w:color="000000" w:sz="4" w:space="0"/>
            </w:tcBorders>
            <w:vAlign w:val="center"/>
          </w:tcPr>
          <w:p w14:paraId="38243A1D">
            <w:pPr>
              <w:jc w:val="center"/>
              <w:rPr>
                <w:rFonts w:ascii="宋体" w:hAnsi="宋体" w:eastAsia="宋体" w:cs="Times New Roman"/>
                <w:sz w:val="18"/>
                <w:szCs w:val="18"/>
              </w:rPr>
            </w:pPr>
            <w:r>
              <w:rPr>
                <w:rFonts w:hint="eastAsia" w:ascii="宋体" w:hAnsi="宋体" w:eastAsia="宋体" w:cs="Times New Roman"/>
                <w:sz w:val="18"/>
                <w:szCs w:val="18"/>
              </w:rPr>
              <w:t>拟中标单位(家)</w:t>
            </w:r>
          </w:p>
        </w:tc>
        <w:tc>
          <w:tcPr>
            <w:tcW w:w="1236" w:type="dxa"/>
            <w:gridSpan w:val="2"/>
            <w:tcBorders>
              <w:top w:val="single" w:color="000000" w:sz="4" w:space="0"/>
              <w:left w:val="single" w:color="000000" w:sz="4" w:space="0"/>
              <w:bottom w:val="single" w:color="auto" w:sz="4" w:space="0"/>
              <w:right w:val="single" w:color="auto" w:sz="4" w:space="0"/>
            </w:tcBorders>
            <w:vAlign w:val="center"/>
          </w:tcPr>
          <w:p w14:paraId="2A7A59E7">
            <w:pPr>
              <w:jc w:val="center"/>
              <w:rPr>
                <w:rFonts w:ascii="宋体" w:hAnsi="宋体" w:eastAsia="宋体" w:cs="Times New Roman"/>
                <w:sz w:val="18"/>
                <w:szCs w:val="18"/>
              </w:rPr>
            </w:pPr>
            <w:r>
              <w:rPr>
                <w:rFonts w:hint="eastAsia" w:ascii="宋体" w:hAnsi="宋体" w:eastAsia="宋体" w:cs="Times New Roman"/>
                <w:sz w:val="18"/>
                <w:szCs w:val="18"/>
              </w:rPr>
              <w:t>中标单位种苗费分配(万元)</w:t>
            </w:r>
          </w:p>
        </w:tc>
        <w:tc>
          <w:tcPr>
            <w:tcW w:w="840" w:type="dxa"/>
            <w:vMerge w:val="restart"/>
            <w:tcBorders>
              <w:top w:val="single" w:color="000000" w:sz="4" w:space="0"/>
              <w:left w:val="single" w:color="000000" w:sz="4" w:space="0"/>
              <w:right w:val="single" w:color="auto" w:sz="4" w:space="0"/>
            </w:tcBorders>
            <w:vAlign w:val="center"/>
          </w:tcPr>
          <w:p w14:paraId="173EF635">
            <w:pPr>
              <w:jc w:val="center"/>
              <w:rPr>
                <w:rFonts w:ascii="宋体" w:hAnsi="宋体" w:eastAsia="宋体" w:cs="Times New Roman"/>
                <w:sz w:val="18"/>
                <w:szCs w:val="18"/>
              </w:rPr>
            </w:pPr>
            <w:r>
              <w:rPr>
                <w:rFonts w:hint="eastAsia" w:ascii="宋体" w:hAnsi="宋体" w:eastAsia="宋体" w:cs="Times New Roman"/>
                <w:sz w:val="18"/>
                <w:szCs w:val="18"/>
              </w:rPr>
              <w:t>放流时间（月）</w:t>
            </w:r>
          </w:p>
        </w:tc>
        <w:tc>
          <w:tcPr>
            <w:tcW w:w="1500" w:type="dxa"/>
            <w:vMerge w:val="restart"/>
            <w:tcBorders>
              <w:top w:val="single" w:color="000000" w:sz="4" w:space="0"/>
              <w:left w:val="single" w:color="auto" w:sz="4" w:space="0"/>
              <w:right w:val="single" w:color="000000" w:sz="4" w:space="0"/>
            </w:tcBorders>
            <w:vAlign w:val="center"/>
          </w:tcPr>
          <w:p w14:paraId="63E93502">
            <w:pPr>
              <w:jc w:val="center"/>
              <w:rPr>
                <w:rFonts w:ascii="宋体" w:hAnsi="宋体" w:eastAsia="宋体" w:cs="Times New Roman"/>
                <w:sz w:val="18"/>
                <w:szCs w:val="18"/>
              </w:rPr>
            </w:pPr>
            <w:r>
              <w:rPr>
                <w:rFonts w:hint="eastAsia" w:ascii="宋体" w:hAnsi="宋体" w:eastAsia="宋体" w:cs="Times New Roman"/>
                <w:sz w:val="18"/>
                <w:szCs w:val="18"/>
              </w:rPr>
              <w:t>放流海域</w:t>
            </w:r>
          </w:p>
        </w:tc>
      </w:tr>
      <w:tr w14:paraId="7A8BA1B3">
        <w:tblPrEx>
          <w:tblCellMar>
            <w:top w:w="15" w:type="dxa"/>
            <w:left w:w="15" w:type="dxa"/>
            <w:bottom w:w="15" w:type="dxa"/>
            <w:right w:w="15" w:type="dxa"/>
          </w:tblCellMar>
        </w:tblPrEx>
        <w:trPr>
          <w:trHeight w:val="219" w:hRule="atLeast"/>
        </w:trPr>
        <w:tc>
          <w:tcPr>
            <w:tcW w:w="530" w:type="dxa"/>
            <w:vMerge w:val="continue"/>
            <w:tcBorders>
              <w:left w:val="single" w:color="000000" w:sz="4" w:space="0"/>
              <w:bottom w:val="single" w:color="000000" w:sz="4" w:space="0"/>
              <w:right w:val="single" w:color="000000" w:sz="4" w:space="0"/>
            </w:tcBorders>
            <w:vAlign w:val="center"/>
          </w:tcPr>
          <w:p w14:paraId="62577E90">
            <w:pPr>
              <w:jc w:val="center"/>
              <w:rPr>
                <w:rFonts w:ascii="宋体" w:hAnsi="宋体" w:eastAsia="宋体" w:cs="Times New Roman"/>
                <w:b/>
                <w:sz w:val="18"/>
                <w:szCs w:val="18"/>
              </w:rPr>
            </w:pPr>
          </w:p>
        </w:tc>
        <w:tc>
          <w:tcPr>
            <w:tcW w:w="1173" w:type="dxa"/>
            <w:vMerge w:val="continue"/>
            <w:tcBorders>
              <w:left w:val="single" w:color="000000" w:sz="4" w:space="0"/>
              <w:bottom w:val="single" w:color="000000" w:sz="4" w:space="0"/>
              <w:right w:val="single" w:color="000000" w:sz="4" w:space="0"/>
            </w:tcBorders>
            <w:vAlign w:val="center"/>
          </w:tcPr>
          <w:p w14:paraId="4F87FF57">
            <w:pPr>
              <w:jc w:val="center"/>
              <w:rPr>
                <w:rFonts w:ascii="宋体" w:hAnsi="宋体" w:eastAsia="等线" w:cs="Times New Roman"/>
                <w:sz w:val="18"/>
                <w:szCs w:val="18"/>
              </w:rPr>
            </w:pPr>
          </w:p>
        </w:tc>
        <w:tc>
          <w:tcPr>
            <w:tcW w:w="1012" w:type="dxa"/>
            <w:vMerge w:val="continue"/>
            <w:tcBorders>
              <w:left w:val="single" w:color="000000" w:sz="4" w:space="0"/>
              <w:bottom w:val="single" w:color="000000" w:sz="4" w:space="0"/>
              <w:right w:val="single" w:color="000000" w:sz="4" w:space="0"/>
            </w:tcBorders>
            <w:vAlign w:val="center"/>
          </w:tcPr>
          <w:p w14:paraId="275946D6">
            <w:pPr>
              <w:jc w:val="center"/>
              <w:rPr>
                <w:rFonts w:ascii="宋体" w:hAnsi="宋体" w:eastAsia="等线" w:cs="Times New Roman"/>
                <w:sz w:val="18"/>
                <w:szCs w:val="18"/>
              </w:rPr>
            </w:pPr>
          </w:p>
        </w:tc>
        <w:tc>
          <w:tcPr>
            <w:tcW w:w="756" w:type="dxa"/>
            <w:vMerge w:val="continue"/>
            <w:tcBorders>
              <w:left w:val="single" w:color="000000" w:sz="4" w:space="0"/>
              <w:bottom w:val="single" w:color="000000" w:sz="4" w:space="0"/>
              <w:right w:val="single" w:color="000000" w:sz="4" w:space="0"/>
            </w:tcBorders>
            <w:vAlign w:val="center"/>
          </w:tcPr>
          <w:p w14:paraId="17AD175D">
            <w:pPr>
              <w:jc w:val="center"/>
              <w:rPr>
                <w:rFonts w:ascii="宋体" w:hAnsi="宋体" w:eastAsia="等线" w:cs="Times New Roman"/>
                <w:sz w:val="18"/>
                <w:szCs w:val="18"/>
              </w:rPr>
            </w:pPr>
          </w:p>
        </w:tc>
        <w:tc>
          <w:tcPr>
            <w:tcW w:w="1104" w:type="dxa"/>
            <w:vMerge w:val="continue"/>
            <w:tcBorders>
              <w:left w:val="single" w:color="000000" w:sz="4" w:space="0"/>
              <w:bottom w:val="single" w:color="000000" w:sz="4" w:space="0"/>
              <w:right w:val="single" w:color="auto" w:sz="4" w:space="0"/>
            </w:tcBorders>
            <w:vAlign w:val="center"/>
          </w:tcPr>
          <w:p w14:paraId="401BBC77">
            <w:pPr>
              <w:jc w:val="center"/>
              <w:rPr>
                <w:rFonts w:ascii="宋体" w:hAnsi="宋体" w:eastAsia="等线" w:cs="Times New Roman"/>
                <w:sz w:val="18"/>
                <w:szCs w:val="18"/>
              </w:rPr>
            </w:pPr>
          </w:p>
        </w:tc>
        <w:tc>
          <w:tcPr>
            <w:tcW w:w="888" w:type="dxa"/>
            <w:vMerge w:val="continue"/>
            <w:tcBorders>
              <w:left w:val="single" w:color="auto" w:sz="4" w:space="0"/>
              <w:bottom w:val="single" w:color="000000" w:sz="4" w:space="0"/>
              <w:right w:val="single" w:color="000000" w:sz="4" w:space="0"/>
            </w:tcBorders>
            <w:vAlign w:val="center"/>
          </w:tcPr>
          <w:p w14:paraId="6B896038">
            <w:pPr>
              <w:jc w:val="center"/>
              <w:rPr>
                <w:rFonts w:ascii="宋体" w:hAnsi="宋体" w:eastAsia="等线" w:cs="Times New Roman"/>
                <w:sz w:val="18"/>
                <w:szCs w:val="18"/>
              </w:rPr>
            </w:pPr>
          </w:p>
        </w:tc>
        <w:tc>
          <w:tcPr>
            <w:tcW w:w="660" w:type="dxa"/>
            <w:tcBorders>
              <w:top w:val="single" w:color="auto" w:sz="4" w:space="0"/>
              <w:left w:val="single" w:color="000000" w:sz="4" w:space="0"/>
              <w:bottom w:val="single" w:color="000000" w:sz="4" w:space="0"/>
              <w:right w:val="single" w:color="auto" w:sz="4" w:space="0"/>
            </w:tcBorders>
            <w:vAlign w:val="center"/>
          </w:tcPr>
          <w:p w14:paraId="0CC4A591">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lang w:bidi="ar"/>
              </w:rPr>
              <w:t>1</w:t>
            </w:r>
          </w:p>
        </w:tc>
        <w:tc>
          <w:tcPr>
            <w:tcW w:w="576" w:type="dxa"/>
            <w:tcBorders>
              <w:top w:val="single" w:color="auto" w:sz="4" w:space="0"/>
              <w:left w:val="single" w:color="000000" w:sz="4" w:space="0"/>
              <w:bottom w:val="single" w:color="000000" w:sz="4" w:space="0"/>
              <w:right w:val="single" w:color="auto" w:sz="4" w:space="0"/>
            </w:tcBorders>
            <w:vAlign w:val="center"/>
          </w:tcPr>
          <w:p w14:paraId="002B724F">
            <w:pPr>
              <w:widowControl/>
              <w:jc w:val="center"/>
              <w:textAlignment w:val="center"/>
              <w:rPr>
                <w:rFonts w:ascii="宋体" w:hAnsi="宋体" w:eastAsia="等线" w:cs="Times New Roman"/>
                <w:sz w:val="18"/>
                <w:szCs w:val="18"/>
              </w:rPr>
            </w:pPr>
            <w:r>
              <w:rPr>
                <w:rFonts w:hint="eastAsia" w:ascii="宋体" w:hAnsi="宋体" w:eastAsia="宋体" w:cs="宋体"/>
                <w:kern w:val="0"/>
                <w:sz w:val="18"/>
                <w:szCs w:val="18"/>
                <w:lang w:bidi="ar"/>
              </w:rPr>
              <w:t>2</w:t>
            </w:r>
          </w:p>
        </w:tc>
        <w:tc>
          <w:tcPr>
            <w:tcW w:w="840" w:type="dxa"/>
            <w:vMerge w:val="continue"/>
            <w:tcBorders>
              <w:left w:val="single" w:color="000000" w:sz="4" w:space="0"/>
              <w:bottom w:val="single" w:color="000000" w:sz="4" w:space="0"/>
              <w:right w:val="single" w:color="auto" w:sz="4" w:space="0"/>
            </w:tcBorders>
            <w:vAlign w:val="center"/>
          </w:tcPr>
          <w:p w14:paraId="6CC047C8">
            <w:pPr>
              <w:jc w:val="center"/>
              <w:rPr>
                <w:rFonts w:ascii="宋体" w:hAnsi="宋体" w:eastAsia="等线" w:cs="Times New Roman"/>
                <w:sz w:val="18"/>
                <w:szCs w:val="18"/>
              </w:rPr>
            </w:pPr>
          </w:p>
        </w:tc>
        <w:tc>
          <w:tcPr>
            <w:tcW w:w="1500" w:type="dxa"/>
            <w:vMerge w:val="continue"/>
            <w:tcBorders>
              <w:left w:val="single" w:color="auto" w:sz="4" w:space="0"/>
              <w:bottom w:val="single" w:color="000000" w:sz="4" w:space="0"/>
              <w:right w:val="single" w:color="000000" w:sz="4" w:space="0"/>
            </w:tcBorders>
            <w:vAlign w:val="center"/>
          </w:tcPr>
          <w:p w14:paraId="2D14FAD9">
            <w:pPr>
              <w:jc w:val="center"/>
              <w:rPr>
                <w:rFonts w:ascii="宋体" w:hAnsi="宋体" w:eastAsia="等线" w:cs="Times New Roman"/>
                <w:sz w:val="18"/>
                <w:szCs w:val="18"/>
              </w:rPr>
            </w:pPr>
          </w:p>
        </w:tc>
      </w:tr>
      <w:tr w14:paraId="19501C85">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1DD1D36E">
            <w:pPr>
              <w:widowControl/>
              <w:jc w:val="center"/>
              <w:rPr>
                <w:rFonts w:ascii="宋体" w:hAnsi="宋体" w:eastAsia="宋体" w:cs="宋体"/>
                <w:b/>
                <w:kern w:val="0"/>
                <w:sz w:val="18"/>
                <w:szCs w:val="18"/>
              </w:rPr>
            </w:pPr>
            <w:r>
              <w:rPr>
                <w:rFonts w:hint="eastAsia" w:ascii="宋体" w:hAnsi="宋体" w:eastAsia="宋体" w:cs="宋体"/>
                <w:b/>
                <w:kern w:val="0"/>
                <w:sz w:val="18"/>
                <w:szCs w:val="18"/>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62E90E2B">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大黄鱼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5E7BB1F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体长≥7cm</w:t>
            </w:r>
          </w:p>
        </w:tc>
        <w:tc>
          <w:tcPr>
            <w:tcW w:w="756" w:type="dxa"/>
            <w:tcBorders>
              <w:top w:val="single" w:color="000000" w:sz="4" w:space="0"/>
              <w:left w:val="single" w:color="000000" w:sz="4" w:space="0"/>
              <w:bottom w:val="single" w:color="000000" w:sz="4" w:space="0"/>
              <w:right w:val="single" w:color="000000" w:sz="4" w:space="0"/>
            </w:tcBorders>
            <w:vAlign w:val="center"/>
          </w:tcPr>
          <w:p w14:paraId="463F4E94">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1104" w:type="dxa"/>
            <w:tcBorders>
              <w:top w:val="single" w:color="000000" w:sz="4" w:space="0"/>
              <w:bottom w:val="single" w:color="000000" w:sz="4" w:space="0"/>
              <w:right w:val="single" w:color="auto" w:sz="4" w:space="0"/>
            </w:tcBorders>
            <w:vAlign w:val="center"/>
          </w:tcPr>
          <w:p w14:paraId="21B4453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140 </w:t>
            </w:r>
          </w:p>
        </w:tc>
        <w:tc>
          <w:tcPr>
            <w:tcW w:w="888" w:type="dxa"/>
            <w:tcBorders>
              <w:top w:val="single" w:color="000000" w:sz="4" w:space="0"/>
              <w:left w:val="single" w:color="auto" w:sz="4" w:space="0"/>
              <w:bottom w:val="single" w:color="000000" w:sz="4" w:space="0"/>
              <w:right w:val="single" w:color="000000" w:sz="4" w:space="0"/>
            </w:tcBorders>
            <w:vAlign w:val="center"/>
          </w:tcPr>
          <w:p w14:paraId="3CF90F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7B3F995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2F7CD873">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8277D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6-9</w:t>
            </w:r>
          </w:p>
        </w:tc>
        <w:tc>
          <w:tcPr>
            <w:tcW w:w="1500" w:type="dxa"/>
            <w:tcBorders>
              <w:top w:val="single" w:color="000000" w:sz="4" w:space="0"/>
              <w:left w:val="single" w:color="auto" w:sz="4" w:space="0"/>
              <w:bottom w:val="single" w:color="000000" w:sz="4" w:space="0"/>
              <w:right w:val="single" w:color="000000" w:sz="4" w:space="0"/>
            </w:tcBorders>
            <w:vAlign w:val="center"/>
          </w:tcPr>
          <w:p w14:paraId="79F87FE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岱衢洋</w:t>
            </w:r>
          </w:p>
        </w:tc>
      </w:tr>
      <w:tr w14:paraId="2DEDA2CD">
        <w:tblPrEx>
          <w:tblCellMar>
            <w:top w:w="15" w:type="dxa"/>
            <w:left w:w="15" w:type="dxa"/>
            <w:bottom w:w="15" w:type="dxa"/>
            <w:right w:w="15" w:type="dxa"/>
          </w:tblCellMar>
        </w:tblPrEx>
        <w:trPr>
          <w:trHeight w:val="34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51ECCD65">
            <w:pPr>
              <w:widowControl/>
              <w:jc w:val="center"/>
              <w:rPr>
                <w:rFonts w:ascii="宋体" w:hAnsi="宋体" w:eastAsia="宋体" w:cs="宋体"/>
                <w:b/>
                <w:kern w:val="0"/>
                <w:sz w:val="18"/>
                <w:szCs w:val="18"/>
              </w:rPr>
            </w:pPr>
            <w:r>
              <w:rPr>
                <w:rFonts w:hint="eastAsia" w:ascii="宋体" w:hAnsi="宋体" w:eastAsia="宋体" w:cs="宋体"/>
                <w:b/>
                <w:kern w:val="0"/>
                <w:sz w:val="18"/>
                <w:szCs w:val="18"/>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14:paraId="32506090">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厚壳贻贝</w:t>
            </w:r>
          </w:p>
        </w:tc>
        <w:tc>
          <w:tcPr>
            <w:tcW w:w="1012" w:type="dxa"/>
            <w:tcBorders>
              <w:top w:val="single" w:color="000000" w:sz="4" w:space="0"/>
              <w:left w:val="single" w:color="000000" w:sz="4" w:space="0"/>
              <w:bottom w:val="single" w:color="000000" w:sz="4" w:space="0"/>
              <w:right w:val="single" w:color="000000" w:sz="4" w:space="0"/>
            </w:tcBorders>
            <w:vAlign w:val="center"/>
          </w:tcPr>
          <w:p w14:paraId="4B743FF8">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壳长≥5mm</w:t>
            </w:r>
          </w:p>
        </w:tc>
        <w:tc>
          <w:tcPr>
            <w:tcW w:w="756" w:type="dxa"/>
            <w:tcBorders>
              <w:top w:val="single" w:color="000000" w:sz="4" w:space="0"/>
              <w:left w:val="single" w:color="000000" w:sz="4" w:space="0"/>
              <w:bottom w:val="single" w:color="000000" w:sz="4" w:space="0"/>
              <w:right w:val="single" w:color="000000" w:sz="4" w:space="0"/>
            </w:tcBorders>
            <w:vAlign w:val="center"/>
          </w:tcPr>
          <w:p w14:paraId="2469CC97">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1104" w:type="dxa"/>
            <w:tcBorders>
              <w:top w:val="single" w:color="000000" w:sz="4" w:space="0"/>
              <w:bottom w:val="single" w:color="000000" w:sz="4" w:space="0"/>
              <w:right w:val="single" w:color="auto" w:sz="4" w:space="0"/>
            </w:tcBorders>
            <w:vAlign w:val="center"/>
          </w:tcPr>
          <w:p w14:paraId="32BC1893">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1667 </w:t>
            </w:r>
          </w:p>
        </w:tc>
        <w:tc>
          <w:tcPr>
            <w:tcW w:w="888" w:type="dxa"/>
            <w:tcBorders>
              <w:top w:val="single" w:color="000000" w:sz="4" w:space="0"/>
              <w:left w:val="single" w:color="auto" w:sz="4" w:space="0"/>
              <w:bottom w:val="single" w:color="000000" w:sz="4" w:space="0"/>
              <w:right w:val="single" w:color="000000" w:sz="4" w:space="0"/>
            </w:tcBorders>
            <w:vAlign w:val="center"/>
          </w:tcPr>
          <w:p w14:paraId="2C68A12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9AC99B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08F051C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F7485ED">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3048B777">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海洋特别保护区</w:t>
            </w:r>
          </w:p>
        </w:tc>
      </w:tr>
      <w:tr w14:paraId="7745EE8F">
        <w:tblPrEx>
          <w:tblCellMar>
            <w:top w:w="15" w:type="dxa"/>
            <w:left w:w="15" w:type="dxa"/>
            <w:bottom w:w="15" w:type="dxa"/>
            <w:right w:w="15" w:type="dxa"/>
          </w:tblCellMar>
        </w:tblPrEx>
        <w:trPr>
          <w:trHeight w:val="340"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3F42B9E7">
            <w:pPr>
              <w:widowControl/>
              <w:jc w:val="center"/>
              <w:rPr>
                <w:rFonts w:ascii="宋体" w:hAnsi="宋体" w:eastAsia="宋体" w:cs="宋体"/>
                <w:b/>
                <w:kern w:val="0"/>
                <w:sz w:val="18"/>
                <w:szCs w:val="18"/>
              </w:rPr>
            </w:pPr>
            <w:r>
              <w:rPr>
                <w:rFonts w:hint="eastAsia" w:ascii="宋体" w:hAnsi="宋体" w:eastAsia="宋体" w:cs="宋体"/>
                <w:b/>
                <w:kern w:val="0"/>
                <w:sz w:val="18"/>
                <w:szCs w:val="18"/>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14:paraId="5F0FC9C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曼氏无针乌贼</w:t>
            </w:r>
          </w:p>
        </w:tc>
        <w:tc>
          <w:tcPr>
            <w:tcW w:w="1012" w:type="dxa"/>
            <w:tcBorders>
              <w:top w:val="single" w:color="000000" w:sz="4" w:space="0"/>
              <w:left w:val="single" w:color="000000" w:sz="4" w:space="0"/>
              <w:bottom w:val="single" w:color="000000" w:sz="4" w:space="0"/>
              <w:right w:val="single" w:color="000000" w:sz="4" w:space="0"/>
            </w:tcBorders>
            <w:vAlign w:val="center"/>
          </w:tcPr>
          <w:p w14:paraId="1922E34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受精卵</w:t>
            </w:r>
          </w:p>
        </w:tc>
        <w:tc>
          <w:tcPr>
            <w:tcW w:w="756" w:type="dxa"/>
            <w:tcBorders>
              <w:top w:val="single" w:color="000000" w:sz="4" w:space="0"/>
              <w:left w:val="single" w:color="000000" w:sz="4" w:space="0"/>
              <w:bottom w:val="single" w:color="000000" w:sz="4" w:space="0"/>
              <w:right w:val="single" w:color="000000" w:sz="4" w:space="0"/>
            </w:tcBorders>
            <w:vAlign w:val="center"/>
          </w:tcPr>
          <w:p w14:paraId="63DC270A">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1104" w:type="dxa"/>
            <w:tcBorders>
              <w:top w:val="single" w:color="000000" w:sz="4" w:space="0"/>
              <w:bottom w:val="single" w:color="000000" w:sz="4" w:space="0"/>
              <w:right w:val="single" w:color="auto" w:sz="4" w:space="0"/>
            </w:tcBorders>
            <w:vAlign w:val="center"/>
          </w:tcPr>
          <w:p w14:paraId="18A12CA7">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700</w:t>
            </w:r>
          </w:p>
        </w:tc>
        <w:tc>
          <w:tcPr>
            <w:tcW w:w="888" w:type="dxa"/>
            <w:tcBorders>
              <w:top w:val="single" w:color="000000" w:sz="4" w:space="0"/>
              <w:left w:val="single" w:color="auto" w:sz="4" w:space="0"/>
              <w:bottom w:val="single" w:color="000000" w:sz="4" w:space="0"/>
              <w:right w:val="single" w:color="000000" w:sz="4" w:space="0"/>
            </w:tcBorders>
            <w:vAlign w:val="center"/>
          </w:tcPr>
          <w:p w14:paraId="69C57A0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2B7D52F3">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3A67CE8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6838205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38A83E7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海洋特别保护区</w:t>
            </w:r>
          </w:p>
        </w:tc>
      </w:tr>
      <w:tr w14:paraId="58EBEFDB">
        <w:tblPrEx>
          <w:tblCellMar>
            <w:top w:w="15" w:type="dxa"/>
            <w:left w:w="15" w:type="dxa"/>
            <w:bottom w:w="15" w:type="dxa"/>
            <w:right w:w="15" w:type="dxa"/>
          </w:tblCellMar>
        </w:tblPrEx>
        <w:trPr>
          <w:trHeight w:val="384"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4B68660">
            <w:pPr>
              <w:widowControl/>
              <w:jc w:val="center"/>
              <w:rPr>
                <w:rFonts w:ascii="宋体" w:hAnsi="宋体" w:eastAsia="宋体" w:cs="宋体"/>
                <w:b/>
                <w:kern w:val="0"/>
                <w:sz w:val="18"/>
                <w:szCs w:val="18"/>
              </w:rPr>
            </w:pPr>
            <w:r>
              <w:rPr>
                <w:rFonts w:hint="eastAsia" w:ascii="宋体" w:hAnsi="宋体" w:eastAsia="宋体" w:cs="宋体"/>
                <w:b/>
                <w:kern w:val="0"/>
                <w:sz w:val="18"/>
                <w:szCs w:val="18"/>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14:paraId="1E8B644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海蜇</w:t>
            </w:r>
          </w:p>
        </w:tc>
        <w:tc>
          <w:tcPr>
            <w:tcW w:w="1012" w:type="dxa"/>
            <w:tcBorders>
              <w:top w:val="single" w:color="000000" w:sz="4" w:space="0"/>
              <w:left w:val="single" w:color="000000" w:sz="4" w:space="0"/>
              <w:bottom w:val="single" w:color="000000" w:sz="4" w:space="0"/>
              <w:right w:val="single" w:color="000000" w:sz="4" w:space="0"/>
            </w:tcBorders>
            <w:vAlign w:val="center"/>
          </w:tcPr>
          <w:p w14:paraId="3793BAF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伞径≥7mm</w:t>
            </w:r>
          </w:p>
        </w:tc>
        <w:tc>
          <w:tcPr>
            <w:tcW w:w="756" w:type="dxa"/>
            <w:tcBorders>
              <w:top w:val="single" w:color="000000" w:sz="4" w:space="0"/>
              <w:left w:val="single" w:color="000000" w:sz="4" w:space="0"/>
              <w:bottom w:val="single" w:color="000000" w:sz="4" w:space="0"/>
              <w:right w:val="single" w:color="000000" w:sz="4" w:space="0"/>
            </w:tcBorders>
            <w:vAlign w:val="center"/>
          </w:tcPr>
          <w:p w14:paraId="6125196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90</w:t>
            </w:r>
          </w:p>
        </w:tc>
        <w:tc>
          <w:tcPr>
            <w:tcW w:w="1104" w:type="dxa"/>
            <w:tcBorders>
              <w:top w:val="single" w:color="000000" w:sz="4" w:space="0"/>
              <w:bottom w:val="single" w:color="000000" w:sz="4" w:space="0"/>
              <w:right w:val="single" w:color="auto" w:sz="4" w:space="0"/>
            </w:tcBorders>
            <w:vAlign w:val="center"/>
          </w:tcPr>
          <w:p w14:paraId="5EE285F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12857 </w:t>
            </w:r>
          </w:p>
        </w:tc>
        <w:tc>
          <w:tcPr>
            <w:tcW w:w="888" w:type="dxa"/>
            <w:tcBorders>
              <w:top w:val="single" w:color="000000" w:sz="4" w:space="0"/>
              <w:left w:val="single" w:color="auto" w:sz="4" w:space="0"/>
              <w:bottom w:val="single" w:color="000000" w:sz="4" w:space="0"/>
              <w:right w:val="single" w:color="000000" w:sz="4" w:space="0"/>
            </w:tcBorders>
            <w:vAlign w:val="center"/>
          </w:tcPr>
          <w:p w14:paraId="00E3B171">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9B6806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50</w:t>
            </w:r>
          </w:p>
        </w:tc>
        <w:tc>
          <w:tcPr>
            <w:tcW w:w="576" w:type="dxa"/>
            <w:tcBorders>
              <w:top w:val="single" w:color="000000" w:sz="4" w:space="0"/>
              <w:left w:val="single" w:color="000000" w:sz="4" w:space="0"/>
              <w:bottom w:val="single" w:color="000000" w:sz="4" w:space="0"/>
              <w:right w:val="single" w:color="auto" w:sz="4" w:space="0"/>
            </w:tcBorders>
            <w:vAlign w:val="center"/>
          </w:tcPr>
          <w:p w14:paraId="0F4AEF9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40</w:t>
            </w:r>
          </w:p>
        </w:tc>
        <w:tc>
          <w:tcPr>
            <w:tcW w:w="840" w:type="dxa"/>
            <w:tcBorders>
              <w:top w:val="single" w:color="000000" w:sz="4" w:space="0"/>
              <w:left w:val="single" w:color="000000" w:sz="4" w:space="0"/>
              <w:bottom w:val="single" w:color="000000" w:sz="4" w:space="0"/>
              <w:right w:val="single" w:color="auto" w:sz="4" w:space="0"/>
            </w:tcBorders>
            <w:vAlign w:val="center"/>
          </w:tcPr>
          <w:p w14:paraId="29726C4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57C8BB1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灰鳖洋</w:t>
            </w:r>
          </w:p>
        </w:tc>
      </w:tr>
      <w:tr w14:paraId="78A34527">
        <w:tblPrEx>
          <w:tblCellMar>
            <w:top w:w="15" w:type="dxa"/>
            <w:left w:w="15" w:type="dxa"/>
            <w:bottom w:w="15" w:type="dxa"/>
            <w:right w:w="15" w:type="dxa"/>
          </w:tblCellMar>
        </w:tblPrEx>
        <w:trPr>
          <w:trHeight w:val="324"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2B8A0A78">
            <w:pPr>
              <w:widowControl/>
              <w:jc w:val="center"/>
              <w:rPr>
                <w:rFonts w:ascii="宋体" w:hAnsi="宋体" w:eastAsia="宋体" w:cs="宋体"/>
                <w:b/>
                <w:kern w:val="0"/>
                <w:sz w:val="18"/>
                <w:szCs w:val="18"/>
              </w:rPr>
            </w:pPr>
            <w:r>
              <w:rPr>
                <w:rFonts w:hint="eastAsia" w:ascii="宋体" w:hAnsi="宋体" w:eastAsia="宋体" w:cs="宋体"/>
                <w:b/>
                <w:kern w:val="0"/>
                <w:sz w:val="18"/>
                <w:szCs w:val="18"/>
              </w:rPr>
              <w:t>五</w:t>
            </w:r>
          </w:p>
        </w:tc>
        <w:tc>
          <w:tcPr>
            <w:tcW w:w="1173" w:type="dxa"/>
            <w:tcBorders>
              <w:top w:val="single" w:color="000000" w:sz="4" w:space="0"/>
              <w:left w:val="single" w:color="000000" w:sz="4" w:space="0"/>
              <w:bottom w:val="single" w:color="000000" w:sz="4" w:space="0"/>
              <w:right w:val="single" w:color="000000" w:sz="4" w:space="0"/>
            </w:tcBorders>
            <w:vAlign w:val="center"/>
          </w:tcPr>
          <w:p w14:paraId="7264710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黑鲷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5B60B3C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21AF64E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45</w:t>
            </w:r>
          </w:p>
        </w:tc>
        <w:tc>
          <w:tcPr>
            <w:tcW w:w="1104" w:type="dxa"/>
            <w:tcBorders>
              <w:top w:val="single" w:color="000000" w:sz="4" w:space="0"/>
              <w:bottom w:val="single" w:color="000000" w:sz="4" w:space="0"/>
              <w:right w:val="single" w:color="auto" w:sz="4" w:space="0"/>
            </w:tcBorders>
            <w:vAlign w:val="center"/>
          </w:tcPr>
          <w:p w14:paraId="1939949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180 </w:t>
            </w:r>
          </w:p>
        </w:tc>
        <w:tc>
          <w:tcPr>
            <w:tcW w:w="888" w:type="dxa"/>
            <w:tcBorders>
              <w:top w:val="single" w:color="000000" w:sz="4" w:space="0"/>
              <w:left w:val="single" w:color="auto" w:sz="4" w:space="0"/>
              <w:bottom w:val="single" w:color="000000" w:sz="4" w:space="0"/>
              <w:right w:val="single" w:color="000000" w:sz="4" w:space="0"/>
            </w:tcBorders>
            <w:vAlign w:val="center"/>
          </w:tcPr>
          <w:p w14:paraId="1FAE1C0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46AF6F3">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45</w:t>
            </w:r>
          </w:p>
        </w:tc>
        <w:tc>
          <w:tcPr>
            <w:tcW w:w="576" w:type="dxa"/>
            <w:tcBorders>
              <w:top w:val="single" w:color="000000" w:sz="4" w:space="0"/>
              <w:left w:val="single" w:color="000000" w:sz="4" w:space="0"/>
              <w:bottom w:val="single" w:color="000000" w:sz="4" w:space="0"/>
              <w:right w:val="single" w:color="auto" w:sz="4" w:space="0"/>
            </w:tcBorders>
            <w:vAlign w:val="center"/>
          </w:tcPr>
          <w:p w14:paraId="668D87A8">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682A6ED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780D350B">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嵊山海域</w:t>
            </w:r>
          </w:p>
        </w:tc>
      </w:tr>
      <w:tr w14:paraId="49049B22">
        <w:tblPrEx>
          <w:tblCellMar>
            <w:top w:w="15" w:type="dxa"/>
            <w:left w:w="15" w:type="dxa"/>
            <w:bottom w:w="15" w:type="dxa"/>
            <w:right w:w="15" w:type="dxa"/>
          </w:tblCellMar>
        </w:tblPrEx>
        <w:trPr>
          <w:trHeight w:val="36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5DBC7730">
            <w:pPr>
              <w:widowControl/>
              <w:jc w:val="center"/>
              <w:rPr>
                <w:rFonts w:ascii="宋体" w:hAnsi="宋体" w:eastAsia="宋体" w:cs="宋体"/>
                <w:b/>
                <w:kern w:val="0"/>
                <w:sz w:val="18"/>
                <w:szCs w:val="18"/>
              </w:rPr>
            </w:pPr>
            <w:r>
              <w:rPr>
                <w:rFonts w:hint="eastAsia" w:ascii="宋体" w:hAnsi="宋体" w:eastAsia="宋体" w:cs="宋体"/>
                <w:b/>
                <w:kern w:val="0"/>
                <w:sz w:val="18"/>
                <w:szCs w:val="18"/>
              </w:rPr>
              <w:t>六</w:t>
            </w:r>
          </w:p>
        </w:tc>
        <w:tc>
          <w:tcPr>
            <w:tcW w:w="1173" w:type="dxa"/>
            <w:tcBorders>
              <w:top w:val="single" w:color="000000" w:sz="4" w:space="0"/>
              <w:left w:val="single" w:color="000000" w:sz="4" w:space="0"/>
              <w:bottom w:val="single" w:color="000000" w:sz="4" w:space="0"/>
              <w:right w:val="single" w:color="000000" w:sz="4" w:space="0"/>
            </w:tcBorders>
            <w:vAlign w:val="center"/>
          </w:tcPr>
          <w:p w14:paraId="77F11C5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黄姑鱼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26B73E77">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2E0BC23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35</w:t>
            </w:r>
          </w:p>
        </w:tc>
        <w:tc>
          <w:tcPr>
            <w:tcW w:w="1104" w:type="dxa"/>
            <w:tcBorders>
              <w:top w:val="single" w:color="000000" w:sz="4" w:space="0"/>
              <w:bottom w:val="single" w:color="000000" w:sz="4" w:space="0"/>
              <w:right w:val="single" w:color="auto" w:sz="4" w:space="0"/>
            </w:tcBorders>
            <w:vAlign w:val="center"/>
          </w:tcPr>
          <w:p w14:paraId="17A54F86">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100 </w:t>
            </w:r>
          </w:p>
        </w:tc>
        <w:tc>
          <w:tcPr>
            <w:tcW w:w="888" w:type="dxa"/>
            <w:tcBorders>
              <w:top w:val="single" w:color="000000" w:sz="4" w:space="0"/>
              <w:left w:val="single" w:color="auto" w:sz="4" w:space="0"/>
              <w:bottom w:val="single" w:color="000000" w:sz="4" w:space="0"/>
              <w:right w:val="single" w:color="000000" w:sz="4" w:space="0"/>
            </w:tcBorders>
            <w:vAlign w:val="center"/>
          </w:tcPr>
          <w:p w14:paraId="0BB66DA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41984F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474DEE1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4C30F35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6DE5999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海洋牧场</w:t>
            </w:r>
          </w:p>
        </w:tc>
      </w:tr>
      <w:tr w14:paraId="01E0F51E">
        <w:tblPrEx>
          <w:tblCellMar>
            <w:top w:w="15" w:type="dxa"/>
            <w:left w:w="15" w:type="dxa"/>
            <w:bottom w:w="15" w:type="dxa"/>
            <w:right w:w="15" w:type="dxa"/>
          </w:tblCellMar>
        </w:tblPrEx>
        <w:trPr>
          <w:trHeight w:val="340"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4B4EDD86">
            <w:pPr>
              <w:widowControl/>
              <w:jc w:val="center"/>
              <w:rPr>
                <w:rFonts w:ascii="宋体" w:hAnsi="宋体" w:eastAsia="宋体" w:cs="宋体"/>
                <w:b/>
                <w:kern w:val="0"/>
                <w:sz w:val="18"/>
                <w:szCs w:val="18"/>
              </w:rPr>
            </w:pPr>
            <w:r>
              <w:rPr>
                <w:rFonts w:hint="eastAsia" w:ascii="宋体" w:hAnsi="宋体" w:eastAsia="宋体" w:cs="宋体"/>
                <w:b/>
                <w:kern w:val="0"/>
                <w:sz w:val="18"/>
                <w:szCs w:val="18"/>
              </w:rPr>
              <w:t>七</w:t>
            </w:r>
          </w:p>
        </w:tc>
        <w:tc>
          <w:tcPr>
            <w:tcW w:w="1173" w:type="dxa"/>
            <w:tcBorders>
              <w:top w:val="single" w:color="000000" w:sz="4" w:space="0"/>
              <w:left w:val="single" w:color="000000" w:sz="4" w:space="0"/>
              <w:bottom w:val="single" w:color="000000" w:sz="4" w:space="0"/>
              <w:right w:val="single" w:color="000000" w:sz="4" w:space="0"/>
            </w:tcBorders>
            <w:vAlign w:val="center"/>
          </w:tcPr>
          <w:p w14:paraId="03196FAB">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三疣梭子蟹</w:t>
            </w:r>
          </w:p>
        </w:tc>
        <w:tc>
          <w:tcPr>
            <w:tcW w:w="1012" w:type="dxa"/>
            <w:tcBorders>
              <w:top w:val="single" w:color="000000" w:sz="4" w:space="0"/>
              <w:left w:val="single" w:color="000000" w:sz="4" w:space="0"/>
              <w:bottom w:val="single" w:color="000000" w:sz="4" w:space="0"/>
              <w:right w:val="single" w:color="000000" w:sz="4" w:space="0"/>
            </w:tcBorders>
            <w:vAlign w:val="center"/>
          </w:tcPr>
          <w:p w14:paraId="6330D1E0">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仔蟹Ⅲ期</w:t>
            </w:r>
          </w:p>
        </w:tc>
        <w:tc>
          <w:tcPr>
            <w:tcW w:w="756" w:type="dxa"/>
            <w:tcBorders>
              <w:top w:val="single" w:color="000000" w:sz="4" w:space="0"/>
              <w:left w:val="single" w:color="000000" w:sz="4" w:space="0"/>
              <w:bottom w:val="single" w:color="000000" w:sz="4" w:space="0"/>
              <w:right w:val="single" w:color="000000" w:sz="4" w:space="0"/>
            </w:tcBorders>
            <w:vAlign w:val="center"/>
          </w:tcPr>
          <w:p w14:paraId="0CE3570B">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65</w:t>
            </w:r>
          </w:p>
        </w:tc>
        <w:tc>
          <w:tcPr>
            <w:tcW w:w="1104" w:type="dxa"/>
            <w:tcBorders>
              <w:top w:val="single" w:color="000000" w:sz="4" w:space="0"/>
              <w:bottom w:val="single" w:color="000000" w:sz="4" w:space="0"/>
              <w:right w:val="single" w:color="auto" w:sz="4" w:space="0"/>
            </w:tcBorders>
            <w:vAlign w:val="center"/>
          </w:tcPr>
          <w:p w14:paraId="14C23DD8">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813 </w:t>
            </w:r>
          </w:p>
        </w:tc>
        <w:tc>
          <w:tcPr>
            <w:tcW w:w="888" w:type="dxa"/>
            <w:tcBorders>
              <w:top w:val="single" w:color="000000" w:sz="4" w:space="0"/>
              <w:left w:val="single" w:color="auto" w:sz="4" w:space="0"/>
              <w:bottom w:val="single" w:color="000000" w:sz="4" w:space="0"/>
              <w:right w:val="single" w:color="000000" w:sz="4" w:space="0"/>
            </w:tcBorders>
            <w:vAlign w:val="center"/>
          </w:tcPr>
          <w:p w14:paraId="32065B3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585636B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2ACAC5C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30</w:t>
            </w:r>
          </w:p>
        </w:tc>
        <w:tc>
          <w:tcPr>
            <w:tcW w:w="840" w:type="dxa"/>
            <w:tcBorders>
              <w:top w:val="single" w:color="000000" w:sz="4" w:space="0"/>
              <w:left w:val="single" w:color="000000" w:sz="4" w:space="0"/>
              <w:bottom w:val="single" w:color="000000" w:sz="4" w:space="0"/>
              <w:right w:val="single" w:color="auto" w:sz="4" w:space="0"/>
            </w:tcBorders>
            <w:vAlign w:val="center"/>
          </w:tcPr>
          <w:p w14:paraId="30D7EC5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3F9D78A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莲花洋、岱衢洋</w:t>
            </w:r>
          </w:p>
        </w:tc>
      </w:tr>
      <w:tr w14:paraId="5AEAA99D">
        <w:tblPrEx>
          <w:tblCellMar>
            <w:top w:w="15" w:type="dxa"/>
            <w:left w:w="15" w:type="dxa"/>
            <w:bottom w:w="15" w:type="dxa"/>
            <w:right w:w="15" w:type="dxa"/>
          </w:tblCellMar>
        </w:tblPrEx>
        <w:trPr>
          <w:trHeight w:val="308"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663A5CAE">
            <w:pPr>
              <w:widowControl/>
              <w:jc w:val="center"/>
              <w:rPr>
                <w:rFonts w:ascii="宋体" w:hAnsi="宋体" w:eastAsia="宋体" w:cs="宋体"/>
                <w:b/>
                <w:kern w:val="0"/>
                <w:sz w:val="18"/>
                <w:szCs w:val="18"/>
              </w:rPr>
            </w:pPr>
            <w:r>
              <w:rPr>
                <w:rFonts w:hint="eastAsia" w:ascii="宋体" w:hAnsi="宋体" w:eastAsia="宋体" w:cs="宋体"/>
                <w:b/>
                <w:kern w:val="0"/>
                <w:sz w:val="18"/>
                <w:szCs w:val="18"/>
              </w:rPr>
              <w:t>八</w:t>
            </w:r>
          </w:p>
        </w:tc>
        <w:tc>
          <w:tcPr>
            <w:tcW w:w="1173" w:type="dxa"/>
            <w:tcBorders>
              <w:top w:val="single" w:color="000000" w:sz="4" w:space="0"/>
              <w:left w:val="single" w:color="000000" w:sz="4" w:space="0"/>
              <w:bottom w:val="single" w:color="000000" w:sz="4" w:space="0"/>
              <w:right w:val="single" w:color="000000" w:sz="4" w:space="0"/>
            </w:tcBorders>
            <w:vAlign w:val="center"/>
          </w:tcPr>
          <w:p w14:paraId="717A9AAF">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等边浅蛤</w:t>
            </w:r>
          </w:p>
        </w:tc>
        <w:tc>
          <w:tcPr>
            <w:tcW w:w="1012" w:type="dxa"/>
            <w:tcBorders>
              <w:top w:val="single" w:color="000000" w:sz="4" w:space="0"/>
              <w:left w:val="single" w:color="000000" w:sz="4" w:space="0"/>
              <w:bottom w:val="single" w:color="000000" w:sz="4" w:space="0"/>
              <w:right w:val="single" w:color="000000" w:sz="4" w:space="0"/>
            </w:tcBorders>
            <w:vAlign w:val="center"/>
          </w:tcPr>
          <w:p w14:paraId="01CEE4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壳长≥3mm</w:t>
            </w:r>
          </w:p>
        </w:tc>
        <w:tc>
          <w:tcPr>
            <w:tcW w:w="756" w:type="dxa"/>
            <w:tcBorders>
              <w:top w:val="single" w:color="000000" w:sz="4" w:space="0"/>
              <w:left w:val="single" w:color="000000" w:sz="4" w:space="0"/>
              <w:bottom w:val="single" w:color="000000" w:sz="4" w:space="0"/>
              <w:right w:val="single" w:color="000000" w:sz="4" w:space="0"/>
            </w:tcBorders>
            <w:vAlign w:val="center"/>
          </w:tcPr>
          <w:p w14:paraId="7A1F31BD">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1104" w:type="dxa"/>
            <w:tcBorders>
              <w:top w:val="single" w:color="000000" w:sz="4" w:space="0"/>
              <w:bottom w:val="single" w:color="000000" w:sz="4" w:space="0"/>
              <w:right w:val="single" w:color="auto" w:sz="4" w:space="0"/>
            </w:tcBorders>
            <w:vAlign w:val="center"/>
          </w:tcPr>
          <w:p w14:paraId="77ABFFF0">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2200 </w:t>
            </w:r>
          </w:p>
        </w:tc>
        <w:tc>
          <w:tcPr>
            <w:tcW w:w="888" w:type="dxa"/>
            <w:tcBorders>
              <w:top w:val="single" w:color="000000" w:sz="4" w:space="0"/>
              <w:left w:val="single" w:color="auto" w:sz="4" w:space="0"/>
              <w:bottom w:val="single" w:color="000000" w:sz="4" w:space="0"/>
              <w:right w:val="single" w:color="000000" w:sz="4" w:space="0"/>
            </w:tcBorders>
            <w:vAlign w:val="center"/>
          </w:tcPr>
          <w:p w14:paraId="364FA212">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635E1AF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373BAC38">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18F5247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7-9</w:t>
            </w:r>
          </w:p>
        </w:tc>
        <w:tc>
          <w:tcPr>
            <w:tcW w:w="1500" w:type="dxa"/>
            <w:tcBorders>
              <w:top w:val="single" w:color="000000" w:sz="4" w:space="0"/>
              <w:left w:val="single" w:color="auto" w:sz="4" w:space="0"/>
              <w:bottom w:val="single" w:color="000000" w:sz="4" w:space="0"/>
              <w:right w:val="single" w:color="000000" w:sz="4" w:space="0"/>
            </w:tcBorders>
            <w:vAlign w:val="center"/>
          </w:tcPr>
          <w:p w14:paraId="46794EF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嵊泗海域</w:t>
            </w:r>
          </w:p>
        </w:tc>
      </w:tr>
      <w:tr w14:paraId="3200452D">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967BEA7">
            <w:pPr>
              <w:widowControl/>
              <w:jc w:val="center"/>
              <w:rPr>
                <w:rFonts w:ascii="宋体" w:hAnsi="宋体" w:eastAsia="宋体" w:cs="宋体"/>
                <w:b/>
                <w:kern w:val="0"/>
                <w:sz w:val="18"/>
                <w:szCs w:val="18"/>
              </w:rPr>
            </w:pPr>
            <w:r>
              <w:rPr>
                <w:rFonts w:hint="eastAsia" w:ascii="宋体" w:hAnsi="宋体" w:eastAsia="宋体" w:cs="宋体"/>
                <w:b/>
                <w:kern w:val="0"/>
                <w:sz w:val="18"/>
                <w:szCs w:val="18"/>
              </w:rPr>
              <w:t>九</w:t>
            </w:r>
          </w:p>
        </w:tc>
        <w:tc>
          <w:tcPr>
            <w:tcW w:w="1173" w:type="dxa"/>
            <w:tcBorders>
              <w:top w:val="single" w:color="000000" w:sz="4" w:space="0"/>
              <w:left w:val="single" w:color="000000" w:sz="4" w:space="0"/>
              <w:bottom w:val="single" w:color="000000" w:sz="4" w:space="0"/>
              <w:right w:val="single" w:color="000000" w:sz="4" w:space="0"/>
            </w:tcBorders>
            <w:vAlign w:val="center"/>
          </w:tcPr>
          <w:p w14:paraId="40E29A63">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半滑舌鳎</w:t>
            </w:r>
          </w:p>
        </w:tc>
        <w:tc>
          <w:tcPr>
            <w:tcW w:w="1012" w:type="dxa"/>
            <w:tcBorders>
              <w:top w:val="single" w:color="000000" w:sz="4" w:space="0"/>
              <w:left w:val="single" w:color="000000" w:sz="4" w:space="0"/>
              <w:bottom w:val="single" w:color="000000" w:sz="4" w:space="0"/>
              <w:right w:val="single" w:color="000000" w:sz="4" w:space="0"/>
            </w:tcBorders>
            <w:vAlign w:val="center"/>
          </w:tcPr>
          <w:p w14:paraId="0EFFBA8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05B546CB">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1104" w:type="dxa"/>
            <w:tcBorders>
              <w:top w:val="single" w:color="000000" w:sz="4" w:space="0"/>
              <w:bottom w:val="single" w:color="000000" w:sz="4" w:space="0"/>
              <w:right w:val="single" w:color="auto" w:sz="4" w:space="0"/>
            </w:tcBorders>
            <w:vAlign w:val="center"/>
          </w:tcPr>
          <w:p w14:paraId="3BC48641">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13 </w:t>
            </w:r>
          </w:p>
        </w:tc>
        <w:tc>
          <w:tcPr>
            <w:tcW w:w="888" w:type="dxa"/>
            <w:tcBorders>
              <w:top w:val="single" w:color="000000" w:sz="4" w:space="0"/>
              <w:left w:val="single" w:color="auto" w:sz="4" w:space="0"/>
              <w:bottom w:val="single" w:color="000000" w:sz="4" w:space="0"/>
              <w:right w:val="single" w:color="000000" w:sz="4" w:space="0"/>
            </w:tcBorders>
            <w:vAlign w:val="center"/>
          </w:tcPr>
          <w:p w14:paraId="7310960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F39C5AD">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74E4E2B7">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87D0FF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1D1D455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岱衢洋</w:t>
            </w:r>
          </w:p>
        </w:tc>
      </w:tr>
      <w:tr w14:paraId="5EADA677">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2035DA10">
            <w:pPr>
              <w:widowControl/>
              <w:jc w:val="center"/>
              <w:rPr>
                <w:rFonts w:ascii="宋体" w:hAnsi="宋体" w:eastAsia="宋体" w:cs="宋体"/>
                <w:b/>
                <w:kern w:val="0"/>
                <w:sz w:val="18"/>
                <w:szCs w:val="18"/>
              </w:rPr>
            </w:pPr>
            <w:r>
              <w:rPr>
                <w:rFonts w:hint="eastAsia" w:ascii="宋体" w:hAnsi="宋体" w:eastAsia="宋体" w:cs="宋体"/>
                <w:b/>
                <w:kern w:val="0"/>
                <w:sz w:val="18"/>
                <w:szCs w:val="18"/>
              </w:rPr>
              <w:t>十</w:t>
            </w:r>
          </w:p>
        </w:tc>
        <w:tc>
          <w:tcPr>
            <w:tcW w:w="1173" w:type="dxa"/>
            <w:tcBorders>
              <w:top w:val="single" w:color="000000" w:sz="4" w:space="0"/>
              <w:left w:val="single" w:color="000000" w:sz="4" w:space="0"/>
              <w:bottom w:val="single" w:color="000000" w:sz="4" w:space="0"/>
              <w:right w:val="single" w:color="000000" w:sz="4" w:space="0"/>
            </w:tcBorders>
            <w:vAlign w:val="center"/>
          </w:tcPr>
          <w:p w14:paraId="4F29B475">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鮸</w:t>
            </w:r>
          </w:p>
        </w:tc>
        <w:tc>
          <w:tcPr>
            <w:tcW w:w="1012" w:type="dxa"/>
            <w:tcBorders>
              <w:top w:val="single" w:color="000000" w:sz="4" w:space="0"/>
              <w:left w:val="single" w:color="000000" w:sz="4" w:space="0"/>
              <w:bottom w:val="single" w:color="000000" w:sz="4" w:space="0"/>
              <w:right w:val="single" w:color="000000" w:sz="4" w:space="0"/>
            </w:tcBorders>
            <w:vAlign w:val="center"/>
          </w:tcPr>
          <w:p w14:paraId="1056109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58F6A4BE">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1104" w:type="dxa"/>
            <w:tcBorders>
              <w:top w:val="single" w:color="000000" w:sz="4" w:space="0"/>
              <w:bottom w:val="single" w:color="000000" w:sz="4" w:space="0"/>
              <w:right w:val="single" w:color="auto" w:sz="4" w:space="0"/>
            </w:tcBorders>
            <w:vAlign w:val="center"/>
          </w:tcPr>
          <w:p w14:paraId="2FE902FC">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17 </w:t>
            </w:r>
          </w:p>
        </w:tc>
        <w:tc>
          <w:tcPr>
            <w:tcW w:w="888" w:type="dxa"/>
            <w:tcBorders>
              <w:top w:val="single" w:color="000000" w:sz="4" w:space="0"/>
              <w:left w:val="single" w:color="auto" w:sz="4" w:space="0"/>
              <w:bottom w:val="single" w:color="000000" w:sz="4" w:space="0"/>
              <w:right w:val="single" w:color="000000" w:sz="4" w:space="0"/>
            </w:tcBorders>
            <w:vAlign w:val="center"/>
          </w:tcPr>
          <w:p w14:paraId="6132320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78A4A59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0B624041">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7740049">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3718EA3A">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册子海域</w:t>
            </w:r>
          </w:p>
        </w:tc>
      </w:tr>
      <w:tr w14:paraId="4194E246">
        <w:tblPrEx>
          <w:tblCellMar>
            <w:top w:w="15" w:type="dxa"/>
            <w:left w:w="15" w:type="dxa"/>
            <w:bottom w:w="15" w:type="dxa"/>
            <w:right w:w="15" w:type="dxa"/>
          </w:tblCellMar>
        </w:tblPrEx>
        <w:trPr>
          <w:trHeight w:val="336" w:hRule="atLeast"/>
        </w:trPr>
        <w:tc>
          <w:tcPr>
            <w:tcW w:w="530" w:type="dxa"/>
            <w:tcBorders>
              <w:top w:val="single" w:color="000000" w:sz="4" w:space="0"/>
              <w:left w:val="single" w:color="000000" w:sz="4" w:space="0"/>
              <w:bottom w:val="single" w:color="000000" w:sz="4" w:space="0"/>
              <w:right w:val="single" w:color="000000" w:sz="4" w:space="0"/>
            </w:tcBorders>
            <w:vAlign w:val="center"/>
          </w:tcPr>
          <w:p w14:paraId="0D5C6A8D">
            <w:pPr>
              <w:widowControl/>
              <w:jc w:val="center"/>
              <w:rPr>
                <w:rFonts w:ascii="宋体" w:hAnsi="宋体" w:eastAsia="宋体" w:cs="宋体"/>
                <w:b/>
                <w:kern w:val="0"/>
                <w:sz w:val="18"/>
                <w:szCs w:val="18"/>
              </w:rPr>
            </w:pPr>
            <w:bookmarkStart w:id="3" w:name="_GoBack" w:colFirst="1" w:colLast="2"/>
            <w:r>
              <w:rPr>
                <w:rFonts w:hint="eastAsia" w:ascii="宋体" w:hAnsi="宋体" w:eastAsia="宋体" w:cs="宋体"/>
                <w:b/>
                <w:kern w:val="0"/>
                <w:sz w:val="18"/>
                <w:szCs w:val="18"/>
              </w:rPr>
              <w:t>十一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35E63106">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条石鲷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0409D8E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390096F7">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1104" w:type="dxa"/>
            <w:tcBorders>
              <w:top w:val="single" w:color="000000" w:sz="4" w:space="0"/>
              <w:bottom w:val="single" w:color="000000" w:sz="4" w:space="0"/>
              <w:right w:val="single" w:color="auto" w:sz="4" w:space="0"/>
            </w:tcBorders>
            <w:vAlign w:val="center"/>
          </w:tcPr>
          <w:p w14:paraId="35EE2A46">
            <w:pPr>
              <w:keepNext w:val="0"/>
              <w:keepLines w:val="0"/>
              <w:widowControl/>
              <w:suppressLineNumbers w:val="0"/>
              <w:jc w:val="center"/>
              <w:textAlignment w:val="center"/>
              <w:rPr>
                <w:rFonts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 xml:space="preserve">46 </w:t>
            </w:r>
          </w:p>
        </w:tc>
        <w:tc>
          <w:tcPr>
            <w:tcW w:w="888" w:type="dxa"/>
            <w:tcBorders>
              <w:top w:val="single" w:color="000000" w:sz="4" w:space="0"/>
              <w:left w:val="single" w:color="auto" w:sz="4" w:space="0"/>
              <w:bottom w:val="single" w:color="000000" w:sz="4" w:space="0"/>
              <w:right w:val="single" w:color="000000" w:sz="4" w:space="0"/>
            </w:tcBorders>
            <w:vAlign w:val="center"/>
          </w:tcPr>
          <w:p w14:paraId="24FB5D80">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55F2544">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15B37508">
            <w:pPr>
              <w:jc w:val="center"/>
              <w:rPr>
                <w:rFonts w:hint="eastAsia" w:ascii="宋体" w:hAnsi="宋体" w:eastAsia="宋体" w:cs="宋体"/>
                <w:kern w:val="0"/>
                <w:sz w:val="18"/>
                <w:szCs w:val="18"/>
                <w:lang w:bidi="ar"/>
              </w:rPr>
            </w:pPr>
          </w:p>
        </w:tc>
        <w:tc>
          <w:tcPr>
            <w:tcW w:w="840" w:type="dxa"/>
            <w:tcBorders>
              <w:top w:val="single" w:color="000000" w:sz="4" w:space="0"/>
              <w:left w:val="single" w:color="000000" w:sz="4" w:space="0"/>
              <w:bottom w:val="single" w:color="000000" w:sz="4" w:space="0"/>
              <w:right w:val="single" w:color="auto" w:sz="4" w:space="0"/>
            </w:tcBorders>
            <w:vAlign w:val="center"/>
          </w:tcPr>
          <w:p w14:paraId="0B620A4E">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62EFBF27">
            <w:pPr>
              <w:keepNext w:val="0"/>
              <w:keepLines w:val="0"/>
              <w:widowControl/>
              <w:suppressLineNumbers w:val="0"/>
              <w:jc w:val="center"/>
              <w:textAlignment w:val="center"/>
              <w:rPr>
                <w:rFonts w:hint="eastAsia" w:ascii="宋体" w:hAnsi="宋体" w:eastAsia="宋体" w:cs="宋体"/>
                <w:kern w:val="0"/>
                <w:sz w:val="18"/>
                <w:szCs w:val="18"/>
                <w:lang w:bidi="ar"/>
              </w:rPr>
            </w:pPr>
            <w:r>
              <w:rPr>
                <w:rFonts w:hint="eastAsia" w:ascii="宋体" w:hAnsi="宋体" w:eastAsia="宋体" w:cs="宋体"/>
                <w:i w:val="0"/>
                <w:iCs w:val="0"/>
                <w:color w:val="000000"/>
                <w:kern w:val="0"/>
                <w:sz w:val="18"/>
                <w:szCs w:val="18"/>
                <w:u w:val="none"/>
                <w:lang w:val="en-US" w:eastAsia="zh-CN" w:bidi="ar"/>
              </w:rPr>
              <w:t>嵊山海域</w:t>
            </w:r>
          </w:p>
        </w:tc>
      </w:tr>
      <w:bookmarkEnd w:id="3"/>
    </w:tbl>
    <w:p w14:paraId="45643B38">
      <w:pPr>
        <w:rPr>
          <w:rFonts w:ascii="微软雅黑" w:hAnsi="微软雅黑" w:eastAsia="微软雅黑" w:cs="Times New Roman"/>
          <w:sz w:val="27"/>
          <w:szCs w:val="27"/>
        </w:rPr>
      </w:pPr>
    </w:p>
    <w:p w14:paraId="1724077D">
      <w:pPr>
        <w:pStyle w:val="123"/>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jc w:val="both"/>
        <w:textAlignment w:val="auto"/>
        <w:rPr>
          <w:rFonts w:ascii="Times New Roman" w:hAnsi="Times New Roman"/>
          <w:szCs w:val="21"/>
        </w:rPr>
      </w:pPr>
      <w:r>
        <w:rPr>
          <w:rFonts w:hint="eastAsia" w:ascii="Times New Roman" w:hAnsi="Times New Roman"/>
          <w:b/>
          <w:bCs/>
          <w:szCs w:val="21"/>
        </w:rPr>
        <w:t>五、投标供应商资格要求</w:t>
      </w:r>
      <w:r>
        <w:rPr>
          <w:rFonts w:ascii="Times New Roman" w:hAnsi="Times New Roman"/>
          <w:b/>
          <w:bCs/>
          <w:szCs w:val="21"/>
        </w:rPr>
        <w:t>:</w:t>
      </w:r>
    </w:p>
    <w:p w14:paraId="5F7CAA52">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20" w:firstLineChars="200"/>
        <w:jc w:val="left"/>
        <w:textAlignment w:val="auto"/>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3D2A21CE">
      <w:pPr>
        <w:widowControl/>
        <w:shd w:val="clear" w:color="auto" w:fill="FFFFFF"/>
        <w:spacing w:line="360" w:lineRule="auto"/>
        <w:ind w:firstLine="420" w:firstLineChars="200"/>
        <w:jc w:val="left"/>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未被</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信用中国</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www.creditchina.gov.cn</w:t>
      </w:r>
      <w:r>
        <w:rPr>
          <w:rFonts w:hint="eastAsia" w:ascii="Times New Roman" w:hAnsi="Times New Roman" w:eastAsia="宋体" w:cs="Times New Roman"/>
          <w:color w:val="auto"/>
          <w:kern w:val="0"/>
          <w:szCs w:val="21"/>
        </w:rPr>
        <w:t>）、中国政府采购网（</w:t>
      </w:r>
      <w:r>
        <w:rPr>
          <w:rFonts w:ascii="Times New Roman" w:hAnsi="Times New Roman" w:eastAsia="宋体" w:cs="Times New Roman"/>
          <w:color w:val="auto"/>
          <w:kern w:val="0"/>
          <w:szCs w:val="21"/>
        </w:rPr>
        <w:t>www.ccgp.gov.cn</w:t>
      </w:r>
      <w:r>
        <w:rPr>
          <w:rFonts w:hint="eastAsia" w:ascii="Times New Roman" w:hAnsi="Times New Roman" w:eastAsia="宋体" w:cs="Times New Roman"/>
          <w:color w:val="auto"/>
          <w:kern w:val="0"/>
          <w:szCs w:val="21"/>
        </w:rPr>
        <w:t>）列入失信被执行人、重大税收违法案件当事人名单、政府采购严重违法失信行为记录名单。</w:t>
      </w:r>
    </w:p>
    <w:p w14:paraId="56FA1554">
      <w:pPr>
        <w:pStyle w:val="123"/>
        <w:shd w:val="clear" w:color="auto" w:fill="FFFFFF"/>
        <w:spacing w:beforeAutospacing="0" w:afterAutospacing="0" w:line="360" w:lineRule="auto"/>
        <w:ind w:firstLine="422" w:firstLineChars="200"/>
        <w:rPr>
          <w:b/>
          <w:bCs/>
          <w:color w:val="auto"/>
          <w:sz w:val="21"/>
          <w:szCs w:val="21"/>
        </w:rPr>
      </w:pPr>
      <w:r>
        <w:rPr>
          <w:rFonts w:hint="eastAsia"/>
          <w:b/>
          <w:bCs/>
          <w:color w:val="auto"/>
          <w:sz w:val="21"/>
          <w:szCs w:val="21"/>
        </w:rPr>
        <w:t>3.标项一～标项</w:t>
      </w:r>
      <w:r>
        <w:rPr>
          <w:rFonts w:hint="eastAsia"/>
          <w:b/>
          <w:bCs/>
          <w:color w:val="auto"/>
          <w:sz w:val="21"/>
          <w:szCs w:val="21"/>
          <w:lang w:val="en-US" w:eastAsia="zh-CN"/>
        </w:rPr>
        <w:t>二、标项四</w:t>
      </w:r>
      <w:r>
        <w:rPr>
          <w:rFonts w:hint="eastAsia"/>
          <w:b/>
          <w:bCs/>
          <w:color w:val="auto"/>
          <w:sz w:val="21"/>
          <w:szCs w:val="21"/>
        </w:rPr>
        <w:t>～标项</w:t>
      </w:r>
      <w:r>
        <w:rPr>
          <w:rFonts w:hint="eastAsia"/>
          <w:b/>
          <w:bCs/>
          <w:color w:val="auto"/>
          <w:sz w:val="21"/>
          <w:szCs w:val="21"/>
          <w:lang w:val="en-US" w:eastAsia="zh-CN"/>
        </w:rPr>
        <w:t>十</w:t>
      </w:r>
      <w:r>
        <w:rPr>
          <w:rFonts w:hint="eastAsia"/>
          <w:b/>
          <w:bCs/>
          <w:color w:val="auto"/>
          <w:sz w:val="21"/>
          <w:szCs w:val="21"/>
        </w:rPr>
        <w:t>专门面向中小企业，标项</w:t>
      </w:r>
      <w:r>
        <w:rPr>
          <w:rFonts w:hint="eastAsia"/>
          <w:b/>
          <w:bCs/>
          <w:color w:val="auto"/>
          <w:sz w:val="21"/>
          <w:szCs w:val="21"/>
          <w:lang w:val="en-US" w:eastAsia="zh-CN"/>
        </w:rPr>
        <w:t>三</w:t>
      </w:r>
      <w:r>
        <w:rPr>
          <w:rFonts w:hint="eastAsia"/>
          <w:b/>
          <w:bCs/>
          <w:color w:val="auto"/>
          <w:sz w:val="21"/>
          <w:szCs w:val="21"/>
        </w:rPr>
        <w:t>、标项十一不专门面向中小企业。(本项目对应的中小企业划分标准所属行业：农、林、牧、渔业。)</w:t>
      </w:r>
    </w:p>
    <w:p w14:paraId="3C152177">
      <w:pPr>
        <w:widowControl/>
        <w:shd w:val="clear" w:color="auto" w:fill="FFFFFF"/>
        <w:spacing w:line="360" w:lineRule="auto"/>
        <w:ind w:firstLine="420" w:firstLineChars="200"/>
        <w:jc w:val="left"/>
        <w:rPr>
          <w:rFonts w:ascii="Times New Roman" w:hAnsi="Times New Roman" w:eastAsia="宋体" w:cs="Times New Roman"/>
          <w:color w:val="auto"/>
          <w:kern w:val="0"/>
          <w:szCs w:val="21"/>
        </w:rPr>
      </w:pPr>
    </w:p>
    <w:p w14:paraId="49A9040D">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六、</w:t>
      </w:r>
      <w:r>
        <w:rPr>
          <w:rFonts w:hint="eastAsia" w:ascii="Times New Roman" w:hAnsi="Times New Roman" w:eastAsia="宋体" w:cs="Times New Roman"/>
          <w:b/>
          <w:color w:val="auto"/>
          <w:kern w:val="0"/>
          <w:szCs w:val="21"/>
        </w:rPr>
        <w:t>公告期限：</w:t>
      </w:r>
      <w:r>
        <w:rPr>
          <w:rFonts w:hint="eastAsia" w:ascii="Times New Roman" w:hAnsi="Times New Roman" w:eastAsia="宋体" w:cs="Times New Roman"/>
          <w:b/>
          <w:color w:val="auto"/>
          <w:kern w:val="0"/>
          <w:szCs w:val="21"/>
          <w:u w:val="single"/>
        </w:rPr>
        <w:t>自公告发布之日起</w:t>
      </w:r>
      <w:r>
        <w:rPr>
          <w:rFonts w:ascii="Times New Roman" w:hAnsi="Times New Roman" w:eastAsia="宋体" w:cs="Times New Roman"/>
          <w:b/>
          <w:color w:val="auto"/>
          <w:kern w:val="0"/>
          <w:szCs w:val="21"/>
          <w:u w:val="single"/>
        </w:rPr>
        <w:t>5</w:t>
      </w:r>
      <w:r>
        <w:rPr>
          <w:rFonts w:hint="eastAsia" w:ascii="Times New Roman" w:hAnsi="Times New Roman" w:eastAsia="宋体" w:cs="Times New Roman"/>
          <w:b/>
          <w:color w:val="auto"/>
          <w:kern w:val="0"/>
          <w:szCs w:val="21"/>
          <w:u w:val="single"/>
        </w:rPr>
        <w:t>个工作日</w:t>
      </w:r>
    </w:p>
    <w:p w14:paraId="13EBBDDE">
      <w:pPr>
        <w:snapToGrid w:val="0"/>
        <w:spacing w:line="360" w:lineRule="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七、注册及采购文件的获取</w:t>
      </w:r>
      <w:r>
        <w:rPr>
          <w:rFonts w:hint="eastAsia" w:ascii="Times New Roman" w:hAnsi="Times New Roman" w:eastAsia="宋体" w:cs="Times New Roman"/>
          <w:color w:val="auto"/>
          <w:szCs w:val="21"/>
        </w:rPr>
        <w:t>：</w:t>
      </w:r>
    </w:p>
    <w:p w14:paraId="10E0DF9D">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1.</w:t>
      </w:r>
      <w:r>
        <w:rPr>
          <w:rFonts w:hint="eastAsia" w:ascii="Times New Roman" w:hAnsi="Times New Roman" w:eastAsia="宋体" w:cs="Times New Roman"/>
          <w:b/>
          <w:bCs/>
          <w:color w:val="auto"/>
          <w:kern w:val="0"/>
          <w:szCs w:val="21"/>
          <w:shd w:val="clear" w:color="auto" w:fill="FFFFFF"/>
        </w:rPr>
        <w:t>本项目只实行网上获取采购文件。</w:t>
      </w:r>
    </w:p>
    <w:p w14:paraId="396B6B06">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2.</w:t>
      </w:r>
      <w:r>
        <w:rPr>
          <w:rFonts w:hint="eastAsia" w:ascii="Times New Roman" w:hAnsi="Times New Roman" w:eastAsia="宋体" w:cs="Times New Roman"/>
          <w:b/>
          <w:bCs/>
          <w:color w:val="auto"/>
          <w:kern w:val="0"/>
          <w:szCs w:val="21"/>
          <w:shd w:val="clear" w:color="auto" w:fill="FFFFFF"/>
        </w:rPr>
        <w:t>获取采购文件网址</w:t>
      </w:r>
      <w:r>
        <w:rPr>
          <w:rFonts w:hint="eastAsia" w:ascii="Times New Roman" w:hAnsi="Times New Roman" w:eastAsia="宋体" w:cs="Times New Roman"/>
          <w:color w:val="auto"/>
          <w:kern w:val="0"/>
          <w:szCs w:val="21"/>
          <w:shd w:val="clear" w:color="auto" w:fill="FFFFFF"/>
        </w:rPr>
        <w:t>：浙江政府采购网</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（用</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注册账号、密码登录系统后获取采购文件）</w:t>
      </w:r>
    </w:p>
    <w:p w14:paraId="4EF0160F">
      <w:pPr>
        <w:widowControl/>
        <w:shd w:val="clear" w:color="auto" w:fill="FFFFFF"/>
        <w:spacing w:line="360" w:lineRule="auto"/>
        <w:ind w:left="416" w:left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3.</w:t>
      </w:r>
      <w:r>
        <w:rPr>
          <w:rFonts w:hint="eastAsia" w:ascii="Times New Roman" w:hAnsi="Times New Roman" w:eastAsia="宋体" w:cs="Times New Roman"/>
          <w:b/>
          <w:bCs/>
          <w:color w:val="auto"/>
          <w:kern w:val="0"/>
          <w:szCs w:val="21"/>
          <w:shd w:val="clear" w:color="auto" w:fill="FFFFFF"/>
        </w:rPr>
        <w:t>免费注册网址：浙江政府采购网（供应商注册页面）：</w:t>
      </w:r>
    </w:p>
    <w:p w14:paraId="6443D7E7">
      <w:pPr>
        <w:widowControl/>
        <w:shd w:val="clear" w:color="auto" w:fill="FFFFFF"/>
        <w:spacing w:line="360" w:lineRule="auto"/>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u w:val="single"/>
          <w:shd w:val="clear" w:color="auto" w:fill="FFFFFF"/>
        </w:rPr>
        <w:t>https://middle.zcygov.cn/settle-front/#/registry</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，咨询电话：95763。已经注册成功的供应商无需重复注册。</w:t>
      </w:r>
    </w:p>
    <w:p w14:paraId="22DD68E6">
      <w:pPr>
        <w:widowControl/>
        <w:shd w:val="clear" w:color="auto" w:fill="FFFFFF"/>
        <w:spacing w:line="360" w:lineRule="auto"/>
        <w:ind w:firstLine="417" w:firstLineChars="198"/>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b/>
          <w:bCs/>
          <w:color w:val="auto"/>
          <w:kern w:val="0"/>
          <w:szCs w:val="21"/>
          <w:shd w:val="clear" w:color="auto" w:fill="FFFFFF"/>
        </w:rPr>
        <w:t>4.</w:t>
      </w:r>
      <w:r>
        <w:rPr>
          <w:rFonts w:hint="eastAsia" w:ascii="Times New Roman" w:hAnsi="Times New Roman" w:eastAsia="宋体" w:cs="Times New Roman"/>
          <w:b/>
          <w:bCs/>
          <w:color w:val="auto"/>
          <w:kern w:val="0"/>
          <w:szCs w:val="21"/>
          <w:shd w:val="clear" w:color="auto" w:fill="FFFFFF"/>
        </w:rPr>
        <w:t>获取采购文件时间：</w:t>
      </w:r>
      <w:r>
        <w:rPr>
          <w:rFonts w:hint="eastAsia" w:ascii="Times New Roman" w:hAnsi="Times New Roman" w:eastAsia="宋体" w:cs="Times New Roman"/>
          <w:color w:val="auto"/>
          <w:kern w:val="0"/>
          <w:szCs w:val="21"/>
          <w:shd w:val="clear" w:color="auto" w:fill="FFFFFF"/>
        </w:rPr>
        <w:t>公告发布之日至投标截止时间</w:t>
      </w:r>
    </w:p>
    <w:p w14:paraId="2CA902D8">
      <w:pPr>
        <w:widowControl/>
        <w:shd w:val="clear" w:color="auto" w:fill="FFFFFF"/>
        <w:spacing w:line="360" w:lineRule="auto"/>
        <w:jc w:val="left"/>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八、投标文件的制作及递交：</w:t>
      </w:r>
    </w:p>
    <w:p w14:paraId="0C862880">
      <w:pPr>
        <w:widowControl/>
        <w:shd w:val="clear" w:color="auto" w:fill="FFFFFF"/>
        <w:spacing w:line="360" w:lineRule="auto"/>
        <w:ind w:firstLine="420" w:firstLineChars="200"/>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1.</w:t>
      </w:r>
      <w:r>
        <w:rPr>
          <w:rFonts w:hint="eastAsia" w:ascii="Times New Roman" w:hAnsi="Times New Roman" w:eastAsia="宋体" w:cs="Times New Roman"/>
          <w:color w:val="auto"/>
          <w:kern w:val="0"/>
          <w:szCs w:val="21"/>
          <w:shd w:val="clear" w:color="auto" w:fill="FFFFFF"/>
        </w:rPr>
        <w:t>供应商须</w:t>
      </w:r>
      <w:r>
        <w:rPr>
          <w:rFonts w:hint="eastAsia" w:ascii="Times New Roman" w:hAnsi="Times New Roman" w:eastAsia="宋体" w:cs="Times New Roman"/>
          <w:b/>
          <w:bCs/>
          <w:color w:val="auto"/>
          <w:kern w:val="0"/>
          <w:szCs w:val="21"/>
          <w:shd w:val="clear" w:color="auto" w:fill="FFFFFF"/>
        </w:rPr>
        <w:t>在线获取</w:t>
      </w:r>
      <w:r>
        <w:rPr>
          <w:rFonts w:ascii="Times New Roman" w:hAnsi="Times New Roman" w:eastAsia="宋体" w:cs="Times New Roman"/>
          <w:b/>
          <w:bCs/>
          <w:color w:val="auto"/>
          <w:kern w:val="0"/>
          <w:szCs w:val="21"/>
          <w:shd w:val="clear" w:color="auto" w:fill="FFFFFF"/>
        </w:rPr>
        <w:t>CA</w:t>
      </w:r>
      <w:r>
        <w:rPr>
          <w:rFonts w:hint="eastAsia" w:ascii="Times New Roman" w:hAnsi="Times New Roman" w:eastAsia="宋体" w:cs="Times New Roman"/>
          <w:b/>
          <w:bCs/>
          <w:color w:val="auto"/>
          <w:kern w:val="0"/>
          <w:szCs w:val="21"/>
          <w:shd w:val="clear" w:color="auto" w:fill="FFFFFF"/>
        </w:rPr>
        <w:t>数字证书</w:t>
      </w:r>
      <w:r>
        <w:rPr>
          <w:rFonts w:hint="eastAsia" w:ascii="Times New Roman" w:hAnsi="Times New Roman" w:eastAsia="宋体" w:cs="Times New Roman"/>
          <w:color w:val="auto"/>
          <w:kern w:val="0"/>
          <w:szCs w:val="21"/>
          <w:shd w:val="clear" w:color="auto" w:fill="FFFFFF"/>
        </w:rPr>
        <w:t>（完成</w:t>
      </w:r>
      <w:r>
        <w:rPr>
          <w:rFonts w:ascii="Times New Roman" w:hAnsi="Times New Roman" w:eastAsia="宋体" w:cs="Times New Roman"/>
          <w:color w:val="auto"/>
          <w:kern w:val="0"/>
          <w:szCs w:val="21"/>
          <w:shd w:val="clear" w:color="auto" w:fill="FFFFFF"/>
        </w:rPr>
        <w:t>CA</w:t>
      </w:r>
      <w:r>
        <w:rPr>
          <w:rFonts w:hint="eastAsia" w:ascii="Times New Roman" w:hAnsi="Times New Roman" w:eastAsia="宋体" w:cs="Times New Roman"/>
          <w:color w:val="auto"/>
          <w:kern w:val="0"/>
          <w:szCs w:val="21"/>
          <w:shd w:val="clear" w:color="auto" w:fill="FFFFFF"/>
        </w:rPr>
        <w:t>数字证书办理预计一周左右，建议各投标人自行把握时间）</w:t>
      </w:r>
      <w:r>
        <w:rPr>
          <w:rFonts w:hint="eastAsia" w:ascii="Times New Roman" w:hAnsi="Times New Roman" w:eastAsia="宋体" w:cs="Times New Roman"/>
          <w:b/>
          <w:bCs/>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并登录</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浙江政府采购网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），进入</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下载专区</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电子交易客户端</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，制作投标文件。</w:t>
      </w:r>
    </w:p>
    <w:p w14:paraId="00787545">
      <w:pPr>
        <w:widowControl/>
        <w:spacing w:line="360" w:lineRule="auto"/>
        <w:ind w:firstLine="420" w:firstLineChars="200"/>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2.</w:t>
      </w:r>
      <w:r>
        <w:rPr>
          <w:rFonts w:hint="eastAsia" w:ascii="Times New Roman" w:hAnsi="Times New Roman" w:eastAsia="宋体" w:cs="Times New Roman"/>
          <w:color w:val="auto"/>
          <w:kern w:val="0"/>
          <w:szCs w:val="21"/>
          <w:shd w:val="clear" w:color="auto" w:fill="FFFFFF"/>
        </w:rPr>
        <w:t>投标人将加密的电子版投标文件于投标截止时间前上传到政采云系统中。</w:t>
      </w:r>
    </w:p>
    <w:p w14:paraId="712ED712">
      <w:pPr>
        <w:widowControl/>
        <w:shd w:val="clear" w:color="auto" w:fill="FFFFFF"/>
        <w:spacing w:line="360" w:lineRule="auto"/>
        <w:ind w:left="420" w:leftChars="200"/>
        <w:jc w:val="left"/>
        <w:rPr>
          <w:rFonts w:ascii="Times New Roman" w:hAnsi="Times New Roman" w:eastAsia="宋体" w:cs="Times New Roman"/>
          <w:color w:val="auto"/>
          <w:kern w:val="0"/>
          <w:szCs w:val="21"/>
          <w:u w:val="single"/>
          <w:shd w:val="clear" w:color="auto" w:fill="FFFFFF"/>
        </w:rPr>
      </w:pPr>
      <w:r>
        <w:rPr>
          <w:rFonts w:ascii="Times New Roman" w:hAnsi="Times New Roman" w:eastAsia="宋体" w:cs="Times New Roman"/>
          <w:color w:val="auto"/>
          <w:kern w:val="0"/>
          <w:szCs w:val="21"/>
          <w:shd w:val="clear" w:color="auto" w:fill="FFFFFF"/>
        </w:rPr>
        <w:t>3.</w:t>
      </w:r>
      <w:r>
        <w:rPr>
          <w:rFonts w:hint="eastAsia" w:ascii="Times New Roman" w:hAnsi="Times New Roman" w:eastAsia="宋体" w:cs="Times New Roman"/>
          <w:color w:val="auto"/>
          <w:kern w:val="0"/>
          <w:szCs w:val="21"/>
          <w:shd w:val="clear" w:color="auto" w:fill="FFFFFF"/>
        </w:rPr>
        <w:t>具体的投标文件加密上传等操作详见政采云平台操作指南。</w:t>
      </w:r>
      <w:r>
        <w:rPr>
          <w:color w:val="auto"/>
        </w:rPr>
        <w:fldChar w:fldCharType="begin"/>
      </w:r>
      <w:r>
        <w:rPr>
          <w:color w:val="auto"/>
        </w:rPr>
        <w:instrText xml:space="preserve"> HYPERLINK "https://edu.zcygov.cn/luban/e-biding?utm=a0004.2ef5001f.0001.0109.da8b35e0da8611e98d8937b7ef8a3544" </w:instrText>
      </w:r>
      <w:r>
        <w:rPr>
          <w:color w:val="auto"/>
        </w:rPr>
        <w:fldChar w:fldCharType="separate"/>
      </w:r>
      <w:r>
        <w:rPr>
          <w:rFonts w:ascii="Times New Roman" w:hAnsi="Times New Roman" w:eastAsia="宋体" w:cs="Times New Roman"/>
          <w:color w:val="auto"/>
          <w:kern w:val="0"/>
          <w:szCs w:val="21"/>
          <w:u w:val="single"/>
          <w:shd w:val="clear" w:color="auto" w:fill="FFFFFF"/>
        </w:rPr>
        <w:t>https://edu.zcygov.cn/luban/e-biding?utm=a0004.2ef5001f.0001.0109.da8b35e0da8611e98d8937b7ef8a3544</w:t>
      </w:r>
      <w:r>
        <w:rPr>
          <w:rFonts w:ascii="Times New Roman" w:hAnsi="Times New Roman" w:eastAsia="宋体" w:cs="Times New Roman"/>
          <w:color w:val="auto"/>
          <w:kern w:val="0"/>
          <w:szCs w:val="21"/>
          <w:u w:val="single"/>
          <w:shd w:val="clear" w:color="auto" w:fill="FFFFFF"/>
        </w:rPr>
        <w:fldChar w:fldCharType="end"/>
      </w:r>
    </w:p>
    <w:p w14:paraId="487CC0EF">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九、投标保证金：无。</w:t>
      </w:r>
    </w:p>
    <w:p w14:paraId="5F90E1B3">
      <w:pPr>
        <w:widowControl/>
        <w:spacing w:line="360" w:lineRule="auto"/>
        <w:rPr>
          <w:rFonts w:ascii="Times New Roman" w:hAnsi="Times New Roman" w:eastAsia="宋体" w:cs="Times New Roman"/>
          <w:b/>
          <w:bCs/>
          <w:color w:val="auto"/>
          <w:kern w:val="0"/>
          <w:szCs w:val="21"/>
        </w:rPr>
      </w:pPr>
      <w:r>
        <w:rPr>
          <w:rFonts w:hint="eastAsia" w:ascii="Times New Roman" w:hAnsi="Times New Roman" w:eastAsia="宋体" w:cs="Times New Roman"/>
          <w:b/>
          <w:bCs/>
          <w:color w:val="auto"/>
          <w:kern w:val="0"/>
          <w:szCs w:val="21"/>
        </w:rPr>
        <w:t>十、投标截止时间和地址：</w:t>
      </w:r>
    </w:p>
    <w:p w14:paraId="1617991B">
      <w:pPr>
        <w:spacing w:line="360" w:lineRule="auto"/>
        <w:ind w:firstLine="632" w:firstLineChars="300"/>
        <w:rPr>
          <w:rFonts w:ascii="Times New Roman" w:hAnsi="Times New Roman" w:eastAsia="宋体" w:cs="Times New Roman"/>
          <w:b/>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本项目实行电子投标。</w:t>
      </w:r>
    </w:p>
    <w:p w14:paraId="0BE99404">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0C0193C2">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r>
        <w:rPr>
          <w:rFonts w:hint="eastAsia" w:ascii="Times New Roman" w:hAnsi="Times New Roman" w:eastAsia="宋体" w:cs="Times New Roman"/>
          <w:color w:val="auto"/>
          <w:szCs w:val="21"/>
          <w:shd w:val="clear" w:color="auto" w:fill="FFFFFF"/>
        </w:rPr>
        <w:t>投标人应于</w:t>
      </w:r>
      <w:bookmarkStart w:id="1" w:name="_Hlk100345522"/>
      <w:r>
        <w:rPr>
          <w:rFonts w:hint="eastAsia" w:ascii="Times New Roman" w:hAnsi="Times New Roman" w:eastAsia="宋体" w:cs="Times New Roman"/>
          <w:color w:val="auto"/>
          <w:szCs w:val="21"/>
          <w:shd w:val="clear" w:color="auto" w:fill="FFFFFF"/>
        </w:rPr>
        <w:t>2025年月日</w:t>
      </w:r>
      <w:r>
        <w:rPr>
          <w:rFonts w:ascii="Times New Roman" w:hAnsi="Times New Roman" w:eastAsia="宋体" w:cs="Times New Roman"/>
          <w:color w:val="auto"/>
          <w:szCs w:val="21"/>
          <w:shd w:val="clear" w:color="auto" w:fill="FFFFFF"/>
        </w:rPr>
        <w:t>09</w:t>
      </w:r>
      <w:r>
        <w:rPr>
          <w:rFonts w:hint="eastAsia" w:ascii="Times New Roman" w:hAnsi="Times New Roman" w:eastAsia="宋体" w:cs="Times New Roman"/>
          <w:color w:val="auto"/>
          <w:szCs w:val="21"/>
          <w:shd w:val="clear" w:color="auto" w:fill="FFFFFF"/>
        </w:rPr>
        <w:t>：1</w:t>
      </w:r>
      <w:r>
        <w:rPr>
          <w:rFonts w:ascii="Times New Roman" w:hAnsi="Times New Roman" w:eastAsia="宋体" w:cs="Times New Roman"/>
          <w:color w:val="auto"/>
          <w:szCs w:val="21"/>
          <w:shd w:val="clear" w:color="auto" w:fill="FFFFFF"/>
        </w:rPr>
        <w:t>5</w:t>
      </w:r>
      <w:bookmarkEnd w:id="1"/>
      <w:r>
        <w:rPr>
          <w:rFonts w:hint="eastAsia" w:ascii="Times New Roman" w:hAnsi="Times New Roman" w:eastAsia="宋体" w:cs="Times New Roman"/>
          <w:color w:val="auto"/>
          <w:szCs w:val="21"/>
          <w:shd w:val="clear" w:color="auto" w:fill="FFFFFF"/>
        </w:rPr>
        <w:t>前将加密的电子版投标文件上传到政采云系统中（不准时上传视为无效标）。</w:t>
      </w:r>
      <w:r>
        <w:rPr>
          <w:rFonts w:ascii="Times New Roman" w:hAnsi="Times New Roman" w:eastAsia="宋体" w:cs="Times New Roman"/>
          <w:b/>
          <w:color w:val="auto"/>
          <w:szCs w:val="21"/>
          <w:shd w:val="clear" w:color="auto" w:fill="FFFFFF"/>
        </w:rPr>
        <w:t>CA</w:t>
      </w:r>
      <w:r>
        <w:rPr>
          <w:rFonts w:hint="eastAsia" w:ascii="Times New Roman" w:hAnsi="Times New Roman" w:eastAsia="宋体" w:cs="Times New Roman"/>
          <w:b/>
          <w:color w:val="auto"/>
          <w:szCs w:val="21"/>
          <w:shd w:val="clear" w:color="auto" w:fill="FFFFFF"/>
        </w:rPr>
        <w:t>数字证书随身携带或准时解码。</w:t>
      </w:r>
    </w:p>
    <w:p w14:paraId="1027C8E9">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7F132783">
      <w:pPr>
        <w:widowControl/>
        <w:shd w:val="clear" w:color="auto" w:fill="FFFFFF"/>
        <w:spacing w:line="360" w:lineRule="auto"/>
        <w:ind w:firstLine="516" w:firstLineChars="246"/>
        <w:jc w:val="left"/>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投标人应于2025年月日</w:t>
      </w:r>
      <w:r>
        <w:rPr>
          <w:rFonts w:ascii="Times New Roman" w:hAnsi="Times New Roman" w:eastAsia="宋体" w:cs="Times New Roman"/>
          <w:color w:val="auto"/>
          <w:kern w:val="0"/>
          <w:szCs w:val="21"/>
        </w:rPr>
        <w:t>11</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30</w:t>
      </w:r>
      <w:r>
        <w:rPr>
          <w:rFonts w:hint="eastAsia" w:ascii="Times New Roman" w:hAnsi="Times New Roman" w:eastAsia="宋体" w:cs="Times New Roman"/>
          <w:color w:val="auto"/>
          <w:kern w:val="0"/>
          <w:szCs w:val="21"/>
        </w:rPr>
        <w:t>（北京时间）前将备份的投标文件寄于采购代理公司，地址：舟山市定海区昌国路</w:t>
      </w:r>
      <w:r>
        <w:rPr>
          <w:rFonts w:ascii="Times New Roman" w:hAnsi="Times New Roman" w:eastAsia="宋体" w:cs="Times New Roman"/>
          <w:color w:val="auto"/>
          <w:kern w:val="0"/>
          <w:szCs w:val="21"/>
        </w:rPr>
        <w:t>232</w:t>
      </w:r>
      <w:r>
        <w:rPr>
          <w:rFonts w:hint="eastAsia" w:ascii="Times New Roman" w:hAnsi="Times New Roman" w:eastAsia="宋体" w:cs="Times New Roman"/>
          <w:color w:val="auto"/>
          <w:kern w:val="0"/>
          <w:szCs w:val="21"/>
        </w:rPr>
        <w:t>号中楼</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深圳市国信招标有限公司舟山分公司(收件人：任女士，联系电话：13567673203），未按时寄到的自行承担风险。也可开标会现场递交。</w:t>
      </w:r>
    </w:p>
    <w:p w14:paraId="512F5021">
      <w:pPr>
        <w:widowControl/>
        <w:shd w:val="clear" w:color="auto" w:fill="FFFFFF"/>
        <w:spacing w:line="360" w:lineRule="auto"/>
        <w:ind w:firstLine="413" w:firstLineChars="196"/>
        <w:jc w:val="left"/>
        <w:rPr>
          <w:rFonts w:hint="eastAsia" w:ascii="Times New Roman" w:hAnsi="Times New Roman" w:eastAsia="宋体" w:cs="Times New Roman"/>
          <w:b/>
          <w:color w:val="auto"/>
          <w:kern w:val="0"/>
          <w:szCs w:val="21"/>
        </w:rPr>
      </w:pPr>
      <w:r>
        <w:rPr>
          <w:rFonts w:hint="eastAsia" w:ascii="Times New Roman" w:hAnsi="Times New Roman" w:eastAsia="宋体" w:cs="Times New Roman"/>
          <w:b/>
          <w:color w:val="auto"/>
          <w:kern w:val="0"/>
          <w:szCs w:val="21"/>
        </w:rPr>
        <w:t>投标人可以不提供备份投标文件，造成项目开评标活动无法进行下去的，投标无效，相关风险由投标人自行承担。</w:t>
      </w:r>
    </w:p>
    <w:p w14:paraId="7C79C21F">
      <w:pPr>
        <w:widowControl/>
        <w:shd w:val="clear" w:color="auto" w:fill="FFFFFF"/>
        <w:spacing w:line="360" w:lineRule="auto"/>
        <w:ind w:firstLine="413" w:firstLineChars="196"/>
        <w:jc w:val="left"/>
        <w:rPr>
          <w:rFonts w:ascii="Times New Roman" w:hAnsi="Times New Roman" w:eastAsia="宋体" w:cs="Times New Roman"/>
          <w:bCs/>
          <w:color w:val="auto"/>
          <w:kern w:val="0"/>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开标时间：</w:t>
      </w:r>
      <w:r>
        <w:rPr>
          <w:rFonts w:hint="eastAsia" w:ascii="Times New Roman" w:hAnsi="Times New Roman" w:eastAsia="宋体" w:cs="Times New Roman"/>
          <w:color w:val="auto"/>
          <w:kern w:val="0"/>
          <w:szCs w:val="21"/>
          <w:lang w:eastAsia="zh-CN"/>
        </w:rPr>
        <w:t>2025年</w:t>
      </w:r>
      <w:r>
        <w:rPr>
          <w:rFonts w:hint="eastAsia" w:ascii="Times New Roman" w:hAnsi="Times New Roman" w:eastAsia="宋体" w:cs="Times New Roman"/>
          <w:color w:val="auto"/>
          <w:kern w:val="0"/>
          <w:szCs w:val="21"/>
        </w:rPr>
        <w:t>月日09：</w:t>
      </w:r>
      <w:r>
        <w:rPr>
          <w:rFonts w:ascii="Times New Roman" w:hAnsi="Times New Roman" w:eastAsia="宋体" w:cs="Times New Roman"/>
          <w:color w:val="auto"/>
          <w:kern w:val="0"/>
          <w:szCs w:val="21"/>
        </w:rPr>
        <w:t>15</w:t>
      </w:r>
    </w:p>
    <w:p w14:paraId="11926B69">
      <w:pPr>
        <w:widowControl/>
        <w:shd w:val="clear" w:color="auto" w:fill="FFFFFF"/>
        <w:spacing w:line="360" w:lineRule="auto"/>
        <w:ind w:firstLine="410"/>
        <w:jc w:val="left"/>
        <w:rPr>
          <w:rFonts w:ascii="Times New Roman" w:hAnsi="Times New Roman" w:eastAsia="宋体" w:cs="Times New Roman"/>
          <w:color w:val="auto"/>
          <w:kern w:val="0"/>
          <w:szCs w:val="21"/>
        </w:rPr>
      </w:pPr>
      <w:r>
        <w:rPr>
          <w:rFonts w:ascii="Times New Roman" w:hAnsi="Times New Roman" w:eastAsia="宋体" w:cs="Times New Roman"/>
          <w:b/>
          <w:bCs/>
          <w:color w:val="auto"/>
          <w:szCs w:val="21"/>
        </w:rPr>
        <w:t>3.</w:t>
      </w:r>
      <w:r>
        <w:rPr>
          <w:rFonts w:hint="eastAsia" w:ascii="Times New Roman" w:hAnsi="Times New Roman" w:eastAsia="宋体" w:cs="Times New Roman"/>
          <w:b/>
          <w:bCs/>
          <w:color w:val="auto"/>
          <w:szCs w:val="21"/>
        </w:rPr>
        <w:t>开标地点：</w:t>
      </w:r>
      <w:r>
        <w:rPr>
          <w:rFonts w:hint="eastAsia" w:ascii="Times New Roman" w:hAnsi="Times New Roman" w:eastAsia="宋体" w:cs="Times New Roman"/>
          <w:color w:val="auto"/>
          <w:kern w:val="0"/>
          <w:szCs w:val="21"/>
        </w:rPr>
        <w:t>舟山市公共资源交易中心（舟山市新城翁山路</w:t>
      </w:r>
      <w:r>
        <w:rPr>
          <w:rFonts w:ascii="Times New Roman" w:hAnsi="Times New Roman" w:eastAsia="宋体" w:cs="Times New Roman"/>
          <w:color w:val="auto"/>
          <w:kern w:val="0"/>
          <w:szCs w:val="21"/>
        </w:rPr>
        <w:t>555号四楼（大宗商品交易中心同幢西边））开标室</w:t>
      </w:r>
    </w:p>
    <w:p w14:paraId="07713023">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十一、其他事项：</w:t>
      </w:r>
    </w:p>
    <w:p w14:paraId="791D9DF6">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szCs w:val="21"/>
        </w:rPr>
        <w:t>1.</w:t>
      </w:r>
      <w:r>
        <w:rPr>
          <w:rFonts w:hint="eastAsia" w:ascii="Times New Roman" w:hAnsi="Times New Roman" w:eastAsia="宋体" w:cs="Times New Roman"/>
          <w:color w:val="auto"/>
        </w:rPr>
        <w:t>本项目公告期限为</w:t>
      </w:r>
      <w:r>
        <w:rPr>
          <w:rFonts w:ascii="Times New Roman" w:hAnsi="Times New Roman" w:eastAsia="宋体" w:cs="Times New Roman"/>
          <w:color w:val="auto"/>
        </w:rPr>
        <w:t>5</w:t>
      </w:r>
      <w:r>
        <w:rPr>
          <w:rFonts w:hint="eastAsia" w:ascii="Times New Roman" w:hAnsi="Times New Roman" w:eastAsia="宋体" w:cs="Times New Roman"/>
          <w:color w:val="auto"/>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color w:val="auto"/>
        </w:rPr>
        <w:t>7</w:t>
      </w:r>
      <w:r>
        <w:rPr>
          <w:rFonts w:hint="eastAsia" w:ascii="Times New Roman" w:hAnsi="Times New Roman" w:eastAsia="宋体" w:cs="Times New Roman"/>
          <w:color w:val="auto"/>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C3F1873">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投标人应在合同签订前成为浙江政府采购网正式注册供应商。</w:t>
      </w:r>
    </w:p>
    <w:p w14:paraId="15E293BF">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十二、联系方式：</w:t>
      </w:r>
    </w:p>
    <w:p w14:paraId="357CF284">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1.采购代理机构名称：深圳市国信招标有限公司舟山分公司</w:t>
      </w:r>
    </w:p>
    <w:p w14:paraId="6557D7F4">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联系人：朱女士、任女士</w:t>
      </w:r>
    </w:p>
    <w:p w14:paraId="53A7F65E">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联系电话：0580-2054476，13857236444，13567673203</w:t>
      </w:r>
    </w:p>
    <w:p w14:paraId="3F920DC4">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质疑答复联系人：王女士</w:t>
      </w:r>
    </w:p>
    <w:p w14:paraId="6A8DCE88">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联系电话：0580-2054476，13587045176</w:t>
      </w:r>
    </w:p>
    <w:p w14:paraId="633C7AC7">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传真： 0580-2054476</w:t>
      </w:r>
    </w:p>
    <w:p w14:paraId="687808D9">
      <w:pPr>
        <w:pStyle w:val="54"/>
        <w:spacing w:before="0" w:beforeAutospacing="0" w:after="0" w:afterAutospacing="0" w:line="360" w:lineRule="auto"/>
        <w:ind w:firstLine="420"/>
        <w:jc w:val="both"/>
        <w:rPr>
          <w:rFonts w:ascii="宋体" w:hAnsi="宋体" w:cs="Times New Roman"/>
          <w:color w:val="auto"/>
          <w:kern w:val="2"/>
          <w:sz w:val="21"/>
          <w:szCs w:val="21"/>
        </w:rPr>
      </w:pPr>
      <w:r>
        <w:rPr>
          <w:rFonts w:hint="eastAsia" w:ascii="宋体" w:hAnsi="宋体" w:cs="Times New Roman"/>
          <w:color w:val="auto"/>
          <w:kern w:val="2"/>
          <w:sz w:val="21"/>
          <w:szCs w:val="21"/>
        </w:rPr>
        <w:t>地址：舟山市定海区昌国路232号中楼202</w:t>
      </w:r>
    </w:p>
    <w:p w14:paraId="4DB83279">
      <w:pPr>
        <w:spacing w:line="360" w:lineRule="auto"/>
        <w:ind w:firstLine="472" w:firstLineChars="225"/>
        <w:rPr>
          <w:rFonts w:hint="eastAsia" w:ascii="宋体" w:hAnsi="宋体" w:eastAsia="宋体" w:cs="Times New Roman"/>
          <w:color w:val="auto"/>
          <w:szCs w:val="21"/>
          <w:lang w:eastAsia="zh-CN"/>
        </w:rPr>
      </w:pPr>
      <w:r>
        <w:rPr>
          <w:rFonts w:hint="eastAsia" w:ascii="宋体" w:hAnsi="宋体" w:eastAsia="宋体" w:cs="Times New Roman"/>
          <w:color w:val="auto"/>
          <w:szCs w:val="21"/>
        </w:rPr>
        <w:t>2.采购人：</w:t>
      </w:r>
      <w:r>
        <w:rPr>
          <w:rFonts w:hint="eastAsia" w:ascii="宋体" w:hAnsi="宋体" w:eastAsia="宋体" w:cs="Times New Roman"/>
          <w:color w:val="auto"/>
          <w:szCs w:val="21"/>
          <w:lang w:eastAsia="zh-CN"/>
        </w:rPr>
        <w:t>舟山市海洋经济发展局</w:t>
      </w:r>
    </w:p>
    <w:p w14:paraId="586559E1">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 xml:space="preserve">联系人：万先生 </w:t>
      </w:r>
    </w:p>
    <w:p w14:paraId="7F5DCDF4">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联系电话：0580-2826222 </w:t>
      </w:r>
    </w:p>
    <w:p w14:paraId="7B6D3FAD">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质疑答复联系人：沈先生</w:t>
      </w:r>
    </w:p>
    <w:p w14:paraId="2BA691FB">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联系电话：0580-2826283</w:t>
      </w:r>
    </w:p>
    <w:p w14:paraId="277CB286">
      <w:pPr>
        <w:pStyle w:val="58"/>
        <w:ind w:firstLine="0" w:firstLineChars="0"/>
        <w:rPr>
          <w:rFonts w:ascii="宋体" w:hAnsi="宋体"/>
          <w:color w:val="auto"/>
          <w:kern w:val="2"/>
          <w:szCs w:val="21"/>
        </w:rPr>
      </w:pPr>
      <w:r>
        <w:rPr>
          <w:rFonts w:hint="eastAsia" w:ascii="宋体" w:hAnsi="宋体"/>
          <w:color w:val="auto"/>
          <w:kern w:val="2"/>
          <w:szCs w:val="21"/>
        </w:rPr>
        <w:t xml:space="preserve">    地址：舟山市定海区金岛路</w:t>
      </w:r>
      <w:r>
        <w:rPr>
          <w:rFonts w:hint="default" w:ascii="宋体" w:hAnsi="宋体"/>
          <w:color w:val="auto"/>
          <w:kern w:val="2"/>
          <w:szCs w:val="21"/>
          <w:lang w:val="en"/>
        </w:rPr>
        <w:t>11</w:t>
      </w:r>
      <w:r>
        <w:rPr>
          <w:rFonts w:hint="eastAsia" w:ascii="宋体" w:hAnsi="宋体"/>
          <w:color w:val="auto"/>
          <w:kern w:val="2"/>
          <w:szCs w:val="21"/>
        </w:rPr>
        <w:t>号</w:t>
      </w:r>
    </w:p>
    <w:p w14:paraId="7786ACA4">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3.同级政府采购监督管理部门名称：</w:t>
      </w:r>
      <w:r>
        <w:rPr>
          <w:rFonts w:hint="eastAsia" w:ascii="宋体" w:hAnsi="宋体" w:eastAsia="宋体" w:cs="宋体"/>
          <w:color w:val="auto"/>
          <w:szCs w:val="21"/>
        </w:rPr>
        <w:t>舟山市财政局（政府采购监管处）</w:t>
      </w:r>
    </w:p>
    <w:p w14:paraId="2D7A9339">
      <w:pPr>
        <w:spacing w:line="360" w:lineRule="auto"/>
        <w:ind w:firstLine="472" w:firstLineChars="225"/>
        <w:rPr>
          <w:rFonts w:ascii="宋体" w:hAnsi="宋体" w:eastAsia="宋体" w:cs="Times New Roman"/>
          <w:color w:val="auto"/>
          <w:szCs w:val="21"/>
        </w:rPr>
      </w:pPr>
      <w:r>
        <w:rPr>
          <w:rFonts w:hint="eastAsia" w:ascii="宋体" w:hAnsi="宋体" w:eastAsia="宋体" w:cs="Times New Roman"/>
          <w:color w:val="auto"/>
          <w:szCs w:val="21"/>
        </w:rPr>
        <w:t>监督</w:t>
      </w:r>
      <w:r>
        <w:rPr>
          <w:rFonts w:hint="eastAsia" w:ascii="宋体" w:hAnsi="宋体" w:eastAsia="宋体" w:cs="Times New Roman"/>
          <w:color w:val="auto"/>
          <w:szCs w:val="21"/>
          <w:lang w:eastAsia="zh-CN"/>
        </w:rPr>
        <w:t>投诉</w:t>
      </w:r>
      <w:r>
        <w:rPr>
          <w:rFonts w:hint="eastAsia" w:ascii="宋体" w:hAnsi="宋体" w:eastAsia="宋体" w:cs="Times New Roman"/>
          <w:color w:val="auto"/>
          <w:szCs w:val="21"/>
        </w:rPr>
        <w:t>电话：0580-2282591</w:t>
      </w:r>
    </w:p>
    <w:p w14:paraId="4446FD8E">
      <w:pPr>
        <w:rPr>
          <w:rFonts w:ascii="Times New Roman" w:hAnsi="Times New Roman" w:eastAsia="宋体" w:cs="Times New Roman"/>
          <w:b/>
          <w:color w:val="auto"/>
          <w:kern w:val="0"/>
          <w:sz w:val="30"/>
        </w:rPr>
      </w:pPr>
      <w:r>
        <w:rPr>
          <w:rFonts w:ascii="Times New Roman" w:hAnsi="Times New Roman" w:eastAsia="宋体" w:cs="Times New Roman"/>
          <w:b/>
          <w:color w:val="auto"/>
          <w:kern w:val="0"/>
          <w:sz w:val="30"/>
        </w:rPr>
        <w:br w:type="page"/>
      </w:r>
    </w:p>
    <w:p w14:paraId="334209B4">
      <w:pPr>
        <w:widowControl/>
        <w:jc w:val="left"/>
        <w:rPr>
          <w:rFonts w:ascii="Times New Roman" w:hAnsi="Times New Roman" w:eastAsia="宋体" w:cs="Times New Roman"/>
          <w:b/>
          <w:color w:val="auto"/>
          <w:kern w:val="0"/>
          <w:sz w:val="30"/>
        </w:rPr>
        <w:sectPr>
          <w:pgSz w:w="11906" w:h="16838"/>
          <w:pgMar w:top="1304" w:right="1531" w:bottom="1304" w:left="1531" w:header="1134" w:footer="1304" w:gutter="0"/>
          <w:cols w:space="720" w:num="1"/>
        </w:sectPr>
      </w:pPr>
    </w:p>
    <w:p w14:paraId="19E8CDF4">
      <w:pPr>
        <w:numPr>
          <w:ilvl w:val="0"/>
          <w:numId w:val="8"/>
        </w:numPr>
        <w:snapToGrid w:val="0"/>
        <w:spacing w:line="360" w:lineRule="auto"/>
        <w:jc w:val="center"/>
        <w:rPr>
          <w:rFonts w:ascii="Times New Roman" w:hAnsi="Times New Roman" w:eastAsia="宋体" w:cs="Times New Roman"/>
          <w:b/>
          <w:color w:val="auto"/>
          <w:sz w:val="30"/>
        </w:rPr>
      </w:pPr>
      <w:r>
        <w:rPr>
          <w:rFonts w:ascii="Times New Roman" w:hAnsi="Times New Roman" w:eastAsia="宋体" w:cs="Times New Roman"/>
          <w:b/>
          <w:color w:val="auto"/>
          <w:sz w:val="30"/>
        </w:rPr>
        <w:t xml:space="preserve"> </w:t>
      </w:r>
      <w:r>
        <w:rPr>
          <w:rFonts w:hint="eastAsia" w:ascii="Times New Roman" w:hAnsi="Times New Roman" w:eastAsia="宋体" w:cs="Times New Roman"/>
          <w:b/>
          <w:color w:val="auto"/>
          <w:sz w:val="30"/>
        </w:rPr>
        <w:t>招标需求</w:t>
      </w:r>
    </w:p>
    <w:p w14:paraId="3E01CEFD">
      <w:pPr>
        <w:spacing w:line="312" w:lineRule="auto"/>
        <w:outlineLvl w:val="0"/>
        <w:rPr>
          <w:rFonts w:ascii="Times New Roman" w:hAnsi="Times New Roman" w:eastAsia="宋体" w:cs="Times New Roman"/>
          <w:b/>
          <w:color w:val="auto"/>
          <w:sz w:val="24"/>
        </w:rPr>
      </w:pPr>
    </w:p>
    <w:p w14:paraId="1F890EA7">
      <w:pPr>
        <w:spacing w:before="120" w:beforeLines="50" w:line="360" w:lineRule="auto"/>
        <w:rPr>
          <w:rFonts w:hint="eastAsia" w:ascii="宋体" w:hAnsi="宋体" w:eastAsia="宋体" w:cs="宋体"/>
          <w:b/>
          <w:color w:val="auto"/>
          <w:szCs w:val="21"/>
          <w:lang w:eastAsia="zh-CN"/>
        </w:rPr>
      </w:pPr>
      <w:bookmarkStart w:id="2" w:name="_Hlk114668343"/>
      <w:r>
        <w:rPr>
          <w:rFonts w:hint="eastAsia" w:ascii="宋体" w:hAnsi="宋体" w:eastAsia="宋体" w:cs="宋体"/>
          <w:b/>
          <w:color w:val="auto"/>
          <w:sz w:val="24"/>
          <w:szCs w:val="24"/>
        </w:rPr>
        <w:t>一、采购项目：</w:t>
      </w:r>
      <w:r>
        <w:rPr>
          <w:rFonts w:hint="eastAsia" w:ascii="宋体" w:hAnsi="宋体" w:eastAsia="宋体" w:cs="宋体"/>
          <w:b/>
          <w:color w:val="auto"/>
          <w:sz w:val="24"/>
          <w:szCs w:val="24"/>
          <w:lang w:eastAsia="zh-CN"/>
        </w:rPr>
        <w:t xml:space="preserve">2025年舟山市（本级）海洋水生生物增殖放流 </w:t>
      </w:r>
    </w:p>
    <w:p w14:paraId="289B0D51">
      <w:pPr>
        <w:spacing w:before="120" w:beforeLines="50" w:line="360" w:lineRule="auto"/>
        <w:ind w:firstLine="102" w:firstLineChars="49"/>
        <w:rPr>
          <w:rFonts w:ascii="宋体" w:hAnsi="宋体" w:eastAsia="宋体" w:cs="宋体"/>
          <w:color w:val="auto"/>
          <w:szCs w:val="21"/>
          <w:lang w:val="zh-CN"/>
        </w:rPr>
      </w:pPr>
      <w:r>
        <w:rPr>
          <w:rFonts w:hint="eastAsia" w:ascii="宋体" w:hAnsi="宋体" w:eastAsia="宋体" w:cs="宋体"/>
          <w:color w:val="auto"/>
          <w:szCs w:val="21"/>
          <w:lang w:val="zh-CN"/>
        </w:rPr>
        <w:t>1.本项目采购内容为</w:t>
      </w:r>
      <w:r>
        <w:rPr>
          <w:rFonts w:hint="eastAsia" w:ascii="宋体" w:hAnsi="宋体" w:eastAsia="宋体" w:cs="宋体"/>
          <w:color w:val="auto"/>
          <w:szCs w:val="21"/>
          <w:lang w:eastAsia="zh-CN"/>
        </w:rPr>
        <w:t xml:space="preserve">2025年舟山市（本级）海洋水生生物增殖放流 </w:t>
      </w:r>
      <w:r>
        <w:rPr>
          <w:rFonts w:hint="eastAsia" w:ascii="宋体" w:hAnsi="宋体" w:eastAsia="宋体" w:cs="宋体"/>
          <w:color w:val="auto"/>
          <w:szCs w:val="21"/>
          <w:lang w:val="zh-CN"/>
        </w:rPr>
        <w:t>。</w:t>
      </w:r>
    </w:p>
    <w:p w14:paraId="10C489A2">
      <w:pPr>
        <w:autoSpaceDE w:val="0"/>
        <w:autoSpaceDN w:val="0"/>
        <w:adjustRightInd w:val="0"/>
        <w:spacing w:line="360" w:lineRule="auto"/>
        <w:ind w:left="105"/>
        <w:rPr>
          <w:rFonts w:ascii="宋体" w:hAnsi="宋体" w:eastAsia="宋体" w:cs="Times New Roman"/>
          <w:color w:val="auto"/>
          <w:szCs w:val="21"/>
        </w:rPr>
      </w:pPr>
      <w:r>
        <w:rPr>
          <w:rFonts w:hint="eastAsia" w:ascii="宋体" w:hAnsi="宋体" w:eastAsia="宋体" w:cs="宋体"/>
          <w:color w:val="auto"/>
          <w:szCs w:val="21"/>
          <w:lang w:val="zh-CN"/>
        </w:rPr>
        <w:t>2.中标人应与采购方就此项目签订合同。</w:t>
      </w:r>
      <w:r>
        <w:rPr>
          <w:rFonts w:hint="eastAsia" w:ascii="宋体" w:hAnsi="宋体" w:eastAsia="宋体" w:cs="Times New Roman"/>
          <w:color w:val="auto"/>
          <w:szCs w:val="21"/>
        </w:rPr>
        <w:t xml:space="preserve"> </w:t>
      </w:r>
    </w:p>
    <w:p w14:paraId="47E42F42">
      <w:pPr>
        <w:pStyle w:val="17"/>
        <w:rPr>
          <w:color w:val="auto"/>
          <w:lang w:eastAsia="zh-Hans"/>
        </w:rPr>
      </w:pPr>
    </w:p>
    <w:bookmarkEnd w:id="2"/>
    <w:p w14:paraId="6CE9BCCD">
      <w:pPr>
        <w:snapToGrid w:val="0"/>
        <w:spacing w:line="312" w:lineRule="auto"/>
        <w:rPr>
          <w:rFonts w:ascii="宋体" w:hAnsi="宋体" w:eastAsia="宋体" w:cs="宋体"/>
          <w:b/>
          <w:color w:val="auto"/>
          <w:szCs w:val="21"/>
        </w:rPr>
      </w:pPr>
      <w:r>
        <w:rPr>
          <w:rFonts w:hint="eastAsia" w:ascii="Times New Roman" w:hAnsi="Times New Roman" w:eastAsia="宋体" w:cs="Times New Roman"/>
          <w:b/>
          <w:color w:val="auto"/>
          <w:sz w:val="24"/>
          <w:lang w:eastAsia="zh-CN"/>
        </w:rPr>
        <w:t>二</w:t>
      </w:r>
      <w:r>
        <w:rPr>
          <w:rFonts w:hint="eastAsia" w:ascii="Times New Roman" w:hAnsi="Times New Roman" w:eastAsia="宋体" w:cs="Times New Roman"/>
          <w:b/>
          <w:color w:val="auto"/>
          <w:sz w:val="24"/>
        </w:rPr>
        <w:t>、采购清单</w:t>
      </w:r>
    </w:p>
    <w:tbl>
      <w:tblPr>
        <w:tblStyle w:val="60"/>
        <w:tblW w:w="8955" w:type="dxa"/>
        <w:tblInd w:w="0" w:type="dxa"/>
        <w:tblLayout w:type="fixed"/>
        <w:tblCellMar>
          <w:top w:w="15" w:type="dxa"/>
          <w:left w:w="15" w:type="dxa"/>
          <w:bottom w:w="15" w:type="dxa"/>
          <w:right w:w="15" w:type="dxa"/>
        </w:tblCellMar>
      </w:tblPr>
      <w:tblGrid>
        <w:gridCol w:w="446"/>
        <w:gridCol w:w="1173"/>
        <w:gridCol w:w="1012"/>
        <w:gridCol w:w="756"/>
        <w:gridCol w:w="1104"/>
        <w:gridCol w:w="888"/>
        <w:gridCol w:w="660"/>
        <w:gridCol w:w="576"/>
        <w:gridCol w:w="840"/>
        <w:gridCol w:w="1500"/>
      </w:tblGrid>
      <w:tr w14:paraId="0B5083B7">
        <w:tblPrEx>
          <w:tblCellMar>
            <w:top w:w="15" w:type="dxa"/>
            <w:left w:w="15" w:type="dxa"/>
            <w:bottom w:w="15" w:type="dxa"/>
            <w:right w:w="15" w:type="dxa"/>
          </w:tblCellMar>
        </w:tblPrEx>
        <w:trPr>
          <w:trHeight w:val="256" w:hRule="atLeast"/>
        </w:trPr>
        <w:tc>
          <w:tcPr>
            <w:tcW w:w="446" w:type="dxa"/>
            <w:vMerge w:val="restart"/>
            <w:tcBorders>
              <w:top w:val="single" w:color="000000" w:sz="4" w:space="0"/>
              <w:left w:val="single" w:color="000000" w:sz="4" w:space="0"/>
              <w:right w:val="single" w:color="000000" w:sz="4" w:space="0"/>
            </w:tcBorders>
            <w:vAlign w:val="center"/>
          </w:tcPr>
          <w:p w14:paraId="3FCBC4A9">
            <w:pPr>
              <w:jc w:val="center"/>
              <w:rPr>
                <w:rFonts w:ascii="宋体" w:hAnsi="宋体" w:eastAsia="宋体" w:cs="宋体"/>
                <w:b/>
                <w:color w:val="auto"/>
                <w:sz w:val="18"/>
                <w:szCs w:val="18"/>
              </w:rPr>
            </w:pPr>
            <w:r>
              <w:rPr>
                <w:rFonts w:hint="eastAsia" w:ascii="宋体" w:hAnsi="宋体" w:eastAsia="宋体" w:cs="Times New Roman"/>
                <w:b/>
                <w:color w:val="auto"/>
                <w:sz w:val="18"/>
                <w:szCs w:val="18"/>
              </w:rPr>
              <w:t>标项</w:t>
            </w:r>
          </w:p>
        </w:tc>
        <w:tc>
          <w:tcPr>
            <w:tcW w:w="1173" w:type="dxa"/>
            <w:vMerge w:val="restart"/>
            <w:tcBorders>
              <w:top w:val="single" w:color="000000" w:sz="4" w:space="0"/>
              <w:left w:val="single" w:color="000000" w:sz="4" w:space="0"/>
              <w:right w:val="single" w:color="000000" w:sz="4" w:space="0"/>
            </w:tcBorders>
            <w:vAlign w:val="center"/>
          </w:tcPr>
          <w:p w14:paraId="152AFED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品种</w:t>
            </w:r>
          </w:p>
        </w:tc>
        <w:tc>
          <w:tcPr>
            <w:tcW w:w="1012" w:type="dxa"/>
            <w:vMerge w:val="restart"/>
            <w:tcBorders>
              <w:top w:val="single" w:color="000000" w:sz="4" w:space="0"/>
              <w:left w:val="single" w:color="000000" w:sz="4" w:space="0"/>
              <w:right w:val="single" w:color="000000" w:sz="4" w:space="0"/>
            </w:tcBorders>
            <w:vAlign w:val="center"/>
          </w:tcPr>
          <w:p w14:paraId="73CC164C">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规格(≥)</w:t>
            </w:r>
          </w:p>
        </w:tc>
        <w:tc>
          <w:tcPr>
            <w:tcW w:w="756" w:type="dxa"/>
            <w:vMerge w:val="restart"/>
            <w:tcBorders>
              <w:top w:val="single" w:color="000000" w:sz="4" w:space="0"/>
              <w:left w:val="single" w:color="000000" w:sz="4" w:space="0"/>
              <w:right w:val="single" w:color="000000" w:sz="4" w:space="0"/>
            </w:tcBorders>
            <w:vAlign w:val="center"/>
          </w:tcPr>
          <w:p w14:paraId="7255E4CC">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种苗金额(万元)</w:t>
            </w:r>
          </w:p>
        </w:tc>
        <w:tc>
          <w:tcPr>
            <w:tcW w:w="1104" w:type="dxa"/>
            <w:vMerge w:val="restart"/>
            <w:tcBorders>
              <w:top w:val="single" w:color="000000" w:sz="4" w:space="0"/>
              <w:left w:val="single" w:color="000000" w:sz="4" w:space="0"/>
              <w:right w:val="single" w:color="auto" w:sz="4" w:space="0"/>
            </w:tcBorders>
            <w:vAlign w:val="center"/>
          </w:tcPr>
          <w:p w14:paraId="6914A53F">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总种苗数量</w:t>
            </w:r>
          </w:p>
          <w:p w14:paraId="11C13977">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(≥万单位)</w:t>
            </w:r>
          </w:p>
        </w:tc>
        <w:tc>
          <w:tcPr>
            <w:tcW w:w="888" w:type="dxa"/>
            <w:vMerge w:val="restart"/>
            <w:tcBorders>
              <w:top w:val="single" w:color="000000" w:sz="4" w:space="0"/>
              <w:left w:val="single" w:color="auto" w:sz="4" w:space="0"/>
              <w:right w:val="single" w:color="000000" w:sz="4" w:space="0"/>
            </w:tcBorders>
            <w:vAlign w:val="center"/>
          </w:tcPr>
          <w:p w14:paraId="104EFB87">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拟中标单位(家)</w:t>
            </w:r>
          </w:p>
        </w:tc>
        <w:tc>
          <w:tcPr>
            <w:tcW w:w="1236" w:type="dxa"/>
            <w:gridSpan w:val="2"/>
            <w:tcBorders>
              <w:top w:val="single" w:color="000000" w:sz="4" w:space="0"/>
              <w:left w:val="single" w:color="000000" w:sz="4" w:space="0"/>
              <w:bottom w:val="single" w:color="auto" w:sz="4" w:space="0"/>
              <w:right w:val="single" w:color="auto" w:sz="4" w:space="0"/>
            </w:tcBorders>
            <w:vAlign w:val="center"/>
          </w:tcPr>
          <w:p w14:paraId="5BAE5CE6">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中标单位种苗费分配(万元)</w:t>
            </w:r>
          </w:p>
        </w:tc>
        <w:tc>
          <w:tcPr>
            <w:tcW w:w="840" w:type="dxa"/>
            <w:vMerge w:val="restart"/>
            <w:tcBorders>
              <w:top w:val="single" w:color="000000" w:sz="4" w:space="0"/>
              <w:left w:val="single" w:color="000000" w:sz="4" w:space="0"/>
              <w:right w:val="single" w:color="auto" w:sz="4" w:space="0"/>
            </w:tcBorders>
            <w:vAlign w:val="center"/>
          </w:tcPr>
          <w:p w14:paraId="15EA4F5A">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放流时间（月）</w:t>
            </w:r>
          </w:p>
        </w:tc>
        <w:tc>
          <w:tcPr>
            <w:tcW w:w="1500" w:type="dxa"/>
            <w:vMerge w:val="restart"/>
            <w:tcBorders>
              <w:top w:val="single" w:color="000000" w:sz="4" w:space="0"/>
              <w:left w:val="single" w:color="auto" w:sz="4" w:space="0"/>
              <w:right w:val="single" w:color="000000" w:sz="4" w:space="0"/>
            </w:tcBorders>
            <w:vAlign w:val="center"/>
          </w:tcPr>
          <w:p w14:paraId="1A87FDA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放流海域</w:t>
            </w:r>
          </w:p>
        </w:tc>
      </w:tr>
      <w:tr w14:paraId="3F944E3C">
        <w:tblPrEx>
          <w:tblCellMar>
            <w:top w:w="15" w:type="dxa"/>
            <w:left w:w="15" w:type="dxa"/>
            <w:bottom w:w="15" w:type="dxa"/>
            <w:right w:w="15" w:type="dxa"/>
          </w:tblCellMar>
        </w:tblPrEx>
        <w:trPr>
          <w:trHeight w:val="219" w:hRule="atLeast"/>
        </w:trPr>
        <w:tc>
          <w:tcPr>
            <w:tcW w:w="446" w:type="dxa"/>
            <w:vMerge w:val="continue"/>
            <w:tcBorders>
              <w:left w:val="single" w:color="000000" w:sz="4" w:space="0"/>
              <w:bottom w:val="single" w:color="000000" w:sz="4" w:space="0"/>
              <w:right w:val="single" w:color="000000" w:sz="4" w:space="0"/>
            </w:tcBorders>
            <w:vAlign w:val="center"/>
          </w:tcPr>
          <w:p w14:paraId="345B8B21">
            <w:pPr>
              <w:jc w:val="center"/>
              <w:rPr>
                <w:rFonts w:ascii="宋体" w:hAnsi="宋体" w:eastAsia="宋体" w:cs="Times New Roman"/>
                <w:b/>
                <w:color w:val="auto"/>
                <w:sz w:val="18"/>
                <w:szCs w:val="18"/>
              </w:rPr>
            </w:pPr>
          </w:p>
        </w:tc>
        <w:tc>
          <w:tcPr>
            <w:tcW w:w="1173" w:type="dxa"/>
            <w:vMerge w:val="continue"/>
            <w:tcBorders>
              <w:left w:val="single" w:color="000000" w:sz="4" w:space="0"/>
              <w:bottom w:val="single" w:color="000000" w:sz="4" w:space="0"/>
              <w:right w:val="single" w:color="000000" w:sz="4" w:space="0"/>
            </w:tcBorders>
            <w:vAlign w:val="center"/>
          </w:tcPr>
          <w:p w14:paraId="657E62F2">
            <w:pPr>
              <w:jc w:val="center"/>
              <w:rPr>
                <w:rFonts w:ascii="宋体" w:hAnsi="宋体" w:eastAsia="等线" w:cs="Times New Roman"/>
                <w:color w:val="auto"/>
                <w:sz w:val="18"/>
                <w:szCs w:val="18"/>
              </w:rPr>
            </w:pPr>
          </w:p>
        </w:tc>
        <w:tc>
          <w:tcPr>
            <w:tcW w:w="1012" w:type="dxa"/>
            <w:vMerge w:val="continue"/>
            <w:tcBorders>
              <w:left w:val="single" w:color="000000" w:sz="4" w:space="0"/>
              <w:bottom w:val="single" w:color="000000" w:sz="4" w:space="0"/>
              <w:right w:val="single" w:color="000000" w:sz="4" w:space="0"/>
            </w:tcBorders>
            <w:vAlign w:val="center"/>
          </w:tcPr>
          <w:p w14:paraId="111AB052">
            <w:pPr>
              <w:jc w:val="center"/>
              <w:rPr>
                <w:rFonts w:ascii="宋体" w:hAnsi="宋体" w:eastAsia="等线" w:cs="Times New Roman"/>
                <w:color w:val="auto"/>
                <w:sz w:val="18"/>
                <w:szCs w:val="18"/>
              </w:rPr>
            </w:pPr>
          </w:p>
        </w:tc>
        <w:tc>
          <w:tcPr>
            <w:tcW w:w="756" w:type="dxa"/>
            <w:vMerge w:val="continue"/>
            <w:tcBorders>
              <w:left w:val="single" w:color="000000" w:sz="4" w:space="0"/>
              <w:bottom w:val="single" w:color="000000" w:sz="4" w:space="0"/>
              <w:right w:val="single" w:color="000000" w:sz="4" w:space="0"/>
            </w:tcBorders>
            <w:vAlign w:val="center"/>
          </w:tcPr>
          <w:p w14:paraId="4122E4DF">
            <w:pPr>
              <w:jc w:val="center"/>
              <w:rPr>
                <w:rFonts w:ascii="宋体" w:hAnsi="宋体" w:eastAsia="等线" w:cs="Times New Roman"/>
                <w:color w:val="auto"/>
                <w:sz w:val="18"/>
                <w:szCs w:val="18"/>
              </w:rPr>
            </w:pPr>
          </w:p>
        </w:tc>
        <w:tc>
          <w:tcPr>
            <w:tcW w:w="1104" w:type="dxa"/>
            <w:vMerge w:val="continue"/>
            <w:tcBorders>
              <w:left w:val="single" w:color="000000" w:sz="4" w:space="0"/>
              <w:bottom w:val="single" w:color="000000" w:sz="4" w:space="0"/>
              <w:right w:val="single" w:color="auto" w:sz="4" w:space="0"/>
            </w:tcBorders>
            <w:vAlign w:val="center"/>
          </w:tcPr>
          <w:p w14:paraId="601568C3">
            <w:pPr>
              <w:jc w:val="center"/>
              <w:rPr>
                <w:rFonts w:ascii="宋体" w:hAnsi="宋体" w:eastAsia="等线" w:cs="Times New Roman"/>
                <w:color w:val="auto"/>
                <w:sz w:val="18"/>
                <w:szCs w:val="18"/>
              </w:rPr>
            </w:pPr>
          </w:p>
        </w:tc>
        <w:tc>
          <w:tcPr>
            <w:tcW w:w="888" w:type="dxa"/>
            <w:vMerge w:val="continue"/>
            <w:tcBorders>
              <w:left w:val="single" w:color="auto" w:sz="4" w:space="0"/>
              <w:bottom w:val="single" w:color="000000" w:sz="4" w:space="0"/>
              <w:right w:val="single" w:color="000000" w:sz="4" w:space="0"/>
            </w:tcBorders>
            <w:vAlign w:val="center"/>
          </w:tcPr>
          <w:p w14:paraId="4AA788BD">
            <w:pPr>
              <w:jc w:val="center"/>
              <w:rPr>
                <w:rFonts w:ascii="宋体" w:hAnsi="宋体" w:eastAsia="等线" w:cs="Times New Roman"/>
                <w:color w:val="auto"/>
                <w:sz w:val="18"/>
                <w:szCs w:val="18"/>
              </w:rPr>
            </w:pPr>
          </w:p>
        </w:tc>
        <w:tc>
          <w:tcPr>
            <w:tcW w:w="660" w:type="dxa"/>
            <w:tcBorders>
              <w:top w:val="single" w:color="auto" w:sz="4" w:space="0"/>
              <w:left w:val="single" w:color="000000" w:sz="4" w:space="0"/>
              <w:bottom w:val="single" w:color="000000" w:sz="4" w:space="0"/>
              <w:right w:val="single" w:color="auto" w:sz="4" w:space="0"/>
            </w:tcBorders>
            <w:vAlign w:val="center"/>
          </w:tcPr>
          <w:p w14:paraId="3AE87482">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1</w:t>
            </w:r>
          </w:p>
        </w:tc>
        <w:tc>
          <w:tcPr>
            <w:tcW w:w="576" w:type="dxa"/>
            <w:tcBorders>
              <w:top w:val="single" w:color="auto" w:sz="4" w:space="0"/>
              <w:left w:val="single" w:color="000000" w:sz="4" w:space="0"/>
              <w:bottom w:val="single" w:color="000000" w:sz="4" w:space="0"/>
              <w:right w:val="single" w:color="auto" w:sz="4" w:space="0"/>
            </w:tcBorders>
            <w:vAlign w:val="center"/>
          </w:tcPr>
          <w:p w14:paraId="51DE86FE">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2</w:t>
            </w:r>
          </w:p>
        </w:tc>
        <w:tc>
          <w:tcPr>
            <w:tcW w:w="840" w:type="dxa"/>
            <w:vMerge w:val="continue"/>
            <w:tcBorders>
              <w:left w:val="single" w:color="000000" w:sz="4" w:space="0"/>
              <w:bottom w:val="single" w:color="000000" w:sz="4" w:space="0"/>
              <w:right w:val="single" w:color="auto" w:sz="4" w:space="0"/>
            </w:tcBorders>
            <w:vAlign w:val="center"/>
          </w:tcPr>
          <w:p w14:paraId="252D5998">
            <w:pPr>
              <w:jc w:val="center"/>
              <w:rPr>
                <w:rFonts w:ascii="宋体" w:hAnsi="宋体" w:eastAsia="等线" w:cs="Times New Roman"/>
                <w:color w:val="auto"/>
                <w:sz w:val="18"/>
                <w:szCs w:val="18"/>
              </w:rPr>
            </w:pPr>
          </w:p>
        </w:tc>
        <w:tc>
          <w:tcPr>
            <w:tcW w:w="1500" w:type="dxa"/>
            <w:vMerge w:val="continue"/>
            <w:tcBorders>
              <w:left w:val="single" w:color="auto" w:sz="4" w:space="0"/>
              <w:bottom w:val="single" w:color="000000" w:sz="4" w:space="0"/>
              <w:right w:val="single" w:color="000000" w:sz="4" w:space="0"/>
            </w:tcBorders>
            <w:vAlign w:val="center"/>
          </w:tcPr>
          <w:p w14:paraId="3F70F7A0">
            <w:pPr>
              <w:jc w:val="center"/>
              <w:rPr>
                <w:rFonts w:ascii="宋体" w:hAnsi="宋体" w:eastAsia="等线" w:cs="Times New Roman"/>
                <w:color w:val="auto"/>
                <w:sz w:val="18"/>
                <w:szCs w:val="18"/>
              </w:rPr>
            </w:pPr>
          </w:p>
        </w:tc>
      </w:tr>
      <w:tr w14:paraId="1D189C68">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1BB18E09">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596184E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大黄鱼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5DE6A68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体长≥7cm</w:t>
            </w:r>
          </w:p>
        </w:tc>
        <w:tc>
          <w:tcPr>
            <w:tcW w:w="756" w:type="dxa"/>
            <w:tcBorders>
              <w:top w:val="single" w:color="000000" w:sz="4" w:space="0"/>
              <w:left w:val="single" w:color="000000" w:sz="4" w:space="0"/>
              <w:bottom w:val="single" w:color="000000" w:sz="4" w:space="0"/>
              <w:right w:val="single" w:color="000000" w:sz="4" w:space="0"/>
            </w:tcBorders>
            <w:vAlign w:val="center"/>
          </w:tcPr>
          <w:p w14:paraId="6008D12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1104" w:type="dxa"/>
            <w:tcBorders>
              <w:top w:val="single" w:color="000000" w:sz="4" w:space="0"/>
              <w:bottom w:val="single" w:color="000000" w:sz="4" w:space="0"/>
              <w:right w:val="single" w:color="auto" w:sz="4" w:space="0"/>
            </w:tcBorders>
            <w:vAlign w:val="center"/>
          </w:tcPr>
          <w:p w14:paraId="5E7FDAA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140 </w:t>
            </w:r>
          </w:p>
        </w:tc>
        <w:tc>
          <w:tcPr>
            <w:tcW w:w="888" w:type="dxa"/>
            <w:tcBorders>
              <w:top w:val="single" w:color="000000" w:sz="4" w:space="0"/>
              <w:left w:val="single" w:color="auto" w:sz="4" w:space="0"/>
              <w:bottom w:val="single" w:color="000000" w:sz="4" w:space="0"/>
              <w:right w:val="single" w:color="000000" w:sz="4" w:space="0"/>
            </w:tcBorders>
            <w:vAlign w:val="center"/>
          </w:tcPr>
          <w:p w14:paraId="39FEAF0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44196BC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30AF86E5">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905C06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6-9</w:t>
            </w:r>
          </w:p>
        </w:tc>
        <w:tc>
          <w:tcPr>
            <w:tcW w:w="1500" w:type="dxa"/>
            <w:tcBorders>
              <w:top w:val="single" w:color="000000" w:sz="4" w:space="0"/>
              <w:left w:val="single" w:color="auto" w:sz="4" w:space="0"/>
              <w:bottom w:val="single" w:color="000000" w:sz="4" w:space="0"/>
              <w:right w:val="single" w:color="000000" w:sz="4" w:space="0"/>
            </w:tcBorders>
            <w:vAlign w:val="center"/>
          </w:tcPr>
          <w:p w14:paraId="5D70F83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678B75A7">
        <w:tblPrEx>
          <w:tblCellMar>
            <w:top w:w="15" w:type="dxa"/>
            <w:left w:w="15" w:type="dxa"/>
            <w:bottom w:w="15" w:type="dxa"/>
            <w:right w:w="15" w:type="dxa"/>
          </w:tblCellMar>
        </w:tblPrEx>
        <w:trPr>
          <w:trHeight w:val="348"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6EA4B719">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二</w:t>
            </w:r>
          </w:p>
        </w:tc>
        <w:tc>
          <w:tcPr>
            <w:tcW w:w="1173" w:type="dxa"/>
            <w:tcBorders>
              <w:top w:val="single" w:color="000000" w:sz="4" w:space="0"/>
              <w:left w:val="single" w:color="000000" w:sz="4" w:space="0"/>
              <w:bottom w:val="single" w:color="000000" w:sz="4" w:space="0"/>
              <w:right w:val="single" w:color="000000" w:sz="4" w:space="0"/>
            </w:tcBorders>
            <w:vAlign w:val="center"/>
          </w:tcPr>
          <w:p w14:paraId="7D0546E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厚壳贻贝</w:t>
            </w:r>
          </w:p>
        </w:tc>
        <w:tc>
          <w:tcPr>
            <w:tcW w:w="1012" w:type="dxa"/>
            <w:tcBorders>
              <w:top w:val="single" w:color="000000" w:sz="4" w:space="0"/>
              <w:left w:val="single" w:color="000000" w:sz="4" w:space="0"/>
              <w:bottom w:val="single" w:color="000000" w:sz="4" w:space="0"/>
              <w:right w:val="single" w:color="000000" w:sz="4" w:space="0"/>
            </w:tcBorders>
            <w:vAlign w:val="center"/>
          </w:tcPr>
          <w:p w14:paraId="79C1D99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壳长≥5mm</w:t>
            </w:r>
          </w:p>
        </w:tc>
        <w:tc>
          <w:tcPr>
            <w:tcW w:w="756" w:type="dxa"/>
            <w:tcBorders>
              <w:top w:val="single" w:color="000000" w:sz="4" w:space="0"/>
              <w:left w:val="single" w:color="000000" w:sz="4" w:space="0"/>
              <w:bottom w:val="single" w:color="000000" w:sz="4" w:space="0"/>
              <w:right w:val="single" w:color="000000" w:sz="4" w:space="0"/>
            </w:tcBorders>
            <w:vAlign w:val="center"/>
          </w:tcPr>
          <w:p w14:paraId="6FF95CC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1104" w:type="dxa"/>
            <w:tcBorders>
              <w:top w:val="single" w:color="000000" w:sz="4" w:space="0"/>
              <w:bottom w:val="single" w:color="000000" w:sz="4" w:space="0"/>
              <w:right w:val="single" w:color="auto" w:sz="4" w:space="0"/>
            </w:tcBorders>
            <w:vAlign w:val="center"/>
          </w:tcPr>
          <w:p w14:paraId="03295CD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1667 </w:t>
            </w:r>
          </w:p>
        </w:tc>
        <w:tc>
          <w:tcPr>
            <w:tcW w:w="888" w:type="dxa"/>
            <w:tcBorders>
              <w:top w:val="single" w:color="000000" w:sz="4" w:space="0"/>
              <w:left w:val="single" w:color="auto" w:sz="4" w:space="0"/>
              <w:bottom w:val="single" w:color="000000" w:sz="4" w:space="0"/>
              <w:right w:val="single" w:color="000000" w:sz="4" w:space="0"/>
            </w:tcBorders>
            <w:vAlign w:val="center"/>
          </w:tcPr>
          <w:p w14:paraId="791BBFC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16CD3C6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6A0EF782">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430D7E6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509A67F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547A1654">
        <w:tblPrEx>
          <w:tblCellMar>
            <w:top w:w="15" w:type="dxa"/>
            <w:left w:w="15" w:type="dxa"/>
            <w:bottom w:w="15" w:type="dxa"/>
            <w:right w:w="15" w:type="dxa"/>
          </w:tblCellMar>
        </w:tblPrEx>
        <w:trPr>
          <w:trHeight w:val="340"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35428E1">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三</w:t>
            </w:r>
          </w:p>
        </w:tc>
        <w:tc>
          <w:tcPr>
            <w:tcW w:w="1173" w:type="dxa"/>
            <w:tcBorders>
              <w:top w:val="single" w:color="000000" w:sz="4" w:space="0"/>
              <w:left w:val="single" w:color="000000" w:sz="4" w:space="0"/>
              <w:bottom w:val="single" w:color="000000" w:sz="4" w:space="0"/>
              <w:right w:val="single" w:color="000000" w:sz="4" w:space="0"/>
            </w:tcBorders>
            <w:vAlign w:val="center"/>
          </w:tcPr>
          <w:p w14:paraId="7A828C3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曼氏无针乌贼</w:t>
            </w:r>
          </w:p>
        </w:tc>
        <w:tc>
          <w:tcPr>
            <w:tcW w:w="1012" w:type="dxa"/>
            <w:tcBorders>
              <w:top w:val="single" w:color="000000" w:sz="4" w:space="0"/>
              <w:left w:val="single" w:color="000000" w:sz="4" w:space="0"/>
              <w:bottom w:val="single" w:color="000000" w:sz="4" w:space="0"/>
              <w:right w:val="single" w:color="000000" w:sz="4" w:space="0"/>
            </w:tcBorders>
            <w:vAlign w:val="center"/>
          </w:tcPr>
          <w:p w14:paraId="14EB012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受精卵</w:t>
            </w:r>
          </w:p>
        </w:tc>
        <w:tc>
          <w:tcPr>
            <w:tcW w:w="756" w:type="dxa"/>
            <w:tcBorders>
              <w:top w:val="single" w:color="000000" w:sz="4" w:space="0"/>
              <w:left w:val="single" w:color="000000" w:sz="4" w:space="0"/>
              <w:bottom w:val="single" w:color="000000" w:sz="4" w:space="0"/>
              <w:right w:val="single" w:color="000000" w:sz="4" w:space="0"/>
            </w:tcBorders>
            <w:vAlign w:val="center"/>
          </w:tcPr>
          <w:p w14:paraId="1E101A9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1104" w:type="dxa"/>
            <w:tcBorders>
              <w:top w:val="single" w:color="000000" w:sz="4" w:space="0"/>
              <w:bottom w:val="single" w:color="000000" w:sz="4" w:space="0"/>
              <w:right w:val="single" w:color="auto" w:sz="4" w:space="0"/>
            </w:tcBorders>
            <w:vAlign w:val="center"/>
          </w:tcPr>
          <w:p w14:paraId="70AB9D6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700</w:t>
            </w:r>
          </w:p>
        </w:tc>
        <w:tc>
          <w:tcPr>
            <w:tcW w:w="888" w:type="dxa"/>
            <w:tcBorders>
              <w:top w:val="single" w:color="000000" w:sz="4" w:space="0"/>
              <w:left w:val="single" w:color="auto" w:sz="4" w:space="0"/>
              <w:bottom w:val="single" w:color="000000" w:sz="4" w:space="0"/>
              <w:right w:val="single" w:color="000000" w:sz="4" w:space="0"/>
            </w:tcBorders>
            <w:vAlign w:val="center"/>
          </w:tcPr>
          <w:p w14:paraId="0B2B393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35700A1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76" w:type="dxa"/>
            <w:tcBorders>
              <w:top w:val="single" w:color="000000" w:sz="4" w:space="0"/>
              <w:left w:val="single" w:color="000000" w:sz="4" w:space="0"/>
              <w:bottom w:val="single" w:color="000000" w:sz="4" w:space="0"/>
              <w:right w:val="single" w:color="auto" w:sz="4" w:space="0"/>
            </w:tcBorders>
            <w:vAlign w:val="center"/>
          </w:tcPr>
          <w:p w14:paraId="6D8BCCBE">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35339DA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1D9B7DB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75D9640E">
        <w:tblPrEx>
          <w:tblCellMar>
            <w:top w:w="15" w:type="dxa"/>
            <w:left w:w="15" w:type="dxa"/>
            <w:bottom w:w="15" w:type="dxa"/>
            <w:right w:w="15" w:type="dxa"/>
          </w:tblCellMar>
        </w:tblPrEx>
        <w:trPr>
          <w:trHeight w:val="384"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5AD04BE3">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四</w:t>
            </w:r>
          </w:p>
        </w:tc>
        <w:tc>
          <w:tcPr>
            <w:tcW w:w="1173" w:type="dxa"/>
            <w:tcBorders>
              <w:top w:val="single" w:color="000000" w:sz="4" w:space="0"/>
              <w:left w:val="single" w:color="000000" w:sz="4" w:space="0"/>
              <w:bottom w:val="single" w:color="000000" w:sz="4" w:space="0"/>
              <w:right w:val="single" w:color="000000" w:sz="4" w:space="0"/>
            </w:tcBorders>
            <w:vAlign w:val="center"/>
          </w:tcPr>
          <w:p w14:paraId="1F6D28D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海蜇</w:t>
            </w:r>
          </w:p>
        </w:tc>
        <w:tc>
          <w:tcPr>
            <w:tcW w:w="1012" w:type="dxa"/>
            <w:tcBorders>
              <w:top w:val="single" w:color="000000" w:sz="4" w:space="0"/>
              <w:left w:val="single" w:color="000000" w:sz="4" w:space="0"/>
              <w:bottom w:val="single" w:color="000000" w:sz="4" w:space="0"/>
              <w:right w:val="single" w:color="000000" w:sz="4" w:space="0"/>
            </w:tcBorders>
            <w:vAlign w:val="center"/>
          </w:tcPr>
          <w:p w14:paraId="43E0089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伞径≥7mm</w:t>
            </w:r>
          </w:p>
        </w:tc>
        <w:tc>
          <w:tcPr>
            <w:tcW w:w="756" w:type="dxa"/>
            <w:tcBorders>
              <w:top w:val="single" w:color="000000" w:sz="4" w:space="0"/>
              <w:left w:val="single" w:color="000000" w:sz="4" w:space="0"/>
              <w:bottom w:val="single" w:color="000000" w:sz="4" w:space="0"/>
              <w:right w:val="single" w:color="000000" w:sz="4" w:space="0"/>
            </w:tcBorders>
            <w:vAlign w:val="center"/>
          </w:tcPr>
          <w:p w14:paraId="21D056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90</w:t>
            </w:r>
          </w:p>
        </w:tc>
        <w:tc>
          <w:tcPr>
            <w:tcW w:w="1104" w:type="dxa"/>
            <w:tcBorders>
              <w:top w:val="single" w:color="000000" w:sz="4" w:space="0"/>
              <w:bottom w:val="single" w:color="000000" w:sz="4" w:space="0"/>
              <w:right w:val="single" w:color="auto" w:sz="4" w:space="0"/>
            </w:tcBorders>
            <w:vAlign w:val="center"/>
          </w:tcPr>
          <w:p w14:paraId="1C12D53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12857 </w:t>
            </w:r>
          </w:p>
        </w:tc>
        <w:tc>
          <w:tcPr>
            <w:tcW w:w="888" w:type="dxa"/>
            <w:tcBorders>
              <w:top w:val="single" w:color="000000" w:sz="4" w:space="0"/>
              <w:left w:val="single" w:color="auto" w:sz="4" w:space="0"/>
              <w:bottom w:val="single" w:color="000000" w:sz="4" w:space="0"/>
              <w:right w:val="single" w:color="000000" w:sz="4" w:space="0"/>
            </w:tcBorders>
            <w:vAlign w:val="center"/>
          </w:tcPr>
          <w:p w14:paraId="3AB7797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18C823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50</w:t>
            </w:r>
          </w:p>
        </w:tc>
        <w:tc>
          <w:tcPr>
            <w:tcW w:w="576" w:type="dxa"/>
            <w:tcBorders>
              <w:top w:val="single" w:color="000000" w:sz="4" w:space="0"/>
              <w:left w:val="single" w:color="000000" w:sz="4" w:space="0"/>
              <w:bottom w:val="single" w:color="000000" w:sz="4" w:space="0"/>
              <w:right w:val="single" w:color="auto" w:sz="4" w:space="0"/>
            </w:tcBorders>
            <w:vAlign w:val="center"/>
          </w:tcPr>
          <w:p w14:paraId="4663EB2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40</w:t>
            </w:r>
          </w:p>
        </w:tc>
        <w:tc>
          <w:tcPr>
            <w:tcW w:w="840" w:type="dxa"/>
            <w:tcBorders>
              <w:top w:val="single" w:color="000000" w:sz="4" w:space="0"/>
              <w:left w:val="single" w:color="000000" w:sz="4" w:space="0"/>
              <w:bottom w:val="single" w:color="000000" w:sz="4" w:space="0"/>
              <w:right w:val="single" w:color="auto" w:sz="4" w:space="0"/>
            </w:tcBorders>
            <w:vAlign w:val="center"/>
          </w:tcPr>
          <w:p w14:paraId="024C40C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2506339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灰鳖洋</w:t>
            </w:r>
          </w:p>
        </w:tc>
      </w:tr>
      <w:tr w14:paraId="041EB2F3">
        <w:tblPrEx>
          <w:tblCellMar>
            <w:top w:w="15" w:type="dxa"/>
            <w:left w:w="15" w:type="dxa"/>
            <w:bottom w:w="15" w:type="dxa"/>
            <w:right w:w="15" w:type="dxa"/>
          </w:tblCellMar>
        </w:tblPrEx>
        <w:trPr>
          <w:trHeight w:val="324"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22D9418C">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五</w:t>
            </w:r>
          </w:p>
        </w:tc>
        <w:tc>
          <w:tcPr>
            <w:tcW w:w="1173" w:type="dxa"/>
            <w:tcBorders>
              <w:top w:val="single" w:color="000000" w:sz="4" w:space="0"/>
              <w:left w:val="single" w:color="000000" w:sz="4" w:space="0"/>
              <w:bottom w:val="single" w:color="000000" w:sz="4" w:space="0"/>
              <w:right w:val="single" w:color="000000" w:sz="4" w:space="0"/>
            </w:tcBorders>
            <w:vAlign w:val="center"/>
          </w:tcPr>
          <w:p w14:paraId="541F1D1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黑鲷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155ACE6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2BEE0BF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1104" w:type="dxa"/>
            <w:tcBorders>
              <w:top w:val="single" w:color="000000" w:sz="4" w:space="0"/>
              <w:bottom w:val="single" w:color="000000" w:sz="4" w:space="0"/>
              <w:right w:val="single" w:color="auto" w:sz="4" w:space="0"/>
            </w:tcBorders>
            <w:vAlign w:val="center"/>
          </w:tcPr>
          <w:p w14:paraId="1E18DD8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180 </w:t>
            </w:r>
          </w:p>
        </w:tc>
        <w:tc>
          <w:tcPr>
            <w:tcW w:w="888" w:type="dxa"/>
            <w:tcBorders>
              <w:top w:val="single" w:color="000000" w:sz="4" w:space="0"/>
              <w:left w:val="single" w:color="auto" w:sz="4" w:space="0"/>
              <w:bottom w:val="single" w:color="000000" w:sz="4" w:space="0"/>
              <w:right w:val="single" w:color="000000" w:sz="4" w:space="0"/>
            </w:tcBorders>
            <w:vAlign w:val="center"/>
          </w:tcPr>
          <w:p w14:paraId="52D75A5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FF9209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576" w:type="dxa"/>
            <w:tcBorders>
              <w:top w:val="single" w:color="000000" w:sz="4" w:space="0"/>
              <w:left w:val="single" w:color="000000" w:sz="4" w:space="0"/>
              <w:bottom w:val="single" w:color="000000" w:sz="4" w:space="0"/>
              <w:right w:val="single" w:color="auto" w:sz="4" w:space="0"/>
            </w:tcBorders>
            <w:vAlign w:val="center"/>
          </w:tcPr>
          <w:p w14:paraId="35D6953C">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586B4C4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4788396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r w14:paraId="3432AF1C">
        <w:tblPrEx>
          <w:tblCellMar>
            <w:top w:w="15" w:type="dxa"/>
            <w:left w:w="15" w:type="dxa"/>
            <w:bottom w:w="15" w:type="dxa"/>
            <w:right w:w="15" w:type="dxa"/>
          </w:tblCellMar>
        </w:tblPrEx>
        <w:trPr>
          <w:trHeight w:val="368"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24D6CDEB">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六</w:t>
            </w:r>
          </w:p>
        </w:tc>
        <w:tc>
          <w:tcPr>
            <w:tcW w:w="1173" w:type="dxa"/>
            <w:tcBorders>
              <w:top w:val="single" w:color="000000" w:sz="4" w:space="0"/>
              <w:left w:val="single" w:color="000000" w:sz="4" w:space="0"/>
              <w:bottom w:val="single" w:color="000000" w:sz="4" w:space="0"/>
              <w:right w:val="single" w:color="000000" w:sz="4" w:space="0"/>
            </w:tcBorders>
            <w:vAlign w:val="center"/>
          </w:tcPr>
          <w:p w14:paraId="25C63F7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黄姑鱼</w:t>
            </w:r>
          </w:p>
        </w:tc>
        <w:tc>
          <w:tcPr>
            <w:tcW w:w="1012" w:type="dxa"/>
            <w:tcBorders>
              <w:top w:val="single" w:color="000000" w:sz="4" w:space="0"/>
              <w:left w:val="single" w:color="000000" w:sz="4" w:space="0"/>
              <w:bottom w:val="single" w:color="000000" w:sz="4" w:space="0"/>
              <w:right w:val="single" w:color="000000" w:sz="4" w:space="0"/>
            </w:tcBorders>
            <w:vAlign w:val="center"/>
          </w:tcPr>
          <w:p w14:paraId="2BEC580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7B57248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1104" w:type="dxa"/>
            <w:tcBorders>
              <w:top w:val="single" w:color="000000" w:sz="4" w:space="0"/>
              <w:bottom w:val="single" w:color="000000" w:sz="4" w:space="0"/>
              <w:right w:val="single" w:color="auto" w:sz="4" w:space="0"/>
            </w:tcBorders>
            <w:vAlign w:val="center"/>
          </w:tcPr>
          <w:p w14:paraId="6021A8C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100 </w:t>
            </w:r>
          </w:p>
        </w:tc>
        <w:tc>
          <w:tcPr>
            <w:tcW w:w="888" w:type="dxa"/>
            <w:tcBorders>
              <w:top w:val="single" w:color="000000" w:sz="4" w:space="0"/>
              <w:left w:val="single" w:color="auto" w:sz="4" w:space="0"/>
              <w:bottom w:val="single" w:color="000000" w:sz="4" w:space="0"/>
              <w:right w:val="single" w:color="000000" w:sz="4" w:space="0"/>
            </w:tcBorders>
            <w:vAlign w:val="center"/>
          </w:tcPr>
          <w:p w14:paraId="6A5C775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2AE6020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0B47C978">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8BC3BB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1E78806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海洋牧场</w:t>
            </w:r>
          </w:p>
        </w:tc>
      </w:tr>
      <w:tr w14:paraId="48163B4C">
        <w:tblPrEx>
          <w:tblCellMar>
            <w:top w:w="15" w:type="dxa"/>
            <w:left w:w="15" w:type="dxa"/>
            <w:bottom w:w="15" w:type="dxa"/>
            <w:right w:w="15" w:type="dxa"/>
          </w:tblCellMar>
        </w:tblPrEx>
        <w:trPr>
          <w:trHeight w:val="340"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47EC75D4">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七</w:t>
            </w:r>
          </w:p>
        </w:tc>
        <w:tc>
          <w:tcPr>
            <w:tcW w:w="1173" w:type="dxa"/>
            <w:tcBorders>
              <w:top w:val="single" w:color="000000" w:sz="4" w:space="0"/>
              <w:left w:val="single" w:color="000000" w:sz="4" w:space="0"/>
              <w:bottom w:val="single" w:color="000000" w:sz="4" w:space="0"/>
              <w:right w:val="single" w:color="000000" w:sz="4" w:space="0"/>
            </w:tcBorders>
            <w:vAlign w:val="center"/>
          </w:tcPr>
          <w:p w14:paraId="595F316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三疣梭子蟹</w:t>
            </w:r>
          </w:p>
        </w:tc>
        <w:tc>
          <w:tcPr>
            <w:tcW w:w="1012" w:type="dxa"/>
            <w:tcBorders>
              <w:top w:val="single" w:color="000000" w:sz="4" w:space="0"/>
              <w:left w:val="single" w:color="000000" w:sz="4" w:space="0"/>
              <w:bottom w:val="single" w:color="000000" w:sz="4" w:space="0"/>
              <w:right w:val="single" w:color="000000" w:sz="4" w:space="0"/>
            </w:tcBorders>
            <w:vAlign w:val="center"/>
          </w:tcPr>
          <w:p w14:paraId="1064828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仔蟹Ⅲ期</w:t>
            </w:r>
          </w:p>
        </w:tc>
        <w:tc>
          <w:tcPr>
            <w:tcW w:w="756" w:type="dxa"/>
            <w:tcBorders>
              <w:top w:val="single" w:color="000000" w:sz="4" w:space="0"/>
              <w:left w:val="single" w:color="000000" w:sz="4" w:space="0"/>
              <w:bottom w:val="single" w:color="000000" w:sz="4" w:space="0"/>
              <w:right w:val="single" w:color="000000" w:sz="4" w:space="0"/>
            </w:tcBorders>
            <w:vAlign w:val="center"/>
          </w:tcPr>
          <w:p w14:paraId="71A6E1B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65</w:t>
            </w:r>
          </w:p>
        </w:tc>
        <w:tc>
          <w:tcPr>
            <w:tcW w:w="1104" w:type="dxa"/>
            <w:tcBorders>
              <w:top w:val="single" w:color="000000" w:sz="4" w:space="0"/>
              <w:bottom w:val="single" w:color="000000" w:sz="4" w:space="0"/>
              <w:right w:val="single" w:color="auto" w:sz="4" w:space="0"/>
            </w:tcBorders>
            <w:vAlign w:val="center"/>
          </w:tcPr>
          <w:p w14:paraId="7B31AAD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813 </w:t>
            </w:r>
          </w:p>
        </w:tc>
        <w:tc>
          <w:tcPr>
            <w:tcW w:w="888" w:type="dxa"/>
            <w:tcBorders>
              <w:top w:val="single" w:color="000000" w:sz="4" w:space="0"/>
              <w:left w:val="single" w:color="auto" w:sz="4" w:space="0"/>
              <w:bottom w:val="single" w:color="000000" w:sz="4" w:space="0"/>
              <w:right w:val="single" w:color="000000" w:sz="4" w:space="0"/>
            </w:tcBorders>
            <w:vAlign w:val="center"/>
          </w:tcPr>
          <w:p w14:paraId="58B7893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660" w:type="dxa"/>
            <w:tcBorders>
              <w:top w:val="single" w:color="000000" w:sz="4" w:space="0"/>
              <w:left w:val="single" w:color="000000" w:sz="4" w:space="0"/>
              <w:bottom w:val="single" w:color="000000" w:sz="4" w:space="0"/>
              <w:right w:val="single" w:color="auto" w:sz="4" w:space="0"/>
            </w:tcBorders>
            <w:vAlign w:val="center"/>
          </w:tcPr>
          <w:p w14:paraId="38721B4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76" w:type="dxa"/>
            <w:tcBorders>
              <w:top w:val="single" w:color="000000" w:sz="4" w:space="0"/>
              <w:left w:val="single" w:color="000000" w:sz="4" w:space="0"/>
              <w:bottom w:val="single" w:color="000000" w:sz="4" w:space="0"/>
              <w:right w:val="single" w:color="auto" w:sz="4" w:space="0"/>
            </w:tcBorders>
            <w:vAlign w:val="center"/>
          </w:tcPr>
          <w:p w14:paraId="7D9BDA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30</w:t>
            </w:r>
          </w:p>
        </w:tc>
        <w:tc>
          <w:tcPr>
            <w:tcW w:w="840" w:type="dxa"/>
            <w:tcBorders>
              <w:top w:val="single" w:color="000000" w:sz="4" w:space="0"/>
              <w:left w:val="single" w:color="000000" w:sz="4" w:space="0"/>
              <w:bottom w:val="single" w:color="000000" w:sz="4" w:space="0"/>
              <w:right w:val="single" w:color="auto" w:sz="4" w:space="0"/>
            </w:tcBorders>
            <w:vAlign w:val="center"/>
          </w:tcPr>
          <w:p w14:paraId="5549E66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500" w:type="dxa"/>
            <w:tcBorders>
              <w:top w:val="single" w:color="000000" w:sz="4" w:space="0"/>
              <w:left w:val="single" w:color="auto" w:sz="4" w:space="0"/>
              <w:bottom w:val="single" w:color="000000" w:sz="4" w:space="0"/>
              <w:right w:val="single" w:color="000000" w:sz="4" w:space="0"/>
            </w:tcBorders>
            <w:vAlign w:val="center"/>
          </w:tcPr>
          <w:p w14:paraId="0B011B2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莲花洋、岱衢洋</w:t>
            </w:r>
          </w:p>
        </w:tc>
      </w:tr>
      <w:tr w14:paraId="281BFBC4">
        <w:tblPrEx>
          <w:tblCellMar>
            <w:top w:w="15" w:type="dxa"/>
            <w:left w:w="15" w:type="dxa"/>
            <w:bottom w:w="15" w:type="dxa"/>
            <w:right w:w="15" w:type="dxa"/>
          </w:tblCellMar>
        </w:tblPrEx>
        <w:trPr>
          <w:trHeight w:val="308"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9C01993">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八</w:t>
            </w:r>
          </w:p>
        </w:tc>
        <w:tc>
          <w:tcPr>
            <w:tcW w:w="1173" w:type="dxa"/>
            <w:tcBorders>
              <w:top w:val="single" w:color="000000" w:sz="4" w:space="0"/>
              <w:left w:val="single" w:color="000000" w:sz="4" w:space="0"/>
              <w:bottom w:val="single" w:color="000000" w:sz="4" w:space="0"/>
              <w:right w:val="single" w:color="000000" w:sz="4" w:space="0"/>
            </w:tcBorders>
            <w:vAlign w:val="center"/>
          </w:tcPr>
          <w:p w14:paraId="0A5A9EF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等边浅蛤</w:t>
            </w:r>
          </w:p>
        </w:tc>
        <w:tc>
          <w:tcPr>
            <w:tcW w:w="1012" w:type="dxa"/>
            <w:tcBorders>
              <w:top w:val="single" w:color="000000" w:sz="4" w:space="0"/>
              <w:left w:val="single" w:color="000000" w:sz="4" w:space="0"/>
              <w:bottom w:val="single" w:color="000000" w:sz="4" w:space="0"/>
              <w:right w:val="single" w:color="000000" w:sz="4" w:space="0"/>
            </w:tcBorders>
            <w:vAlign w:val="center"/>
          </w:tcPr>
          <w:p w14:paraId="609BDA5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壳长≥3mm</w:t>
            </w:r>
          </w:p>
        </w:tc>
        <w:tc>
          <w:tcPr>
            <w:tcW w:w="756" w:type="dxa"/>
            <w:tcBorders>
              <w:top w:val="single" w:color="000000" w:sz="4" w:space="0"/>
              <w:left w:val="single" w:color="000000" w:sz="4" w:space="0"/>
              <w:bottom w:val="single" w:color="000000" w:sz="4" w:space="0"/>
              <w:right w:val="single" w:color="000000" w:sz="4" w:space="0"/>
            </w:tcBorders>
            <w:vAlign w:val="center"/>
          </w:tcPr>
          <w:p w14:paraId="49C1FC3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1104" w:type="dxa"/>
            <w:tcBorders>
              <w:top w:val="single" w:color="000000" w:sz="4" w:space="0"/>
              <w:bottom w:val="single" w:color="000000" w:sz="4" w:space="0"/>
              <w:right w:val="single" w:color="auto" w:sz="4" w:space="0"/>
            </w:tcBorders>
            <w:vAlign w:val="center"/>
          </w:tcPr>
          <w:p w14:paraId="4A17B5A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2200 </w:t>
            </w:r>
          </w:p>
        </w:tc>
        <w:tc>
          <w:tcPr>
            <w:tcW w:w="888" w:type="dxa"/>
            <w:tcBorders>
              <w:top w:val="single" w:color="000000" w:sz="4" w:space="0"/>
              <w:left w:val="single" w:color="auto" w:sz="4" w:space="0"/>
              <w:bottom w:val="single" w:color="000000" w:sz="4" w:space="0"/>
              <w:right w:val="single" w:color="000000" w:sz="4" w:space="0"/>
            </w:tcBorders>
            <w:vAlign w:val="center"/>
          </w:tcPr>
          <w:p w14:paraId="36AF1CA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70883D3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3B655262">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566870A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7-9</w:t>
            </w:r>
          </w:p>
        </w:tc>
        <w:tc>
          <w:tcPr>
            <w:tcW w:w="1500" w:type="dxa"/>
            <w:tcBorders>
              <w:top w:val="single" w:color="000000" w:sz="4" w:space="0"/>
              <w:left w:val="single" w:color="auto" w:sz="4" w:space="0"/>
              <w:bottom w:val="single" w:color="000000" w:sz="4" w:space="0"/>
              <w:right w:val="single" w:color="000000" w:sz="4" w:space="0"/>
            </w:tcBorders>
            <w:vAlign w:val="center"/>
          </w:tcPr>
          <w:p w14:paraId="33D5A22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嵊泗海域</w:t>
            </w:r>
          </w:p>
        </w:tc>
      </w:tr>
      <w:tr w14:paraId="2A3213A1">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364E90F">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九</w:t>
            </w:r>
          </w:p>
        </w:tc>
        <w:tc>
          <w:tcPr>
            <w:tcW w:w="1173" w:type="dxa"/>
            <w:tcBorders>
              <w:top w:val="single" w:color="000000" w:sz="4" w:space="0"/>
              <w:left w:val="single" w:color="000000" w:sz="4" w:space="0"/>
              <w:bottom w:val="single" w:color="000000" w:sz="4" w:space="0"/>
              <w:right w:val="single" w:color="000000" w:sz="4" w:space="0"/>
            </w:tcBorders>
            <w:vAlign w:val="center"/>
          </w:tcPr>
          <w:p w14:paraId="04F03D9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半滑舌鳎</w:t>
            </w:r>
          </w:p>
        </w:tc>
        <w:tc>
          <w:tcPr>
            <w:tcW w:w="1012" w:type="dxa"/>
            <w:tcBorders>
              <w:top w:val="single" w:color="000000" w:sz="4" w:space="0"/>
              <w:left w:val="single" w:color="000000" w:sz="4" w:space="0"/>
              <w:bottom w:val="single" w:color="000000" w:sz="4" w:space="0"/>
              <w:right w:val="single" w:color="000000" w:sz="4" w:space="0"/>
            </w:tcBorders>
            <w:vAlign w:val="center"/>
          </w:tcPr>
          <w:p w14:paraId="644B281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16B38F7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1104" w:type="dxa"/>
            <w:tcBorders>
              <w:top w:val="single" w:color="000000" w:sz="4" w:space="0"/>
              <w:bottom w:val="single" w:color="000000" w:sz="4" w:space="0"/>
              <w:right w:val="single" w:color="auto" w:sz="4" w:space="0"/>
            </w:tcBorders>
            <w:vAlign w:val="center"/>
          </w:tcPr>
          <w:p w14:paraId="7A6D724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13 </w:t>
            </w:r>
          </w:p>
        </w:tc>
        <w:tc>
          <w:tcPr>
            <w:tcW w:w="888" w:type="dxa"/>
            <w:tcBorders>
              <w:top w:val="single" w:color="000000" w:sz="4" w:space="0"/>
              <w:left w:val="single" w:color="auto" w:sz="4" w:space="0"/>
              <w:bottom w:val="single" w:color="000000" w:sz="4" w:space="0"/>
              <w:right w:val="single" w:color="000000" w:sz="4" w:space="0"/>
            </w:tcBorders>
            <w:vAlign w:val="center"/>
          </w:tcPr>
          <w:p w14:paraId="57D002F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64607F7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141663F5">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4F18570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16DAD8D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70F87A42">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67FF7E6B">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w:t>
            </w:r>
          </w:p>
        </w:tc>
        <w:tc>
          <w:tcPr>
            <w:tcW w:w="1173" w:type="dxa"/>
            <w:tcBorders>
              <w:top w:val="single" w:color="000000" w:sz="4" w:space="0"/>
              <w:left w:val="single" w:color="000000" w:sz="4" w:space="0"/>
              <w:bottom w:val="single" w:color="000000" w:sz="4" w:space="0"/>
              <w:right w:val="single" w:color="000000" w:sz="4" w:space="0"/>
            </w:tcBorders>
            <w:vAlign w:val="center"/>
          </w:tcPr>
          <w:p w14:paraId="6F6D616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鮸</w:t>
            </w:r>
          </w:p>
        </w:tc>
        <w:tc>
          <w:tcPr>
            <w:tcW w:w="1012" w:type="dxa"/>
            <w:tcBorders>
              <w:top w:val="single" w:color="000000" w:sz="4" w:space="0"/>
              <w:left w:val="single" w:color="000000" w:sz="4" w:space="0"/>
              <w:bottom w:val="single" w:color="000000" w:sz="4" w:space="0"/>
              <w:right w:val="single" w:color="000000" w:sz="4" w:space="0"/>
            </w:tcBorders>
            <w:vAlign w:val="center"/>
          </w:tcPr>
          <w:p w14:paraId="229FF7C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42E3688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1104" w:type="dxa"/>
            <w:tcBorders>
              <w:top w:val="single" w:color="000000" w:sz="4" w:space="0"/>
              <w:bottom w:val="single" w:color="000000" w:sz="4" w:space="0"/>
              <w:right w:val="single" w:color="auto" w:sz="4" w:space="0"/>
            </w:tcBorders>
            <w:vAlign w:val="center"/>
          </w:tcPr>
          <w:p w14:paraId="6A5DD78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17 </w:t>
            </w:r>
          </w:p>
        </w:tc>
        <w:tc>
          <w:tcPr>
            <w:tcW w:w="888" w:type="dxa"/>
            <w:tcBorders>
              <w:top w:val="single" w:color="000000" w:sz="4" w:space="0"/>
              <w:left w:val="single" w:color="auto" w:sz="4" w:space="0"/>
              <w:bottom w:val="single" w:color="000000" w:sz="4" w:space="0"/>
              <w:right w:val="single" w:color="000000" w:sz="4" w:space="0"/>
            </w:tcBorders>
            <w:vAlign w:val="center"/>
          </w:tcPr>
          <w:p w14:paraId="399E2AD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31C8ED3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76" w:type="dxa"/>
            <w:tcBorders>
              <w:top w:val="single" w:color="000000" w:sz="4" w:space="0"/>
              <w:left w:val="single" w:color="000000" w:sz="4" w:space="0"/>
              <w:bottom w:val="single" w:color="000000" w:sz="4" w:space="0"/>
              <w:right w:val="single" w:color="auto" w:sz="4" w:space="0"/>
            </w:tcBorders>
            <w:vAlign w:val="center"/>
          </w:tcPr>
          <w:p w14:paraId="6FE908BF">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5A83BE4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500" w:type="dxa"/>
            <w:tcBorders>
              <w:top w:val="single" w:color="000000" w:sz="4" w:space="0"/>
              <w:left w:val="single" w:color="auto" w:sz="4" w:space="0"/>
              <w:bottom w:val="single" w:color="000000" w:sz="4" w:space="0"/>
              <w:right w:val="single" w:color="000000" w:sz="4" w:space="0"/>
            </w:tcBorders>
            <w:vAlign w:val="center"/>
          </w:tcPr>
          <w:p w14:paraId="3EEEA16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册子海域</w:t>
            </w:r>
          </w:p>
        </w:tc>
      </w:tr>
      <w:tr w14:paraId="768481B0">
        <w:tblPrEx>
          <w:tblCellMar>
            <w:top w:w="15" w:type="dxa"/>
            <w:left w:w="15" w:type="dxa"/>
            <w:bottom w:w="15" w:type="dxa"/>
            <w:right w:w="15" w:type="dxa"/>
          </w:tblCellMar>
        </w:tblPrEx>
        <w:trPr>
          <w:trHeight w:val="336" w:hRule="atLeast"/>
        </w:trPr>
        <w:tc>
          <w:tcPr>
            <w:tcW w:w="446" w:type="dxa"/>
            <w:tcBorders>
              <w:top w:val="single" w:color="000000" w:sz="4" w:space="0"/>
              <w:left w:val="single" w:color="000000" w:sz="4" w:space="0"/>
              <w:bottom w:val="single" w:color="000000" w:sz="4" w:space="0"/>
              <w:right w:val="single" w:color="000000" w:sz="4" w:space="0"/>
            </w:tcBorders>
            <w:vAlign w:val="center"/>
          </w:tcPr>
          <w:p w14:paraId="3015F254">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十一</w:t>
            </w:r>
          </w:p>
        </w:tc>
        <w:tc>
          <w:tcPr>
            <w:tcW w:w="1173" w:type="dxa"/>
            <w:tcBorders>
              <w:top w:val="single" w:color="000000" w:sz="4" w:space="0"/>
              <w:left w:val="single" w:color="000000" w:sz="4" w:space="0"/>
              <w:bottom w:val="single" w:color="000000" w:sz="4" w:space="0"/>
              <w:right w:val="single" w:color="000000" w:sz="4" w:space="0"/>
            </w:tcBorders>
            <w:vAlign w:val="center"/>
          </w:tcPr>
          <w:p w14:paraId="55EB2E6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条石鲷</w:t>
            </w:r>
          </w:p>
        </w:tc>
        <w:tc>
          <w:tcPr>
            <w:tcW w:w="1012" w:type="dxa"/>
            <w:tcBorders>
              <w:top w:val="single" w:color="000000" w:sz="4" w:space="0"/>
              <w:left w:val="single" w:color="000000" w:sz="4" w:space="0"/>
              <w:bottom w:val="single" w:color="000000" w:sz="4" w:space="0"/>
              <w:right w:val="single" w:color="000000" w:sz="4" w:space="0"/>
            </w:tcBorders>
            <w:vAlign w:val="center"/>
          </w:tcPr>
          <w:p w14:paraId="22E5EE3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756" w:type="dxa"/>
            <w:tcBorders>
              <w:top w:val="single" w:color="000000" w:sz="4" w:space="0"/>
              <w:left w:val="single" w:color="000000" w:sz="4" w:space="0"/>
              <w:bottom w:val="single" w:color="000000" w:sz="4" w:space="0"/>
              <w:right w:val="single" w:color="000000" w:sz="4" w:space="0"/>
            </w:tcBorders>
            <w:vAlign w:val="center"/>
          </w:tcPr>
          <w:p w14:paraId="07DCFD5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1104" w:type="dxa"/>
            <w:tcBorders>
              <w:top w:val="single" w:color="000000" w:sz="4" w:space="0"/>
              <w:bottom w:val="single" w:color="000000" w:sz="4" w:space="0"/>
              <w:right w:val="single" w:color="auto" w:sz="4" w:space="0"/>
            </w:tcBorders>
            <w:vAlign w:val="center"/>
          </w:tcPr>
          <w:p w14:paraId="331BD2F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46 </w:t>
            </w:r>
          </w:p>
        </w:tc>
        <w:tc>
          <w:tcPr>
            <w:tcW w:w="888" w:type="dxa"/>
            <w:tcBorders>
              <w:top w:val="single" w:color="000000" w:sz="4" w:space="0"/>
              <w:left w:val="single" w:color="auto" w:sz="4" w:space="0"/>
              <w:bottom w:val="single" w:color="000000" w:sz="4" w:space="0"/>
              <w:right w:val="single" w:color="000000" w:sz="4" w:space="0"/>
            </w:tcBorders>
            <w:vAlign w:val="center"/>
          </w:tcPr>
          <w:p w14:paraId="7AF015D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660" w:type="dxa"/>
            <w:tcBorders>
              <w:top w:val="single" w:color="000000" w:sz="4" w:space="0"/>
              <w:left w:val="single" w:color="000000" w:sz="4" w:space="0"/>
              <w:bottom w:val="single" w:color="000000" w:sz="4" w:space="0"/>
              <w:right w:val="single" w:color="auto" w:sz="4" w:space="0"/>
            </w:tcBorders>
            <w:vAlign w:val="center"/>
          </w:tcPr>
          <w:p w14:paraId="039FD92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76" w:type="dxa"/>
            <w:tcBorders>
              <w:top w:val="single" w:color="000000" w:sz="4" w:space="0"/>
              <w:left w:val="single" w:color="000000" w:sz="4" w:space="0"/>
              <w:bottom w:val="single" w:color="000000" w:sz="4" w:space="0"/>
              <w:right w:val="single" w:color="auto" w:sz="4" w:space="0"/>
            </w:tcBorders>
            <w:vAlign w:val="center"/>
          </w:tcPr>
          <w:p w14:paraId="2C95A768">
            <w:pPr>
              <w:jc w:val="center"/>
              <w:rPr>
                <w:rFonts w:hint="eastAsia" w:ascii="宋体" w:hAnsi="宋体" w:eastAsia="宋体" w:cs="Times New Roman"/>
                <w:color w:val="auto"/>
                <w:sz w:val="18"/>
                <w:szCs w:val="18"/>
              </w:rPr>
            </w:pPr>
          </w:p>
        </w:tc>
        <w:tc>
          <w:tcPr>
            <w:tcW w:w="840" w:type="dxa"/>
            <w:tcBorders>
              <w:top w:val="single" w:color="000000" w:sz="4" w:space="0"/>
              <w:left w:val="single" w:color="000000" w:sz="4" w:space="0"/>
              <w:bottom w:val="single" w:color="000000" w:sz="4" w:space="0"/>
              <w:right w:val="single" w:color="auto" w:sz="4" w:space="0"/>
            </w:tcBorders>
            <w:vAlign w:val="center"/>
          </w:tcPr>
          <w:p w14:paraId="21F858E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500" w:type="dxa"/>
            <w:tcBorders>
              <w:top w:val="single" w:color="000000" w:sz="4" w:space="0"/>
              <w:left w:val="single" w:color="auto" w:sz="4" w:space="0"/>
              <w:bottom w:val="single" w:color="000000" w:sz="4" w:space="0"/>
              <w:right w:val="single" w:color="000000" w:sz="4" w:space="0"/>
            </w:tcBorders>
            <w:vAlign w:val="center"/>
          </w:tcPr>
          <w:p w14:paraId="536AEF4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bl>
    <w:p w14:paraId="6B217138">
      <w:pPr>
        <w:snapToGrid w:val="0"/>
        <w:spacing w:line="312" w:lineRule="auto"/>
        <w:rPr>
          <w:rFonts w:ascii="宋体" w:hAnsi="宋体" w:eastAsia="宋体" w:cs="宋体"/>
          <w:b/>
          <w:color w:val="auto"/>
          <w:szCs w:val="21"/>
        </w:rPr>
      </w:pPr>
      <w:r>
        <w:rPr>
          <w:rFonts w:hint="eastAsia" w:ascii="宋体" w:hAnsi="宋体" w:eastAsia="宋体" w:cs="宋体"/>
          <w:b/>
          <w:color w:val="auto"/>
          <w:szCs w:val="21"/>
        </w:rPr>
        <w:t>注：投标人可以进行一个标项或多个标项的投标。</w:t>
      </w:r>
      <w:r>
        <w:rPr>
          <w:rFonts w:hint="eastAsia" w:ascii="宋体" w:hAnsi="宋体" w:eastAsia="宋体" w:cs="宋体"/>
          <w:b/>
          <w:color w:val="auto"/>
          <w:kern w:val="0"/>
          <w:szCs w:val="21"/>
        </w:rPr>
        <w:t>曼氏无针乌贼受精卵报价中应包含在放流海区受精卵待孵化期间的管理费。</w:t>
      </w:r>
    </w:p>
    <w:p w14:paraId="7CB5824D">
      <w:pPr>
        <w:spacing w:line="312" w:lineRule="auto"/>
        <w:rPr>
          <w:rFonts w:ascii="宋体" w:hAnsi="宋体" w:eastAsia="宋体" w:cs="宋体"/>
          <w:b/>
          <w:color w:val="auto"/>
          <w:szCs w:val="21"/>
        </w:rPr>
      </w:pPr>
    </w:p>
    <w:p w14:paraId="15951547">
      <w:pPr>
        <w:keepNext w:val="0"/>
        <w:keepLines w:val="0"/>
        <w:pageBreakBefore w:val="0"/>
        <w:widowControl w:val="0"/>
        <w:kinsoku/>
        <w:wordWrap/>
        <w:overflowPunct/>
        <w:topLinePunct w:val="0"/>
        <w:autoSpaceDE/>
        <w:autoSpaceDN/>
        <w:bidi w:val="0"/>
        <w:adjustRightInd/>
        <w:snapToGrid/>
        <w:spacing w:line="312" w:lineRule="auto"/>
        <w:textAlignment w:val="auto"/>
        <w:rPr>
          <w:rFonts w:ascii="宋体" w:hAnsi="宋体" w:eastAsia="宋体" w:cs="宋体"/>
          <w:b/>
          <w:color w:val="auto"/>
          <w:sz w:val="24"/>
          <w:szCs w:val="24"/>
        </w:rPr>
      </w:pPr>
      <w:r>
        <w:rPr>
          <w:rFonts w:hint="eastAsia" w:ascii="宋体" w:hAnsi="宋体" w:eastAsia="宋体" w:cs="宋体"/>
          <w:b/>
          <w:color w:val="auto"/>
          <w:sz w:val="24"/>
          <w:szCs w:val="24"/>
        </w:rPr>
        <w:t>三、具体要求</w:t>
      </w:r>
    </w:p>
    <w:p w14:paraId="00430CDF">
      <w:pPr>
        <w:keepNext w:val="0"/>
        <w:keepLines w:val="0"/>
        <w:pageBreakBefore w:val="0"/>
        <w:widowControl w:val="0"/>
        <w:kinsoku/>
        <w:wordWrap/>
        <w:overflowPunct/>
        <w:topLinePunct w:val="0"/>
        <w:autoSpaceDE/>
        <w:autoSpaceDN/>
        <w:bidi w:val="0"/>
        <w:adjustRightInd/>
        <w:snapToGrid/>
        <w:spacing w:line="312" w:lineRule="auto"/>
        <w:ind w:firstLine="207" w:firstLineChars="98"/>
        <w:textAlignment w:val="auto"/>
        <w:rPr>
          <w:rFonts w:ascii="宋体" w:hAnsi="宋体" w:eastAsia="宋体" w:cs="宋体"/>
          <w:b/>
          <w:color w:val="auto"/>
          <w:szCs w:val="21"/>
        </w:rPr>
      </w:pPr>
      <w:r>
        <w:rPr>
          <w:rFonts w:hint="eastAsia" w:ascii="宋体" w:hAnsi="宋体" w:eastAsia="宋体" w:cs="宋体"/>
          <w:b/>
          <w:color w:val="auto"/>
          <w:szCs w:val="21"/>
        </w:rPr>
        <w:t>★1.参加投标的单位必须具有繁育上述放流种类的种苗生产许可证及相关工商登记证书的单位。并满足《浙江省增殖放流规程》规定的供苗单位基本要求：</w:t>
      </w:r>
    </w:p>
    <w:p w14:paraId="1B93A22F">
      <w:pPr>
        <w:keepNext w:val="0"/>
        <w:keepLines w:val="0"/>
        <w:pageBreakBefore w:val="0"/>
        <w:widowControl w:val="0"/>
        <w:kinsoku/>
        <w:wordWrap/>
        <w:overflowPunct/>
        <w:topLinePunct w:val="0"/>
        <w:autoSpaceDE/>
        <w:autoSpaceDN/>
        <w:bidi w:val="0"/>
        <w:adjustRightInd/>
        <w:snapToGrid/>
        <w:spacing w:line="312" w:lineRule="auto"/>
        <w:ind w:firstLine="413" w:firstLineChars="196"/>
        <w:textAlignment w:val="auto"/>
        <w:rPr>
          <w:rFonts w:ascii="宋体" w:hAnsi="宋体" w:eastAsia="宋体" w:cs="宋体"/>
          <w:b/>
          <w:color w:val="auto"/>
          <w:szCs w:val="21"/>
        </w:rPr>
      </w:pPr>
      <w:r>
        <w:rPr>
          <w:rFonts w:hint="eastAsia" w:ascii="宋体" w:hAnsi="宋体" w:eastAsia="宋体" w:cs="宋体"/>
          <w:b/>
          <w:color w:val="auto"/>
          <w:szCs w:val="21"/>
        </w:rPr>
        <w:t>（1）单位资质。苗种生产单位必须是在中华人民共和国境内从事水产苗种繁育的单位，且持有放流品种的水产种苗生产许可证。</w:t>
      </w:r>
    </w:p>
    <w:p w14:paraId="79B60143">
      <w:pPr>
        <w:keepNext w:val="0"/>
        <w:keepLines w:val="0"/>
        <w:pageBreakBefore w:val="0"/>
        <w:widowControl w:val="0"/>
        <w:kinsoku/>
        <w:wordWrap/>
        <w:overflowPunct/>
        <w:topLinePunct w:val="0"/>
        <w:autoSpaceDE/>
        <w:autoSpaceDN/>
        <w:bidi w:val="0"/>
        <w:adjustRightInd/>
        <w:snapToGrid/>
        <w:spacing w:line="312" w:lineRule="auto"/>
        <w:ind w:firstLine="413" w:firstLineChars="196"/>
        <w:textAlignment w:val="auto"/>
        <w:rPr>
          <w:rFonts w:ascii="宋体" w:hAnsi="宋体" w:eastAsia="宋体" w:cs="宋体"/>
          <w:b/>
          <w:color w:val="auto"/>
          <w:szCs w:val="21"/>
        </w:rPr>
      </w:pPr>
      <w:r>
        <w:rPr>
          <w:rFonts w:hint="eastAsia" w:ascii="宋体" w:hAnsi="宋体" w:eastAsia="宋体" w:cs="宋体"/>
          <w:b/>
          <w:color w:val="auto"/>
          <w:szCs w:val="21"/>
        </w:rPr>
        <w:t>（2）亲本情况。应有用于繁育增殖放流苗种的亲本，亲本数量要满足放流苗种生产需要；亲本应当来自该物种原产地天然水域、水产种质资源保护区或省级及以上原种场保育的原种，且来源、培育、更新记录清楚完整。</w:t>
      </w:r>
    </w:p>
    <w:p w14:paraId="0E806DD5">
      <w:pPr>
        <w:keepNext w:val="0"/>
        <w:keepLines w:val="0"/>
        <w:pageBreakBefore w:val="0"/>
        <w:widowControl w:val="0"/>
        <w:kinsoku/>
        <w:wordWrap/>
        <w:overflowPunct/>
        <w:topLinePunct w:val="0"/>
        <w:autoSpaceDE/>
        <w:autoSpaceDN/>
        <w:bidi w:val="0"/>
        <w:adjustRightInd/>
        <w:snapToGrid/>
        <w:spacing w:line="312" w:lineRule="auto"/>
        <w:ind w:firstLine="413" w:firstLineChars="196"/>
        <w:textAlignment w:val="auto"/>
        <w:rPr>
          <w:rFonts w:ascii="宋体" w:hAnsi="宋体" w:eastAsia="宋体" w:cs="宋体"/>
          <w:b/>
          <w:color w:val="auto"/>
          <w:szCs w:val="21"/>
        </w:rPr>
      </w:pPr>
      <w:r>
        <w:rPr>
          <w:rFonts w:hint="eastAsia" w:ascii="宋体" w:hAnsi="宋体" w:eastAsia="宋体" w:cs="宋体"/>
          <w:b/>
          <w:color w:val="auto"/>
          <w:szCs w:val="21"/>
        </w:rPr>
        <w:t>（3）生产能力。苗种生产设施齐全，育苗设施规模或苗种生产能力应满足放流苗种生产需要。当年度承担放流供苗任务数量应不高于其年度苗种生产能力。</w:t>
      </w:r>
    </w:p>
    <w:p w14:paraId="7F2FCED6">
      <w:pPr>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ascii="宋体" w:hAnsi="宋体" w:eastAsia="宋体" w:cs="宋体"/>
          <w:b/>
          <w:color w:val="auto"/>
          <w:szCs w:val="21"/>
        </w:rPr>
      </w:pPr>
      <w:r>
        <w:rPr>
          <w:rFonts w:hint="eastAsia" w:ascii="宋体" w:hAnsi="宋体" w:eastAsia="宋体" w:cs="宋体"/>
          <w:b/>
          <w:color w:val="auto"/>
          <w:szCs w:val="21"/>
        </w:rPr>
        <w:t>（4）技术保障能力。具备水质和苗种质量检验检测基本能力，技术负责人从事水产苗种繁育工作3年以上。建有水产苗种生产与质量控制各项管理制度，制订苗种生产技术操作规程，具有完整的引种、保种、生产、用药、销售、检验检测等记录档案资料。近两年内所生产的水产苗种未发现质量问题。</w:t>
      </w:r>
    </w:p>
    <w:p w14:paraId="18964C79">
      <w:pPr>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ascii="宋体" w:hAnsi="宋体" w:eastAsia="宋体" w:cs="宋体"/>
          <w:color w:val="auto"/>
          <w:spacing w:val="10"/>
          <w:szCs w:val="21"/>
        </w:rPr>
      </w:pPr>
      <w:r>
        <w:rPr>
          <w:rFonts w:hint="eastAsia" w:ascii="宋体" w:hAnsi="宋体" w:eastAsia="宋体" w:cs="宋体"/>
          <w:b/>
          <w:color w:val="auto"/>
          <w:szCs w:val="21"/>
        </w:rPr>
        <w:t>★</w:t>
      </w:r>
      <w:r>
        <w:rPr>
          <w:rFonts w:hint="eastAsia" w:ascii="宋体" w:hAnsi="宋体" w:eastAsia="宋体" w:cs="宋体"/>
          <w:color w:val="auto"/>
          <w:szCs w:val="21"/>
        </w:rPr>
        <w:t>2.所有招标的种苗,放流前必须由种苗</w:t>
      </w:r>
      <w:r>
        <w:rPr>
          <w:rFonts w:hint="eastAsia" w:ascii="宋体" w:hAnsi="宋体" w:eastAsia="宋体" w:cs="宋体"/>
          <w:snapToGrid w:val="0"/>
          <w:color w:val="auto"/>
          <w:kern w:val="0"/>
          <w:szCs w:val="21"/>
        </w:rPr>
        <w:t>培育</w:t>
      </w:r>
      <w:r>
        <w:rPr>
          <w:rFonts w:hint="eastAsia" w:ascii="宋体" w:hAnsi="宋体" w:eastAsia="宋体" w:cs="宋体"/>
          <w:color w:val="auto"/>
          <w:kern w:val="0"/>
          <w:szCs w:val="21"/>
        </w:rPr>
        <w:t>单位委托机构,对该批次</w:t>
      </w:r>
      <w:r>
        <w:rPr>
          <w:rFonts w:hint="eastAsia" w:ascii="宋体" w:hAnsi="宋体" w:eastAsia="宋体" w:cs="宋体"/>
          <w:color w:val="auto"/>
          <w:szCs w:val="21"/>
        </w:rPr>
        <w:t>放流种苗进行</w:t>
      </w:r>
      <w:r>
        <w:rPr>
          <w:rFonts w:hint="eastAsia" w:ascii="宋体" w:hAnsi="宋体" w:eastAsia="宋体" w:cs="宋体"/>
          <w:bCs/>
          <w:color w:val="auto"/>
          <w:szCs w:val="21"/>
        </w:rPr>
        <w:t>药残检验和疫病检测,并提供</w:t>
      </w:r>
      <w:r>
        <w:rPr>
          <w:rFonts w:hint="eastAsia" w:ascii="宋体" w:hAnsi="宋体" w:eastAsia="宋体" w:cs="宋体"/>
          <w:color w:val="auto"/>
          <w:kern w:val="0"/>
          <w:szCs w:val="21"/>
        </w:rPr>
        <w:t>检验检测报告原件。检验结果的</w:t>
      </w:r>
      <w:r>
        <w:rPr>
          <w:rFonts w:hint="eastAsia" w:ascii="宋体" w:hAnsi="宋体" w:eastAsia="宋体" w:cs="宋体"/>
          <w:color w:val="auto"/>
          <w:szCs w:val="21"/>
        </w:rPr>
        <w:t>放流种苗</w:t>
      </w:r>
      <w:r>
        <w:rPr>
          <w:rFonts w:hint="eastAsia" w:ascii="宋体" w:hAnsi="宋体" w:eastAsia="宋体" w:cs="宋体"/>
          <w:color w:val="auto"/>
          <w:kern w:val="0"/>
          <w:szCs w:val="21"/>
        </w:rPr>
        <w:t>必须</w:t>
      </w:r>
      <w:r>
        <w:rPr>
          <w:rFonts w:hint="eastAsia" w:ascii="宋体" w:hAnsi="宋体" w:eastAsia="宋体" w:cs="宋体"/>
          <w:color w:val="auto"/>
          <w:spacing w:val="10"/>
          <w:szCs w:val="21"/>
        </w:rPr>
        <w:t>符合政府相关规定和相应的</w:t>
      </w:r>
      <w:r>
        <w:rPr>
          <w:rFonts w:hint="eastAsia" w:ascii="宋体" w:hAnsi="宋体" w:eastAsia="宋体" w:cs="宋体"/>
          <w:color w:val="auto"/>
          <w:szCs w:val="21"/>
        </w:rPr>
        <w:t>种苗</w:t>
      </w:r>
      <w:r>
        <w:rPr>
          <w:rFonts w:hint="eastAsia" w:ascii="宋体" w:hAnsi="宋体" w:eastAsia="宋体" w:cs="宋体"/>
          <w:color w:val="auto"/>
          <w:spacing w:val="10"/>
          <w:szCs w:val="21"/>
        </w:rPr>
        <w:t>标准要求。</w:t>
      </w:r>
    </w:p>
    <w:p w14:paraId="3E6CA45A">
      <w:pPr>
        <w:pStyle w:val="58"/>
        <w:keepNext w:val="0"/>
        <w:keepLines w:val="0"/>
        <w:pageBreakBefore w:val="0"/>
        <w:widowControl w:val="0"/>
        <w:kinsoku/>
        <w:wordWrap/>
        <w:overflowPunct/>
        <w:topLinePunct w:val="0"/>
        <w:autoSpaceDE/>
        <w:autoSpaceDN/>
        <w:bidi w:val="0"/>
        <w:adjustRightInd/>
        <w:snapToGrid/>
        <w:spacing w:after="0" w:line="312" w:lineRule="auto"/>
        <w:ind w:firstLine="210"/>
        <w:textAlignment w:val="auto"/>
        <w:rPr>
          <w:rFonts w:ascii="宋体" w:hAnsi="宋体" w:cs="宋体"/>
          <w:b/>
          <w:color w:val="auto"/>
          <w:szCs w:val="21"/>
        </w:rPr>
      </w:pPr>
      <w:r>
        <w:rPr>
          <w:rFonts w:hint="eastAsia" w:ascii="宋体" w:hAnsi="宋体" w:cs="宋体"/>
          <w:color w:val="auto"/>
          <w:szCs w:val="21"/>
        </w:rPr>
        <w:t xml:space="preserve">   </w:t>
      </w:r>
      <w:r>
        <w:rPr>
          <w:rFonts w:hint="eastAsia" w:ascii="宋体" w:hAnsi="宋体" w:cs="宋体"/>
          <w:b/>
          <w:color w:val="auto"/>
          <w:szCs w:val="21"/>
        </w:rPr>
        <w:t>3.招标文件中须承诺根据从供货单位的生产种苗基地到规定放流海域之间的种苗运输时间 并提供相关证明文件。 虚假承诺者做无效标处理，并承担相关责任，且不能参与本单位下一年度的投标。</w:t>
      </w:r>
    </w:p>
    <w:p w14:paraId="3FD4EDBC">
      <w:pPr>
        <w:spacing w:line="312" w:lineRule="auto"/>
        <w:rPr>
          <w:rFonts w:ascii="宋体" w:hAnsi="宋体" w:eastAsia="宋体" w:cs="宋体"/>
          <w:b/>
          <w:color w:val="auto"/>
          <w:szCs w:val="21"/>
        </w:rPr>
      </w:pPr>
    </w:p>
    <w:p w14:paraId="3C58C9A4">
      <w:pPr>
        <w:spacing w:line="312" w:lineRule="auto"/>
        <w:jc w:val="left"/>
        <w:rPr>
          <w:rFonts w:ascii="宋体" w:hAnsi="宋体" w:eastAsia="宋体" w:cs="宋体"/>
          <w:b/>
          <w:color w:val="auto"/>
          <w:szCs w:val="21"/>
        </w:rPr>
      </w:pPr>
      <w:r>
        <w:rPr>
          <w:rFonts w:hint="eastAsia" w:ascii="宋体" w:hAnsi="宋体" w:eastAsia="宋体" w:cs="宋体"/>
          <w:b/>
          <w:color w:val="auto"/>
          <w:sz w:val="24"/>
          <w:szCs w:val="24"/>
        </w:rPr>
        <w:t>四、种苗放流要求。</w:t>
      </w:r>
    </w:p>
    <w:p w14:paraId="0094EE10">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1.所有种苗的放流工作由舟山市海洋水生生物增殖放流领导小组办公室组织实施。</w:t>
      </w:r>
    </w:p>
    <w:p w14:paraId="502E5E66">
      <w:pPr>
        <w:spacing w:line="312" w:lineRule="auto"/>
        <w:ind w:firstLine="422" w:firstLineChars="200"/>
        <w:rPr>
          <w:rFonts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种苗放流前必须对放流种苗的培育进行前期验收。在以下放流种类所表示的种苗培育阶段内,由种苗培育单位提前告知验收时间,并对验收结果予以确认。超出以下种类所表示的种苗培育阶段的种苗不予验收。经前期验收并确认的种苗准予放流,未经前期验收和确认的种苗不予放流。鱼类：鱼花—仔稚鱼期间；贝类：亲体—眼点幼体期间；虾类：无节幼体—糠虾期间；乌贼：亲体; 海蜇：螅状体—蝶状体期间；三疣梭子蟹：蚤状幼体—大眼幼体期间。</w:t>
      </w:r>
    </w:p>
    <w:p w14:paraId="06D33288">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3.种苗培育单位在种苗放流验收时,必须提供该批次放流种苗的全程、真实的原始“种苗培育记录”，无亲体的要说明亲体来源。否则不予放流。</w:t>
      </w:r>
    </w:p>
    <w:p w14:paraId="038B777B">
      <w:pPr>
        <w:spacing w:line="312" w:lineRule="auto"/>
        <w:ind w:firstLine="422" w:firstLineChars="200"/>
        <w:rPr>
          <w:rFonts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4.曼氏无针乌贼受精卵放流后，中标</w:t>
      </w:r>
      <w:r>
        <w:rPr>
          <w:rFonts w:hint="eastAsia" w:ascii="宋体" w:hAnsi="宋体" w:eastAsia="宋体" w:cs="宋体"/>
          <w:color w:val="auto"/>
          <w:szCs w:val="21"/>
          <w:lang w:val="en-US" w:eastAsia="zh-CN"/>
        </w:rPr>
        <w:t>人</w:t>
      </w:r>
      <w:r>
        <w:rPr>
          <w:rFonts w:hint="eastAsia" w:ascii="宋体" w:hAnsi="宋体" w:eastAsia="宋体" w:cs="宋体"/>
          <w:color w:val="auto"/>
          <w:szCs w:val="21"/>
        </w:rPr>
        <w:t>应加强放流海域管理直至受精卵孵化。</w:t>
      </w:r>
    </w:p>
    <w:p w14:paraId="3458A9CE">
      <w:pPr>
        <w:spacing w:line="312" w:lineRule="auto"/>
        <w:rPr>
          <w:rFonts w:ascii="宋体" w:hAnsi="宋体" w:eastAsia="宋体" w:cs="宋体"/>
          <w:b/>
          <w:color w:val="auto"/>
          <w:szCs w:val="21"/>
        </w:rPr>
      </w:pPr>
    </w:p>
    <w:p w14:paraId="28D5A309">
      <w:pPr>
        <w:widowControl/>
        <w:autoSpaceDE w:val="0"/>
        <w:autoSpaceDN w:val="0"/>
        <w:spacing w:line="312" w:lineRule="auto"/>
        <w:ind w:right="-53" w:rightChars="-25"/>
        <w:textAlignment w:val="bottom"/>
        <w:rPr>
          <w:rFonts w:ascii="宋体" w:hAnsi="宋体" w:eastAsia="宋体" w:cs="宋体"/>
          <w:b/>
          <w:color w:val="auto"/>
          <w:sz w:val="24"/>
          <w:szCs w:val="24"/>
        </w:rPr>
      </w:pPr>
      <w:r>
        <w:rPr>
          <w:rFonts w:hint="eastAsia" w:ascii="宋体" w:hAnsi="宋体" w:eastAsia="宋体" w:cs="宋体"/>
          <w:b/>
          <w:color w:val="auto"/>
          <w:sz w:val="24"/>
          <w:szCs w:val="24"/>
        </w:rPr>
        <w:t>五、报价要求</w:t>
      </w:r>
    </w:p>
    <w:p w14:paraId="3CBCE2D3">
      <w:pPr>
        <w:widowControl/>
        <w:autoSpaceDE w:val="0"/>
        <w:autoSpaceDN w:val="0"/>
        <w:spacing w:line="312" w:lineRule="auto"/>
        <w:ind w:right="-53" w:rightChars="-25" w:firstLine="420" w:firstLineChars="200"/>
        <w:textAlignment w:val="bottom"/>
        <w:rPr>
          <w:rFonts w:ascii="宋体" w:hAnsi="宋体" w:eastAsia="宋体" w:cs="宋体"/>
          <w:color w:val="auto"/>
          <w:szCs w:val="21"/>
        </w:rPr>
      </w:pPr>
      <w:r>
        <w:rPr>
          <w:rFonts w:hint="eastAsia" w:ascii="宋体" w:hAnsi="宋体" w:eastAsia="宋体" w:cs="宋体"/>
          <w:color w:val="auto"/>
          <w:szCs w:val="21"/>
        </w:rPr>
        <w:t>1.投标人应根据招标文件报出合同总价。合同总价一旦核实确认，不得再做更改。对投标人漏报致使系统未能达到需求的功能和效果，其费用和后果由投标人自行负责。</w:t>
      </w:r>
    </w:p>
    <w:p w14:paraId="303199B6">
      <w:pPr>
        <w:widowControl/>
        <w:autoSpaceDE w:val="0"/>
        <w:autoSpaceDN w:val="0"/>
        <w:spacing w:line="312" w:lineRule="auto"/>
        <w:ind w:right="-53" w:rightChars="-25" w:firstLine="413" w:firstLineChars="196"/>
        <w:textAlignment w:val="bottom"/>
        <w:rPr>
          <w:rFonts w:ascii="宋体" w:hAnsi="宋体" w:eastAsia="宋体" w:cs="宋体"/>
          <w:color w:val="auto"/>
          <w:szCs w:val="21"/>
        </w:rPr>
      </w:pPr>
      <w:r>
        <w:rPr>
          <w:rFonts w:hint="eastAsia" w:ascii="宋体" w:hAnsi="宋体" w:eastAsia="宋体" w:cs="宋体"/>
          <w:b/>
          <w:color w:val="auto"/>
          <w:szCs w:val="21"/>
        </w:rPr>
        <w:t>★</w:t>
      </w:r>
      <w:r>
        <w:rPr>
          <w:rFonts w:hint="eastAsia" w:ascii="宋体" w:hAnsi="宋体" w:eastAsia="宋体" w:cs="宋体"/>
          <w:color w:val="auto"/>
          <w:szCs w:val="21"/>
        </w:rPr>
        <w:t>2</w:t>
      </w:r>
      <w:r>
        <w:rPr>
          <w:rFonts w:hint="eastAsia" w:ascii="宋体" w:hAnsi="宋体" w:eastAsia="宋体" w:cs="宋体"/>
          <w:b/>
          <w:color w:val="auto"/>
          <w:szCs w:val="21"/>
        </w:rPr>
        <w:t>.投标人对每种苗种的报价必须是唯一的。招标人不接受有任何选择的报价。</w:t>
      </w:r>
    </w:p>
    <w:p w14:paraId="36488AF0">
      <w:pPr>
        <w:widowControl/>
        <w:autoSpaceDE w:val="0"/>
        <w:autoSpaceDN w:val="0"/>
        <w:spacing w:line="312" w:lineRule="auto"/>
        <w:ind w:right="-53" w:rightChars="-25" w:firstLine="420" w:firstLineChars="200"/>
        <w:textAlignment w:val="bottom"/>
        <w:rPr>
          <w:rFonts w:ascii="宋体" w:hAnsi="宋体" w:eastAsia="宋体" w:cs="宋体"/>
          <w:color w:val="auto"/>
          <w:szCs w:val="21"/>
        </w:rPr>
      </w:pPr>
      <w:r>
        <w:rPr>
          <w:rFonts w:hint="eastAsia" w:ascii="宋体" w:hAnsi="宋体" w:eastAsia="宋体" w:cs="宋体"/>
          <w:color w:val="auto"/>
          <w:szCs w:val="21"/>
        </w:rPr>
        <w:t>3.所有报价均应已包含国家规定的所有税费。</w:t>
      </w:r>
    </w:p>
    <w:p w14:paraId="573E35E0">
      <w:pPr>
        <w:spacing w:line="312" w:lineRule="auto"/>
        <w:ind w:firstLine="420" w:firstLineChars="200"/>
        <w:rPr>
          <w:rFonts w:ascii="宋体" w:hAnsi="宋体" w:eastAsia="宋体" w:cs="宋体"/>
          <w:color w:val="auto"/>
          <w:szCs w:val="21"/>
        </w:rPr>
      </w:pPr>
      <w:r>
        <w:rPr>
          <w:rFonts w:hint="eastAsia" w:ascii="宋体" w:hAnsi="宋体" w:eastAsia="宋体" w:cs="宋体"/>
          <w:color w:val="auto"/>
          <w:szCs w:val="21"/>
        </w:rPr>
        <w:t>4.扶持政策说明：</w:t>
      </w:r>
    </w:p>
    <w:p w14:paraId="11BB4935">
      <w:pPr>
        <w:spacing w:line="360" w:lineRule="auto"/>
        <w:ind w:firstLine="420" w:firstLineChars="200"/>
        <w:rPr>
          <w:rFonts w:hint="eastAsia" w:ascii="宋体" w:hAnsi="宋体" w:eastAsia="宋体" w:cs="宋体"/>
          <w:b/>
          <w:bCs/>
          <w:color w:val="auto"/>
          <w:szCs w:val="21"/>
        </w:rPr>
      </w:pPr>
      <w:r>
        <w:rPr>
          <w:rFonts w:hint="eastAsia" w:ascii="宋体" w:hAnsi="宋体" w:eastAsia="宋体" w:cs="宋体"/>
          <w:color w:val="auto"/>
          <w:szCs w:val="21"/>
        </w:rPr>
        <w:t>（1）中小企业预留份额情况：根据《政府采购促进中小企业发展管理办法》（财库〔2020〕46号），</w:t>
      </w:r>
      <w:r>
        <w:rPr>
          <w:rFonts w:hint="eastAsia" w:ascii="宋体" w:hAnsi="宋体" w:eastAsia="宋体" w:cs="宋体"/>
          <w:b/>
          <w:bCs/>
          <w:color w:val="auto"/>
          <w:sz w:val="21"/>
          <w:szCs w:val="21"/>
        </w:rPr>
        <w:t>标项一～标项</w:t>
      </w:r>
      <w:r>
        <w:rPr>
          <w:rFonts w:hint="eastAsia" w:ascii="宋体" w:hAnsi="宋体" w:eastAsia="宋体" w:cs="宋体"/>
          <w:b/>
          <w:bCs/>
          <w:color w:val="auto"/>
          <w:sz w:val="21"/>
          <w:szCs w:val="21"/>
          <w:lang w:val="en-US" w:eastAsia="zh-CN"/>
        </w:rPr>
        <w:t>二、标项四</w:t>
      </w:r>
      <w:r>
        <w:rPr>
          <w:rFonts w:hint="eastAsia" w:ascii="宋体" w:hAnsi="宋体" w:eastAsia="宋体" w:cs="宋体"/>
          <w:b/>
          <w:bCs/>
          <w:color w:val="auto"/>
          <w:sz w:val="21"/>
          <w:szCs w:val="21"/>
        </w:rPr>
        <w:t>～标项</w:t>
      </w:r>
      <w:r>
        <w:rPr>
          <w:rFonts w:hint="eastAsia" w:ascii="宋体" w:hAnsi="宋体" w:eastAsia="宋体" w:cs="宋体"/>
          <w:b/>
          <w:bCs/>
          <w:color w:val="auto"/>
          <w:sz w:val="21"/>
          <w:szCs w:val="21"/>
          <w:lang w:val="en-US" w:eastAsia="zh-CN"/>
        </w:rPr>
        <w:t>十</w:t>
      </w:r>
      <w:r>
        <w:rPr>
          <w:rFonts w:hint="eastAsia" w:ascii="宋体" w:hAnsi="宋体" w:eastAsia="宋体" w:cs="宋体"/>
          <w:b/>
          <w:bCs/>
          <w:color w:val="auto"/>
          <w:sz w:val="21"/>
          <w:szCs w:val="21"/>
        </w:rPr>
        <w:t>专门面向中小企业，标项</w:t>
      </w:r>
      <w:r>
        <w:rPr>
          <w:rFonts w:hint="eastAsia" w:ascii="宋体" w:hAnsi="宋体" w:eastAsia="宋体" w:cs="宋体"/>
          <w:b/>
          <w:bCs/>
          <w:color w:val="auto"/>
          <w:sz w:val="21"/>
          <w:szCs w:val="21"/>
          <w:lang w:val="en-US" w:eastAsia="zh-CN"/>
        </w:rPr>
        <w:t>三</w:t>
      </w:r>
      <w:r>
        <w:rPr>
          <w:rFonts w:hint="eastAsia" w:ascii="宋体" w:hAnsi="宋体" w:eastAsia="宋体" w:cs="宋体"/>
          <w:b/>
          <w:bCs/>
          <w:color w:val="auto"/>
          <w:sz w:val="21"/>
          <w:szCs w:val="21"/>
        </w:rPr>
        <w:t>、标项十一不专门面向中小企业。(本项目对应的中小企业划分标准所属行业：农、林、牧、渔业。)</w:t>
      </w:r>
    </w:p>
    <w:p w14:paraId="0D8BFEB3">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（2）在政府采购活动中，供应商提供的货物、工程或者服务符合下列情形的，享受本办法规定的中小企业扶持政策：</w:t>
      </w:r>
    </w:p>
    <w:p w14:paraId="4E783695">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①在货物采购项目中，货物由中小企业制造，即货物由中小企业生产且使用该中小企业商号或者注册商标；</w:t>
      </w:r>
    </w:p>
    <w:p w14:paraId="6C571BB0">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②在工程采购项目中，工程由中小企业承建，即工程施工单位为中小企业；</w:t>
      </w:r>
    </w:p>
    <w:p w14:paraId="602EEF5F">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③在服务采购项目中，服务由中小企业承接，即提供服务的人员为中小企业依照《中华人民共和国劳动合同法》订立劳动合同的从业人员。</w:t>
      </w:r>
    </w:p>
    <w:p w14:paraId="23F87256">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在货物采购项目中，供应商提供的货物既有中小企业制造货物，也有大型企业制造货物的，不享受本办法规定的中小企业扶持政策。</w:t>
      </w:r>
    </w:p>
    <w:p w14:paraId="6F6F13D7">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以联合体形式参加政府采购活动，联合体各方均为中小企业的，联合体视同中小企业。其中，联合体各方均为小微企业的，联合体视同小微企业。</w:t>
      </w:r>
    </w:p>
    <w:p w14:paraId="4120F281">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67861F07">
      <w:pPr>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（4）投标人符合《三部门联合发布关于促进残疾人就业政府采购政策的通知》（财库〔2017〕141号）文件要求，并提供《残疾人福利性单位声明函》的，则视同小型、微型企业。</w:t>
      </w:r>
    </w:p>
    <w:p w14:paraId="1E09724B">
      <w:pPr>
        <w:spacing w:line="360" w:lineRule="auto"/>
        <w:ind w:firstLine="422" w:firstLineChars="200"/>
        <w:rPr>
          <w:rFonts w:ascii="宋体" w:hAnsi="宋体" w:eastAsia="宋体" w:cs="宋体"/>
          <w:b/>
          <w:color w:val="auto"/>
          <w:szCs w:val="21"/>
        </w:rPr>
      </w:pPr>
      <w:r>
        <w:rPr>
          <w:rFonts w:hint="eastAsia" w:ascii="宋体" w:hAnsi="宋体" w:eastAsia="宋体" w:cs="宋体"/>
          <w:b/>
          <w:color w:val="auto"/>
          <w:szCs w:val="21"/>
        </w:rPr>
        <w:t>标项一～标项</w:t>
      </w:r>
      <w:r>
        <w:rPr>
          <w:rFonts w:hint="eastAsia" w:ascii="宋体" w:hAnsi="宋体" w:eastAsia="宋体" w:cs="宋体"/>
          <w:b/>
          <w:color w:val="auto"/>
          <w:szCs w:val="21"/>
          <w:lang w:val="en-US" w:eastAsia="zh-CN"/>
        </w:rPr>
        <w:t>二、标项四</w:t>
      </w:r>
      <w:r>
        <w:rPr>
          <w:rFonts w:hint="eastAsia" w:ascii="宋体" w:hAnsi="宋体" w:eastAsia="宋体" w:cs="宋体"/>
          <w:b/>
          <w:color w:val="auto"/>
          <w:szCs w:val="21"/>
        </w:rPr>
        <w:t>～标项</w:t>
      </w:r>
      <w:r>
        <w:rPr>
          <w:rFonts w:hint="eastAsia" w:ascii="宋体" w:hAnsi="宋体" w:eastAsia="宋体" w:cs="宋体"/>
          <w:b/>
          <w:color w:val="auto"/>
          <w:szCs w:val="21"/>
          <w:lang w:val="en-US" w:eastAsia="zh-CN"/>
        </w:rPr>
        <w:t>十</w:t>
      </w:r>
      <w:r>
        <w:rPr>
          <w:rFonts w:hint="eastAsia" w:ascii="宋体" w:hAnsi="宋体" w:eastAsia="宋体" w:cs="宋体"/>
          <w:b/>
          <w:color w:val="auto"/>
          <w:szCs w:val="21"/>
        </w:rPr>
        <w:t>专门面向中小企业采购（参加投标供应商须出具《中小企业声明函》，未提供不认定为中小企业，此次投标无效）。</w:t>
      </w:r>
    </w:p>
    <w:p w14:paraId="4331CE24">
      <w:pPr>
        <w:spacing w:line="360" w:lineRule="auto"/>
        <w:rPr>
          <w:rFonts w:ascii="宋体" w:hAnsi="宋体" w:eastAsia="宋体" w:cs="宋体"/>
          <w:color w:val="auto"/>
          <w:szCs w:val="21"/>
        </w:rPr>
      </w:pPr>
      <w:r>
        <w:rPr>
          <w:rFonts w:hint="eastAsia" w:ascii="宋体" w:hAnsi="宋体" w:eastAsia="宋体" w:cs="宋体"/>
          <w:color w:val="auto"/>
          <w:kern w:val="0"/>
          <w:szCs w:val="21"/>
        </w:rPr>
        <w:t xml:space="preserve">     </w:t>
      </w:r>
      <w:r>
        <w:rPr>
          <w:rFonts w:hint="eastAsia" w:ascii="宋体" w:hAnsi="宋体" w:eastAsia="宋体" w:cs="宋体"/>
          <w:b/>
          <w:bCs/>
          <w:color w:val="auto"/>
          <w:kern w:val="0"/>
          <w:szCs w:val="21"/>
        </w:rPr>
        <w:t xml:space="preserve"> 标项</w:t>
      </w:r>
      <w:r>
        <w:rPr>
          <w:rFonts w:hint="eastAsia" w:ascii="宋体" w:hAnsi="宋体" w:eastAsia="宋体" w:cs="宋体"/>
          <w:b/>
          <w:bCs/>
          <w:color w:val="auto"/>
          <w:kern w:val="0"/>
          <w:szCs w:val="21"/>
          <w:lang w:val="en-US" w:eastAsia="zh-CN"/>
        </w:rPr>
        <w:t>三</w:t>
      </w:r>
      <w:r>
        <w:rPr>
          <w:rFonts w:hint="eastAsia" w:ascii="宋体" w:hAnsi="宋体" w:eastAsia="宋体" w:cs="宋体"/>
          <w:b/>
          <w:bCs/>
          <w:color w:val="auto"/>
          <w:kern w:val="0"/>
          <w:szCs w:val="21"/>
        </w:rPr>
        <w:t>、标项十一：</w:t>
      </w:r>
    </w:p>
    <w:p w14:paraId="73C9F877">
      <w:pPr>
        <w:widowControl/>
        <w:snapToGrid w:val="0"/>
        <w:spacing w:line="360" w:lineRule="auto"/>
        <w:ind w:firstLine="420" w:firstLineChars="200"/>
        <w:rPr>
          <w:rFonts w:ascii="宋体" w:hAnsi="宋体" w:eastAsia="宋体" w:cs="宋体"/>
          <w:b/>
          <w:bCs/>
          <w:color w:val="auto"/>
          <w:szCs w:val="21"/>
        </w:rPr>
      </w:pPr>
      <w:r>
        <w:rPr>
          <w:rFonts w:hint="eastAsia" w:ascii="宋体" w:hAnsi="宋体" w:eastAsia="宋体" w:cs="宋体"/>
          <w:bCs/>
          <w:color w:val="auto"/>
          <w:szCs w:val="21"/>
        </w:rPr>
        <w:t>（1）根据财政部财库〔</w:t>
      </w:r>
      <w:r>
        <w:rPr>
          <w:rFonts w:ascii="宋体" w:hAnsi="宋体" w:eastAsia="宋体" w:cs="宋体"/>
          <w:bCs/>
          <w:color w:val="auto"/>
          <w:szCs w:val="21"/>
        </w:rPr>
        <w:t>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eastAsia="宋体" w:cs="宋体"/>
          <w:bCs/>
          <w:color w:val="auto"/>
          <w:szCs w:val="21"/>
          <w:lang w:val="en-US" w:eastAsia="zh-CN"/>
        </w:rPr>
        <w:t>标项三、标项十一</w:t>
      </w:r>
      <w:r>
        <w:rPr>
          <w:rFonts w:ascii="宋体" w:hAnsi="宋体" w:eastAsia="宋体" w:cs="宋体"/>
          <w:bCs/>
          <w:color w:val="auto"/>
          <w:szCs w:val="21"/>
        </w:rPr>
        <w:t>不专门面向中小企业，</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4763BE36">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00D4BE66">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4AF56632">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0B8AD2A8">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58B9996E">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4BF74381">
      <w:pPr>
        <w:widowControl/>
        <w:snapToGrid w:val="0"/>
        <w:spacing w:line="360" w:lineRule="auto"/>
        <w:ind w:firstLine="420" w:firstLineChars="200"/>
        <w:rPr>
          <w:rFonts w:ascii="宋体" w:hAnsi="宋体" w:eastAsia="宋体" w:cs="宋体"/>
          <w:color w:val="auto"/>
          <w:szCs w:val="21"/>
        </w:rPr>
      </w:pPr>
      <w:r>
        <w:rPr>
          <w:rFonts w:hint="eastAsia" w:ascii="宋体" w:hAnsi="宋体" w:eastAsia="宋体" w:cs="宋体"/>
          <w:color w:val="auto"/>
          <w:szCs w:val="21"/>
        </w:rPr>
        <w:t>上述（1），（2），（3）政策不重复计算。</w:t>
      </w:r>
    </w:p>
    <w:p w14:paraId="2970DD39">
      <w:pPr>
        <w:tabs>
          <w:tab w:val="left" w:pos="0"/>
          <w:tab w:val="left" w:pos="7875"/>
        </w:tabs>
        <w:autoSpaceDE w:val="0"/>
        <w:autoSpaceDN w:val="0"/>
        <w:adjustRightInd w:val="0"/>
        <w:spacing w:line="312" w:lineRule="auto"/>
        <w:ind w:firstLine="420"/>
        <w:rPr>
          <w:rFonts w:ascii="宋体" w:hAnsi="宋体" w:eastAsia="宋体" w:cs="宋体"/>
          <w:b/>
          <w:color w:val="auto"/>
          <w:szCs w:val="21"/>
        </w:rPr>
      </w:pPr>
      <w:r>
        <w:rPr>
          <w:rFonts w:hint="eastAsia" w:ascii="宋体" w:hAnsi="宋体" w:eastAsia="宋体" w:cs="宋体"/>
          <w:color w:val="auto"/>
          <w:szCs w:val="21"/>
        </w:rPr>
        <w:t>5.</w:t>
      </w:r>
      <w:r>
        <w:rPr>
          <w:rFonts w:hint="eastAsia" w:ascii="宋体" w:hAnsi="宋体" w:eastAsia="宋体" w:cs="宋体"/>
          <w:b/>
          <w:color w:val="auto"/>
          <w:szCs w:val="21"/>
        </w:rPr>
        <w:t xml:space="preserve">本次项目的预算金额为： </w:t>
      </w:r>
    </w:p>
    <w:tbl>
      <w:tblPr>
        <w:tblStyle w:val="60"/>
        <w:tblW w:w="0" w:type="auto"/>
        <w:tblInd w:w="392" w:type="dxa"/>
        <w:tblLayout w:type="fixed"/>
        <w:tblCellMar>
          <w:top w:w="0" w:type="dxa"/>
          <w:left w:w="108" w:type="dxa"/>
          <w:bottom w:w="0" w:type="dxa"/>
          <w:right w:w="108" w:type="dxa"/>
        </w:tblCellMar>
      </w:tblPr>
      <w:tblGrid>
        <w:gridCol w:w="850"/>
        <w:gridCol w:w="1560"/>
        <w:gridCol w:w="1134"/>
        <w:gridCol w:w="1275"/>
        <w:gridCol w:w="1701"/>
        <w:gridCol w:w="1701"/>
      </w:tblGrid>
      <w:tr w14:paraId="32057A1A">
        <w:tblPrEx>
          <w:tblCellMar>
            <w:top w:w="0" w:type="dxa"/>
            <w:left w:w="108" w:type="dxa"/>
            <w:bottom w:w="0" w:type="dxa"/>
            <w:right w:w="108" w:type="dxa"/>
          </w:tblCellMar>
        </w:tblPrEx>
        <w:trPr>
          <w:trHeight w:val="229" w:hRule="atLeast"/>
        </w:trPr>
        <w:tc>
          <w:tcPr>
            <w:tcW w:w="850" w:type="dxa"/>
            <w:vMerge w:val="restart"/>
            <w:tcBorders>
              <w:top w:val="single" w:color="auto" w:sz="4" w:space="0"/>
              <w:left w:val="single" w:color="auto" w:sz="4" w:space="0"/>
              <w:bottom w:val="single" w:color="auto" w:sz="4" w:space="0"/>
              <w:right w:val="single" w:color="auto" w:sz="4" w:space="0"/>
            </w:tcBorders>
            <w:vAlign w:val="center"/>
          </w:tcPr>
          <w:p w14:paraId="2CC9C38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1560" w:type="dxa"/>
            <w:vMerge w:val="restart"/>
            <w:tcBorders>
              <w:top w:val="single" w:color="auto" w:sz="4" w:space="0"/>
              <w:left w:val="single" w:color="auto" w:sz="4" w:space="0"/>
              <w:bottom w:val="single" w:color="auto" w:sz="4" w:space="0"/>
              <w:right w:val="single" w:color="auto" w:sz="4" w:space="0"/>
            </w:tcBorders>
            <w:vAlign w:val="center"/>
          </w:tcPr>
          <w:p w14:paraId="26D2C87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1134" w:type="dxa"/>
            <w:vMerge w:val="restart"/>
            <w:tcBorders>
              <w:top w:val="single" w:color="auto" w:sz="4" w:space="0"/>
              <w:left w:val="single" w:color="auto" w:sz="4" w:space="0"/>
              <w:bottom w:val="single" w:color="auto" w:sz="4" w:space="0"/>
              <w:right w:val="single" w:color="auto" w:sz="4" w:space="0"/>
            </w:tcBorders>
            <w:vAlign w:val="center"/>
          </w:tcPr>
          <w:p w14:paraId="70E0EAA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c>
          <w:tcPr>
            <w:tcW w:w="1275" w:type="dxa"/>
            <w:vMerge w:val="restart"/>
            <w:tcBorders>
              <w:top w:val="single" w:color="auto" w:sz="4" w:space="0"/>
              <w:left w:val="single" w:color="auto" w:sz="4" w:space="0"/>
              <w:bottom w:val="single" w:color="auto" w:sz="4" w:space="0"/>
              <w:right w:val="single" w:color="auto" w:sz="4" w:space="0"/>
            </w:tcBorders>
            <w:vAlign w:val="center"/>
          </w:tcPr>
          <w:p w14:paraId="023459B3">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c>
          <w:tcPr>
            <w:tcW w:w="3402" w:type="dxa"/>
            <w:gridSpan w:val="2"/>
            <w:tcBorders>
              <w:top w:val="single" w:color="auto" w:sz="4" w:space="0"/>
              <w:left w:val="nil"/>
              <w:bottom w:val="single" w:color="auto" w:sz="4" w:space="0"/>
              <w:right w:val="single" w:color="000000" w:sz="4" w:space="0"/>
            </w:tcBorders>
            <w:vAlign w:val="center"/>
          </w:tcPr>
          <w:p w14:paraId="2D7D101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中标单位种苗费分配(万元)</w:t>
            </w:r>
          </w:p>
        </w:tc>
      </w:tr>
      <w:tr w14:paraId="5E3C98C7">
        <w:tblPrEx>
          <w:tblCellMar>
            <w:top w:w="0" w:type="dxa"/>
            <w:left w:w="108" w:type="dxa"/>
            <w:bottom w:w="0" w:type="dxa"/>
            <w:right w:w="108" w:type="dxa"/>
          </w:tblCellMar>
        </w:tblPrEx>
        <w:trPr>
          <w:trHeight w:val="269" w:hRule="atLeast"/>
        </w:trPr>
        <w:tc>
          <w:tcPr>
            <w:tcW w:w="850" w:type="dxa"/>
            <w:vMerge w:val="continue"/>
            <w:tcBorders>
              <w:top w:val="single" w:color="auto" w:sz="4" w:space="0"/>
              <w:left w:val="single" w:color="auto" w:sz="4" w:space="0"/>
              <w:bottom w:val="single" w:color="auto" w:sz="4" w:space="0"/>
              <w:right w:val="single" w:color="auto" w:sz="4" w:space="0"/>
            </w:tcBorders>
            <w:vAlign w:val="center"/>
          </w:tcPr>
          <w:p w14:paraId="24D63559">
            <w:pPr>
              <w:widowControl/>
              <w:jc w:val="left"/>
              <w:rPr>
                <w:rFonts w:ascii="宋体" w:hAnsi="宋体" w:eastAsia="宋体" w:cs="宋体"/>
                <w:b/>
                <w:bCs/>
                <w:color w:val="auto"/>
                <w:kern w:val="0"/>
                <w:szCs w:val="21"/>
              </w:rPr>
            </w:pPr>
          </w:p>
        </w:tc>
        <w:tc>
          <w:tcPr>
            <w:tcW w:w="1560" w:type="dxa"/>
            <w:vMerge w:val="continue"/>
            <w:tcBorders>
              <w:top w:val="single" w:color="auto" w:sz="4" w:space="0"/>
              <w:left w:val="single" w:color="auto" w:sz="4" w:space="0"/>
              <w:bottom w:val="single" w:color="auto" w:sz="4" w:space="0"/>
              <w:right w:val="single" w:color="auto" w:sz="4" w:space="0"/>
            </w:tcBorders>
            <w:vAlign w:val="center"/>
          </w:tcPr>
          <w:p w14:paraId="50B1CB5C">
            <w:pPr>
              <w:widowControl/>
              <w:jc w:val="left"/>
              <w:rPr>
                <w:rFonts w:ascii="宋体" w:hAnsi="宋体" w:eastAsia="宋体" w:cs="宋体"/>
                <w:b/>
                <w:bCs/>
                <w:color w:val="auto"/>
                <w:kern w:val="0"/>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14:paraId="4656464E">
            <w:pPr>
              <w:widowControl/>
              <w:jc w:val="left"/>
              <w:rPr>
                <w:rFonts w:ascii="宋体" w:hAnsi="宋体" w:eastAsia="宋体" w:cs="宋体"/>
                <w:b/>
                <w:bCs/>
                <w:color w:val="auto"/>
                <w:kern w:val="0"/>
                <w:szCs w:val="21"/>
              </w:rPr>
            </w:pPr>
          </w:p>
        </w:tc>
        <w:tc>
          <w:tcPr>
            <w:tcW w:w="1275" w:type="dxa"/>
            <w:vMerge w:val="continue"/>
            <w:tcBorders>
              <w:top w:val="single" w:color="auto" w:sz="4" w:space="0"/>
              <w:left w:val="single" w:color="auto" w:sz="4" w:space="0"/>
              <w:bottom w:val="single" w:color="auto" w:sz="4" w:space="0"/>
              <w:right w:val="single" w:color="auto" w:sz="4" w:space="0"/>
            </w:tcBorders>
            <w:vAlign w:val="center"/>
          </w:tcPr>
          <w:p w14:paraId="48000AED">
            <w:pPr>
              <w:widowControl/>
              <w:jc w:val="left"/>
              <w:rPr>
                <w:rFonts w:ascii="宋体" w:hAnsi="宋体" w:eastAsia="宋体" w:cs="宋体"/>
                <w:b/>
                <w:bCs/>
                <w:color w:val="auto"/>
                <w:kern w:val="0"/>
                <w:szCs w:val="21"/>
              </w:rPr>
            </w:pPr>
          </w:p>
        </w:tc>
        <w:tc>
          <w:tcPr>
            <w:tcW w:w="1701" w:type="dxa"/>
            <w:tcBorders>
              <w:top w:val="nil"/>
              <w:left w:val="nil"/>
              <w:bottom w:val="single" w:color="auto" w:sz="4" w:space="0"/>
              <w:right w:val="single" w:color="auto" w:sz="4" w:space="0"/>
            </w:tcBorders>
            <w:vAlign w:val="center"/>
          </w:tcPr>
          <w:p w14:paraId="34AABBE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1</w:t>
            </w:r>
          </w:p>
        </w:tc>
        <w:tc>
          <w:tcPr>
            <w:tcW w:w="1701" w:type="dxa"/>
            <w:tcBorders>
              <w:top w:val="nil"/>
              <w:left w:val="nil"/>
              <w:bottom w:val="single" w:color="auto" w:sz="4" w:space="0"/>
              <w:right w:val="single" w:color="auto" w:sz="4" w:space="0"/>
            </w:tcBorders>
            <w:vAlign w:val="center"/>
          </w:tcPr>
          <w:p w14:paraId="26A0135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2</w:t>
            </w:r>
          </w:p>
        </w:tc>
      </w:tr>
      <w:tr w14:paraId="6D1AA5D8">
        <w:tblPrEx>
          <w:tblCellMar>
            <w:top w:w="0" w:type="dxa"/>
            <w:left w:w="108" w:type="dxa"/>
            <w:bottom w:w="0" w:type="dxa"/>
            <w:right w:w="108" w:type="dxa"/>
          </w:tblCellMar>
        </w:tblPrEx>
        <w:trPr>
          <w:trHeight w:val="246" w:hRule="atLeast"/>
        </w:trPr>
        <w:tc>
          <w:tcPr>
            <w:tcW w:w="850" w:type="dxa"/>
            <w:tcBorders>
              <w:top w:val="nil"/>
              <w:left w:val="single" w:color="auto" w:sz="4" w:space="0"/>
              <w:bottom w:val="single" w:color="auto" w:sz="4" w:space="0"/>
              <w:right w:val="single" w:color="auto" w:sz="4" w:space="0"/>
            </w:tcBorders>
            <w:vAlign w:val="center"/>
          </w:tcPr>
          <w:p w14:paraId="10F2DBC7">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1560" w:type="dxa"/>
            <w:tcBorders>
              <w:top w:val="single" w:color="auto" w:sz="4" w:space="0"/>
              <w:left w:val="single" w:color="auto" w:sz="4" w:space="0"/>
              <w:bottom w:val="single" w:color="auto" w:sz="4" w:space="0"/>
              <w:right w:val="single" w:color="auto" w:sz="4" w:space="0"/>
            </w:tcBorders>
            <w:vAlign w:val="center"/>
          </w:tcPr>
          <w:p w14:paraId="0465FC2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1134" w:type="dxa"/>
            <w:tcBorders>
              <w:top w:val="nil"/>
              <w:left w:val="nil"/>
              <w:bottom w:val="single" w:color="auto" w:sz="4" w:space="0"/>
              <w:right w:val="single" w:color="auto" w:sz="4" w:space="0"/>
            </w:tcBorders>
            <w:vAlign w:val="center"/>
          </w:tcPr>
          <w:p w14:paraId="3FD26C69">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75" w:type="dxa"/>
            <w:tcBorders>
              <w:top w:val="nil"/>
              <w:left w:val="nil"/>
              <w:bottom w:val="single" w:color="auto" w:sz="4" w:space="0"/>
              <w:right w:val="single" w:color="auto" w:sz="4" w:space="0"/>
            </w:tcBorders>
            <w:vAlign w:val="center"/>
          </w:tcPr>
          <w:p w14:paraId="18D1A59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057D791F">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701" w:type="dxa"/>
            <w:tcBorders>
              <w:top w:val="nil"/>
              <w:left w:val="nil"/>
              <w:bottom w:val="single" w:color="auto" w:sz="4" w:space="0"/>
              <w:right w:val="single" w:color="auto" w:sz="4" w:space="0"/>
            </w:tcBorders>
            <w:vAlign w:val="center"/>
          </w:tcPr>
          <w:p w14:paraId="6B847E7E">
            <w:pPr>
              <w:jc w:val="center"/>
              <w:rPr>
                <w:rFonts w:hint="eastAsia" w:ascii="宋体" w:hAnsi="宋体" w:eastAsia="宋体" w:cs="宋体"/>
                <w:bCs/>
                <w:color w:val="auto"/>
                <w:kern w:val="0"/>
                <w:sz w:val="21"/>
                <w:szCs w:val="21"/>
              </w:rPr>
            </w:pPr>
          </w:p>
        </w:tc>
      </w:tr>
      <w:tr w14:paraId="6B74BE20">
        <w:tblPrEx>
          <w:tblCellMar>
            <w:top w:w="0" w:type="dxa"/>
            <w:left w:w="108" w:type="dxa"/>
            <w:bottom w:w="0" w:type="dxa"/>
            <w:right w:w="108" w:type="dxa"/>
          </w:tblCellMar>
        </w:tblPrEx>
        <w:trPr>
          <w:trHeight w:val="301" w:hRule="atLeast"/>
        </w:trPr>
        <w:tc>
          <w:tcPr>
            <w:tcW w:w="850" w:type="dxa"/>
            <w:tcBorders>
              <w:top w:val="nil"/>
              <w:left w:val="single" w:color="auto" w:sz="4" w:space="0"/>
              <w:bottom w:val="single" w:color="auto" w:sz="4" w:space="0"/>
              <w:right w:val="single" w:color="auto" w:sz="4" w:space="0"/>
            </w:tcBorders>
            <w:vAlign w:val="center"/>
          </w:tcPr>
          <w:p w14:paraId="14A0051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1560" w:type="dxa"/>
            <w:tcBorders>
              <w:top w:val="single" w:color="auto" w:sz="4" w:space="0"/>
              <w:left w:val="single" w:color="auto" w:sz="4" w:space="0"/>
              <w:bottom w:val="single" w:color="auto" w:sz="4" w:space="0"/>
              <w:right w:val="single" w:color="auto" w:sz="4" w:space="0"/>
            </w:tcBorders>
            <w:vAlign w:val="center"/>
          </w:tcPr>
          <w:p w14:paraId="4DB4C9B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1134" w:type="dxa"/>
            <w:tcBorders>
              <w:top w:val="nil"/>
              <w:left w:val="nil"/>
              <w:bottom w:val="single" w:color="auto" w:sz="4" w:space="0"/>
              <w:right w:val="single" w:color="auto" w:sz="4" w:space="0"/>
            </w:tcBorders>
            <w:vAlign w:val="center"/>
          </w:tcPr>
          <w:p w14:paraId="2FE46D8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75" w:type="dxa"/>
            <w:tcBorders>
              <w:top w:val="nil"/>
              <w:left w:val="nil"/>
              <w:bottom w:val="single" w:color="auto" w:sz="4" w:space="0"/>
              <w:right w:val="single" w:color="auto" w:sz="4" w:space="0"/>
            </w:tcBorders>
            <w:vAlign w:val="center"/>
          </w:tcPr>
          <w:p w14:paraId="0BEB06D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14E4A51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701" w:type="dxa"/>
            <w:tcBorders>
              <w:top w:val="nil"/>
              <w:left w:val="nil"/>
              <w:bottom w:val="single" w:color="auto" w:sz="4" w:space="0"/>
              <w:right w:val="single" w:color="auto" w:sz="4" w:space="0"/>
            </w:tcBorders>
            <w:vAlign w:val="center"/>
          </w:tcPr>
          <w:p w14:paraId="2A774424">
            <w:pPr>
              <w:jc w:val="center"/>
              <w:rPr>
                <w:rFonts w:hint="eastAsia" w:ascii="宋体" w:hAnsi="宋体" w:eastAsia="宋体" w:cs="宋体"/>
                <w:bCs/>
                <w:color w:val="auto"/>
                <w:kern w:val="0"/>
                <w:sz w:val="21"/>
                <w:szCs w:val="21"/>
              </w:rPr>
            </w:pPr>
          </w:p>
        </w:tc>
      </w:tr>
      <w:tr w14:paraId="5A339833">
        <w:tblPrEx>
          <w:tblCellMar>
            <w:top w:w="0" w:type="dxa"/>
            <w:left w:w="108" w:type="dxa"/>
            <w:bottom w:w="0" w:type="dxa"/>
            <w:right w:w="108" w:type="dxa"/>
          </w:tblCellMar>
        </w:tblPrEx>
        <w:trPr>
          <w:trHeight w:val="284" w:hRule="atLeast"/>
        </w:trPr>
        <w:tc>
          <w:tcPr>
            <w:tcW w:w="850" w:type="dxa"/>
            <w:tcBorders>
              <w:top w:val="nil"/>
              <w:left w:val="single" w:color="auto" w:sz="4" w:space="0"/>
              <w:bottom w:val="single" w:color="auto" w:sz="4" w:space="0"/>
              <w:right w:val="single" w:color="auto" w:sz="4" w:space="0"/>
            </w:tcBorders>
            <w:vAlign w:val="center"/>
          </w:tcPr>
          <w:p w14:paraId="61E0454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1560" w:type="dxa"/>
            <w:tcBorders>
              <w:top w:val="single" w:color="auto" w:sz="4" w:space="0"/>
              <w:left w:val="single" w:color="auto" w:sz="4" w:space="0"/>
              <w:bottom w:val="single" w:color="auto" w:sz="4" w:space="0"/>
              <w:right w:val="single" w:color="auto" w:sz="4" w:space="0"/>
            </w:tcBorders>
            <w:vAlign w:val="center"/>
          </w:tcPr>
          <w:p w14:paraId="0953836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1134" w:type="dxa"/>
            <w:tcBorders>
              <w:top w:val="nil"/>
              <w:left w:val="nil"/>
              <w:bottom w:val="single" w:color="auto" w:sz="4" w:space="0"/>
              <w:right w:val="single" w:color="auto" w:sz="4" w:space="0"/>
            </w:tcBorders>
            <w:vAlign w:val="center"/>
          </w:tcPr>
          <w:p w14:paraId="4A65517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75" w:type="dxa"/>
            <w:tcBorders>
              <w:top w:val="nil"/>
              <w:left w:val="nil"/>
              <w:bottom w:val="single" w:color="auto" w:sz="4" w:space="0"/>
              <w:right w:val="single" w:color="auto" w:sz="4" w:space="0"/>
            </w:tcBorders>
            <w:vAlign w:val="center"/>
          </w:tcPr>
          <w:p w14:paraId="0EDF627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5DA2F58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701" w:type="dxa"/>
            <w:tcBorders>
              <w:top w:val="nil"/>
              <w:left w:val="nil"/>
              <w:bottom w:val="single" w:color="auto" w:sz="4" w:space="0"/>
              <w:right w:val="single" w:color="auto" w:sz="4" w:space="0"/>
            </w:tcBorders>
            <w:vAlign w:val="center"/>
          </w:tcPr>
          <w:p w14:paraId="479EEF21">
            <w:pPr>
              <w:jc w:val="center"/>
              <w:rPr>
                <w:rFonts w:hint="eastAsia" w:ascii="宋体" w:hAnsi="宋体" w:eastAsia="宋体" w:cs="宋体"/>
                <w:bCs/>
                <w:color w:val="auto"/>
                <w:kern w:val="0"/>
                <w:sz w:val="21"/>
                <w:szCs w:val="21"/>
              </w:rPr>
            </w:pPr>
          </w:p>
        </w:tc>
      </w:tr>
      <w:tr w14:paraId="7F860664">
        <w:tblPrEx>
          <w:tblCellMar>
            <w:top w:w="0" w:type="dxa"/>
            <w:left w:w="108" w:type="dxa"/>
            <w:bottom w:w="0" w:type="dxa"/>
            <w:right w:w="108" w:type="dxa"/>
          </w:tblCellMar>
        </w:tblPrEx>
        <w:trPr>
          <w:trHeight w:val="296" w:hRule="atLeast"/>
        </w:trPr>
        <w:tc>
          <w:tcPr>
            <w:tcW w:w="850" w:type="dxa"/>
            <w:tcBorders>
              <w:top w:val="single" w:color="auto" w:sz="4" w:space="0"/>
              <w:left w:val="single" w:color="auto" w:sz="4" w:space="0"/>
              <w:bottom w:val="single" w:color="auto" w:sz="4" w:space="0"/>
              <w:right w:val="single" w:color="auto" w:sz="4" w:space="0"/>
            </w:tcBorders>
            <w:vAlign w:val="center"/>
          </w:tcPr>
          <w:p w14:paraId="02309EA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1560" w:type="dxa"/>
            <w:tcBorders>
              <w:top w:val="single" w:color="auto" w:sz="4" w:space="0"/>
              <w:left w:val="single" w:color="auto" w:sz="4" w:space="0"/>
              <w:bottom w:val="single" w:color="auto" w:sz="4" w:space="0"/>
              <w:right w:val="single" w:color="auto" w:sz="4" w:space="0"/>
            </w:tcBorders>
            <w:vAlign w:val="center"/>
          </w:tcPr>
          <w:p w14:paraId="4370E10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1134" w:type="dxa"/>
            <w:tcBorders>
              <w:top w:val="single" w:color="auto" w:sz="4" w:space="0"/>
              <w:left w:val="single" w:color="auto" w:sz="4" w:space="0"/>
              <w:bottom w:val="single" w:color="auto" w:sz="4" w:space="0"/>
              <w:right w:val="single" w:color="auto" w:sz="4" w:space="0"/>
            </w:tcBorders>
            <w:vAlign w:val="center"/>
          </w:tcPr>
          <w:p w14:paraId="3913E4C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90</w:t>
            </w:r>
          </w:p>
        </w:tc>
        <w:tc>
          <w:tcPr>
            <w:tcW w:w="1275" w:type="dxa"/>
            <w:tcBorders>
              <w:top w:val="single" w:color="auto" w:sz="4" w:space="0"/>
              <w:left w:val="single" w:color="auto" w:sz="4" w:space="0"/>
              <w:bottom w:val="single" w:color="auto" w:sz="4" w:space="0"/>
              <w:right w:val="single" w:color="auto" w:sz="4" w:space="0"/>
            </w:tcBorders>
            <w:vAlign w:val="center"/>
          </w:tcPr>
          <w:p w14:paraId="000E8FA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701" w:type="dxa"/>
            <w:tcBorders>
              <w:top w:val="single" w:color="auto" w:sz="4" w:space="0"/>
              <w:left w:val="single" w:color="auto" w:sz="4" w:space="0"/>
              <w:bottom w:val="single" w:color="auto" w:sz="4" w:space="0"/>
              <w:right w:val="single" w:color="auto" w:sz="4" w:space="0"/>
            </w:tcBorders>
            <w:vAlign w:val="center"/>
          </w:tcPr>
          <w:p w14:paraId="1A7F496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50</w:t>
            </w:r>
          </w:p>
        </w:tc>
        <w:tc>
          <w:tcPr>
            <w:tcW w:w="1701" w:type="dxa"/>
            <w:tcBorders>
              <w:top w:val="single" w:color="auto" w:sz="4" w:space="0"/>
              <w:left w:val="single" w:color="auto" w:sz="4" w:space="0"/>
              <w:bottom w:val="single" w:color="auto" w:sz="4" w:space="0"/>
              <w:right w:val="single" w:color="auto" w:sz="4" w:space="0"/>
            </w:tcBorders>
            <w:vAlign w:val="center"/>
          </w:tcPr>
          <w:p w14:paraId="4CA6E19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40</w:t>
            </w:r>
          </w:p>
        </w:tc>
      </w:tr>
      <w:tr w14:paraId="45B40393">
        <w:tblPrEx>
          <w:tblCellMar>
            <w:top w:w="0" w:type="dxa"/>
            <w:left w:w="108" w:type="dxa"/>
            <w:bottom w:w="0" w:type="dxa"/>
            <w:right w:w="108" w:type="dxa"/>
          </w:tblCellMar>
        </w:tblPrEx>
        <w:trPr>
          <w:trHeight w:val="277" w:hRule="atLeast"/>
        </w:trPr>
        <w:tc>
          <w:tcPr>
            <w:tcW w:w="850" w:type="dxa"/>
            <w:tcBorders>
              <w:top w:val="single" w:color="auto" w:sz="4" w:space="0"/>
              <w:left w:val="single" w:color="auto" w:sz="4" w:space="0"/>
              <w:bottom w:val="single" w:color="auto" w:sz="4" w:space="0"/>
              <w:right w:val="single" w:color="auto" w:sz="4" w:space="0"/>
            </w:tcBorders>
            <w:vAlign w:val="center"/>
          </w:tcPr>
          <w:p w14:paraId="1440800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1560" w:type="dxa"/>
            <w:tcBorders>
              <w:top w:val="single" w:color="auto" w:sz="4" w:space="0"/>
              <w:left w:val="single" w:color="auto" w:sz="4" w:space="0"/>
              <w:bottom w:val="single" w:color="auto" w:sz="4" w:space="0"/>
              <w:right w:val="single" w:color="auto" w:sz="4" w:space="0"/>
            </w:tcBorders>
            <w:vAlign w:val="center"/>
          </w:tcPr>
          <w:p w14:paraId="0C85FFF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1134" w:type="dxa"/>
            <w:tcBorders>
              <w:top w:val="single" w:color="auto" w:sz="4" w:space="0"/>
              <w:left w:val="nil"/>
              <w:bottom w:val="single" w:color="auto" w:sz="4" w:space="0"/>
              <w:right w:val="single" w:color="auto" w:sz="4" w:space="0"/>
            </w:tcBorders>
            <w:vAlign w:val="center"/>
          </w:tcPr>
          <w:p w14:paraId="7AB29E3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275" w:type="dxa"/>
            <w:tcBorders>
              <w:top w:val="single" w:color="auto" w:sz="4" w:space="0"/>
              <w:left w:val="nil"/>
              <w:bottom w:val="single" w:color="auto" w:sz="4" w:space="0"/>
              <w:right w:val="single" w:color="auto" w:sz="4" w:space="0"/>
            </w:tcBorders>
            <w:vAlign w:val="center"/>
          </w:tcPr>
          <w:p w14:paraId="5A2035D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single" w:color="auto" w:sz="4" w:space="0"/>
              <w:left w:val="nil"/>
              <w:bottom w:val="single" w:color="auto" w:sz="4" w:space="0"/>
              <w:right w:val="single" w:color="auto" w:sz="4" w:space="0"/>
            </w:tcBorders>
            <w:vAlign w:val="center"/>
          </w:tcPr>
          <w:p w14:paraId="3F61AA3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701" w:type="dxa"/>
            <w:tcBorders>
              <w:top w:val="single" w:color="auto" w:sz="4" w:space="0"/>
              <w:left w:val="nil"/>
              <w:bottom w:val="single" w:color="auto" w:sz="4" w:space="0"/>
              <w:right w:val="single" w:color="auto" w:sz="4" w:space="0"/>
            </w:tcBorders>
            <w:vAlign w:val="center"/>
          </w:tcPr>
          <w:p w14:paraId="25FC46BC">
            <w:pPr>
              <w:jc w:val="center"/>
              <w:rPr>
                <w:rFonts w:hint="eastAsia" w:ascii="宋体" w:hAnsi="宋体" w:eastAsia="宋体" w:cs="宋体"/>
                <w:bCs/>
                <w:color w:val="auto"/>
                <w:kern w:val="0"/>
                <w:sz w:val="21"/>
                <w:szCs w:val="21"/>
              </w:rPr>
            </w:pPr>
          </w:p>
        </w:tc>
      </w:tr>
      <w:tr w14:paraId="3D02770E">
        <w:tblPrEx>
          <w:tblCellMar>
            <w:top w:w="0" w:type="dxa"/>
            <w:left w:w="108" w:type="dxa"/>
            <w:bottom w:w="0" w:type="dxa"/>
            <w:right w:w="108" w:type="dxa"/>
          </w:tblCellMar>
        </w:tblPrEx>
        <w:trPr>
          <w:trHeight w:val="238" w:hRule="atLeast"/>
        </w:trPr>
        <w:tc>
          <w:tcPr>
            <w:tcW w:w="850" w:type="dxa"/>
            <w:tcBorders>
              <w:top w:val="nil"/>
              <w:left w:val="single" w:color="auto" w:sz="4" w:space="0"/>
              <w:bottom w:val="single" w:color="auto" w:sz="4" w:space="0"/>
              <w:right w:val="single" w:color="auto" w:sz="4" w:space="0"/>
            </w:tcBorders>
            <w:vAlign w:val="center"/>
          </w:tcPr>
          <w:p w14:paraId="5F0C0706">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1560" w:type="dxa"/>
            <w:tcBorders>
              <w:top w:val="single" w:color="auto" w:sz="4" w:space="0"/>
              <w:left w:val="single" w:color="auto" w:sz="4" w:space="0"/>
              <w:bottom w:val="single" w:color="auto" w:sz="4" w:space="0"/>
              <w:right w:val="single" w:color="auto" w:sz="4" w:space="0"/>
            </w:tcBorders>
            <w:vAlign w:val="center"/>
          </w:tcPr>
          <w:p w14:paraId="298BC34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1134" w:type="dxa"/>
            <w:tcBorders>
              <w:top w:val="nil"/>
              <w:left w:val="nil"/>
              <w:bottom w:val="single" w:color="auto" w:sz="4" w:space="0"/>
              <w:right w:val="single" w:color="auto" w:sz="4" w:space="0"/>
            </w:tcBorders>
            <w:vAlign w:val="center"/>
          </w:tcPr>
          <w:p w14:paraId="5BDB2D2B">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275" w:type="dxa"/>
            <w:tcBorders>
              <w:top w:val="nil"/>
              <w:left w:val="nil"/>
              <w:bottom w:val="single" w:color="auto" w:sz="4" w:space="0"/>
              <w:right w:val="single" w:color="auto" w:sz="4" w:space="0"/>
            </w:tcBorders>
            <w:vAlign w:val="center"/>
          </w:tcPr>
          <w:p w14:paraId="603A4DF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3B4EEC0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701" w:type="dxa"/>
            <w:tcBorders>
              <w:top w:val="nil"/>
              <w:left w:val="nil"/>
              <w:bottom w:val="single" w:color="auto" w:sz="4" w:space="0"/>
              <w:right w:val="single" w:color="auto" w:sz="4" w:space="0"/>
            </w:tcBorders>
            <w:vAlign w:val="center"/>
          </w:tcPr>
          <w:p w14:paraId="475722A9">
            <w:pPr>
              <w:jc w:val="center"/>
              <w:rPr>
                <w:rFonts w:hint="eastAsia" w:ascii="宋体" w:hAnsi="宋体" w:eastAsia="宋体" w:cs="宋体"/>
                <w:bCs/>
                <w:color w:val="auto"/>
                <w:kern w:val="0"/>
                <w:sz w:val="21"/>
                <w:szCs w:val="21"/>
              </w:rPr>
            </w:pPr>
          </w:p>
        </w:tc>
      </w:tr>
      <w:tr w14:paraId="4A2DA938">
        <w:tblPrEx>
          <w:tblCellMar>
            <w:top w:w="0" w:type="dxa"/>
            <w:left w:w="108" w:type="dxa"/>
            <w:bottom w:w="0" w:type="dxa"/>
            <w:right w:w="108" w:type="dxa"/>
          </w:tblCellMar>
        </w:tblPrEx>
        <w:trPr>
          <w:trHeight w:val="343" w:hRule="atLeast"/>
        </w:trPr>
        <w:tc>
          <w:tcPr>
            <w:tcW w:w="850" w:type="dxa"/>
            <w:tcBorders>
              <w:top w:val="single" w:color="auto" w:sz="4" w:space="0"/>
              <w:left w:val="single" w:color="auto" w:sz="4" w:space="0"/>
              <w:bottom w:val="single" w:color="auto" w:sz="4" w:space="0"/>
              <w:right w:val="single" w:color="auto" w:sz="4" w:space="0"/>
            </w:tcBorders>
            <w:vAlign w:val="center"/>
          </w:tcPr>
          <w:p w14:paraId="727F8E6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1560" w:type="dxa"/>
            <w:tcBorders>
              <w:top w:val="single" w:color="auto" w:sz="4" w:space="0"/>
              <w:left w:val="single" w:color="auto" w:sz="4" w:space="0"/>
              <w:bottom w:val="single" w:color="auto" w:sz="4" w:space="0"/>
              <w:right w:val="single" w:color="auto" w:sz="4" w:space="0"/>
            </w:tcBorders>
            <w:vAlign w:val="center"/>
          </w:tcPr>
          <w:p w14:paraId="23105D4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1134" w:type="dxa"/>
            <w:tcBorders>
              <w:top w:val="single" w:color="auto" w:sz="4" w:space="0"/>
              <w:left w:val="single" w:color="auto" w:sz="4" w:space="0"/>
              <w:bottom w:val="single" w:color="auto" w:sz="4" w:space="0"/>
              <w:right w:val="single" w:color="auto" w:sz="4" w:space="0"/>
            </w:tcBorders>
            <w:vAlign w:val="center"/>
          </w:tcPr>
          <w:p w14:paraId="481E49E4">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65</w:t>
            </w:r>
          </w:p>
        </w:tc>
        <w:tc>
          <w:tcPr>
            <w:tcW w:w="1275" w:type="dxa"/>
            <w:tcBorders>
              <w:top w:val="single" w:color="auto" w:sz="4" w:space="0"/>
              <w:left w:val="single" w:color="auto" w:sz="4" w:space="0"/>
              <w:bottom w:val="single" w:color="auto" w:sz="4" w:space="0"/>
              <w:right w:val="single" w:color="auto" w:sz="4" w:space="0"/>
            </w:tcBorders>
            <w:vAlign w:val="center"/>
          </w:tcPr>
          <w:p w14:paraId="5CF44BE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701" w:type="dxa"/>
            <w:tcBorders>
              <w:top w:val="single" w:color="auto" w:sz="4" w:space="0"/>
              <w:left w:val="single" w:color="auto" w:sz="4" w:space="0"/>
              <w:bottom w:val="single" w:color="auto" w:sz="4" w:space="0"/>
              <w:right w:val="single" w:color="auto" w:sz="4" w:space="0"/>
            </w:tcBorders>
            <w:vAlign w:val="center"/>
          </w:tcPr>
          <w:p w14:paraId="02C92D1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701" w:type="dxa"/>
            <w:tcBorders>
              <w:top w:val="single" w:color="auto" w:sz="4" w:space="0"/>
              <w:left w:val="single" w:color="auto" w:sz="4" w:space="0"/>
              <w:bottom w:val="single" w:color="auto" w:sz="4" w:space="0"/>
              <w:right w:val="single" w:color="auto" w:sz="4" w:space="0"/>
            </w:tcBorders>
            <w:vAlign w:val="center"/>
          </w:tcPr>
          <w:p w14:paraId="5786CDF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30</w:t>
            </w:r>
          </w:p>
        </w:tc>
      </w:tr>
      <w:tr w14:paraId="083559AB">
        <w:tblPrEx>
          <w:tblCellMar>
            <w:top w:w="0" w:type="dxa"/>
            <w:left w:w="108" w:type="dxa"/>
            <w:bottom w:w="0" w:type="dxa"/>
            <w:right w:w="108" w:type="dxa"/>
          </w:tblCellMar>
        </w:tblPrEx>
        <w:trPr>
          <w:trHeight w:val="276" w:hRule="atLeast"/>
        </w:trPr>
        <w:tc>
          <w:tcPr>
            <w:tcW w:w="850" w:type="dxa"/>
            <w:tcBorders>
              <w:top w:val="single" w:color="auto" w:sz="4" w:space="0"/>
              <w:left w:val="single" w:color="auto" w:sz="4" w:space="0"/>
              <w:bottom w:val="single" w:color="auto" w:sz="4" w:space="0"/>
              <w:right w:val="single" w:color="auto" w:sz="4" w:space="0"/>
            </w:tcBorders>
            <w:vAlign w:val="center"/>
          </w:tcPr>
          <w:p w14:paraId="0AE994F3">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1560" w:type="dxa"/>
            <w:tcBorders>
              <w:top w:val="single" w:color="auto" w:sz="4" w:space="0"/>
              <w:left w:val="single" w:color="auto" w:sz="4" w:space="0"/>
              <w:bottom w:val="single" w:color="auto" w:sz="4" w:space="0"/>
              <w:right w:val="single" w:color="auto" w:sz="4" w:space="0"/>
            </w:tcBorders>
            <w:vAlign w:val="center"/>
          </w:tcPr>
          <w:p w14:paraId="171FB10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1134" w:type="dxa"/>
            <w:tcBorders>
              <w:top w:val="single" w:color="auto" w:sz="4" w:space="0"/>
              <w:left w:val="nil"/>
              <w:bottom w:val="single" w:color="auto" w:sz="4" w:space="0"/>
              <w:right w:val="single" w:color="auto" w:sz="4" w:space="0"/>
            </w:tcBorders>
            <w:vAlign w:val="center"/>
          </w:tcPr>
          <w:p w14:paraId="228B014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75" w:type="dxa"/>
            <w:tcBorders>
              <w:top w:val="single" w:color="auto" w:sz="4" w:space="0"/>
              <w:left w:val="nil"/>
              <w:bottom w:val="single" w:color="auto" w:sz="4" w:space="0"/>
              <w:right w:val="single" w:color="auto" w:sz="4" w:space="0"/>
            </w:tcBorders>
            <w:vAlign w:val="center"/>
          </w:tcPr>
          <w:p w14:paraId="4E7F065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single" w:color="auto" w:sz="4" w:space="0"/>
              <w:left w:val="nil"/>
              <w:bottom w:val="single" w:color="auto" w:sz="4" w:space="0"/>
              <w:right w:val="single" w:color="auto" w:sz="4" w:space="0"/>
            </w:tcBorders>
            <w:vAlign w:val="center"/>
          </w:tcPr>
          <w:p w14:paraId="1D0D175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701" w:type="dxa"/>
            <w:tcBorders>
              <w:top w:val="single" w:color="auto" w:sz="4" w:space="0"/>
              <w:left w:val="nil"/>
              <w:bottom w:val="single" w:color="auto" w:sz="4" w:space="0"/>
              <w:right w:val="single" w:color="auto" w:sz="4" w:space="0"/>
            </w:tcBorders>
            <w:vAlign w:val="center"/>
          </w:tcPr>
          <w:p w14:paraId="63D2D72A">
            <w:pPr>
              <w:jc w:val="center"/>
              <w:rPr>
                <w:rFonts w:hint="eastAsia" w:ascii="宋体" w:hAnsi="宋体" w:eastAsia="宋体" w:cs="宋体"/>
                <w:bCs/>
                <w:color w:val="auto"/>
                <w:kern w:val="0"/>
                <w:sz w:val="21"/>
                <w:szCs w:val="21"/>
              </w:rPr>
            </w:pPr>
          </w:p>
        </w:tc>
      </w:tr>
      <w:tr w14:paraId="1728A268">
        <w:tblPrEx>
          <w:tblCellMar>
            <w:top w:w="0" w:type="dxa"/>
            <w:left w:w="108" w:type="dxa"/>
            <w:bottom w:w="0" w:type="dxa"/>
            <w:right w:w="108" w:type="dxa"/>
          </w:tblCellMar>
        </w:tblPrEx>
        <w:trPr>
          <w:trHeight w:val="268" w:hRule="atLeast"/>
        </w:trPr>
        <w:tc>
          <w:tcPr>
            <w:tcW w:w="850" w:type="dxa"/>
            <w:tcBorders>
              <w:top w:val="nil"/>
              <w:left w:val="single" w:color="auto" w:sz="4" w:space="0"/>
              <w:bottom w:val="single" w:color="auto" w:sz="4" w:space="0"/>
              <w:right w:val="single" w:color="auto" w:sz="4" w:space="0"/>
            </w:tcBorders>
            <w:vAlign w:val="center"/>
          </w:tcPr>
          <w:p w14:paraId="02F3E20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1560" w:type="dxa"/>
            <w:tcBorders>
              <w:top w:val="single" w:color="auto" w:sz="4" w:space="0"/>
              <w:left w:val="single" w:color="auto" w:sz="4" w:space="0"/>
              <w:bottom w:val="single" w:color="auto" w:sz="4" w:space="0"/>
              <w:right w:val="single" w:color="auto" w:sz="4" w:space="0"/>
            </w:tcBorders>
            <w:vAlign w:val="center"/>
          </w:tcPr>
          <w:p w14:paraId="41A0B39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1134" w:type="dxa"/>
            <w:tcBorders>
              <w:top w:val="nil"/>
              <w:left w:val="nil"/>
              <w:bottom w:val="single" w:color="auto" w:sz="4" w:space="0"/>
              <w:right w:val="single" w:color="auto" w:sz="4" w:space="0"/>
            </w:tcBorders>
            <w:vAlign w:val="center"/>
          </w:tcPr>
          <w:p w14:paraId="4D0BCAE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75" w:type="dxa"/>
            <w:tcBorders>
              <w:top w:val="nil"/>
              <w:left w:val="nil"/>
              <w:bottom w:val="single" w:color="auto" w:sz="4" w:space="0"/>
              <w:right w:val="single" w:color="auto" w:sz="4" w:space="0"/>
            </w:tcBorders>
            <w:vAlign w:val="center"/>
          </w:tcPr>
          <w:p w14:paraId="5144C3B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66E6635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701" w:type="dxa"/>
            <w:tcBorders>
              <w:top w:val="nil"/>
              <w:left w:val="nil"/>
              <w:bottom w:val="single" w:color="auto" w:sz="4" w:space="0"/>
              <w:right w:val="single" w:color="auto" w:sz="4" w:space="0"/>
            </w:tcBorders>
            <w:vAlign w:val="center"/>
          </w:tcPr>
          <w:p w14:paraId="1E9A1432">
            <w:pPr>
              <w:jc w:val="center"/>
              <w:rPr>
                <w:rFonts w:hint="eastAsia" w:ascii="宋体" w:hAnsi="宋体" w:eastAsia="宋体" w:cs="宋体"/>
                <w:bCs/>
                <w:color w:val="auto"/>
                <w:kern w:val="0"/>
                <w:sz w:val="21"/>
                <w:szCs w:val="21"/>
              </w:rPr>
            </w:pPr>
          </w:p>
        </w:tc>
      </w:tr>
      <w:tr w14:paraId="5D11CB07">
        <w:tblPrEx>
          <w:tblCellMar>
            <w:top w:w="0" w:type="dxa"/>
            <w:left w:w="108" w:type="dxa"/>
            <w:bottom w:w="0" w:type="dxa"/>
            <w:right w:w="108" w:type="dxa"/>
          </w:tblCellMar>
        </w:tblPrEx>
        <w:trPr>
          <w:trHeight w:val="200" w:hRule="atLeast"/>
        </w:trPr>
        <w:tc>
          <w:tcPr>
            <w:tcW w:w="850" w:type="dxa"/>
            <w:tcBorders>
              <w:top w:val="nil"/>
              <w:left w:val="single" w:color="auto" w:sz="4" w:space="0"/>
              <w:bottom w:val="single" w:color="auto" w:sz="4" w:space="0"/>
              <w:right w:val="single" w:color="auto" w:sz="4" w:space="0"/>
            </w:tcBorders>
            <w:vAlign w:val="center"/>
          </w:tcPr>
          <w:p w14:paraId="6F8FAB3E">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1560" w:type="dxa"/>
            <w:tcBorders>
              <w:top w:val="single" w:color="auto" w:sz="4" w:space="0"/>
              <w:left w:val="single" w:color="auto" w:sz="4" w:space="0"/>
              <w:bottom w:val="single" w:color="auto" w:sz="4" w:space="0"/>
              <w:right w:val="single" w:color="auto" w:sz="4" w:space="0"/>
            </w:tcBorders>
            <w:vAlign w:val="center"/>
          </w:tcPr>
          <w:p w14:paraId="4FADFFE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1134" w:type="dxa"/>
            <w:tcBorders>
              <w:top w:val="nil"/>
              <w:left w:val="nil"/>
              <w:bottom w:val="single" w:color="auto" w:sz="4" w:space="0"/>
              <w:right w:val="single" w:color="auto" w:sz="4" w:space="0"/>
            </w:tcBorders>
            <w:vAlign w:val="center"/>
          </w:tcPr>
          <w:p w14:paraId="53BD0F06">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75" w:type="dxa"/>
            <w:tcBorders>
              <w:top w:val="nil"/>
              <w:left w:val="nil"/>
              <w:bottom w:val="single" w:color="auto" w:sz="4" w:space="0"/>
              <w:right w:val="single" w:color="auto" w:sz="4" w:space="0"/>
            </w:tcBorders>
            <w:vAlign w:val="center"/>
          </w:tcPr>
          <w:p w14:paraId="610217B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4420640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701" w:type="dxa"/>
            <w:tcBorders>
              <w:top w:val="nil"/>
              <w:left w:val="nil"/>
              <w:bottom w:val="single" w:color="auto" w:sz="4" w:space="0"/>
              <w:right w:val="single" w:color="auto" w:sz="4" w:space="0"/>
            </w:tcBorders>
            <w:vAlign w:val="center"/>
          </w:tcPr>
          <w:p w14:paraId="131FD92F">
            <w:pPr>
              <w:jc w:val="center"/>
              <w:rPr>
                <w:rFonts w:hint="eastAsia" w:ascii="宋体" w:hAnsi="宋体" w:eastAsia="宋体" w:cs="宋体"/>
                <w:bCs/>
                <w:color w:val="auto"/>
                <w:kern w:val="0"/>
                <w:sz w:val="21"/>
                <w:szCs w:val="21"/>
              </w:rPr>
            </w:pPr>
          </w:p>
        </w:tc>
      </w:tr>
      <w:tr w14:paraId="2F000F93">
        <w:tblPrEx>
          <w:tblCellMar>
            <w:top w:w="0" w:type="dxa"/>
            <w:left w:w="108" w:type="dxa"/>
            <w:bottom w:w="0" w:type="dxa"/>
            <w:right w:w="108" w:type="dxa"/>
          </w:tblCellMar>
        </w:tblPrEx>
        <w:trPr>
          <w:trHeight w:val="224" w:hRule="atLeast"/>
        </w:trPr>
        <w:tc>
          <w:tcPr>
            <w:tcW w:w="850" w:type="dxa"/>
            <w:tcBorders>
              <w:top w:val="nil"/>
              <w:left w:val="single" w:color="auto" w:sz="4" w:space="0"/>
              <w:bottom w:val="single" w:color="auto" w:sz="4" w:space="0"/>
              <w:right w:val="single" w:color="auto" w:sz="4" w:space="0"/>
            </w:tcBorders>
            <w:vAlign w:val="center"/>
          </w:tcPr>
          <w:p w14:paraId="781393D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1560" w:type="dxa"/>
            <w:tcBorders>
              <w:top w:val="single" w:color="auto" w:sz="4" w:space="0"/>
              <w:left w:val="single" w:color="auto" w:sz="4" w:space="0"/>
              <w:bottom w:val="single" w:color="auto" w:sz="4" w:space="0"/>
              <w:right w:val="single" w:color="auto" w:sz="4" w:space="0"/>
            </w:tcBorders>
            <w:vAlign w:val="center"/>
          </w:tcPr>
          <w:p w14:paraId="41047A5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1134" w:type="dxa"/>
            <w:tcBorders>
              <w:top w:val="nil"/>
              <w:left w:val="nil"/>
              <w:bottom w:val="single" w:color="auto" w:sz="4" w:space="0"/>
              <w:right w:val="single" w:color="auto" w:sz="4" w:space="0"/>
            </w:tcBorders>
            <w:vAlign w:val="center"/>
          </w:tcPr>
          <w:p w14:paraId="6E823FF4">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75" w:type="dxa"/>
            <w:tcBorders>
              <w:top w:val="nil"/>
              <w:left w:val="nil"/>
              <w:bottom w:val="single" w:color="auto" w:sz="4" w:space="0"/>
              <w:right w:val="single" w:color="auto" w:sz="4" w:space="0"/>
            </w:tcBorders>
            <w:vAlign w:val="center"/>
          </w:tcPr>
          <w:p w14:paraId="18BE382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701" w:type="dxa"/>
            <w:tcBorders>
              <w:top w:val="nil"/>
              <w:left w:val="nil"/>
              <w:bottom w:val="single" w:color="auto" w:sz="4" w:space="0"/>
              <w:right w:val="single" w:color="auto" w:sz="4" w:space="0"/>
            </w:tcBorders>
            <w:vAlign w:val="center"/>
          </w:tcPr>
          <w:p w14:paraId="4340636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701" w:type="dxa"/>
            <w:tcBorders>
              <w:top w:val="nil"/>
              <w:left w:val="nil"/>
              <w:bottom w:val="single" w:color="auto" w:sz="4" w:space="0"/>
              <w:right w:val="single" w:color="auto" w:sz="4" w:space="0"/>
            </w:tcBorders>
            <w:vAlign w:val="center"/>
          </w:tcPr>
          <w:p w14:paraId="5877889B">
            <w:pPr>
              <w:jc w:val="center"/>
              <w:rPr>
                <w:rFonts w:hint="eastAsia" w:ascii="宋体" w:hAnsi="宋体" w:eastAsia="宋体" w:cs="宋体"/>
                <w:bCs/>
                <w:color w:val="auto"/>
                <w:kern w:val="0"/>
                <w:sz w:val="21"/>
                <w:szCs w:val="21"/>
              </w:rPr>
            </w:pPr>
          </w:p>
        </w:tc>
      </w:tr>
    </w:tbl>
    <w:p w14:paraId="24C52635">
      <w:pPr>
        <w:spacing w:line="336" w:lineRule="auto"/>
        <w:rPr>
          <w:rFonts w:ascii="宋体" w:hAnsi="宋体" w:eastAsia="宋体" w:cs="宋体"/>
          <w:b/>
          <w:bCs/>
          <w:color w:val="auto"/>
          <w:szCs w:val="21"/>
        </w:rPr>
      </w:pPr>
    </w:p>
    <w:p w14:paraId="09F1A2D8">
      <w:pPr>
        <w:adjustRightInd w:val="0"/>
        <w:spacing w:line="312" w:lineRule="auto"/>
        <w:rPr>
          <w:rFonts w:hint="eastAsia" w:ascii="宋体" w:hAnsi="宋体" w:eastAsia="宋体" w:cs="宋体"/>
          <w:b/>
          <w:bCs/>
          <w:color w:val="auto"/>
          <w:szCs w:val="21"/>
        </w:rPr>
      </w:pPr>
    </w:p>
    <w:p w14:paraId="01500DF8">
      <w:pPr>
        <w:adjustRightInd w:val="0"/>
        <w:spacing w:line="312" w:lineRule="auto"/>
        <w:rPr>
          <w:rFonts w:ascii="宋体" w:hAnsi="宋体" w:eastAsia="宋体" w:cs="宋体"/>
          <w:color w:val="auto"/>
          <w:sz w:val="24"/>
          <w:szCs w:val="24"/>
        </w:rPr>
      </w:pP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rPr>
        <w:t>、付款方式</w:t>
      </w:r>
    </w:p>
    <w:p w14:paraId="18EB1BDE">
      <w:pPr>
        <w:spacing w:line="312" w:lineRule="auto"/>
        <w:ind w:left="210" w:leftChars="100" w:firstLine="422" w:firstLineChars="200"/>
        <w:outlineLvl w:val="0"/>
        <w:rPr>
          <w:rFonts w:ascii="Times New Roman" w:hAnsi="Times New Roman" w:eastAsia="宋体" w:cs="Times New Roman"/>
          <w:b/>
          <w:bCs w:val="0"/>
          <w:color w:val="auto"/>
          <w:sz w:val="24"/>
        </w:rPr>
      </w:pPr>
      <w:r>
        <w:rPr>
          <w:rFonts w:hint="eastAsia" w:ascii="宋体" w:hAnsi="宋体" w:eastAsia="宋体" w:cs="宋体"/>
          <w:b/>
          <w:bCs w:val="0"/>
          <w:color w:val="auto"/>
          <w:szCs w:val="21"/>
        </w:rPr>
        <w:t>合同生效以及具备实施条件，收到合法票据后</w:t>
      </w:r>
      <w:r>
        <w:rPr>
          <w:rFonts w:ascii="宋体" w:hAnsi="宋体" w:eastAsia="宋体" w:cs="宋体"/>
          <w:b/>
          <w:bCs w:val="0"/>
          <w:color w:val="auto"/>
          <w:szCs w:val="21"/>
        </w:rPr>
        <w:t>7个工作日内</w:t>
      </w:r>
      <w:r>
        <w:rPr>
          <w:rFonts w:hint="eastAsia" w:ascii="宋体" w:hAnsi="宋体" w:eastAsia="宋体" w:cs="宋体"/>
          <w:b/>
          <w:bCs w:val="0"/>
          <w:color w:val="auto"/>
          <w:szCs w:val="21"/>
        </w:rPr>
        <w:t>支付</w:t>
      </w:r>
      <w:r>
        <w:rPr>
          <w:rFonts w:hint="eastAsia" w:ascii="宋体" w:hAnsi="宋体" w:eastAsia="宋体" w:cs="宋体"/>
          <w:b/>
          <w:bCs w:val="0"/>
          <w:color w:val="auto"/>
          <w:szCs w:val="21"/>
          <w:lang w:val="en-US" w:eastAsia="zh-CN"/>
        </w:rPr>
        <w:t>5</w:t>
      </w:r>
      <w:r>
        <w:rPr>
          <w:rFonts w:hint="eastAsia" w:ascii="宋体" w:hAnsi="宋体" w:eastAsia="宋体" w:cs="宋体"/>
          <w:b/>
          <w:bCs w:val="0"/>
          <w:color w:val="auto"/>
          <w:szCs w:val="21"/>
        </w:rPr>
        <w:t>0%的预付款，增殖放流结束并通过验收后，采购人在收到中标人提供的合法票据后</w:t>
      </w:r>
      <w:r>
        <w:rPr>
          <w:rFonts w:ascii="宋体" w:hAnsi="宋体" w:eastAsia="宋体" w:cs="宋体"/>
          <w:b/>
          <w:bCs w:val="0"/>
          <w:color w:val="auto"/>
          <w:szCs w:val="21"/>
        </w:rPr>
        <w:t>7个工作日内</w:t>
      </w:r>
      <w:r>
        <w:rPr>
          <w:rFonts w:hint="eastAsia" w:ascii="宋体" w:hAnsi="宋体" w:eastAsia="宋体" w:cs="宋体"/>
          <w:b/>
          <w:bCs w:val="0"/>
          <w:color w:val="auto"/>
          <w:szCs w:val="21"/>
        </w:rPr>
        <w:t>支付剩余款项。</w:t>
      </w:r>
    </w:p>
    <w:p w14:paraId="58643379">
      <w:pPr>
        <w:spacing w:line="312" w:lineRule="auto"/>
        <w:outlineLvl w:val="0"/>
        <w:rPr>
          <w:rFonts w:ascii="Times New Roman" w:hAnsi="Times New Roman" w:eastAsia="宋体" w:cs="Times New Roman"/>
          <w:b/>
          <w:color w:val="auto"/>
          <w:sz w:val="24"/>
        </w:rPr>
      </w:pPr>
    </w:p>
    <w:p w14:paraId="4BB593A3">
      <w:pPr>
        <w:pageBreakBefore/>
        <w:snapToGrid w:val="0"/>
        <w:jc w:val="center"/>
        <w:rPr>
          <w:rFonts w:ascii="Times New Roman" w:hAnsi="Times New Roman" w:eastAsia="宋体" w:cs="Times New Roman"/>
          <w:color w:val="auto"/>
          <w:sz w:val="28"/>
        </w:rPr>
      </w:pPr>
      <w:r>
        <w:rPr>
          <w:rFonts w:hint="eastAsia" w:ascii="Times New Roman" w:hAnsi="Times New Roman" w:eastAsia="宋体" w:cs="Times New Roman"/>
          <w:b/>
          <w:color w:val="auto"/>
          <w:sz w:val="32"/>
        </w:rPr>
        <w:t>第三章投标人须知</w:t>
      </w:r>
    </w:p>
    <w:p w14:paraId="193A593D">
      <w:pPr>
        <w:snapToGrid w:val="0"/>
        <w:ind w:firstLine="4340" w:firstLineChars="1550"/>
        <w:rPr>
          <w:rFonts w:ascii="Times New Roman" w:hAnsi="Times New Roman" w:eastAsia="宋体" w:cs="Times New Roman"/>
          <w:color w:val="auto"/>
          <w:sz w:val="28"/>
        </w:rPr>
      </w:pPr>
      <w:r>
        <w:rPr>
          <w:rFonts w:hint="eastAsia" w:ascii="Times New Roman" w:hAnsi="Times New Roman" w:eastAsia="宋体" w:cs="Times New Roman"/>
          <w:color w:val="auto"/>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354"/>
      </w:tblGrid>
      <w:tr w14:paraId="27B14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7786B1">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BAF996">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内容说明及要求</w:t>
            </w:r>
          </w:p>
        </w:tc>
      </w:tr>
      <w:tr w14:paraId="46A6B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52EBD9F">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4820902">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93EF649">
            <w:pPr>
              <w:spacing w:line="240" w:lineRule="exact"/>
              <w:rPr>
                <w:rFonts w:hint="eastAsia" w:ascii="Times New Roman" w:hAnsi="Times New Roman" w:eastAsia="宋体" w:cs="Times New Roman"/>
                <w:bCs/>
                <w:color w:val="auto"/>
                <w:lang w:val="zh-CN" w:eastAsia="zh-CN"/>
              </w:rPr>
            </w:pPr>
            <w:r>
              <w:rPr>
                <w:rFonts w:hint="eastAsia" w:ascii="Times New Roman" w:hAnsi="Times New Roman" w:eastAsia="宋体" w:cs="Times New Roman"/>
                <w:color w:val="auto"/>
                <w:lang w:eastAsia="zh-CN"/>
              </w:rPr>
              <w:t xml:space="preserve">2025年舟山市（本级）海洋水生生物增殖放流 </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F8B5F9">
            <w:pPr>
              <w:spacing w:line="240" w:lineRule="exact"/>
              <w:jc w:val="center"/>
              <w:rPr>
                <w:rFonts w:ascii="Times New Roman" w:hAnsi="Times New Roman" w:eastAsia="宋体" w:cs="Times New Roman"/>
                <w:bCs/>
                <w:color w:val="auto"/>
              </w:rPr>
            </w:pPr>
            <w:r>
              <w:rPr>
                <w:rFonts w:hint="eastAsia" w:ascii="Times New Roman" w:hAnsi="Times New Roman" w:eastAsia="宋体" w:cs="Times New Roman"/>
                <w:b/>
                <w:color w:val="auto"/>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CE8999E">
            <w:pPr>
              <w:spacing w:line="240" w:lineRule="exact"/>
              <w:rPr>
                <w:rFonts w:hint="eastAsia" w:ascii="Times New Roman" w:hAnsi="Times New Roman" w:eastAsia="宋体" w:cs="Times New Roman"/>
                <w:bCs/>
                <w:color w:val="auto"/>
                <w:lang w:eastAsia="zh-CN"/>
              </w:rPr>
            </w:pPr>
            <w:r>
              <w:rPr>
                <w:rFonts w:hint="eastAsia" w:ascii="Times New Roman" w:hAnsi="Times New Roman" w:eastAsia="宋体" w:cs="Times New Roman"/>
                <w:color w:val="auto"/>
                <w:lang w:eastAsia="zh-CN"/>
              </w:rPr>
              <w:t>SZGXZS2025059</w:t>
            </w:r>
          </w:p>
        </w:tc>
      </w:tr>
      <w:tr w14:paraId="22D28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24158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854570">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采购单位名称</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AC55396">
            <w:pPr>
              <w:spacing w:line="240" w:lineRule="exact"/>
              <w:rPr>
                <w:rFonts w:hint="eastAsia" w:ascii="Times New Roman" w:hAnsi="Times New Roman" w:eastAsia="宋体" w:cs="Times New Roman"/>
                <w:bCs/>
                <w:color w:val="auto"/>
                <w:lang w:eastAsia="zh-CN"/>
              </w:rPr>
            </w:pPr>
            <w:r>
              <w:rPr>
                <w:rFonts w:hint="eastAsia" w:ascii="Times New Roman" w:hAnsi="Times New Roman" w:eastAsia="宋体" w:cs="Times New Roman"/>
                <w:color w:val="auto"/>
                <w:lang w:eastAsia="zh-CN"/>
              </w:rPr>
              <w:t>舟山市海洋经济发展局</w:t>
            </w:r>
          </w:p>
        </w:tc>
      </w:tr>
      <w:tr w14:paraId="40A85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97A9FE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8AFA9DF">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采购内容</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8036" w:type="dxa"/>
              <w:tblInd w:w="0" w:type="dxa"/>
              <w:tblLayout w:type="fixed"/>
              <w:tblCellMar>
                <w:top w:w="15" w:type="dxa"/>
                <w:left w:w="15" w:type="dxa"/>
                <w:bottom w:w="15" w:type="dxa"/>
                <w:right w:w="15" w:type="dxa"/>
              </w:tblCellMar>
            </w:tblPr>
            <w:tblGrid>
              <w:gridCol w:w="400"/>
              <w:gridCol w:w="1053"/>
              <w:gridCol w:w="908"/>
              <w:gridCol w:w="678"/>
              <w:gridCol w:w="991"/>
              <w:gridCol w:w="797"/>
              <w:gridCol w:w="592"/>
              <w:gridCol w:w="517"/>
              <w:gridCol w:w="754"/>
              <w:gridCol w:w="1346"/>
            </w:tblGrid>
            <w:tr w14:paraId="2C551A78">
              <w:tblPrEx>
                <w:tblCellMar>
                  <w:top w:w="15" w:type="dxa"/>
                  <w:left w:w="15" w:type="dxa"/>
                  <w:bottom w:w="15" w:type="dxa"/>
                  <w:right w:w="15" w:type="dxa"/>
                </w:tblCellMar>
              </w:tblPrEx>
              <w:trPr>
                <w:trHeight w:val="500" w:hRule="atLeast"/>
              </w:trPr>
              <w:tc>
                <w:tcPr>
                  <w:tcW w:w="400" w:type="dxa"/>
                  <w:vMerge w:val="restart"/>
                  <w:tcBorders>
                    <w:top w:val="single" w:color="000000" w:sz="4" w:space="0"/>
                    <w:left w:val="single" w:color="000000" w:sz="4" w:space="0"/>
                    <w:right w:val="single" w:color="000000" w:sz="4" w:space="0"/>
                  </w:tcBorders>
                  <w:vAlign w:val="center"/>
                </w:tcPr>
                <w:p w14:paraId="70B727EF">
                  <w:pPr>
                    <w:jc w:val="center"/>
                    <w:rPr>
                      <w:rFonts w:ascii="宋体" w:hAnsi="宋体" w:eastAsia="宋体" w:cs="宋体"/>
                      <w:b/>
                      <w:color w:val="auto"/>
                      <w:sz w:val="18"/>
                      <w:szCs w:val="18"/>
                    </w:rPr>
                  </w:pPr>
                  <w:r>
                    <w:rPr>
                      <w:rFonts w:hint="eastAsia" w:ascii="宋体" w:hAnsi="宋体" w:eastAsia="宋体" w:cs="Times New Roman"/>
                      <w:b/>
                      <w:color w:val="auto"/>
                      <w:sz w:val="18"/>
                      <w:szCs w:val="18"/>
                    </w:rPr>
                    <w:t>标项</w:t>
                  </w:r>
                </w:p>
              </w:tc>
              <w:tc>
                <w:tcPr>
                  <w:tcW w:w="1053" w:type="dxa"/>
                  <w:vMerge w:val="restart"/>
                  <w:tcBorders>
                    <w:top w:val="single" w:color="000000" w:sz="4" w:space="0"/>
                    <w:left w:val="single" w:color="000000" w:sz="4" w:space="0"/>
                    <w:right w:val="single" w:color="000000" w:sz="4" w:space="0"/>
                  </w:tcBorders>
                  <w:vAlign w:val="center"/>
                </w:tcPr>
                <w:p w14:paraId="76867B72">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品种</w:t>
                  </w:r>
                </w:p>
              </w:tc>
              <w:tc>
                <w:tcPr>
                  <w:tcW w:w="908" w:type="dxa"/>
                  <w:vMerge w:val="restart"/>
                  <w:tcBorders>
                    <w:top w:val="single" w:color="000000" w:sz="4" w:space="0"/>
                    <w:left w:val="single" w:color="000000" w:sz="4" w:space="0"/>
                    <w:right w:val="single" w:color="000000" w:sz="4" w:space="0"/>
                  </w:tcBorders>
                  <w:vAlign w:val="center"/>
                </w:tcPr>
                <w:p w14:paraId="080BDEA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规格(≥)</w:t>
                  </w:r>
                </w:p>
              </w:tc>
              <w:tc>
                <w:tcPr>
                  <w:tcW w:w="678" w:type="dxa"/>
                  <w:vMerge w:val="restart"/>
                  <w:tcBorders>
                    <w:top w:val="single" w:color="000000" w:sz="4" w:space="0"/>
                    <w:left w:val="single" w:color="000000" w:sz="4" w:space="0"/>
                    <w:right w:val="single" w:color="000000" w:sz="4" w:space="0"/>
                  </w:tcBorders>
                  <w:vAlign w:val="center"/>
                </w:tcPr>
                <w:p w14:paraId="0F595538">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种苗金额(万元)</w:t>
                  </w:r>
                </w:p>
              </w:tc>
              <w:tc>
                <w:tcPr>
                  <w:tcW w:w="991" w:type="dxa"/>
                  <w:vMerge w:val="restart"/>
                  <w:tcBorders>
                    <w:top w:val="single" w:color="000000" w:sz="4" w:space="0"/>
                    <w:left w:val="single" w:color="000000" w:sz="4" w:space="0"/>
                    <w:right w:val="single" w:color="auto" w:sz="4" w:space="0"/>
                  </w:tcBorders>
                  <w:vAlign w:val="center"/>
                </w:tcPr>
                <w:p w14:paraId="649FB565">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总种苗数量</w:t>
                  </w:r>
                </w:p>
                <w:p w14:paraId="3F87B29F">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(≥万单位)</w:t>
                  </w:r>
                </w:p>
              </w:tc>
              <w:tc>
                <w:tcPr>
                  <w:tcW w:w="797" w:type="dxa"/>
                  <w:vMerge w:val="restart"/>
                  <w:tcBorders>
                    <w:top w:val="single" w:color="000000" w:sz="4" w:space="0"/>
                    <w:left w:val="single" w:color="auto" w:sz="4" w:space="0"/>
                    <w:right w:val="single" w:color="000000" w:sz="4" w:space="0"/>
                  </w:tcBorders>
                  <w:vAlign w:val="center"/>
                </w:tcPr>
                <w:p w14:paraId="5C9A3FD7">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拟中标单位(家)</w:t>
                  </w:r>
                </w:p>
              </w:tc>
              <w:tc>
                <w:tcPr>
                  <w:tcW w:w="1109" w:type="dxa"/>
                  <w:gridSpan w:val="2"/>
                  <w:tcBorders>
                    <w:top w:val="single" w:color="000000" w:sz="4" w:space="0"/>
                    <w:left w:val="single" w:color="000000" w:sz="4" w:space="0"/>
                    <w:bottom w:val="single" w:color="auto" w:sz="4" w:space="0"/>
                    <w:right w:val="single" w:color="auto" w:sz="4" w:space="0"/>
                  </w:tcBorders>
                  <w:vAlign w:val="center"/>
                </w:tcPr>
                <w:p w14:paraId="27011060">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中标单位种苗费分配(万元)</w:t>
                  </w:r>
                </w:p>
              </w:tc>
              <w:tc>
                <w:tcPr>
                  <w:tcW w:w="754" w:type="dxa"/>
                  <w:vMerge w:val="restart"/>
                  <w:tcBorders>
                    <w:top w:val="single" w:color="000000" w:sz="4" w:space="0"/>
                    <w:left w:val="single" w:color="000000" w:sz="4" w:space="0"/>
                    <w:right w:val="single" w:color="auto" w:sz="4" w:space="0"/>
                  </w:tcBorders>
                  <w:vAlign w:val="center"/>
                </w:tcPr>
                <w:p w14:paraId="3483ADA4">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放流时间（月）</w:t>
                  </w:r>
                </w:p>
              </w:tc>
              <w:tc>
                <w:tcPr>
                  <w:tcW w:w="1346" w:type="dxa"/>
                  <w:vMerge w:val="restart"/>
                  <w:tcBorders>
                    <w:top w:val="single" w:color="000000" w:sz="4" w:space="0"/>
                    <w:left w:val="single" w:color="auto" w:sz="4" w:space="0"/>
                    <w:right w:val="single" w:color="000000" w:sz="4" w:space="0"/>
                  </w:tcBorders>
                  <w:vAlign w:val="center"/>
                </w:tcPr>
                <w:p w14:paraId="0AABCAE8">
                  <w:pPr>
                    <w:jc w:val="center"/>
                    <w:rPr>
                      <w:rFonts w:ascii="宋体" w:hAnsi="宋体" w:eastAsia="宋体" w:cs="Times New Roman"/>
                      <w:color w:val="auto"/>
                      <w:sz w:val="18"/>
                      <w:szCs w:val="18"/>
                    </w:rPr>
                  </w:pPr>
                  <w:r>
                    <w:rPr>
                      <w:rFonts w:hint="eastAsia" w:ascii="宋体" w:hAnsi="宋体" w:eastAsia="宋体" w:cs="Times New Roman"/>
                      <w:color w:val="auto"/>
                      <w:sz w:val="18"/>
                      <w:szCs w:val="18"/>
                    </w:rPr>
                    <w:t>放流海域</w:t>
                  </w:r>
                </w:p>
              </w:tc>
            </w:tr>
            <w:tr w14:paraId="308FA78B">
              <w:tblPrEx>
                <w:tblCellMar>
                  <w:top w:w="15" w:type="dxa"/>
                  <w:left w:w="15" w:type="dxa"/>
                  <w:bottom w:w="15" w:type="dxa"/>
                  <w:right w:w="15" w:type="dxa"/>
                </w:tblCellMar>
              </w:tblPrEx>
              <w:trPr>
                <w:trHeight w:val="309" w:hRule="atLeast"/>
              </w:trPr>
              <w:tc>
                <w:tcPr>
                  <w:tcW w:w="400" w:type="dxa"/>
                  <w:vMerge w:val="continue"/>
                  <w:tcBorders>
                    <w:left w:val="single" w:color="000000" w:sz="4" w:space="0"/>
                    <w:bottom w:val="single" w:color="000000" w:sz="4" w:space="0"/>
                    <w:right w:val="single" w:color="000000" w:sz="4" w:space="0"/>
                  </w:tcBorders>
                  <w:vAlign w:val="center"/>
                </w:tcPr>
                <w:p w14:paraId="321D9FEF">
                  <w:pPr>
                    <w:jc w:val="center"/>
                    <w:rPr>
                      <w:rFonts w:ascii="宋体" w:hAnsi="宋体" w:eastAsia="宋体" w:cs="Times New Roman"/>
                      <w:b/>
                      <w:color w:val="auto"/>
                      <w:sz w:val="18"/>
                      <w:szCs w:val="18"/>
                    </w:rPr>
                  </w:pPr>
                </w:p>
              </w:tc>
              <w:tc>
                <w:tcPr>
                  <w:tcW w:w="1053" w:type="dxa"/>
                  <w:vMerge w:val="continue"/>
                  <w:tcBorders>
                    <w:left w:val="single" w:color="000000" w:sz="4" w:space="0"/>
                    <w:bottom w:val="single" w:color="000000" w:sz="4" w:space="0"/>
                    <w:right w:val="single" w:color="000000" w:sz="4" w:space="0"/>
                  </w:tcBorders>
                  <w:vAlign w:val="center"/>
                </w:tcPr>
                <w:p w14:paraId="74091E7F">
                  <w:pPr>
                    <w:jc w:val="center"/>
                    <w:rPr>
                      <w:rFonts w:ascii="宋体" w:hAnsi="宋体" w:eastAsia="等线" w:cs="Times New Roman"/>
                      <w:color w:val="auto"/>
                      <w:sz w:val="18"/>
                      <w:szCs w:val="18"/>
                    </w:rPr>
                  </w:pPr>
                </w:p>
              </w:tc>
              <w:tc>
                <w:tcPr>
                  <w:tcW w:w="908" w:type="dxa"/>
                  <w:vMerge w:val="continue"/>
                  <w:tcBorders>
                    <w:left w:val="single" w:color="000000" w:sz="4" w:space="0"/>
                    <w:bottom w:val="single" w:color="000000" w:sz="4" w:space="0"/>
                    <w:right w:val="single" w:color="000000" w:sz="4" w:space="0"/>
                  </w:tcBorders>
                  <w:vAlign w:val="center"/>
                </w:tcPr>
                <w:p w14:paraId="0B8BAA98">
                  <w:pPr>
                    <w:jc w:val="center"/>
                    <w:rPr>
                      <w:rFonts w:ascii="宋体" w:hAnsi="宋体" w:eastAsia="等线" w:cs="Times New Roman"/>
                      <w:color w:val="auto"/>
                      <w:sz w:val="18"/>
                      <w:szCs w:val="18"/>
                    </w:rPr>
                  </w:pPr>
                </w:p>
              </w:tc>
              <w:tc>
                <w:tcPr>
                  <w:tcW w:w="678" w:type="dxa"/>
                  <w:vMerge w:val="continue"/>
                  <w:tcBorders>
                    <w:left w:val="single" w:color="000000" w:sz="4" w:space="0"/>
                    <w:bottom w:val="single" w:color="000000" w:sz="4" w:space="0"/>
                    <w:right w:val="single" w:color="000000" w:sz="4" w:space="0"/>
                  </w:tcBorders>
                  <w:vAlign w:val="center"/>
                </w:tcPr>
                <w:p w14:paraId="6E0582DB">
                  <w:pPr>
                    <w:jc w:val="center"/>
                    <w:rPr>
                      <w:rFonts w:ascii="宋体" w:hAnsi="宋体" w:eastAsia="等线" w:cs="Times New Roman"/>
                      <w:color w:val="auto"/>
                      <w:sz w:val="18"/>
                      <w:szCs w:val="18"/>
                    </w:rPr>
                  </w:pPr>
                </w:p>
              </w:tc>
              <w:tc>
                <w:tcPr>
                  <w:tcW w:w="991" w:type="dxa"/>
                  <w:vMerge w:val="continue"/>
                  <w:tcBorders>
                    <w:left w:val="single" w:color="000000" w:sz="4" w:space="0"/>
                    <w:bottom w:val="single" w:color="000000" w:sz="4" w:space="0"/>
                    <w:right w:val="single" w:color="auto" w:sz="4" w:space="0"/>
                  </w:tcBorders>
                  <w:vAlign w:val="center"/>
                </w:tcPr>
                <w:p w14:paraId="3313F20C">
                  <w:pPr>
                    <w:jc w:val="center"/>
                    <w:rPr>
                      <w:rFonts w:ascii="宋体" w:hAnsi="宋体" w:eastAsia="等线" w:cs="Times New Roman"/>
                      <w:color w:val="auto"/>
                      <w:sz w:val="18"/>
                      <w:szCs w:val="18"/>
                    </w:rPr>
                  </w:pPr>
                </w:p>
              </w:tc>
              <w:tc>
                <w:tcPr>
                  <w:tcW w:w="797" w:type="dxa"/>
                  <w:vMerge w:val="continue"/>
                  <w:tcBorders>
                    <w:left w:val="single" w:color="auto" w:sz="4" w:space="0"/>
                    <w:bottom w:val="single" w:color="000000" w:sz="4" w:space="0"/>
                    <w:right w:val="single" w:color="000000" w:sz="4" w:space="0"/>
                  </w:tcBorders>
                  <w:vAlign w:val="center"/>
                </w:tcPr>
                <w:p w14:paraId="77F1C205">
                  <w:pPr>
                    <w:jc w:val="center"/>
                    <w:rPr>
                      <w:rFonts w:ascii="宋体" w:hAnsi="宋体" w:eastAsia="等线" w:cs="Times New Roman"/>
                      <w:color w:val="auto"/>
                      <w:sz w:val="18"/>
                      <w:szCs w:val="18"/>
                    </w:rPr>
                  </w:pPr>
                </w:p>
              </w:tc>
              <w:tc>
                <w:tcPr>
                  <w:tcW w:w="592" w:type="dxa"/>
                  <w:tcBorders>
                    <w:top w:val="single" w:color="auto" w:sz="4" w:space="0"/>
                    <w:left w:val="single" w:color="000000" w:sz="4" w:space="0"/>
                    <w:bottom w:val="single" w:color="000000" w:sz="4" w:space="0"/>
                    <w:right w:val="single" w:color="auto" w:sz="4" w:space="0"/>
                  </w:tcBorders>
                  <w:vAlign w:val="center"/>
                </w:tcPr>
                <w:p w14:paraId="14D76182">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1</w:t>
                  </w:r>
                </w:p>
              </w:tc>
              <w:tc>
                <w:tcPr>
                  <w:tcW w:w="517" w:type="dxa"/>
                  <w:tcBorders>
                    <w:top w:val="single" w:color="auto" w:sz="4" w:space="0"/>
                    <w:left w:val="single" w:color="000000" w:sz="4" w:space="0"/>
                    <w:bottom w:val="single" w:color="000000" w:sz="4" w:space="0"/>
                    <w:right w:val="single" w:color="auto" w:sz="4" w:space="0"/>
                  </w:tcBorders>
                  <w:vAlign w:val="center"/>
                </w:tcPr>
                <w:p w14:paraId="40A32B6A">
                  <w:pPr>
                    <w:widowControl/>
                    <w:jc w:val="center"/>
                    <w:textAlignment w:val="center"/>
                    <w:rPr>
                      <w:rFonts w:ascii="宋体" w:hAnsi="宋体" w:eastAsia="等线" w:cs="Times New Roman"/>
                      <w:color w:val="auto"/>
                      <w:szCs w:val="21"/>
                    </w:rPr>
                  </w:pPr>
                  <w:r>
                    <w:rPr>
                      <w:rFonts w:hint="eastAsia" w:ascii="宋体" w:hAnsi="宋体" w:eastAsia="宋体" w:cs="宋体"/>
                      <w:color w:val="auto"/>
                      <w:kern w:val="0"/>
                      <w:szCs w:val="21"/>
                      <w:lang w:bidi="ar"/>
                    </w:rPr>
                    <w:t>2</w:t>
                  </w:r>
                </w:p>
              </w:tc>
              <w:tc>
                <w:tcPr>
                  <w:tcW w:w="754" w:type="dxa"/>
                  <w:vMerge w:val="continue"/>
                  <w:tcBorders>
                    <w:left w:val="single" w:color="000000" w:sz="4" w:space="0"/>
                    <w:bottom w:val="single" w:color="000000" w:sz="4" w:space="0"/>
                    <w:right w:val="single" w:color="auto" w:sz="4" w:space="0"/>
                  </w:tcBorders>
                  <w:vAlign w:val="center"/>
                </w:tcPr>
                <w:p w14:paraId="118678E0">
                  <w:pPr>
                    <w:jc w:val="center"/>
                    <w:rPr>
                      <w:rFonts w:ascii="宋体" w:hAnsi="宋体" w:eastAsia="等线" w:cs="Times New Roman"/>
                      <w:color w:val="auto"/>
                      <w:sz w:val="18"/>
                      <w:szCs w:val="18"/>
                    </w:rPr>
                  </w:pPr>
                </w:p>
              </w:tc>
              <w:tc>
                <w:tcPr>
                  <w:tcW w:w="1346" w:type="dxa"/>
                  <w:vMerge w:val="continue"/>
                  <w:tcBorders>
                    <w:left w:val="single" w:color="auto" w:sz="4" w:space="0"/>
                    <w:bottom w:val="single" w:color="000000" w:sz="4" w:space="0"/>
                    <w:right w:val="single" w:color="000000" w:sz="4" w:space="0"/>
                  </w:tcBorders>
                  <w:vAlign w:val="center"/>
                </w:tcPr>
                <w:p w14:paraId="468815CF">
                  <w:pPr>
                    <w:jc w:val="center"/>
                    <w:rPr>
                      <w:rFonts w:ascii="宋体" w:hAnsi="宋体" w:eastAsia="等线" w:cs="Times New Roman"/>
                      <w:color w:val="auto"/>
                      <w:sz w:val="18"/>
                      <w:szCs w:val="18"/>
                    </w:rPr>
                  </w:pPr>
                </w:p>
              </w:tc>
            </w:tr>
            <w:tr w14:paraId="2A5255B7">
              <w:tblPrEx>
                <w:tblCellMar>
                  <w:top w:w="15" w:type="dxa"/>
                  <w:left w:w="15" w:type="dxa"/>
                  <w:bottom w:w="15" w:type="dxa"/>
                  <w:right w:w="15" w:type="dxa"/>
                </w:tblCellMar>
              </w:tblPrEx>
              <w:trPr>
                <w:trHeight w:val="344"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3AB3AC6E">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一</w:t>
                  </w:r>
                </w:p>
              </w:tc>
              <w:tc>
                <w:tcPr>
                  <w:tcW w:w="1053" w:type="dxa"/>
                  <w:tcBorders>
                    <w:top w:val="single" w:color="000000" w:sz="4" w:space="0"/>
                    <w:left w:val="single" w:color="000000" w:sz="4" w:space="0"/>
                    <w:bottom w:val="single" w:color="000000" w:sz="4" w:space="0"/>
                    <w:right w:val="single" w:color="000000" w:sz="4" w:space="0"/>
                  </w:tcBorders>
                  <w:vAlign w:val="center"/>
                </w:tcPr>
                <w:p w14:paraId="10EC587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大黄鱼</w:t>
                  </w:r>
                </w:p>
              </w:tc>
              <w:tc>
                <w:tcPr>
                  <w:tcW w:w="908" w:type="dxa"/>
                  <w:tcBorders>
                    <w:top w:val="single" w:color="000000" w:sz="4" w:space="0"/>
                    <w:left w:val="single" w:color="000000" w:sz="4" w:space="0"/>
                    <w:bottom w:val="single" w:color="000000" w:sz="4" w:space="0"/>
                    <w:right w:val="single" w:color="000000" w:sz="4" w:space="0"/>
                  </w:tcBorders>
                  <w:vAlign w:val="center"/>
                </w:tcPr>
                <w:p w14:paraId="3FED0DB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体长≥7cm</w:t>
                  </w:r>
                </w:p>
              </w:tc>
              <w:tc>
                <w:tcPr>
                  <w:tcW w:w="678" w:type="dxa"/>
                  <w:tcBorders>
                    <w:top w:val="single" w:color="000000" w:sz="4" w:space="0"/>
                    <w:left w:val="single" w:color="000000" w:sz="4" w:space="0"/>
                    <w:bottom w:val="single" w:color="000000" w:sz="4" w:space="0"/>
                    <w:right w:val="single" w:color="000000" w:sz="4" w:space="0"/>
                  </w:tcBorders>
                  <w:vAlign w:val="center"/>
                </w:tcPr>
                <w:p w14:paraId="42C583B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991" w:type="dxa"/>
                  <w:tcBorders>
                    <w:top w:val="single" w:color="000000" w:sz="4" w:space="0"/>
                    <w:bottom w:val="single" w:color="000000" w:sz="4" w:space="0"/>
                    <w:right w:val="single" w:color="auto" w:sz="4" w:space="0"/>
                  </w:tcBorders>
                  <w:vAlign w:val="center"/>
                </w:tcPr>
                <w:p w14:paraId="5233614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140 </w:t>
                  </w:r>
                </w:p>
              </w:tc>
              <w:tc>
                <w:tcPr>
                  <w:tcW w:w="797" w:type="dxa"/>
                  <w:tcBorders>
                    <w:top w:val="single" w:color="000000" w:sz="4" w:space="0"/>
                    <w:left w:val="single" w:color="auto" w:sz="4" w:space="0"/>
                    <w:bottom w:val="single" w:color="000000" w:sz="4" w:space="0"/>
                    <w:right w:val="single" w:color="000000" w:sz="4" w:space="0"/>
                  </w:tcBorders>
                  <w:vAlign w:val="center"/>
                </w:tcPr>
                <w:p w14:paraId="51DE159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28B2AB6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17" w:type="dxa"/>
                  <w:tcBorders>
                    <w:top w:val="single" w:color="000000" w:sz="4" w:space="0"/>
                    <w:left w:val="single" w:color="000000" w:sz="4" w:space="0"/>
                    <w:bottom w:val="single" w:color="000000" w:sz="4" w:space="0"/>
                    <w:right w:val="single" w:color="auto" w:sz="4" w:space="0"/>
                  </w:tcBorders>
                  <w:vAlign w:val="center"/>
                </w:tcPr>
                <w:p w14:paraId="180194CB">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159BAB4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6-9</w:t>
                  </w:r>
                </w:p>
              </w:tc>
              <w:tc>
                <w:tcPr>
                  <w:tcW w:w="1346" w:type="dxa"/>
                  <w:tcBorders>
                    <w:top w:val="single" w:color="000000" w:sz="4" w:space="0"/>
                    <w:left w:val="single" w:color="auto" w:sz="4" w:space="0"/>
                    <w:bottom w:val="single" w:color="000000" w:sz="4" w:space="0"/>
                    <w:right w:val="single" w:color="000000" w:sz="4" w:space="0"/>
                  </w:tcBorders>
                  <w:vAlign w:val="center"/>
                </w:tcPr>
                <w:p w14:paraId="71147BC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1C96D850">
              <w:tblPrEx>
                <w:tblCellMar>
                  <w:top w:w="15" w:type="dxa"/>
                  <w:left w:w="15" w:type="dxa"/>
                  <w:bottom w:w="15" w:type="dxa"/>
                  <w:right w:w="15" w:type="dxa"/>
                </w:tblCellMar>
              </w:tblPrEx>
              <w:trPr>
                <w:trHeight w:val="384"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5FCE73BB">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二</w:t>
                  </w:r>
                </w:p>
              </w:tc>
              <w:tc>
                <w:tcPr>
                  <w:tcW w:w="1053" w:type="dxa"/>
                  <w:tcBorders>
                    <w:top w:val="single" w:color="000000" w:sz="4" w:space="0"/>
                    <w:left w:val="single" w:color="000000" w:sz="4" w:space="0"/>
                    <w:bottom w:val="single" w:color="000000" w:sz="4" w:space="0"/>
                    <w:right w:val="single" w:color="000000" w:sz="4" w:space="0"/>
                  </w:tcBorders>
                  <w:vAlign w:val="center"/>
                </w:tcPr>
                <w:p w14:paraId="60F94FA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厚壳贻贝</w:t>
                  </w:r>
                </w:p>
              </w:tc>
              <w:tc>
                <w:tcPr>
                  <w:tcW w:w="908" w:type="dxa"/>
                  <w:tcBorders>
                    <w:top w:val="single" w:color="000000" w:sz="4" w:space="0"/>
                    <w:left w:val="single" w:color="000000" w:sz="4" w:space="0"/>
                    <w:bottom w:val="single" w:color="000000" w:sz="4" w:space="0"/>
                    <w:right w:val="single" w:color="000000" w:sz="4" w:space="0"/>
                  </w:tcBorders>
                  <w:vAlign w:val="center"/>
                </w:tcPr>
                <w:p w14:paraId="3CB505D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壳长≥5mm</w:t>
                  </w:r>
                </w:p>
              </w:tc>
              <w:tc>
                <w:tcPr>
                  <w:tcW w:w="678" w:type="dxa"/>
                  <w:tcBorders>
                    <w:top w:val="single" w:color="000000" w:sz="4" w:space="0"/>
                    <w:left w:val="single" w:color="000000" w:sz="4" w:space="0"/>
                    <w:bottom w:val="single" w:color="000000" w:sz="4" w:space="0"/>
                    <w:right w:val="single" w:color="000000" w:sz="4" w:space="0"/>
                  </w:tcBorders>
                  <w:vAlign w:val="center"/>
                </w:tcPr>
                <w:p w14:paraId="1384D32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991" w:type="dxa"/>
                  <w:tcBorders>
                    <w:top w:val="single" w:color="000000" w:sz="4" w:space="0"/>
                    <w:bottom w:val="single" w:color="000000" w:sz="4" w:space="0"/>
                    <w:right w:val="single" w:color="auto" w:sz="4" w:space="0"/>
                  </w:tcBorders>
                  <w:vAlign w:val="center"/>
                </w:tcPr>
                <w:p w14:paraId="24F9D87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1667 </w:t>
                  </w:r>
                </w:p>
              </w:tc>
              <w:tc>
                <w:tcPr>
                  <w:tcW w:w="797" w:type="dxa"/>
                  <w:tcBorders>
                    <w:top w:val="single" w:color="000000" w:sz="4" w:space="0"/>
                    <w:left w:val="single" w:color="auto" w:sz="4" w:space="0"/>
                    <w:bottom w:val="single" w:color="000000" w:sz="4" w:space="0"/>
                    <w:right w:val="single" w:color="000000" w:sz="4" w:space="0"/>
                  </w:tcBorders>
                  <w:vAlign w:val="center"/>
                </w:tcPr>
                <w:p w14:paraId="7FBB9F6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2E90C8B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17" w:type="dxa"/>
                  <w:tcBorders>
                    <w:top w:val="single" w:color="000000" w:sz="4" w:space="0"/>
                    <w:left w:val="single" w:color="000000" w:sz="4" w:space="0"/>
                    <w:bottom w:val="single" w:color="000000" w:sz="4" w:space="0"/>
                    <w:right w:val="single" w:color="auto" w:sz="4" w:space="0"/>
                  </w:tcBorders>
                  <w:vAlign w:val="center"/>
                </w:tcPr>
                <w:p w14:paraId="34EB36F7">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420E5B9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2A4834E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7A0343F6">
              <w:tblPrEx>
                <w:tblCellMar>
                  <w:top w:w="15" w:type="dxa"/>
                  <w:left w:w="15" w:type="dxa"/>
                  <w:bottom w:w="15" w:type="dxa"/>
                  <w:right w:w="15" w:type="dxa"/>
                </w:tblCellMar>
              </w:tblPrEx>
              <w:trPr>
                <w:trHeight w:val="376"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6550324E">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三</w:t>
                  </w:r>
                </w:p>
              </w:tc>
              <w:tc>
                <w:tcPr>
                  <w:tcW w:w="1053" w:type="dxa"/>
                  <w:tcBorders>
                    <w:top w:val="single" w:color="000000" w:sz="4" w:space="0"/>
                    <w:left w:val="single" w:color="000000" w:sz="4" w:space="0"/>
                    <w:bottom w:val="single" w:color="000000" w:sz="4" w:space="0"/>
                    <w:right w:val="single" w:color="000000" w:sz="4" w:space="0"/>
                  </w:tcBorders>
                  <w:vAlign w:val="center"/>
                </w:tcPr>
                <w:p w14:paraId="7F1816B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曼氏无针乌贼</w:t>
                  </w:r>
                </w:p>
              </w:tc>
              <w:tc>
                <w:tcPr>
                  <w:tcW w:w="908" w:type="dxa"/>
                  <w:tcBorders>
                    <w:top w:val="single" w:color="000000" w:sz="4" w:space="0"/>
                    <w:left w:val="single" w:color="000000" w:sz="4" w:space="0"/>
                    <w:bottom w:val="single" w:color="000000" w:sz="4" w:space="0"/>
                    <w:right w:val="single" w:color="000000" w:sz="4" w:space="0"/>
                  </w:tcBorders>
                  <w:vAlign w:val="center"/>
                </w:tcPr>
                <w:p w14:paraId="6833957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受精卵</w:t>
                  </w:r>
                </w:p>
              </w:tc>
              <w:tc>
                <w:tcPr>
                  <w:tcW w:w="678" w:type="dxa"/>
                  <w:tcBorders>
                    <w:top w:val="single" w:color="000000" w:sz="4" w:space="0"/>
                    <w:left w:val="single" w:color="000000" w:sz="4" w:space="0"/>
                    <w:bottom w:val="single" w:color="000000" w:sz="4" w:space="0"/>
                    <w:right w:val="single" w:color="000000" w:sz="4" w:space="0"/>
                  </w:tcBorders>
                  <w:vAlign w:val="center"/>
                </w:tcPr>
                <w:p w14:paraId="56687AB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991" w:type="dxa"/>
                  <w:tcBorders>
                    <w:top w:val="single" w:color="000000" w:sz="4" w:space="0"/>
                    <w:bottom w:val="single" w:color="000000" w:sz="4" w:space="0"/>
                    <w:right w:val="single" w:color="auto" w:sz="4" w:space="0"/>
                  </w:tcBorders>
                  <w:vAlign w:val="center"/>
                </w:tcPr>
                <w:p w14:paraId="04C91BF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700</w:t>
                  </w:r>
                </w:p>
              </w:tc>
              <w:tc>
                <w:tcPr>
                  <w:tcW w:w="797" w:type="dxa"/>
                  <w:tcBorders>
                    <w:top w:val="single" w:color="000000" w:sz="4" w:space="0"/>
                    <w:left w:val="single" w:color="auto" w:sz="4" w:space="0"/>
                    <w:bottom w:val="single" w:color="000000" w:sz="4" w:space="0"/>
                    <w:right w:val="single" w:color="000000" w:sz="4" w:space="0"/>
                  </w:tcBorders>
                  <w:vAlign w:val="center"/>
                </w:tcPr>
                <w:p w14:paraId="060725D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E23AB3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70</w:t>
                  </w:r>
                </w:p>
              </w:tc>
              <w:tc>
                <w:tcPr>
                  <w:tcW w:w="517" w:type="dxa"/>
                  <w:tcBorders>
                    <w:top w:val="single" w:color="000000" w:sz="4" w:space="0"/>
                    <w:left w:val="single" w:color="000000" w:sz="4" w:space="0"/>
                    <w:bottom w:val="single" w:color="000000" w:sz="4" w:space="0"/>
                    <w:right w:val="single" w:color="auto" w:sz="4" w:space="0"/>
                  </w:tcBorders>
                  <w:vAlign w:val="center"/>
                </w:tcPr>
                <w:p w14:paraId="2BCEE665">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5AC60B4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4569735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海洋特别保护区</w:t>
                  </w:r>
                </w:p>
              </w:tc>
            </w:tr>
            <w:tr w14:paraId="47E4BFB4">
              <w:tblPrEx>
                <w:tblCellMar>
                  <w:top w:w="15" w:type="dxa"/>
                  <w:left w:w="15" w:type="dxa"/>
                  <w:bottom w:w="15" w:type="dxa"/>
                  <w:right w:w="15" w:type="dxa"/>
                </w:tblCellMar>
              </w:tblPrEx>
              <w:trPr>
                <w:trHeight w:val="355"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6B3A8D71">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四</w:t>
                  </w:r>
                </w:p>
              </w:tc>
              <w:tc>
                <w:tcPr>
                  <w:tcW w:w="1053" w:type="dxa"/>
                  <w:tcBorders>
                    <w:top w:val="single" w:color="000000" w:sz="4" w:space="0"/>
                    <w:left w:val="single" w:color="000000" w:sz="4" w:space="0"/>
                    <w:bottom w:val="single" w:color="000000" w:sz="4" w:space="0"/>
                    <w:right w:val="single" w:color="000000" w:sz="4" w:space="0"/>
                  </w:tcBorders>
                  <w:vAlign w:val="center"/>
                </w:tcPr>
                <w:p w14:paraId="01BC13A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海蜇</w:t>
                  </w:r>
                </w:p>
              </w:tc>
              <w:tc>
                <w:tcPr>
                  <w:tcW w:w="908" w:type="dxa"/>
                  <w:tcBorders>
                    <w:top w:val="single" w:color="000000" w:sz="4" w:space="0"/>
                    <w:left w:val="single" w:color="000000" w:sz="4" w:space="0"/>
                    <w:bottom w:val="single" w:color="000000" w:sz="4" w:space="0"/>
                    <w:right w:val="single" w:color="000000" w:sz="4" w:space="0"/>
                  </w:tcBorders>
                  <w:vAlign w:val="center"/>
                </w:tcPr>
                <w:p w14:paraId="5C93992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伞径≥7mm</w:t>
                  </w:r>
                </w:p>
              </w:tc>
              <w:tc>
                <w:tcPr>
                  <w:tcW w:w="678" w:type="dxa"/>
                  <w:tcBorders>
                    <w:top w:val="single" w:color="000000" w:sz="4" w:space="0"/>
                    <w:left w:val="single" w:color="000000" w:sz="4" w:space="0"/>
                    <w:bottom w:val="single" w:color="000000" w:sz="4" w:space="0"/>
                    <w:right w:val="single" w:color="000000" w:sz="4" w:space="0"/>
                  </w:tcBorders>
                  <w:vAlign w:val="center"/>
                </w:tcPr>
                <w:p w14:paraId="3781B1E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90</w:t>
                  </w:r>
                </w:p>
              </w:tc>
              <w:tc>
                <w:tcPr>
                  <w:tcW w:w="991" w:type="dxa"/>
                  <w:tcBorders>
                    <w:top w:val="single" w:color="000000" w:sz="4" w:space="0"/>
                    <w:bottom w:val="single" w:color="000000" w:sz="4" w:space="0"/>
                    <w:right w:val="single" w:color="auto" w:sz="4" w:space="0"/>
                  </w:tcBorders>
                  <w:vAlign w:val="center"/>
                </w:tcPr>
                <w:p w14:paraId="0039F2C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12857 </w:t>
                  </w:r>
                </w:p>
              </w:tc>
              <w:tc>
                <w:tcPr>
                  <w:tcW w:w="797" w:type="dxa"/>
                  <w:tcBorders>
                    <w:top w:val="single" w:color="000000" w:sz="4" w:space="0"/>
                    <w:left w:val="single" w:color="auto" w:sz="4" w:space="0"/>
                    <w:bottom w:val="single" w:color="000000" w:sz="4" w:space="0"/>
                    <w:right w:val="single" w:color="000000" w:sz="4" w:space="0"/>
                  </w:tcBorders>
                  <w:vAlign w:val="center"/>
                </w:tcPr>
                <w:p w14:paraId="7B9E84C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592" w:type="dxa"/>
                  <w:tcBorders>
                    <w:top w:val="single" w:color="000000" w:sz="4" w:space="0"/>
                    <w:left w:val="single" w:color="000000" w:sz="4" w:space="0"/>
                    <w:bottom w:val="single" w:color="000000" w:sz="4" w:space="0"/>
                    <w:right w:val="single" w:color="auto" w:sz="4" w:space="0"/>
                  </w:tcBorders>
                  <w:vAlign w:val="center"/>
                </w:tcPr>
                <w:p w14:paraId="1D97CC2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50</w:t>
                  </w:r>
                </w:p>
              </w:tc>
              <w:tc>
                <w:tcPr>
                  <w:tcW w:w="517" w:type="dxa"/>
                  <w:tcBorders>
                    <w:top w:val="single" w:color="000000" w:sz="4" w:space="0"/>
                    <w:left w:val="single" w:color="000000" w:sz="4" w:space="0"/>
                    <w:bottom w:val="single" w:color="000000" w:sz="4" w:space="0"/>
                    <w:right w:val="single" w:color="auto" w:sz="4" w:space="0"/>
                  </w:tcBorders>
                  <w:vAlign w:val="center"/>
                </w:tcPr>
                <w:p w14:paraId="11EFA0E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40</w:t>
                  </w:r>
                </w:p>
              </w:tc>
              <w:tc>
                <w:tcPr>
                  <w:tcW w:w="754" w:type="dxa"/>
                  <w:tcBorders>
                    <w:top w:val="single" w:color="000000" w:sz="4" w:space="0"/>
                    <w:left w:val="single" w:color="000000" w:sz="4" w:space="0"/>
                    <w:bottom w:val="single" w:color="000000" w:sz="4" w:space="0"/>
                    <w:right w:val="single" w:color="auto" w:sz="4" w:space="0"/>
                  </w:tcBorders>
                  <w:vAlign w:val="center"/>
                </w:tcPr>
                <w:p w14:paraId="3DB13AB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346" w:type="dxa"/>
                  <w:tcBorders>
                    <w:top w:val="single" w:color="000000" w:sz="4" w:space="0"/>
                    <w:left w:val="single" w:color="auto" w:sz="4" w:space="0"/>
                    <w:bottom w:val="single" w:color="000000" w:sz="4" w:space="0"/>
                    <w:right w:val="single" w:color="000000" w:sz="4" w:space="0"/>
                  </w:tcBorders>
                  <w:vAlign w:val="center"/>
                </w:tcPr>
                <w:p w14:paraId="4C76BAB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灰鳖洋</w:t>
                  </w:r>
                </w:p>
              </w:tc>
            </w:tr>
            <w:tr w14:paraId="77F57A30">
              <w:tblPrEx>
                <w:tblCellMar>
                  <w:top w:w="15" w:type="dxa"/>
                  <w:left w:w="15" w:type="dxa"/>
                  <w:bottom w:w="15" w:type="dxa"/>
                  <w:right w:w="15" w:type="dxa"/>
                </w:tblCellMar>
              </w:tblPrEx>
              <w:trPr>
                <w:trHeight w:val="308"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4DA7A7E2">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五</w:t>
                  </w:r>
                </w:p>
              </w:tc>
              <w:tc>
                <w:tcPr>
                  <w:tcW w:w="1053" w:type="dxa"/>
                  <w:tcBorders>
                    <w:top w:val="single" w:color="000000" w:sz="4" w:space="0"/>
                    <w:left w:val="single" w:color="000000" w:sz="4" w:space="0"/>
                    <w:bottom w:val="single" w:color="000000" w:sz="4" w:space="0"/>
                    <w:right w:val="single" w:color="000000" w:sz="4" w:space="0"/>
                  </w:tcBorders>
                  <w:vAlign w:val="center"/>
                </w:tcPr>
                <w:p w14:paraId="59F3A6A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黑鲷</w:t>
                  </w:r>
                </w:p>
              </w:tc>
              <w:tc>
                <w:tcPr>
                  <w:tcW w:w="908" w:type="dxa"/>
                  <w:tcBorders>
                    <w:top w:val="single" w:color="000000" w:sz="4" w:space="0"/>
                    <w:left w:val="single" w:color="000000" w:sz="4" w:space="0"/>
                    <w:bottom w:val="single" w:color="000000" w:sz="4" w:space="0"/>
                    <w:right w:val="single" w:color="000000" w:sz="4" w:space="0"/>
                  </w:tcBorders>
                  <w:vAlign w:val="center"/>
                </w:tcPr>
                <w:p w14:paraId="335A090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4B674A2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991" w:type="dxa"/>
                  <w:tcBorders>
                    <w:top w:val="single" w:color="000000" w:sz="4" w:space="0"/>
                    <w:bottom w:val="single" w:color="000000" w:sz="4" w:space="0"/>
                    <w:right w:val="single" w:color="auto" w:sz="4" w:space="0"/>
                  </w:tcBorders>
                  <w:vAlign w:val="center"/>
                </w:tcPr>
                <w:p w14:paraId="7DAE3E6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180 </w:t>
                  </w:r>
                </w:p>
              </w:tc>
              <w:tc>
                <w:tcPr>
                  <w:tcW w:w="797" w:type="dxa"/>
                  <w:tcBorders>
                    <w:top w:val="single" w:color="000000" w:sz="4" w:space="0"/>
                    <w:left w:val="single" w:color="auto" w:sz="4" w:space="0"/>
                    <w:bottom w:val="single" w:color="000000" w:sz="4" w:space="0"/>
                    <w:right w:val="single" w:color="000000" w:sz="4" w:space="0"/>
                  </w:tcBorders>
                  <w:vAlign w:val="center"/>
                </w:tcPr>
                <w:p w14:paraId="0B70EC0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2C0CF4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45</w:t>
                  </w:r>
                </w:p>
              </w:tc>
              <w:tc>
                <w:tcPr>
                  <w:tcW w:w="517" w:type="dxa"/>
                  <w:tcBorders>
                    <w:top w:val="single" w:color="000000" w:sz="4" w:space="0"/>
                    <w:left w:val="single" w:color="000000" w:sz="4" w:space="0"/>
                    <w:bottom w:val="single" w:color="000000" w:sz="4" w:space="0"/>
                    <w:right w:val="single" w:color="auto" w:sz="4" w:space="0"/>
                  </w:tcBorders>
                  <w:vAlign w:val="center"/>
                </w:tcPr>
                <w:p w14:paraId="5237CB83">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2E03F7F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35AD563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r w14:paraId="378CB797">
              <w:tblPrEx>
                <w:tblCellMar>
                  <w:top w:w="15" w:type="dxa"/>
                  <w:left w:w="15" w:type="dxa"/>
                  <w:bottom w:w="15" w:type="dxa"/>
                  <w:right w:w="15" w:type="dxa"/>
                </w:tblCellMar>
              </w:tblPrEx>
              <w:trPr>
                <w:trHeight w:val="316"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4D5388EF">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六</w:t>
                  </w:r>
                </w:p>
              </w:tc>
              <w:tc>
                <w:tcPr>
                  <w:tcW w:w="1053" w:type="dxa"/>
                  <w:tcBorders>
                    <w:top w:val="single" w:color="000000" w:sz="4" w:space="0"/>
                    <w:left w:val="single" w:color="000000" w:sz="4" w:space="0"/>
                    <w:bottom w:val="single" w:color="000000" w:sz="4" w:space="0"/>
                    <w:right w:val="single" w:color="000000" w:sz="4" w:space="0"/>
                  </w:tcBorders>
                  <w:vAlign w:val="center"/>
                </w:tcPr>
                <w:p w14:paraId="4B7A9ED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黄姑鱼</w:t>
                  </w:r>
                </w:p>
              </w:tc>
              <w:tc>
                <w:tcPr>
                  <w:tcW w:w="908" w:type="dxa"/>
                  <w:tcBorders>
                    <w:top w:val="single" w:color="000000" w:sz="4" w:space="0"/>
                    <w:left w:val="single" w:color="000000" w:sz="4" w:space="0"/>
                    <w:bottom w:val="single" w:color="000000" w:sz="4" w:space="0"/>
                    <w:right w:val="single" w:color="000000" w:sz="4" w:space="0"/>
                  </w:tcBorders>
                  <w:vAlign w:val="center"/>
                </w:tcPr>
                <w:p w14:paraId="29A3B4B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798D230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991" w:type="dxa"/>
                  <w:tcBorders>
                    <w:top w:val="single" w:color="000000" w:sz="4" w:space="0"/>
                    <w:bottom w:val="single" w:color="000000" w:sz="4" w:space="0"/>
                    <w:right w:val="single" w:color="auto" w:sz="4" w:space="0"/>
                  </w:tcBorders>
                  <w:vAlign w:val="center"/>
                </w:tcPr>
                <w:p w14:paraId="6604395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100 </w:t>
                  </w:r>
                </w:p>
              </w:tc>
              <w:tc>
                <w:tcPr>
                  <w:tcW w:w="797" w:type="dxa"/>
                  <w:tcBorders>
                    <w:top w:val="single" w:color="000000" w:sz="4" w:space="0"/>
                    <w:left w:val="single" w:color="auto" w:sz="4" w:space="0"/>
                    <w:bottom w:val="single" w:color="000000" w:sz="4" w:space="0"/>
                    <w:right w:val="single" w:color="000000" w:sz="4" w:space="0"/>
                  </w:tcBorders>
                  <w:vAlign w:val="center"/>
                </w:tcPr>
                <w:p w14:paraId="49A37C3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3DA15F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17" w:type="dxa"/>
                  <w:tcBorders>
                    <w:top w:val="single" w:color="000000" w:sz="4" w:space="0"/>
                    <w:left w:val="single" w:color="000000" w:sz="4" w:space="0"/>
                    <w:bottom w:val="single" w:color="000000" w:sz="4" w:space="0"/>
                    <w:right w:val="single" w:color="auto" w:sz="4" w:space="0"/>
                  </w:tcBorders>
                  <w:vAlign w:val="center"/>
                </w:tcPr>
                <w:p w14:paraId="421D8552">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5A31B84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346" w:type="dxa"/>
                  <w:tcBorders>
                    <w:top w:val="single" w:color="000000" w:sz="4" w:space="0"/>
                    <w:left w:val="single" w:color="auto" w:sz="4" w:space="0"/>
                    <w:bottom w:val="single" w:color="000000" w:sz="4" w:space="0"/>
                    <w:right w:val="single" w:color="000000" w:sz="4" w:space="0"/>
                  </w:tcBorders>
                  <w:vAlign w:val="center"/>
                </w:tcPr>
                <w:p w14:paraId="3C6D454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海洋牧场</w:t>
                  </w:r>
                </w:p>
              </w:tc>
            </w:tr>
            <w:tr w14:paraId="1851D4BF">
              <w:tblPrEx>
                <w:tblCellMar>
                  <w:top w:w="15" w:type="dxa"/>
                  <w:left w:w="15" w:type="dxa"/>
                  <w:bottom w:w="15" w:type="dxa"/>
                  <w:right w:w="15" w:type="dxa"/>
                </w:tblCellMar>
              </w:tblPrEx>
              <w:trPr>
                <w:trHeight w:val="376"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0192A67C">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七</w:t>
                  </w:r>
                </w:p>
              </w:tc>
              <w:tc>
                <w:tcPr>
                  <w:tcW w:w="1053" w:type="dxa"/>
                  <w:tcBorders>
                    <w:top w:val="single" w:color="000000" w:sz="4" w:space="0"/>
                    <w:left w:val="single" w:color="000000" w:sz="4" w:space="0"/>
                    <w:bottom w:val="single" w:color="000000" w:sz="4" w:space="0"/>
                    <w:right w:val="single" w:color="000000" w:sz="4" w:space="0"/>
                  </w:tcBorders>
                  <w:vAlign w:val="center"/>
                </w:tcPr>
                <w:p w14:paraId="4EC89A2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三疣梭子蟹</w:t>
                  </w:r>
                </w:p>
              </w:tc>
              <w:tc>
                <w:tcPr>
                  <w:tcW w:w="908" w:type="dxa"/>
                  <w:tcBorders>
                    <w:top w:val="single" w:color="000000" w:sz="4" w:space="0"/>
                    <w:left w:val="single" w:color="000000" w:sz="4" w:space="0"/>
                    <w:bottom w:val="single" w:color="000000" w:sz="4" w:space="0"/>
                    <w:right w:val="single" w:color="000000" w:sz="4" w:space="0"/>
                  </w:tcBorders>
                  <w:vAlign w:val="center"/>
                </w:tcPr>
                <w:p w14:paraId="69B90834">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仔蟹Ⅲ期</w:t>
                  </w:r>
                </w:p>
              </w:tc>
              <w:tc>
                <w:tcPr>
                  <w:tcW w:w="678" w:type="dxa"/>
                  <w:tcBorders>
                    <w:top w:val="single" w:color="000000" w:sz="4" w:space="0"/>
                    <w:left w:val="single" w:color="000000" w:sz="4" w:space="0"/>
                    <w:bottom w:val="single" w:color="000000" w:sz="4" w:space="0"/>
                    <w:right w:val="single" w:color="000000" w:sz="4" w:space="0"/>
                  </w:tcBorders>
                  <w:vAlign w:val="center"/>
                </w:tcPr>
                <w:p w14:paraId="6A9B1F4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65</w:t>
                  </w:r>
                </w:p>
              </w:tc>
              <w:tc>
                <w:tcPr>
                  <w:tcW w:w="991" w:type="dxa"/>
                  <w:tcBorders>
                    <w:top w:val="single" w:color="000000" w:sz="4" w:space="0"/>
                    <w:bottom w:val="single" w:color="000000" w:sz="4" w:space="0"/>
                    <w:right w:val="single" w:color="auto" w:sz="4" w:space="0"/>
                  </w:tcBorders>
                  <w:vAlign w:val="center"/>
                </w:tcPr>
                <w:p w14:paraId="43AECA7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813 </w:t>
                  </w:r>
                </w:p>
              </w:tc>
              <w:tc>
                <w:tcPr>
                  <w:tcW w:w="797" w:type="dxa"/>
                  <w:tcBorders>
                    <w:top w:val="single" w:color="000000" w:sz="4" w:space="0"/>
                    <w:left w:val="single" w:color="auto" w:sz="4" w:space="0"/>
                    <w:bottom w:val="single" w:color="000000" w:sz="4" w:space="0"/>
                    <w:right w:val="single" w:color="000000" w:sz="4" w:space="0"/>
                  </w:tcBorders>
                  <w:vAlign w:val="center"/>
                </w:tcPr>
                <w:p w14:paraId="2D53DA6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w:t>
                  </w:r>
                </w:p>
              </w:tc>
              <w:tc>
                <w:tcPr>
                  <w:tcW w:w="592" w:type="dxa"/>
                  <w:tcBorders>
                    <w:top w:val="single" w:color="000000" w:sz="4" w:space="0"/>
                    <w:left w:val="single" w:color="000000" w:sz="4" w:space="0"/>
                    <w:bottom w:val="single" w:color="000000" w:sz="4" w:space="0"/>
                    <w:right w:val="single" w:color="auto" w:sz="4" w:space="0"/>
                  </w:tcBorders>
                  <w:vAlign w:val="center"/>
                </w:tcPr>
                <w:p w14:paraId="5E9D8AB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35</w:t>
                  </w:r>
                </w:p>
              </w:tc>
              <w:tc>
                <w:tcPr>
                  <w:tcW w:w="517" w:type="dxa"/>
                  <w:tcBorders>
                    <w:top w:val="single" w:color="000000" w:sz="4" w:space="0"/>
                    <w:left w:val="single" w:color="000000" w:sz="4" w:space="0"/>
                    <w:bottom w:val="single" w:color="000000" w:sz="4" w:space="0"/>
                    <w:right w:val="single" w:color="auto" w:sz="4" w:space="0"/>
                  </w:tcBorders>
                  <w:vAlign w:val="center"/>
                </w:tcPr>
                <w:p w14:paraId="1D33C6C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30</w:t>
                  </w:r>
                </w:p>
              </w:tc>
              <w:tc>
                <w:tcPr>
                  <w:tcW w:w="754" w:type="dxa"/>
                  <w:tcBorders>
                    <w:top w:val="single" w:color="000000" w:sz="4" w:space="0"/>
                    <w:left w:val="single" w:color="000000" w:sz="4" w:space="0"/>
                    <w:bottom w:val="single" w:color="000000" w:sz="4" w:space="0"/>
                    <w:right w:val="single" w:color="auto" w:sz="4" w:space="0"/>
                  </w:tcBorders>
                  <w:vAlign w:val="center"/>
                </w:tcPr>
                <w:p w14:paraId="441CD8F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5-7</w:t>
                  </w:r>
                </w:p>
              </w:tc>
              <w:tc>
                <w:tcPr>
                  <w:tcW w:w="1346" w:type="dxa"/>
                  <w:tcBorders>
                    <w:top w:val="single" w:color="000000" w:sz="4" w:space="0"/>
                    <w:left w:val="single" w:color="auto" w:sz="4" w:space="0"/>
                    <w:bottom w:val="single" w:color="000000" w:sz="4" w:space="0"/>
                    <w:right w:val="single" w:color="000000" w:sz="4" w:space="0"/>
                  </w:tcBorders>
                  <w:vAlign w:val="center"/>
                </w:tcPr>
                <w:p w14:paraId="6E9307F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莲花洋、岱衢洋</w:t>
                  </w:r>
                </w:p>
              </w:tc>
            </w:tr>
            <w:tr w14:paraId="1DDB4623">
              <w:tblPrEx>
                <w:tblCellMar>
                  <w:top w:w="15" w:type="dxa"/>
                  <w:left w:w="15" w:type="dxa"/>
                  <w:bottom w:w="15" w:type="dxa"/>
                  <w:right w:w="15" w:type="dxa"/>
                </w:tblCellMar>
              </w:tblPrEx>
              <w:trPr>
                <w:trHeight w:val="344"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587104E6">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八</w:t>
                  </w:r>
                </w:p>
              </w:tc>
              <w:tc>
                <w:tcPr>
                  <w:tcW w:w="1053" w:type="dxa"/>
                  <w:tcBorders>
                    <w:top w:val="single" w:color="000000" w:sz="4" w:space="0"/>
                    <w:left w:val="single" w:color="000000" w:sz="4" w:space="0"/>
                    <w:bottom w:val="single" w:color="000000" w:sz="4" w:space="0"/>
                    <w:right w:val="single" w:color="000000" w:sz="4" w:space="0"/>
                  </w:tcBorders>
                  <w:vAlign w:val="center"/>
                </w:tcPr>
                <w:p w14:paraId="6609CAAE">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等边浅蛤</w:t>
                  </w:r>
                </w:p>
              </w:tc>
              <w:tc>
                <w:tcPr>
                  <w:tcW w:w="908" w:type="dxa"/>
                  <w:tcBorders>
                    <w:top w:val="single" w:color="000000" w:sz="4" w:space="0"/>
                    <w:left w:val="single" w:color="000000" w:sz="4" w:space="0"/>
                    <w:bottom w:val="single" w:color="000000" w:sz="4" w:space="0"/>
                    <w:right w:val="single" w:color="000000" w:sz="4" w:space="0"/>
                  </w:tcBorders>
                  <w:vAlign w:val="center"/>
                </w:tcPr>
                <w:p w14:paraId="6AFE473F">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壳长≥3mm</w:t>
                  </w:r>
                </w:p>
              </w:tc>
              <w:tc>
                <w:tcPr>
                  <w:tcW w:w="678" w:type="dxa"/>
                  <w:tcBorders>
                    <w:top w:val="single" w:color="000000" w:sz="4" w:space="0"/>
                    <w:left w:val="single" w:color="000000" w:sz="4" w:space="0"/>
                    <w:bottom w:val="single" w:color="000000" w:sz="4" w:space="0"/>
                    <w:right w:val="single" w:color="000000" w:sz="4" w:space="0"/>
                  </w:tcBorders>
                  <w:vAlign w:val="center"/>
                </w:tcPr>
                <w:p w14:paraId="4EF2488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991" w:type="dxa"/>
                  <w:tcBorders>
                    <w:top w:val="single" w:color="000000" w:sz="4" w:space="0"/>
                    <w:bottom w:val="single" w:color="000000" w:sz="4" w:space="0"/>
                    <w:right w:val="single" w:color="auto" w:sz="4" w:space="0"/>
                  </w:tcBorders>
                  <w:vAlign w:val="center"/>
                </w:tcPr>
                <w:p w14:paraId="67091DD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2200 </w:t>
                  </w:r>
                </w:p>
              </w:tc>
              <w:tc>
                <w:tcPr>
                  <w:tcW w:w="797" w:type="dxa"/>
                  <w:tcBorders>
                    <w:top w:val="single" w:color="000000" w:sz="4" w:space="0"/>
                    <w:left w:val="single" w:color="auto" w:sz="4" w:space="0"/>
                    <w:bottom w:val="single" w:color="000000" w:sz="4" w:space="0"/>
                    <w:right w:val="single" w:color="000000" w:sz="4" w:space="0"/>
                  </w:tcBorders>
                  <w:vAlign w:val="center"/>
                </w:tcPr>
                <w:p w14:paraId="3E1FB4A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35B59A87">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17" w:type="dxa"/>
                  <w:tcBorders>
                    <w:top w:val="single" w:color="000000" w:sz="4" w:space="0"/>
                    <w:left w:val="single" w:color="000000" w:sz="4" w:space="0"/>
                    <w:bottom w:val="single" w:color="000000" w:sz="4" w:space="0"/>
                    <w:right w:val="single" w:color="auto" w:sz="4" w:space="0"/>
                  </w:tcBorders>
                  <w:vAlign w:val="center"/>
                </w:tcPr>
                <w:p w14:paraId="0CAF8F5C">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05D49B3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7-9</w:t>
                  </w:r>
                </w:p>
              </w:tc>
              <w:tc>
                <w:tcPr>
                  <w:tcW w:w="1346" w:type="dxa"/>
                  <w:tcBorders>
                    <w:top w:val="single" w:color="000000" w:sz="4" w:space="0"/>
                    <w:left w:val="single" w:color="auto" w:sz="4" w:space="0"/>
                    <w:bottom w:val="single" w:color="000000" w:sz="4" w:space="0"/>
                    <w:right w:val="single" w:color="000000" w:sz="4" w:space="0"/>
                  </w:tcBorders>
                  <w:vAlign w:val="center"/>
                </w:tcPr>
                <w:p w14:paraId="5BFBE7D6">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嵊泗海域</w:t>
                  </w:r>
                </w:p>
              </w:tc>
            </w:tr>
            <w:tr w14:paraId="45E7E746">
              <w:tblPrEx>
                <w:tblCellMar>
                  <w:top w:w="15" w:type="dxa"/>
                  <w:left w:w="15" w:type="dxa"/>
                  <w:bottom w:w="15" w:type="dxa"/>
                  <w:right w:w="15" w:type="dxa"/>
                </w:tblCellMar>
              </w:tblPrEx>
              <w:trPr>
                <w:trHeight w:val="372"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76AE4FC3">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九</w:t>
                  </w:r>
                </w:p>
              </w:tc>
              <w:tc>
                <w:tcPr>
                  <w:tcW w:w="1053" w:type="dxa"/>
                  <w:tcBorders>
                    <w:top w:val="single" w:color="000000" w:sz="4" w:space="0"/>
                    <w:left w:val="single" w:color="000000" w:sz="4" w:space="0"/>
                    <w:bottom w:val="single" w:color="000000" w:sz="4" w:space="0"/>
                    <w:right w:val="single" w:color="000000" w:sz="4" w:space="0"/>
                  </w:tcBorders>
                  <w:vAlign w:val="center"/>
                </w:tcPr>
                <w:p w14:paraId="16BABD6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半滑舌鳎</w:t>
                  </w:r>
                </w:p>
              </w:tc>
              <w:tc>
                <w:tcPr>
                  <w:tcW w:w="908" w:type="dxa"/>
                  <w:tcBorders>
                    <w:top w:val="single" w:color="000000" w:sz="4" w:space="0"/>
                    <w:left w:val="single" w:color="000000" w:sz="4" w:space="0"/>
                    <w:bottom w:val="single" w:color="000000" w:sz="4" w:space="0"/>
                    <w:right w:val="single" w:color="000000" w:sz="4" w:space="0"/>
                  </w:tcBorders>
                  <w:vAlign w:val="center"/>
                </w:tcPr>
                <w:p w14:paraId="119A132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63218DE3">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991" w:type="dxa"/>
                  <w:tcBorders>
                    <w:top w:val="single" w:color="000000" w:sz="4" w:space="0"/>
                    <w:bottom w:val="single" w:color="000000" w:sz="4" w:space="0"/>
                    <w:right w:val="single" w:color="auto" w:sz="4" w:space="0"/>
                  </w:tcBorders>
                  <w:vAlign w:val="center"/>
                </w:tcPr>
                <w:p w14:paraId="235F8F0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13 </w:t>
                  </w:r>
                </w:p>
              </w:tc>
              <w:tc>
                <w:tcPr>
                  <w:tcW w:w="797" w:type="dxa"/>
                  <w:tcBorders>
                    <w:top w:val="single" w:color="000000" w:sz="4" w:space="0"/>
                    <w:left w:val="single" w:color="auto" w:sz="4" w:space="0"/>
                    <w:bottom w:val="single" w:color="000000" w:sz="4" w:space="0"/>
                    <w:right w:val="single" w:color="000000" w:sz="4" w:space="0"/>
                  </w:tcBorders>
                  <w:vAlign w:val="center"/>
                </w:tcPr>
                <w:p w14:paraId="55719B28">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6544200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17" w:type="dxa"/>
                  <w:tcBorders>
                    <w:top w:val="single" w:color="000000" w:sz="4" w:space="0"/>
                    <w:left w:val="single" w:color="000000" w:sz="4" w:space="0"/>
                    <w:bottom w:val="single" w:color="000000" w:sz="4" w:space="0"/>
                    <w:right w:val="single" w:color="auto" w:sz="4" w:space="0"/>
                  </w:tcBorders>
                  <w:vAlign w:val="center"/>
                </w:tcPr>
                <w:p w14:paraId="4C86EC12">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1806579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346" w:type="dxa"/>
                  <w:tcBorders>
                    <w:top w:val="single" w:color="000000" w:sz="4" w:space="0"/>
                    <w:left w:val="single" w:color="auto" w:sz="4" w:space="0"/>
                    <w:bottom w:val="single" w:color="000000" w:sz="4" w:space="0"/>
                    <w:right w:val="single" w:color="000000" w:sz="4" w:space="0"/>
                  </w:tcBorders>
                  <w:vAlign w:val="center"/>
                </w:tcPr>
                <w:p w14:paraId="175D44A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岱衢洋</w:t>
                  </w:r>
                </w:p>
              </w:tc>
            </w:tr>
            <w:tr w14:paraId="59F828FC">
              <w:tblPrEx>
                <w:tblCellMar>
                  <w:top w:w="15" w:type="dxa"/>
                  <w:left w:w="15" w:type="dxa"/>
                  <w:bottom w:w="15" w:type="dxa"/>
                  <w:right w:w="15" w:type="dxa"/>
                </w:tblCellMar>
              </w:tblPrEx>
              <w:trPr>
                <w:trHeight w:val="320"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46872EAD">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w:t>
                  </w:r>
                </w:p>
              </w:tc>
              <w:tc>
                <w:tcPr>
                  <w:tcW w:w="1053" w:type="dxa"/>
                  <w:tcBorders>
                    <w:top w:val="single" w:color="000000" w:sz="4" w:space="0"/>
                    <w:left w:val="single" w:color="000000" w:sz="4" w:space="0"/>
                    <w:bottom w:val="single" w:color="000000" w:sz="4" w:space="0"/>
                    <w:right w:val="single" w:color="000000" w:sz="4" w:space="0"/>
                  </w:tcBorders>
                  <w:vAlign w:val="center"/>
                </w:tcPr>
                <w:p w14:paraId="21435AC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鮸</w:t>
                  </w:r>
                </w:p>
              </w:tc>
              <w:tc>
                <w:tcPr>
                  <w:tcW w:w="908" w:type="dxa"/>
                  <w:tcBorders>
                    <w:top w:val="single" w:color="000000" w:sz="4" w:space="0"/>
                    <w:left w:val="single" w:color="000000" w:sz="4" w:space="0"/>
                    <w:bottom w:val="single" w:color="000000" w:sz="4" w:space="0"/>
                    <w:right w:val="single" w:color="000000" w:sz="4" w:space="0"/>
                  </w:tcBorders>
                  <w:vAlign w:val="center"/>
                </w:tcPr>
                <w:p w14:paraId="6371C64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2A6596E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991" w:type="dxa"/>
                  <w:tcBorders>
                    <w:top w:val="single" w:color="000000" w:sz="4" w:space="0"/>
                    <w:bottom w:val="single" w:color="000000" w:sz="4" w:space="0"/>
                    <w:right w:val="single" w:color="auto" w:sz="4" w:space="0"/>
                  </w:tcBorders>
                  <w:vAlign w:val="center"/>
                </w:tcPr>
                <w:p w14:paraId="4BDD750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17 </w:t>
                  </w:r>
                </w:p>
              </w:tc>
              <w:tc>
                <w:tcPr>
                  <w:tcW w:w="797" w:type="dxa"/>
                  <w:tcBorders>
                    <w:top w:val="single" w:color="000000" w:sz="4" w:space="0"/>
                    <w:left w:val="single" w:color="auto" w:sz="4" w:space="0"/>
                    <w:bottom w:val="single" w:color="000000" w:sz="4" w:space="0"/>
                    <w:right w:val="single" w:color="000000" w:sz="4" w:space="0"/>
                  </w:tcBorders>
                  <w:vAlign w:val="center"/>
                </w:tcPr>
                <w:p w14:paraId="60303C89">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354E2A8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25</w:t>
                  </w:r>
                </w:p>
              </w:tc>
              <w:tc>
                <w:tcPr>
                  <w:tcW w:w="517" w:type="dxa"/>
                  <w:tcBorders>
                    <w:top w:val="single" w:color="000000" w:sz="4" w:space="0"/>
                    <w:left w:val="single" w:color="000000" w:sz="4" w:space="0"/>
                    <w:bottom w:val="single" w:color="000000" w:sz="4" w:space="0"/>
                    <w:right w:val="single" w:color="auto" w:sz="4" w:space="0"/>
                  </w:tcBorders>
                  <w:vAlign w:val="center"/>
                </w:tcPr>
                <w:p w14:paraId="723D8383">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5762CD1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w:t>
                  </w:r>
                </w:p>
              </w:tc>
              <w:tc>
                <w:tcPr>
                  <w:tcW w:w="1346" w:type="dxa"/>
                  <w:tcBorders>
                    <w:top w:val="single" w:color="000000" w:sz="4" w:space="0"/>
                    <w:left w:val="single" w:color="auto" w:sz="4" w:space="0"/>
                    <w:bottom w:val="single" w:color="000000" w:sz="4" w:space="0"/>
                    <w:right w:val="single" w:color="000000" w:sz="4" w:space="0"/>
                  </w:tcBorders>
                  <w:vAlign w:val="center"/>
                </w:tcPr>
                <w:p w14:paraId="5631A6DA">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册子海域</w:t>
                  </w:r>
                </w:p>
              </w:tc>
            </w:tr>
            <w:tr w14:paraId="60446F51">
              <w:tblPrEx>
                <w:tblCellMar>
                  <w:top w:w="15" w:type="dxa"/>
                  <w:left w:w="15" w:type="dxa"/>
                  <w:bottom w:w="15" w:type="dxa"/>
                  <w:right w:w="15" w:type="dxa"/>
                </w:tblCellMar>
              </w:tblPrEx>
              <w:trPr>
                <w:trHeight w:val="382" w:hRule="atLeast"/>
              </w:trPr>
              <w:tc>
                <w:tcPr>
                  <w:tcW w:w="400" w:type="dxa"/>
                  <w:tcBorders>
                    <w:top w:val="single" w:color="000000" w:sz="4" w:space="0"/>
                    <w:left w:val="single" w:color="000000" w:sz="4" w:space="0"/>
                    <w:bottom w:val="single" w:color="000000" w:sz="4" w:space="0"/>
                    <w:right w:val="single" w:color="000000" w:sz="4" w:space="0"/>
                  </w:tcBorders>
                  <w:vAlign w:val="center"/>
                </w:tcPr>
                <w:p w14:paraId="34FBDC27">
                  <w:pPr>
                    <w:widowControl/>
                    <w:jc w:val="center"/>
                    <w:rPr>
                      <w:rFonts w:ascii="宋体" w:hAnsi="宋体" w:eastAsia="宋体" w:cs="宋体"/>
                      <w:b/>
                      <w:color w:val="auto"/>
                      <w:kern w:val="0"/>
                      <w:sz w:val="18"/>
                      <w:szCs w:val="18"/>
                    </w:rPr>
                  </w:pPr>
                  <w:r>
                    <w:rPr>
                      <w:rFonts w:hint="eastAsia" w:ascii="宋体" w:hAnsi="宋体" w:eastAsia="宋体" w:cs="宋体"/>
                      <w:b/>
                      <w:color w:val="auto"/>
                      <w:kern w:val="0"/>
                      <w:sz w:val="18"/>
                      <w:szCs w:val="18"/>
                    </w:rPr>
                    <w:t>十一</w:t>
                  </w:r>
                </w:p>
              </w:tc>
              <w:tc>
                <w:tcPr>
                  <w:tcW w:w="1053" w:type="dxa"/>
                  <w:tcBorders>
                    <w:top w:val="single" w:color="000000" w:sz="4" w:space="0"/>
                    <w:left w:val="single" w:color="000000" w:sz="4" w:space="0"/>
                    <w:bottom w:val="single" w:color="000000" w:sz="4" w:space="0"/>
                    <w:right w:val="single" w:color="000000" w:sz="4" w:space="0"/>
                  </w:tcBorders>
                  <w:vAlign w:val="center"/>
                </w:tcPr>
                <w:p w14:paraId="6D0C4370">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条石鲷</w:t>
                  </w:r>
                </w:p>
              </w:tc>
              <w:tc>
                <w:tcPr>
                  <w:tcW w:w="908" w:type="dxa"/>
                  <w:tcBorders>
                    <w:top w:val="single" w:color="000000" w:sz="4" w:space="0"/>
                    <w:left w:val="single" w:color="000000" w:sz="4" w:space="0"/>
                    <w:bottom w:val="single" w:color="000000" w:sz="4" w:space="0"/>
                    <w:right w:val="single" w:color="000000" w:sz="4" w:space="0"/>
                  </w:tcBorders>
                  <w:vAlign w:val="center"/>
                </w:tcPr>
                <w:p w14:paraId="5388D25C">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体长≥5cm</w:t>
                  </w:r>
                </w:p>
              </w:tc>
              <w:tc>
                <w:tcPr>
                  <w:tcW w:w="678" w:type="dxa"/>
                  <w:tcBorders>
                    <w:top w:val="single" w:color="000000" w:sz="4" w:space="0"/>
                    <w:left w:val="single" w:color="000000" w:sz="4" w:space="0"/>
                    <w:bottom w:val="single" w:color="000000" w:sz="4" w:space="0"/>
                    <w:right w:val="single" w:color="000000" w:sz="4" w:space="0"/>
                  </w:tcBorders>
                  <w:vAlign w:val="center"/>
                </w:tcPr>
                <w:p w14:paraId="753CF84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991" w:type="dxa"/>
                  <w:tcBorders>
                    <w:top w:val="single" w:color="000000" w:sz="4" w:space="0"/>
                    <w:bottom w:val="single" w:color="000000" w:sz="4" w:space="0"/>
                    <w:right w:val="single" w:color="auto" w:sz="4" w:space="0"/>
                  </w:tcBorders>
                  <w:vAlign w:val="center"/>
                </w:tcPr>
                <w:p w14:paraId="73ABF16D">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 xml:space="preserve">46 </w:t>
                  </w:r>
                </w:p>
              </w:tc>
              <w:tc>
                <w:tcPr>
                  <w:tcW w:w="797" w:type="dxa"/>
                  <w:tcBorders>
                    <w:top w:val="single" w:color="000000" w:sz="4" w:space="0"/>
                    <w:left w:val="single" w:color="auto" w:sz="4" w:space="0"/>
                    <w:bottom w:val="single" w:color="000000" w:sz="4" w:space="0"/>
                    <w:right w:val="single" w:color="000000" w:sz="4" w:space="0"/>
                  </w:tcBorders>
                  <w:vAlign w:val="center"/>
                </w:tcPr>
                <w:p w14:paraId="34607A75">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1</w:t>
                  </w:r>
                </w:p>
              </w:tc>
              <w:tc>
                <w:tcPr>
                  <w:tcW w:w="592" w:type="dxa"/>
                  <w:tcBorders>
                    <w:top w:val="single" w:color="000000" w:sz="4" w:space="0"/>
                    <w:left w:val="single" w:color="000000" w:sz="4" w:space="0"/>
                    <w:bottom w:val="single" w:color="000000" w:sz="4" w:space="0"/>
                    <w:right w:val="single" w:color="auto" w:sz="4" w:space="0"/>
                  </w:tcBorders>
                  <w:vAlign w:val="center"/>
                </w:tcPr>
                <w:p w14:paraId="79D0704B">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55</w:t>
                  </w:r>
                </w:p>
              </w:tc>
              <w:tc>
                <w:tcPr>
                  <w:tcW w:w="517" w:type="dxa"/>
                  <w:tcBorders>
                    <w:top w:val="single" w:color="000000" w:sz="4" w:space="0"/>
                    <w:left w:val="single" w:color="000000" w:sz="4" w:space="0"/>
                    <w:bottom w:val="single" w:color="000000" w:sz="4" w:space="0"/>
                    <w:right w:val="single" w:color="auto" w:sz="4" w:space="0"/>
                  </w:tcBorders>
                  <w:vAlign w:val="center"/>
                </w:tcPr>
                <w:p w14:paraId="1D9A0260">
                  <w:pPr>
                    <w:jc w:val="center"/>
                    <w:rPr>
                      <w:rFonts w:hint="eastAsia" w:ascii="宋体" w:hAnsi="宋体" w:eastAsia="宋体" w:cs="Times New Roman"/>
                      <w:color w:val="auto"/>
                      <w:sz w:val="18"/>
                      <w:szCs w:val="18"/>
                    </w:rPr>
                  </w:pPr>
                </w:p>
              </w:tc>
              <w:tc>
                <w:tcPr>
                  <w:tcW w:w="754" w:type="dxa"/>
                  <w:tcBorders>
                    <w:top w:val="single" w:color="000000" w:sz="4" w:space="0"/>
                    <w:left w:val="single" w:color="000000" w:sz="4" w:space="0"/>
                    <w:bottom w:val="single" w:color="000000" w:sz="4" w:space="0"/>
                    <w:right w:val="single" w:color="auto" w:sz="4" w:space="0"/>
                  </w:tcBorders>
                  <w:vAlign w:val="center"/>
                </w:tcPr>
                <w:p w14:paraId="41FAFF82">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6-8</w:t>
                  </w:r>
                </w:p>
              </w:tc>
              <w:tc>
                <w:tcPr>
                  <w:tcW w:w="1346" w:type="dxa"/>
                  <w:tcBorders>
                    <w:top w:val="single" w:color="000000" w:sz="4" w:space="0"/>
                    <w:left w:val="single" w:color="auto" w:sz="4" w:space="0"/>
                    <w:bottom w:val="single" w:color="000000" w:sz="4" w:space="0"/>
                    <w:right w:val="single" w:color="000000" w:sz="4" w:space="0"/>
                  </w:tcBorders>
                  <w:vAlign w:val="center"/>
                </w:tcPr>
                <w:p w14:paraId="4C0539D1">
                  <w:pPr>
                    <w:jc w:val="center"/>
                    <w:rPr>
                      <w:rFonts w:hint="eastAsia" w:ascii="宋体" w:hAnsi="宋体" w:eastAsia="宋体" w:cs="Times New Roman"/>
                      <w:color w:val="auto"/>
                      <w:sz w:val="18"/>
                      <w:szCs w:val="18"/>
                    </w:rPr>
                  </w:pPr>
                  <w:r>
                    <w:rPr>
                      <w:rFonts w:hint="eastAsia" w:ascii="宋体" w:hAnsi="宋体" w:eastAsia="宋体" w:cs="Times New Roman"/>
                      <w:color w:val="auto"/>
                      <w:sz w:val="18"/>
                      <w:szCs w:val="18"/>
                      <w:lang w:val="en-US" w:eastAsia="zh-CN"/>
                    </w:rPr>
                    <w:t>嵊山海域</w:t>
                  </w:r>
                </w:p>
              </w:tc>
            </w:tr>
          </w:tbl>
          <w:p w14:paraId="4E4544EA">
            <w:pPr>
              <w:spacing w:after="120"/>
              <w:rPr>
                <w:rFonts w:ascii="Times New Roman" w:hAnsi="Times New Roman" w:eastAsia="宋体" w:cs="Times New Roman"/>
                <w:color w:val="auto"/>
                <w:kern w:val="0"/>
              </w:rPr>
            </w:pPr>
          </w:p>
        </w:tc>
      </w:tr>
      <w:tr w14:paraId="6E481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B4AF50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04F977">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本项目预算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0"/>
              <w:tblW w:w="0" w:type="auto"/>
              <w:tblInd w:w="154" w:type="dxa"/>
              <w:tblLayout w:type="fixed"/>
              <w:tblCellMar>
                <w:top w:w="0" w:type="dxa"/>
                <w:left w:w="108" w:type="dxa"/>
                <w:bottom w:w="0" w:type="dxa"/>
                <w:right w:w="108" w:type="dxa"/>
              </w:tblCellMar>
            </w:tblPr>
            <w:tblGrid>
              <w:gridCol w:w="732"/>
              <w:gridCol w:w="1774"/>
              <w:gridCol w:w="1067"/>
              <w:gridCol w:w="1200"/>
              <w:gridCol w:w="1601"/>
              <w:gridCol w:w="1601"/>
            </w:tblGrid>
            <w:tr w14:paraId="2E995174">
              <w:tblPrEx>
                <w:tblCellMar>
                  <w:top w:w="0" w:type="dxa"/>
                  <w:left w:w="108" w:type="dxa"/>
                  <w:bottom w:w="0" w:type="dxa"/>
                  <w:right w:w="108" w:type="dxa"/>
                </w:tblCellMar>
              </w:tblPrEx>
              <w:trPr>
                <w:trHeight w:val="285" w:hRule="atLeast"/>
              </w:trPr>
              <w:tc>
                <w:tcPr>
                  <w:tcW w:w="732" w:type="dxa"/>
                  <w:vMerge w:val="restart"/>
                  <w:tcBorders>
                    <w:top w:val="single" w:color="auto" w:sz="4" w:space="0"/>
                    <w:left w:val="single" w:color="auto" w:sz="4" w:space="0"/>
                    <w:bottom w:val="single" w:color="auto" w:sz="4" w:space="0"/>
                    <w:right w:val="single" w:color="auto" w:sz="4" w:space="0"/>
                  </w:tcBorders>
                  <w:vAlign w:val="center"/>
                </w:tcPr>
                <w:p w14:paraId="6C31F2E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1774" w:type="dxa"/>
                  <w:vMerge w:val="restart"/>
                  <w:tcBorders>
                    <w:top w:val="single" w:color="auto" w:sz="4" w:space="0"/>
                    <w:left w:val="single" w:color="auto" w:sz="4" w:space="0"/>
                    <w:bottom w:val="single" w:color="auto" w:sz="4" w:space="0"/>
                    <w:right w:val="single" w:color="auto" w:sz="4" w:space="0"/>
                  </w:tcBorders>
                  <w:vAlign w:val="center"/>
                </w:tcPr>
                <w:p w14:paraId="6FB8F9B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1067" w:type="dxa"/>
                  <w:vMerge w:val="restart"/>
                  <w:tcBorders>
                    <w:top w:val="single" w:color="auto" w:sz="4" w:space="0"/>
                    <w:left w:val="single" w:color="auto" w:sz="4" w:space="0"/>
                    <w:bottom w:val="single" w:color="auto" w:sz="4" w:space="0"/>
                    <w:right w:val="single" w:color="auto" w:sz="4" w:space="0"/>
                  </w:tcBorders>
                  <w:vAlign w:val="center"/>
                </w:tcPr>
                <w:p w14:paraId="475DA1F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c>
                <w:tcPr>
                  <w:tcW w:w="1200" w:type="dxa"/>
                  <w:vMerge w:val="restart"/>
                  <w:tcBorders>
                    <w:top w:val="single" w:color="auto" w:sz="4" w:space="0"/>
                    <w:left w:val="single" w:color="auto" w:sz="4" w:space="0"/>
                    <w:bottom w:val="single" w:color="auto" w:sz="4" w:space="0"/>
                    <w:right w:val="single" w:color="auto" w:sz="4" w:space="0"/>
                  </w:tcBorders>
                  <w:vAlign w:val="center"/>
                </w:tcPr>
                <w:p w14:paraId="5981C740">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c>
                <w:tcPr>
                  <w:tcW w:w="3202" w:type="dxa"/>
                  <w:gridSpan w:val="2"/>
                  <w:tcBorders>
                    <w:top w:val="single" w:color="auto" w:sz="4" w:space="0"/>
                    <w:left w:val="nil"/>
                    <w:bottom w:val="single" w:color="auto" w:sz="4" w:space="0"/>
                    <w:right w:val="single" w:color="000000" w:sz="4" w:space="0"/>
                  </w:tcBorders>
                  <w:vAlign w:val="center"/>
                </w:tcPr>
                <w:p w14:paraId="0327906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中标单位种苗费分配(万元)</w:t>
                  </w:r>
                </w:p>
              </w:tc>
            </w:tr>
            <w:tr w14:paraId="49D550EA">
              <w:tblPrEx>
                <w:tblCellMar>
                  <w:top w:w="0" w:type="dxa"/>
                  <w:left w:w="108" w:type="dxa"/>
                  <w:bottom w:w="0" w:type="dxa"/>
                  <w:right w:w="108" w:type="dxa"/>
                </w:tblCellMar>
              </w:tblPrEx>
              <w:trPr>
                <w:trHeight w:val="220" w:hRule="atLeast"/>
              </w:trPr>
              <w:tc>
                <w:tcPr>
                  <w:tcW w:w="732" w:type="dxa"/>
                  <w:vMerge w:val="continue"/>
                  <w:tcBorders>
                    <w:top w:val="single" w:color="auto" w:sz="4" w:space="0"/>
                    <w:left w:val="single" w:color="auto" w:sz="4" w:space="0"/>
                    <w:bottom w:val="single" w:color="auto" w:sz="4" w:space="0"/>
                    <w:right w:val="single" w:color="auto" w:sz="4" w:space="0"/>
                  </w:tcBorders>
                  <w:vAlign w:val="center"/>
                </w:tcPr>
                <w:p w14:paraId="657818F8">
                  <w:pPr>
                    <w:widowControl/>
                    <w:jc w:val="left"/>
                    <w:rPr>
                      <w:rFonts w:ascii="宋体" w:hAnsi="宋体" w:eastAsia="宋体" w:cs="宋体"/>
                      <w:b/>
                      <w:bCs/>
                      <w:color w:val="auto"/>
                      <w:kern w:val="0"/>
                      <w:szCs w:val="21"/>
                    </w:rPr>
                  </w:pPr>
                </w:p>
              </w:tc>
              <w:tc>
                <w:tcPr>
                  <w:tcW w:w="1774" w:type="dxa"/>
                  <w:vMerge w:val="continue"/>
                  <w:tcBorders>
                    <w:top w:val="single" w:color="auto" w:sz="4" w:space="0"/>
                    <w:left w:val="single" w:color="auto" w:sz="4" w:space="0"/>
                    <w:bottom w:val="single" w:color="auto" w:sz="4" w:space="0"/>
                    <w:right w:val="single" w:color="auto" w:sz="4" w:space="0"/>
                  </w:tcBorders>
                  <w:vAlign w:val="center"/>
                </w:tcPr>
                <w:p w14:paraId="79350EED">
                  <w:pPr>
                    <w:widowControl/>
                    <w:jc w:val="left"/>
                    <w:rPr>
                      <w:rFonts w:ascii="宋体" w:hAnsi="宋体" w:eastAsia="宋体" w:cs="宋体"/>
                      <w:b/>
                      <w:bCs/>
                      <w:color w:val="auto"/>
                      <w:kern w:val="0"/>
                      <w:szCs w:val="21"/>
                    </w:rPr>
                  </w:pPr>
                </w:p>
              </w:tc>
              <w:tc>
                <w:tcPr>
                  <w:tcW w:w="1067" w:type="dxa"/>
                  <w:vMerge w:val="continue"/>
                  <w:tcBorders>
                    <w:top w:val="single" w:color="auto" w:sz="4" w:space="0"/>
                    <w:left w:val="single" w:color="auto" w:sz="4" w:space="0"/>
                    <w:bottom w:val="single" w:color="auto" w:sz="4" w:space="0"/>
                    <w:right w:val="single" w:color="auto" w:sz="4" w:space="0"/>
                  </w:tcBorders>
                  <w:vAlign w:val="center"/>
                </w:tcPr>
                <w:p w14:paraId="1D4C4DC8">
                  <w:pPr>
                    <w:widowControl/>
                    <w:jc w:val="left"/>
                    <w:rPr>
                      <w:rFonts w:ascii="宋体" w:hAnsi="宋体" w:eastAsia="宋体" w:cs="宋体"/>
                      <w:b/>
                      <w:bCs/>
                      <w:color w:val="auto"/>
                      <w:kern w:val="0"/>
                      <w:szCs w:val="21"/>
                    </w:rPr>
                  </w:pPr>
                </w:p>
              </w:tc>
              <w:tc>
                <w:tcPr>
                  <w:tcW w:w="1200" w:type="dxa"/>
                  <w:vMerge w:val="continue"/>
                  <w:tcBorders>
                    <w:top w:val="single" w:color="auto" w:sz="4" w:space="0"/>
                    <w:left w:val="single" w:color="auto" w:sz="4" w:space="0"/>
                    <w:bottom w:val="single" w:color="auto" w:sz="4" w:space="0"/>
                    <w:right w:val="single" w:color="auto" w:sz="4" w:space="0"/>
                  </w:tcBorders>
                  <w:vAlign w:val="center"/>
                </w:tcPr>
                <w:p w14:paraId="60448D75">
                  <w:pPr>
                    <w:widowControl/>
                    <w:jc w:val="left"/>
                    <w:rPr>
                      <w:rFonts w:ascii="宋体" w:hAnsi="宋体" w:eastAsia="宋体" w:cs="宋体"/>
                      <w:b/>
                      <w:bCs/>
                      <w:color w:val="auto"/>
                      <w:kern w:val="0"/>
                      <w:szCs w:val="21"/>
                    </w:rPr>
                  </w:pPr>
                </w:p>
              </w:tc>
              <w:tc>
                <w:tcPr>
                  <w:tcW w:w="1601" w:type="dxa"/>
                  <w:tcBorders>
                    <w:top w:val="nil"/>
                    <w:left w:val="nil"/>
                    <w:bottom w:val="single" w:color="auto" w:sz="4" w:space="0"/>
                    <w:right w:val="single" w:color="auto" w:sz="4" w:space="0"/>
                  </w:tcBorders>
                  <w:vAlign w:val="center"/>
                </w:tcPr>
                <w:p w14:paraId="5707C02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1</w:t>
                  </w:r>
                </w:p>
              </w:tc>
              <w:tc>
                <w:tcPr>
                  <w:tcW w:w="1601" w:type="dxa"/>
                  <w:tcBorders>
                    <w:top w:val="nil"/>
                    <w:left w:val="nil"/>
                    <w:bottom w:val="single" w:color="auto" w:sz="4" w:space="0"/>
                    <w:right w:val="single" w:color="auto" w:sz="4" w:space="0"/>
                  </w:tcBorders>
                  <w:vAlign w:val="center"/>
                </w:tcPr>
                <w:p w14:paraId="74BE34B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2</w:t>
                  </w:r>
                </w:p>
              </w:tc>
            </w:tr>
            <w:tr w14:paraId="2490276D">
              <w:tblPrEx>
                <w:tblCellMar>
                  <w:top w:w="0" w:type="dxa"/>
                  <w:left w:w="108" w:type="dxa"/>
                  <w:bottom w:w="0" w:type="dxa"/>
                  <w:right w:w="108" w:type="dxa"/>
                </w:tblCellMar>
              </w:tblPrEx>
              <w:trPr>
                <w:trHeight w:val="312" w:hRule="atLeast"/>
              </w:trPr>
              <w:tc>
                <w:tcPr>
                  <w:tcW w:w="732" w:type="dxa"/>
                  <w:tcBorders>
                    <w:top w:val="nil"/>
                    <w:left w:val="single" w:color="auto" w:sz="4" w:space="0"/>
                    <w:bottom w:val="single" w:color="auto" w:sz="4" w:space="0"/>
                    <w:right w:val="single" w:color="auto" w:sz="4" w:space="0"/>
                  </w:tcBorders>
                  <w:vAlign w:val="center"/>
                </w:tcPr>
                <w:p w14:paraId="3C523F18">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1774" w:type="dxa"/>
                  <w:tcBorders>
                    <w:top w:val="single" w:color="auto" w:sz="4" w:space="0"/>
                    <w:left w:val="single" w:color="auto" w:sz="4" w:space="0"/>
                    <w:bottom w:val="single" w:color="auto" w:sz="4" w:space="0"/>
                    <w:right w:val="single" w:color="auto" w:sz="4" w:space="0"/>
                  </w:tcBorders>
                  <w:vAlign w:val="center"/>
                </w:tcPr>
                <w:p w14:paraId="13395CB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1067" w:type="dxa"/>
                  <w:tcBorders>
                    <w:top w:val="nil"/>
                    <w:left w:val="nil"/>
                    <w:bottom w:val="single" w:color="auto" w:sz="4" w:space="0"/>
                    <w:right w:val="single" w:color="auto" w:sz="4" w:space="0"/>
                  </w:tcBorders>
                  <w:vAlign w:val="center"/>
                </w:tcPr>
                <w:p w14:paraId="4E300BB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00" w:type="dxa"/>
                  <w:tcBorders>
                    <w:top w:val="nil"/>
                    <w:left w:val="nil"/>
                    <w:bottom w:val="single" w:color="auto" w:sz="4" w:space="0"/>
                    <w:right w:val="single" w:color="auto" w:sz="4" w:space="0"/>
                  </w:tcBorders>
                  <w:vAlign w:val="center"/>
                </w:tcPr>
                <w:p w14:paraId="3F4CC6B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19AD874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601" w:type="dxa"/>
                  <w:tcBorders>
                    <w:top w:val="nil"/>
                    <w:left w:val="nil"/>
                    <w:bottom w:val="single" w:color="auto" w:sz="4" w:space="0"/>
                    <w:right w:val="single" w:color="auto" w:sz="4" w:space="0"/>
                  </w:tcBorders>
                  <w:vAlign w:val="center"/>
                </w:tcPr>
                <w:p w14:paraId="6626EF85">
                  <w:pPr>
                    <w:jc w:val="center"/>
                    <w:rPr>
                      <w:rFonts w:hint="eastAsia" w:ascii="宋体" w:hAnsi="宋体" w:eastAsia="宋体" w:cs="宋体"/>
                      <w:bCs/>
                      <w:color w:val="auto"/>
                      <w:kern w:val="0"/>
                      <w:sz w:val="21"/>
                      <w:szCs w:val="21"/>
                    </w:rPr>
                  </w:pPr>
                </w:p>
              </w:tc>
            </w:tr>
            <w:tr w14:paraId="09B60506">
              <w:tblPrEx>
                <w:tblCellMar>
                  <w:top w:w="0" w:type="dxa"/>
                  <w:left w:w="108" w:type="dxa"/>
                  <w:bottom w:w="0" w:type="dxa"/>
                  <w:right w:w="108" w:type="dxa"/>
                </w:tblCellMar>
              </w:tblPrEx>
              <w:trPr>
                <w:trHeight w:val="331" w:hRule="atLeast"/>
              </w:trPr>
              <w:tc>
                <w:tcPr>
                  <w:tcW w:w="732" w:type="dxa"/>
                  <w:tcBorders>
                    <w:top w:val="nil"/>
                    <w:left w:val="single" w:color="auto" w:sz="4" w:space="0"/>
                    <w:bottom w:val="single" w:color="auto" w:sz="4" w:space="0"/>
                    <w:right w:val="single" w:color="auto" w:sz="4" w:space="0"/>
                  </w:tcBorders>
                  <w:vAlign w:val="center"/>
                </w:tcPr>
                <w:p w14:paraId="24D3A7A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1774" w:type="dxa"/>
                  <w:tcBorders>
                    <w:top w:val="single" w:color="auto" w:sz="4" w:space="0"/>
                    <w:left w:val="single" w:color="auto" w:sz="4" w:space="0"/>
                    <w:bottom w:val="single" w:color="auto" w:sz="4" w:space="0"/>
                    <w:right w:val="single" w:color="auto" w:sz="4" w:space="0"/>
                  </w:tcBorders>
                  <w:vAlign w:val="center"/>
                </w:tcPr>
                <w:p w14:paraId="3A58984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1067" w:type="dxa"/>
                  <w:tcBorders>
                    <w:top w:val="nil"/>
                    <w:left w:val="nil"/>
                    <w:bottom w:val="single" w:color="auto" w:sz="4" w:space="0"/>
                    <w:right w:val="single" w:color="auto" w:sz="4" w:space="0"/>
                  </w:tcBorders>
                  <w:vAlign w:val="center"/>
                </w:tcPr>
                <w:p w14:paraId="49F5801C">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00" w:type="dxa"/>
                  <w:tcBorders>
                    <w:top w:val="nil"/>
                    <w:left w:val="nil"/>
                    <w:bottom w:val="single" w:color="auto" w:sz="4" w:space="0"/>
                    <w:right w:val="single" w:color="auto" w:sz="4" w:space="0"/>
                  </w:tcBorders>
                  <w:vAlign w:val="center"/>
                </w:tcPr>
                <w:p w14:paraId="07F1BBB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3DE796F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601" w:type="dxa"/>
                  <w:tcBorders>
                    <w:top w:val="nil"/>
                    <w:left w:val="nil"/>
                    <w:bottom w:val="single" w:color="auto" w:sz="4" w:space="0"/>
                    <w:right w:val="single" w:color="auto" w:sz="4" w:space="0"/>
                  </w:tcBorders>
                  <w:vAlign w:val="center"/>
                </w:tcPr>
                <w:p w14:paraId="76484392">
                  <w:pPr>
                    <w:jc w:val="center"/>
                    <w:rPr>
                      <w:rFonts w:hint="eastAsia" w:ascii="宋体" w:hAnsi="宋体" w:eastAsia="宋体" w:cs="宋体"/>
                      <w:bCs/>
                      <w:color w:val="auto"/>
                      <w:kern w:val="0"/>
                      <w:sz w:val="21"/>
                      <w:szCs w:val="21"/>
                    </w:rPr>
                  </w:pPr>
                </w:p>
              </w:tc>
            </w:tr>
            <w:tr w14:paraId="3FD34965">
              <w:tblPrEx>
                <w:tblCellMar>
                  <w:top w:w="0" w:type="dxa"/>
                  <w:left w:w="108" w:type="dxa"/>
                  <w:bottom w:w="0" w:type="dxa"/>
                  <w:right w:w="108" w:type="dxa"/>
                </w:tblCellMar>
              </w:tblPrEx>
              <w:trPr>
                <w:trHeight w:val="290" w:hRule="atLeast"/>
              </w:trPr>
              <w:tc>
                <w:tcPr>
                  <w:tcW w:w="732" w:type="dxa"/>
                  <w:tcBorders>
                    <w:top w:val="nil"/>
                    <w:left w:val="single" w:color="auto" w:sz="4" w:space="0"/>
                    <w:bottom w:val="single" w:color="auto" w:sz="4" w:space="0"/>
                    <w:right w:val="single" w:color="auto" w:sz="4" w:space="0"/>
                  </w:tcBorders>
                  <w:vAlign w:val="center"/>
                </w:tcPr>
                <w:p w14:paraId="78BF989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1774" w:type="dxa"/>
                  <w:tcBorders>
                    <w:top w:val="single" w:color="auto" w:sz="4" w:space="0"/>
                    <w:left w:val="single" w:color="auto" w:sz="4" w:space="0"/>
                    <w:bottom w:val="single" w:color="auto" w:sz="4" w:space="0"/>
                    <w:right w:val="single" w:color="auto" w:sz="4" w:space="0"/>
                  </w:tcBorders>
                  <w:vAlign w:val="center"/>
                </w:tcPr>
                <w:p w14:paraId="575D498F">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1067" w:type="dxa"/>
                  <w:tcBorders>
                    <w:top w:val="nil"/>
                    <w:left w:val="nil"/>
                    <w:bottom w:val="single" w:color="auto" w:sz="4" w:space="0"/>
                    <w:right w:val="single" w:color="auto" w:sz="4" w:space="0"/>
                  </w:tcBorders>
                  <w:vAlign w:val="center"/>
                </w:tcPr>
                <w:p w14:paraId="2A8EE27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200" w:type="dxa"/>
                  <w:tcBorders>
                    <w:top w:val="nil"/>
                    <w:left w:val="nil"/>
                    <w:bottom w:val="single" w:color="auto" w:sz="4" w:space="0"/>
                    <w:right w:val="single" w:color="auto" w:sz="4" w:space="0"/>
                  </w:tcBorders>
                  <w:vAlign w:val="center"/>
                </w:tcPr>
                <w:p w14:paraId="0A8A8F4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4D437DA0">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601" w:type="dxa"/>
                  <w:tcBorders>
                    <w:top w:val="nil"/>
                    <w:left w:val="nil"/>
                    <w:bottom w:val="single" w:color="auto" w:sz="4" w:space="0"/>
                    <w:right w:val="single" w:color="auto" w:sz="4" w:space="0"/>
                  </w:tcBorders>
                  <w:vAlign w:val="center"/>
                </w:tcPr>
                <w:p w14:paraId="36B5981B">
                  <w:pPr>
                    <w:jc w:val="center"/>
                    <w:rPr>
                      <w:rFonts w:hint="eastAsia" w:ascii="宋体" w:hAnsi="宋体" w:eastAsia="宋体" w:cs="宋体"/>
                      <w:bCs/>
                      <w:color w:val="auto"/>
                      <w:kern w:val="0"/>
                      <w:sz w:val="21"/>
                      <w:szCs w:val="21"/>
                    </w:rPr>
                  </w:pPr>
                </w:p>
              </w:tc>
            </w:tr>
            <w:tr w14:paraId="2B8903D9">
              <w:tblPrEx>
                <w:tblCellMar>
                  <w:top w:w="0" w:type="dxa"/>
                  <w:left w:w="108" w:type="dxa"/>
                  <w:bottom w:w="0" w:type="dxa"/>
                  <w:right w:w="108" w:type="dxa"/>
                </w:tblCellMar>
              </w:tblPrEx>
              <w:trPr>
                <w:trHeight w:val="255" w:hRule="atLeast"/>
              </w:trPr>
              <w:tc>
                <w:tcPr>
                  <w:tcW w:w="732" w:type="dxa"/>
                  <w:tcBorders>
                    <w:top w:val="single" w:color="auto" w:sz="4" w:space="0"/>
                    <w:left w:val="single" w:color="auto" w:sz="4" w:space="0"/>
                    <w:bottom w:val="single" w:color="auto" w:sz="4" w:space="0"/>
                    <w:right w:val="single" w:color="auto" w:sz="4" w:space="0"/>
                  </w:tcBorders>
                  <w:vAlign w:val="center"/>
                </w:tcPr>
                <w:p w14:paraId="70BF607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1774" w:type="dxa"/>
                  <w:tcBorders>
                    <w:top w:val="single" w:color="auto" w:sz="4" w:space="0"/>
                    <w:left w:val="single" w:color="auto" w:sz="4" w:space="0"/>
                    <w:bottom w:val="single" w:color="auto" w:sz="4" w:space="0"/>
                    <w:right w:val="single" w:color="auto" w:sz="4" w:space="0"/>
                  </w:tcBorders>
                  <w:vAlign w:val="center"/>
                </w:tcPr>
                <w:p w14:paraId="7319347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1067" w:type="dxa"/>
                  <w:tcBorders>
                    <w:top w:val="single" w:color="auto" w:sz="4" w:space="0"/>
                    <w:left w:val="single" w:color="auto" w:sz="4" w:space="0"/>
                    <w:bottom w:val="single" w:color="auto" w:sz="4" w:space="0"/>
                    <w:right w:val="single" w:color="auto" w:sz="4" w:space="0"/>
                  </w:tcBorders>
                  <w:vAlign w:val="center"/>
                </w:tcPr>
                <w:p w14:paraId="751907E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90</w:t>
                  </w:r>
                </w:p>
              </w:tc>
              <w:tc>
                <w:tcPr>
                  <w:tcW w:w="1200" w:type="dxa"/>
                  <w:tcBorders>
                    <w:top w:val="single" w:color="auto" w:sz="4" w:space="0"/>
                    <w:left w:val="single" w:color="auto" w:sz="4" w:space="0"/>
                    <w:bottom w:val="single" w:color="auto" w:sz="4" w:space="0"/>
                    <w:right w:val="single" w:color="auto" w:sz="4" w:space="0"/>
                  </w:tcBorders>
                  <w:vAlign w:val="center"/>
                </w:tcPr>
                <w:p w14:paraId="6ABC52E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601" w:type="dxa"/>
                  <w:tcBorders>
                    <w:top w:val="single" w:color="auto" w:sz="4" w:space="0"/>
                    <w:left w:val="single" w:color="auto" w:sz="4" w:space="0"/>
                    <w:bottom w:val="single" w:color="auto" w:sz="4" w:space="0"/>
                    <w:right w:val="single" w:color="auto" w:sz="4" w:space="0"/>
                  </w:tcBorders>
                  <w:vAlign w:val="center"/>
                </w:tcPr>
                <w:p w14:paraId="678FB54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50</w:t>
                  </w:r>
                </w:p>
              </w:tc>
              <w:tc>
                <w:tcPr>
                  <w:tcW w:w="1601" w:type="dxa"/>
                  <w:tcBorders>
                    <w:top w:val="single" w:color="auto" w:sz="4" w:space="0"/>
                    <w:left w:val="single" w:color="auto" w:sz="4" w:space="0"/>
                    <w:bottom w:val="single" w:color="auto" w:sz="4" w:space="0"/>
                    <w:right w:val="single" w:color="auto" w:sz="4" w:space="0"/>
                  </w:tcBorders>
                  <w:vAlign w:val="center"/>
                </w:tcPr>
                <w:p w14:paraId="7CF43BA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40</w:t>
                  </w:r>
                </w:p>
              </w:tc>
            </w:tr>
            <w:tr w14:paraId="0B876716">
              <w:tblPrEx>
                <w:tblCellMar>
                  <w:top w:w="0" w:type="dxa"/>
                  <w:left w:w="108" w:type="dxa"/>
                  <w:bottom w:w="0" w:type="dxa"/>
                  <w:right w:w="108" w:type="dxa"/>
                </w:tblCellMar>
              </w:tblPrEx>
              <w:trPr>
                <w:trHeight w:val="285" w:hRule="atLeast"/>
              </w:trPr>
              <w:tc>
                <w:tcPr>
                  <w:tcW w:w="732" w:type="dxa"/>
                  <w:tcBorders>
                    <w:top w:val="single" w:color="auto" w:sz="4" w:space="0"/>
                    <w:left w:val="single" w:color="auto" w:sz="4" w:space="0"/>
                    <w:bottom w:val="single" w:color="auto" w:sz="4" w:space="0"/>
                    <w:right w:val="single" w:color="auto" w:sz="4" w:space="0"/>
                  </w:tcBorders>
                  <w:vAlign w:val="center"/>
                </w:tcPr>
                <w:p w14:paraId="3B598168">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1774" w:type="dxa"/>
                  <w:tcBorders>
                    <w:top w:val="single" w:color="auto" w:sz="4" w:space="0"/>
                    <w:left w:val="single" w:color="auto" w:sz="4" w:space="0"/>
                    <w:bottom w:val="single" w:color="auto" w:sz="4" w:space="0"/>
                    <w:right w:val="single" w:color="auto" w:sz="4" w:space="0"/>
                  </w:tcBorders>
                  <w:vAlign w:val="center"/>
                </w:tcPr>
                <w:p w14:paraId="337E4996">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1067" w:type="dxa"/>
                  <w:tcBorders>
                    <w:top w:val="single" w:color="auto" w:sz="4" w:space="0"/>
                    <w:left w:val="nil"/>
                    <w:bottom w:val="single" w:color="auto" w:sz="4" w:space="0"/>
                    <w:right w:val="single" w:color="auto" w:sz="4" w:space="0"/>
                  </w:tcBorders>
                  <w:vAlign w:val="center"/>
                </w:tcPr>
                <w:p w14:paraId="7E22195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200" w:type="dxa"/>
                  <w:tcBorders>
                    <w:top w:val="single" w:color="auto" w:sz="4" w:space="0"/>
                    <w:left w:val="nil"/>
                    <w:bottom w:val="single" w:color="auto" w:sz="4" w:space="0"/>
                    <w:right w:val="single" w:color="auto" w:sz="4" w:space="0"/>
                  </w:tcBorders>
                  <w:vAlign w:val="center"/>
                </w:tcPr>
                <w:p w14:paraId="7E1EC50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single" w:color="auto" w:sz="4" w:space="0"/>
                    <w:left w:val="nil"/>
                    <w:bottom w:val="single" w:color="auto" w:sz="4" w:space="0"/>
                    <w:right w:val="single" w:color="auto" w:sz="4" w:space="0"/>
                  </w:tcBorders>
                  <w:vAlign w:val="center"/>
                </w:tcPr>
                <w:p w14:paraId="3A0850F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601" w:type="dxa"/>
                  <w:tcBorders>
                    <w:top w:val="single" w:color="auto" w:sz="4" w:space="0"/>
                    <w:left w:val="nil"/>
                    <w:bottom w:val="single" w:color="auto" w:sz="4" w:space="0"/>
                    <w:right w:val="single" w:color="auto" w:sz="4" w:space="0"/>
                  </w:tcBorders>
                  <w:vAlign w:val="center"/>
                </w:tcPr>
                <w:p w14:paraId="0C3FE267">
                  <w:pPr>
                    <w:jc w:val="center"/>
                    <w:rPr>
                      <w:rFonts w:hint="eastAsia" w:ascii="宋体" w:hAnsi="宋体" w:eastAsia="宋体" w:cs="宋体"/>
                      <w:bCs/>
                      <w:color w:val="auto"/>
                      <w:kern w:val="0"/>
                      <w:sz w:val="21"/>
                      <w:szCs w:val="21"/>
                    </w:rPr>
                  </w:pPr>
                </w:p>
              </w:tc>
            </w:tr>
            <w:tr w14:paraId="03127632">
              <w:tblPrEx>
                <w:tblCellMar>
                  <w:top w:w="0" w:type="dxa"/>
                  <w:left w:w="108" w:type="dxa"/>
                  <w:bottom w:w="0" w:type="dxa"/>
                  <w:right w:w="108" w:type="dxa"/>
                </w:tblCellMar>
              </w:tblPrEx>
              <w:trPr>
                <w:trHeight w:val="280" w:hRule="atLeast"/>
              </w:trPr>
              <w:tc>
                <w:tcPr>
                  <w:tcW w:w="732" w:type="dxa"/>
                  <w:tcBorders>
                    <w:top w:val="nil"/>
                    <w:left w:val="single" w:color="auto" w:sz="4" w:space="0"/>
                    <w:bottom w:val="single" w:color="auto" w:sz="4" w:space="0"/>
                    <w:right w:val="single" w:color="auto" w:sz="4" w:space="0"/>
                  </w:tcBorders>
                  <w:vAlign w:val="center"/>
                </w:tcPr>
                <w:p w14:paraId="7F3740A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1774" w:type="dxa"/>
                  <w:tcBorders>
                    <w:top w:val="single" w:color="auto" w:sz="4" w:space="0"/>
                    <w:left w:val="single" w:color="auto" w:sz="4" w:space="0"/>
                    <w:bottom w:val="single" w:color="auto" w:sz="4" w:space="0"/>
                    <w:right w:val="single" w:color="auto" w:sz="4" w:space="0"/>
                  </w:tcBorders>
                  <w:vAlign w:val="center"/>
                </w:tcPr>
                <w:p w14:paraId="31985D5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1067" w:type="dxa"/>
                  <w:tcBorders>
                    <w:top w:val="nil"/>
                    <w:left w:val="nil"/>
                    <w:bottom w:val="single" w:color="auto" w:sz="4" w:space="0"/>
                    <w:right w:val="single" w:color="auto" w:sz="4" w:space="0"/>
                  </w:tcBorders>
                  <w:vAlign w:val="center"/>
                </w:tcPr>
                <w:p w14:paraId="252C565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200" w:type="dxa"/>
                  <w:tcBorders>
                    <w:top w:val="nil"/>
                    <w:left w:val="nil"/>
                    <w:bottom w:val="single" w:color="auto" w:sz="4" w:space="0"/>
                    <w:right w:val="single" w:color="auto" w:sz="4" w:space="0"/>
                  </w:tcBorders>
                  <w:vAlign w:val="center"/>
                </w:tcPr>
                <w:p w14:paraId="4F6D368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2B5BF6E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601" w:type="dxa"/>
                  <w:tcBorders>
                    <w:top w:val="nil"/>
                    <w:left w:val="nil"/>
                    <w:bottom w:val="single" w:color="auto" w:sz="4" w:space="0"/>
                    <w:right w:val="single" w:color="auto" w:sz="4" w:space="0"/>
                  </w:tcBorders>
                  <w:vAlign w:val="center"/>
                </w:tcPr>
                <w:p w14:paraId="05493674">
                  <w:pPr>
                    <w:jc w:val="center"/>
                    <w:rPr>
                      <w:rFonts w:hint="eastAsia" w:ascii="宋体" w:hAnsi="宋体" w:eastAsia="宋体" w:cs="宋体"/>
                      <w:bCs/>
                      <w:color w:val="auto"/>
                      <w:kern w:val="0"/>
                      <w:sz w:val="21"/>
                      <w:szCs w:val="21"/>
                    </w:rPr>
                  </w:pPr>
                </w:p>
              </w:tc>
            </w:tr>
            <w:tr w14:paraId="384CB181">
              <w:tblPrEx>
                <w:tblCellMar>
                  <w:top w:w="0" w:type="dxa"/>
                  <w:left w:w="108" w:type="dxa"/>
                  <w:bottom w:w="0" w:type="dxa"/>
                  <w:right w:w="108" w:type="dxa"/>
                </w:tblCellMar>
              </w:tblPrEx>
              <w:trPr>
                <w:trHeight w:val="278" w:hRule="atLeast"/>
              </w:trPr>
              <w:tc>
                <w:tcPr>
                  <w:tcW w:w="732" w:type="dxa"/>
                  <w:tcBorders>
                    <w:top w:val="nil"/>
                    <w:left w:val="single" w:color="auto" w:sz="4" w:space="0"/>
                    <w:bottom w:val="single" w:color="auto" w:sz="4" w:space="0"/>
                    <w:right w:val="single" w:color="auto" w:sz="4" w:space="0"/>
                  </w:tcBorders>
                  <w:vAlign w:val="center"/>
                </w:tcPr>
                <w:p w14:paraId="55C8154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1774" w:type="dxa"/>
                  <w:tcBorders>
                    <w:top w:val="single" w:color="auto" w:sz="4" w:space="0"/>
                    <w:left w:val="single" w:color="auto" w:sz="4" w:space="0"/>
                    <w:bottom w:val="single" w:color="auto" w:sz="4" w:space="0"/>
                    <w:right w:val="single" w:color="auto" w:sz="4" w:space="0"/>
                  </w:tcBorders>
                  <w:vAlign w:val="center"/>
                </w:tcPr>
                <w:p w14:paraId="085D2880">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1067" w:type="dxa"/>
                  <w:tcBorders>
                    <w:top w:val="nil"/>
                    <w:left w:val="nil"/>
                    <w:bottom w:val="single" w:color="auto" w:sz="4" w:space="0"/>
                    <w:right w:val="single" w:color="auto" w:sz="4" w:space="0"/>
                  </w:tcBorders>
                  <w:vAlign w:val="center"/>
                </w:tcPr>
                <w:p w14:paraId="10DCC5F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65</w:t>
                  </w:r>
                </w:p>
              </w:tc>
              <w:tc>
                <w:tcPr>
                  <w:tcW w:w="1200" w:type="dxa"/>
                  <w:tcBorders>
                    <w:top w:val="nil"/>
                    <w:left w:val="nil"/>
                    <w:bottom w:val="single" w:color="auto" w:sz="4" w:space="0"/>
                    <w:right w:val="single" w:color="auto" w:sz="4" w:space="0"/>
                  </w:tcBorders>
                  <w:vAlign w:val="center"/>
                </w:tcPr>
                <w:p w14:paraId="3D850EA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601" w:type="dxa"/>
                  <w:tcBorders>
                    <w:top w:val="nil"/>
                    <w:left w:val="nil"/>
                    <w:bottom w:val="single" w:color="auto" w:sz="4" w:space="0"/>
                    <w:right w:val="single" w:color="auto" w:sz="4" w:space="0"/>
                  </w:tcBorders>
                  <w:vAlign w:val="center"/>
                </w:tcPr>
                <w:p w14:paraId="5581185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601" w:type="dxa"/>
                  <w:tcBorders>
                    <w:top w:val="nil"/>
                    <w:left w:val="nil"/>
                    <w:bottom w:val="single" w:color="auto" w:sz="4" w:space="0"/>
                    <w:right w:val="single" w:color="auto" w:sz="4" w:space="0"/>
                  </w:tcBorders>
                  <w:vAlign w:val="center"/>
                </w:tcPr>
                <w:p w14:paraId="6E84B18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30</w:t>
                  </w:r>
                </w:p>
              </w:tc>
            </w:tr>
            <w:tr w14:paraId="1FE8E0A9">
              <w:tblPrEx>
                <w:tblCellMar>
                  <w:top w:w="0" w:type="dxa"/>
                  <w:left w:w="108" w:type="dxa"/>
                  <w:bottom w:w="0" w:type="dxa"/>
                  <w:right w:w="108" w:type="dxa"/>
                </w:tblCellMar>
              </w:tblPrEx>
              <w:trPr>
                <w:trHeight w:val="352" w:hRule="atLeast"/>
              </w:trPr>
              <w:tc>
                <w:tcPr>
                  <w:tcW w:w="732" w:type="dxa"/>
                  <w:tcBorders>
                    <w:top w:val="nil"/>
                    <w:left w:val="single" w:color="auto" w:sz="4" w:space="0"/>
                    <w:bottom w:val="single" w:color="auto" w:sz="4" w:space="0"/>
                    <w:right w:val="single" w:color="auto" w:sz="4" w:space="0"/>
                  </w:tcBorders>
                  <w:vAlign w:val="center"/>
                </w:tcPr>
                <w:p w14:paraId="6CBB4CDE">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1774" w:type="dxa"/>
                  <w:tcBorders>
                    <w:top w:val="single" w:color="auto" w:sz="4" w:space="0"/>
                    <w:left w:val="single" w:color="auto" w:sz="4" w:space="0"/>
                    <w:bottom w:val="single" w:color="auto" w:sz="4" w:space="0"/>
                    <w:right w:val="single" w:color="auto" w:sz="4" w:space="0"/>
                  </w:tcBorders>
                  <w:vAlign w:val="center"/>
                </w:tcPr>
                <w:p w14:paraId="7327087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1067" w:type="dxa"/>
                  <w:tcBorders>
                    <w:top w:val="nil"/>
                    <w:left w:val="nil"/>
                    <w:bottom w:val="single" w:color="auto" w:sz="4" w:space="0"/>
                    <w:right w:val="single" w:color="auto" w:sz="4" w:space="0"/>
                  </w:tcBorders>
                  <w:vAlign w:val="center"/>
                </w:tcPr>
                <w:p w14:paraId="5CF8C8C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00" w:type="dxa"/>
                  <w:tcBorders>
                    <w:top w:val="nil"/>
                    <w:left w:val="nil"/>
                    <w:bottom w:val="single" w:color="auto" w:sz="4" w:space="0"/>
                    <w:right w:val="single" w:color="auto" w:sz="4" w:space="0"/>
                  </w:tcBorders>
                  <w:vAlign w:val="center"/>
                </w:tcPr>
                <w:p w14:paraId="49EBAC5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7E76693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601" w:type="dxa"/>
                  <w:tcBorders>
                    <w:top w:val="nil"/>
                    <w:left w:val="nil"/>
                    <w:bottom w:val="single" w:color="auto" w:sz="4" w:space="0"/>
                    <w:right w:val="single" w:color="auto" w:sz="4" w:space="0"/>
                  </w:tcBorders>
                  <w:vAlign w:val="center"/>
                </w:tcPr>
                <w:p w14:paraId="43555628">
                  <w:pPr>
                    <w:jc w:val="center"/>
                    <w:rPr>
                      <w:rFonts w:hint="eastAsia" w:ascii="宋体" w:hAnsi="宋体" w:eastAsia="宋体" w:cs="宋体"/>
                      <w:bCs/>
                      <w:color w:val="auto"/>
                      <w:kern w:val="0"/>
                      <w:sz w:val="21"/>
                      <w:szCs w:val="21"/>
                    </w:rPr>
                  </w:pPr>
                </w:p>
              </w:tc>
            </w:tr>
            <w:tr w14:paraId="1256B90D">
              <w:tblPrEx>
                <w:tblCellMar>
                  <w:top w:w="0" w:type="dxa"/>
                  <w:left w:w="108" w:type="dxa"/>
                  <w:bottom w:w="0" w:type="dxa"/>
                  <w:right w:w="108" w:type="dxa"/>
                </w:tblCellMar>
              </w:tblPrEx>
              <w:trPr>
                <w:trHeight w:val="280" w:hRule="atLeast"/>
              </w:trPr>
              <w:tc>
                <w:tcPr>
                  <w:tcW w:w="732" w:type="dxa"/>
                  <w:tcBorders>
                    <w:top w:val="nil"/>
                    <w:left w:val="single" w:color="auto" w:sz="4" w:space="0"/>
                    <w:bottom w:val="single" w:color="auto" w:sz="4" w:space="0"/>
                    <w:right w:val="single" w:color="auto" w:sz="4" w:space="0"/>
                  </w:tcBorders>
                  <w:vAlign w:val="center"/>
                </w:tcPr>
                <w:p w14:paraId="30B4C030">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1774" w:type="dxa"/>
                  <w:tcBorders>
                    <w:top w:val="single" w:color="auto" w:sz="4" w:space="0"/>
                    <w:left w:val="single" w:color="auto" w:sz="4" w:space="0"/>
                    <w:bottom w:val="single" w:color="auto" w:sz="4" w:space="0"/>
                    <w:right w:val="single" w:color="auto" w:sz="4" w:space="0"/>
                  </w:tcBorders>
                  <w:vAlign w:val="center"/>
                </w:tcPr>
                <w:p w14:paraId="71C8CA1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1067" w:type="dxa"/>
                  <w:tcBorders>
                    <w:top w:val="nil"/>
                    <w:left w:val="nil"/>
                    <w:bottom w:val="single" w:color="auto" w:sz="4" w:space="0"/>
                    <w:right w:val="single" w:color="auto" w:sz="4" w:space="0"/>
                  </w:tcBorders>
                  <w:vAlign w:val="center"/>
                </w:tcPr>
                <w:p w14:paraId="7C00EB2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00" w:type="dxa"/>
                  <w:tcBorders>
                    <w:top w:val="nil"/>
                    <w:left w:val="nil"/>
                    <w:bottom w:val="single" w:color="auto" w:sz="4" w:space="0"/>
                    <w:right w:val="single" w:color="auto" w:sz="4" w:space="0"/>
                  </w:tcBorders>
                  <w:vAlign w:val="center"/>
                </w:tcPr>
                <w:p w14:paraId="704E944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443B15E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601" w:type="dxa"/>
                  <w:tcBorders>
                    <w:top w:val="nil"/>
                    <w:left w:val="nil"/>
                    <w:bottom w:val="single" w:color="auto" w:sz="4" w:space="0"/>
                    <w:right w:val="single" w:color="auto" w:sz="4" w:space="0"/>
                  </w:tcBorders>
                  <w:vAlign w:val="center"/>
                </w:tcPr>
                <w:p w14:paraId="769BAE9D">
                  <w:pPr>
                    <w:jc w:val="center"/>
                    <w:rPr>
                      <w:rFonts w:hint="eastAsia" w:ascii="宋体" w:hAnsi="宋体" w:eastAsia="宋体" w:cs="宋体"/>
                      <w:bCs/>
                      <w:color w:val="auto"/>
                      <w:kern w:val="0"/>
                      <w:sz w:val="21"/>
                      <w:szCs w:val="21"/>
                    </w:rPr>
                  </w:pPr>
                </w:p>
              </w:tc>
            </w:tr>
            <w:tr w14:paraId="438CD3E8">
              <w:tblPrEx>
                <w:tblCellMar>
                  <w:top w:w="0" w:type="dxa"/>
                  <w:left w:w="108" w:type="dxa"/>
                  <w:bottom w:w="0" w:type="dxa"/>
                  <w:right w:w="108" w:type="dxa"/>
                </w:tblCellMar>
              </w:tblPrEx>
              <w:trPr>
                <w:trHeight w:val="272" w:hRule="atLeast"/>
              </w:trPr>
              <w:tc>
                <w:tcPr>
                  <w:tcW w:w="732" w:type="dxa"/>
                  <w:tcBorders>
                    <w:top w:val="nil"/>
                    <w:left w:val="single" w:color="auto" w:sz="4" w:space="0"/>
                    <w:bottom w:val="single" w:color="auto" w:sz="4" w:space="0"/>
                    <w:right w:val="single" w:color="auto" w:sz="4" w:space="0"/>
                  </w:tcBorders>
                  <w:vAlign w:val="center"/>
                </w:tcPr>
                <w:p w14:paraId="5E5C19A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1774" w:type="dxa"/>
                  <w:tcBorders>
                    <w:top w:val="single" w:color="auto" w:sz="4" w:space="0"/>
                    <w:left w:val="single" w:color="auto" w:sz="4" w:space="0"/>
                    <w:bottom w:val="single" w:color="auto" w:sz="4" w:space="0"/>
                    <w:right w:val="single" w:color="auto" w:sz="4" w:space="0"/>
                  </w:tcBorders>
                  <w:vAlign w:val="center"/>
                </w:tcPr>
                <w:p w14:paraId="34D0146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1067" w:type="dxa"/>
                  <w:tcBorders>
                    <w:top w:val="nil"/>
                    <w:left w:val="nil"/>
                    <w:bottom w:val="single" w:color="auto" w:sz="4" w:space="0"/>
                    <w:right w:val="single" w:color="auto" w:sz="4" w:space="0"/>
                  </w:tcBorders>
                  <w:vAlign w:val="center"/>
                </w:tcPr>
                <w:p w14:paraId="3466D9CB">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200" w:type="dxa"/>
                  <w:tcBorders>
                    <w:top w:val="nil"/>
                    <w:left w:val="nil"/>
                    <w:bottom w:val="single" w:color="auto" w:sz="4" w:space="0"/>
                    <w:right w:val="single" w:color="auto" w:sz="4" w:space="0"/>
                  </w:tcBorders>
                  <w:vAlign w:val="center"/>
                </w:tcPr>
                <w:p w14:paraId="0852BA21">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3A5D80D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601" w:type="dxa"/>
                  <w:tcBorders>
                    <w:top w:val="nil"/>
                    <w:left w:val="nil"/>
                    <w:bottom w:val="single" w:color="auto" w:sz="4" w:space="0"/>
                    <w:right w:val="single" w:color="auto" w:sz="4" w:space="0"/>
                  </w:tcBorders>
                  <w:vAlign w:val="center"/>
                </w:tcPr>
                <w:p w14:paraId="0A59D56F">
                  <w:pPr>
                    <w:jc w:val="center"/>
                    <w:rPr>
                      <w:rFonts w:hint="eastAsia" w:ascii="宋体" w:hAnsi="宋体" w:eastAsia="宋体" w:cs="宋体"/>
                      <w:bCs/>
                      <w:color w:val="auto"/>
                      <w:kern w:val="0"/>
                      <w:sz w:val="21"/>
                      <w:szCs w:val="21"/>
                    </w:rPr>
                  </w:pPr>
                </w:p>
              </w:tc>
            </w:tr>
            <w:tr w14:paraId="740CCF9B">
              <w:tblPrEx>
                <w:tblCellMar>
                  <w:top w:w="0" w:type="dxa"/>
                  <w:left w:w="108" w:type="dxa"/>
                  <w:bottom w:w="0" w:type="dxa"/>
                  <w:right w:w="108" w:type="dxa"/>
                </w:tblCellMar>
              </w:tblPrEx>
              <w:trPr>
                <w:trHeight w:val="338" w:hRule="atLeast"/>
              </w:trPr>
              <w:tc>
                <w:tcPr>
                  <w:tcW w:w="732" w:type="dxa"/>
                  <w:tcBorders>
                    <w:top w:val="nil"/>
                    <w:left w:val="single" w:color="auto" w:sz="4" w:space="0"/>
                    <w:bottom w:val="single" w:color="auto" w:sz="4" w:space="0"/>
                    <w:right w:val="single" w:color="auto" w:sz="4" w:space="0"/>
                  </w:tcBorders>
                  <w:vAlign w:val="center"/>
                </w:tcPr>
                <w:p w14:paraId="55BF84CA">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1774" w:type="dxa"/>
                  <w:tcBorders>
                    <w:top w:val="single" w:color="auto" w:sz="4" w:space="0"/>
                    <w:left w:val="single" w:color="auto" w:sz="4" w:space="0"/>
                    <w:bottom w:val="single" w:color="auto" w:sz="4" w:space="0"/>
                    <w:right w:val="single" w:color="auto" w:sz="4" w:space="0"/>
                  </w:tcBorders>
                  <w:vAlign w:val="center"/>
                </w:tcPr>
                <w:p w14:paraId="0BEC9EB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1067" w:type="dxa"/>
                  <w:tcBorders>
                    <w:top w:val="nil"/>
                    <w:left w:val="nil"/>
                    <w:bottom w:val="single" w:color="auto" w:sz="4" w:space="0"/>
                    <w:right w:val="single" w:color="auto" w:sz="4" w:space="0"/>
                  </w:tcBorders>
                  <w:vAlign w:val="center"/>
                </w:tcPr>
                <w:p w14:paraId="4207820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200" w:type="dxa"/>
                  <w:tcBorders>
                    <w:top w:val="nil"/>
                    <w:left w:val="nil"/>
                    <w:bottom w:val="single" w:color="auto" w:sz="4" w:space="0"/>
                    <w:right w:val="single" w:color="auto" w:sz="4" w:space="0"/>
                  </w:tcBorders>
                  <w:vAlign w:val="center"/>
                </w:tcPr>
                <w:p w14:paraId="2D7B5B76">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601" w:type="dxa"/>
                  <w:tcBorders>
                    <w:top w:val="nil"/>
                    <w:left w:val="nil"/>
                    <w:bottom w:val="single" w:color="auto" w:sz="4" w:space="0"/>
                    <w:right w:val="single" w:color="auto" w:sz="4" w:space="0"/>
                  </w:tcBorders>
                  <w:vAlign w:val="center"/>
                </w:tcPr>
                <w:p w14:paraId="4D88CC3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601" w:type="dxa"/>
                  <w:tcBorders>
                    <w:top w:val="nil"/>
                    <w:left w:val="nil"/>
                    <w:bottom w:val="single" w:color="auto" w:sz="4" w:space="0"/>
                    <w:right w:val="single" w:color="auto" w:sz="4" w:space="0"/>
                  </w:tcBorders>
                  <w:vAlign w:val="center"/>
                </w:tcPr>
                <w:p w14:paraId="00A45BB4">
                  <w:pPr>
                    <w:jc w:val="center"/>
                    <w:rPr>
                      <w:rFonts w:hint="eastAsia" w:ascii="宋体" w:hAnsi="宋体" w:eastAsia="宋体" w:cs="宋体"/>
                      <w:bCs/>
                      <w:color w:val="auto"/>
                      <w:kern w:val="0"/>
                      <w:sz w:val="21"/>
                      <w:szCs w:val="21"/>
                    </w:rPr>
                  </w:pPr>
                </w:p>
              </w:tc>
            </w:tr>
          </w:tbl>
          <w:p w14:paraId="2B0D5597">
            <w:pPr>
              <w:spacing w:line="240" w:lineRule="exact"/>
              <w:jc w:val="left"/>
              <w:rPr>
                <w:rFonts w:ascii="Times New Roman" w:hAnsi="Times New Roman" w:eastAsia="宋体" w:cs="Times New Roman"/>
                <w:bCs/>
                <w:color w:val="auto"/>
                <w:szCs w:val="21"/>
              </w:rPr>
            </w:pPr>
          </w:p>
        </w:tc>
      </w:tr>
      <w:tr w14:paraId="11140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714DBC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0B5BF8">
            <w:pPr>
              <w:spacing w:line="240" w:lineRule="exact"/>
              <w:jc w:val="center"/>
              <w:rPr>
                <w:rFonts w:ascii="宋体" w:hAnsi="宋体" w:eastAsia="宋体" w:cs="Times New Roman"/>
                <w:b/>
                <w:color w:val="auto"/>
              </w:rPr>
            </w:pPr>
            <w:r>
              <w:rPr>
                <w:rFonts w:hint="eastAsia" w:ascii="宋体" w:hAnsi="宋体" w:eastAsia="宋体" w:cs="Times New Roman"/>
                <w:b/>
                <w:color w:val="auto"/>
              </w:rPr>
              <w:t>时间要求</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6E14FC0">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详见放流时间</w:t>
            </w:r>
          </w:p>
        </w:tc>
      </w:tr>
      <w:tr w14:paraId="6E284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1B9D5E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FE877C">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投标有效期</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242E2F">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u w:val="single"/>
              </w:rPr>
              <w:t>90</w:t>
            </w:r>
            <w:r>
              <w:rPr>
                <w:rFonts w:hint="eastAsia" w:ascii="Times New Roman" w:hAnsi="Times New Roman" w:eastAsia="宋体" w:cs="Times New Roman"/>
                <w:color w:val="auto"/>
                <w:szCs w:val="21"/>
                <w:u w:val="single"/>
              </w:rPr>
              <w:t>日</w:t>
            </w:r>
            <w:r>
              <w:rPr>
                <w:rFonts w:hint="eastAsia" w:ascii="Times New Roman" w:hAnsi="Times New Roman" w:eastAsia="宋体" w:cs="Times New Roman"/>
                <w:color w:val="auto"/>
                <w:szCs w:val="21"/>
              </w:rPr>
              <w:t>历天。（从投标截止之日算起）</w:t>
            </w:r>
          </w:p>
        </w:tc>
      </w:tr>
      <w:tr w14:paraId="225B3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96161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6F63EF">
            <w:pPr>
              <w:spacing w:line="240" w:lineRule="exact"/>
              <w:jc w:val="center"/>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lang w:eastAsia="zh-CN"/>
              </w:rPr>
              <w:t>评标方法</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EAB5AB">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综合评分法</w:t>
            </w:r>
          </w:p>
        </w:tc>
      </w:tr>
      <w:tr w14:paraId="38640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81AD15">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79A61A3">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签订合同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1ABC74">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中标通知书发出后</w:t>
            </w:r>
            <w:r>
              <w:rPr>
                <w:rFonts w:ascii="Times New Roman" w:hAnsi="Times New Roman" w:eastAsia="宋体" w:cs="Times New Roman"/>
                <w:color w:val="auto"/>
                <w:szCs w:val="21"/>
                <w:u w:val="single"/>
              </w:rPr>
              <w:t>30</w:t>
            </w:r>
            <w:r>
              <w:rPr>
                <w:rFonts w:hint="eastAsia" w:ascii="Times New Roman" w:hAnsi="Times New Roman" w:eastAsia="宋体" w:cs="Times New Roman"/>
                <w:color w:val="auto"/>
                <w:szCs w:val="21"/>
              </w:rPr>
              <w:t>天内。</w:t>
            </w:r>
          </w:p>
        </w:tc>
      </w:tr>
      <w:tr w14:paraId="4CFDA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36A4CE5">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985AEF8">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资金结算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DCEFA57">
            <w:pPr>
              <w:outlineLvl w:val="0"/>
              <w:rPr>
                <w:rFonts w:ascii="Times New Roman" w:hAnsi="Times New Roman" w:eastAsia="宋体" w:cs="Times New Roman"/>
                <w:b/>
                <w:color w:val="auto"/>
                <w:sz w:val="24"/>
              </w:rPr>
            </w:pPr>
            <w:r>
              <w:rPr>
                <w:rFonts w:hint="eastAsia" w:ascii="Times New Roman" w:hAnsi="Times New Roman" w:eastAsia="宋体" w:cs="Times New Roman"/>
                <w:b w:val="0"/>
                <w:bCs/>
                <w:color w:val="auto"/>
                <w:sz w:val="21"/>
                <w:szCs w:val="21"/>
              </w:rPr>
              <w:t>合同生效以及具备实施条件，收到合法票据后</w:t>
            </w:r>
            <w:r>
              <w:rPr>
                <w:rFonts w:ascii="Times New Roman" w:hAnsi="Times New Roman" w:eastAsia="宋体" w:cs="Times New Roman"/>
                <w:b w:val="0"/>
                <w:bCs/>
                <w:color w:val="auto"/>
                <w:sz w:val="21"/>
                <w:szCs w:val="21"/>
              </w:rPr>
              <w:t>7个工作日内</w:t>
            </w:r>
            <w:r>
              <w:rPr>
                <w:rFonts w:hint="eastAsia" w:ascii="Times New Roman" w:hAnsi="Times New Roman" w:eastAsia="宋体" w:cs="Times New Roman"/>
                <w:b w:val="0"/>
                <w:bCs/>
                <w:color w:val="auto"/>
                <w:sz w:val="21"/>
                <w:szCs w:val="21"/>
              </w:rPr>
              <w:t>支付</w:t>
            </w:r>
            <w:r>
              <w:rPr>
                <w:rFonts w:hint="eastAsia" w:ascii="Times New Roman" w:hAnsi="Times New Roman" w:eastAsia="宋体" w:cs="Times New Roman"/>
                <w:b w:val="0"/>
                <w:bCs/>
                <w:color w:val="auto"/>
                <w:sz w:val="21"/>
                <w:szCs w:val="21"/>
                <w:lang w:val="en-US" w:eastAsia="zh-CN"/>
              </w:rPr>
              <w:t>5</w:t>
            </w:r>
            <w:r>
              <w:rPr>
                <w:rFonts w:hint="eastAsia" w:ascii="Times New Roman" w:hAnsi="Times New Roman" w:eastAsia="宋体" w:cs="Times New Roman"/>
                <w:b w:val="0"/>
                <w:bCs/>
                <w:color w:val="auto"/>
                <w:sz w:val="21"/>
                <w:szCs w:val="21"/>
              </w:rPr>
              <w:t>0%的预付款，增殖放流结束并通过验收后，采购人在收到中标人提供的合法票据后</w:t>
            </w:r>
            <w:r>
              <w:rPr>
                <w:rFonts w:ascii="Times New Roman" w:hAnsi="Times New Roman" w:eastAsia="宋体" w:cs="Times New Roman"/>
                <w:b w:val="0"/>
                <w:bCs/>
                <w:color w:val="auto"/>
                <w:sz w:val="21"/>
                <w:szCs w:val="21"/>
              </w:rPr>
              <w:t>7个工作日内</w:t>
            </w:r>
            <w:r>
              <w:rPr>
                <w:rFonts w:hint="eastAsia" w:ascii="Times New Roman" w:hAnsi="Times New Roman" w:eastAsia="宋体" w:cs="Times New Roman"/>
                <w:b w:val="0"/>
                <w:bCs/>
                <w:color w:val="auto"/>
                <w:sz w:val="21"/>
                <w:szCs w:val="21"/>
              </w:rPr>
              <w:t>支付剩余款项。</w:t>
            </w:r>
          </w:p>
        </w:tc>
      </w:tr>
      <w:tr w14:paraId="685AB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9CC84D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AEDAF2">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投标报价</w:t>
            </w:r>
          </w:p>
          <w:p w14:paraId="155EC41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与费用</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C320EC">
            <w:pPr>
              <w:rPr>
                <w:rFonts w:ascii="宋体" w:hAnsi="宋体" w:eastAsia="宋体" w:cs="宋体"/>
                <w:color w:val="auto"/>
                <w:szCs w:val="21"/>
              </w:rPr>
            </w:pPr>
            <w:r>
              <w:rPr>
                <w:rFonts w:hint="eastAsia" w:ascii="宋体" w:hAnsi="宋体" w:eastAsia="宋体" w:cs="宋体"/>
                <w:color w:val="auto"/>
                <w:szCs w:val="21"/>
              </w:rPr>
              <w:t>1.本项目的投标应以人民币报价，投标报价应包括所有费用。</w:t>
            </w:r>
          </w:p>
          <w:p w14:paraId="068A616E">
            <w:pPr>
              <w:rPr>
                <w:rFonts w:ascii="宋体" w:hAnsi="宋体" w:eastAsia="宋体" w:cs="宋体"/>
                <w:color w:val="auto"/>
                <w:szCs w:val="21"/>
              </w:rPr>
            </w:pPr>
            <w:r>
              <w:rPr>
                <w:rFonts w:hint="eastAsia" w:ascii="宋体" w:hAnsi="宋体" w:eastAsia="宋体" w:cs="宋体"/>
                <w:color w:val="auto"/>
                <w:szCs w:val="21"/>
              </w:rPr>
              <w:t>2.投标人应承担其参加本招标活动自身所发生的费用。</w:t>
            </w:r>
          </w:p>
          <w:p w14:paraId="45A979C8">
            <w:pPr>
              <w:rPr>
                <w:rFonts w:ascii="宋体" w:hAnsi="宋体" w:eastAsia="宋体" w:cs="宋体"/>
                <w:color w:val="auto"/>
                <w:szCs w:val="21"/>
              </w:rPr>
            </w:pPr>
            <w:r>
              <w:rPr>
                <w:rFonts w:hint="eastAsia" w:ascii="宋体" w:hAnsi="宋体" w:eastAsia="宋体" w:cs="宋体"/>
                <w:color w:val="auto"/>
                <w:szCs w:val="21"/>
              </w:rPr>
              <w:t>3.中标供应商须缴纳服务费,收费金额为：</w:t>
            </w:r>
          </w:p>
          <w:p w14:paraId="14027393">
            <w:pPr>
              <w:rPr>
                <w:rFonts w:ascii="宋体" w:hAnsi="宋体" w:eastAsia="宋体" w:cs="宋体"/>
                <w:color w:val="auto"/>
                <w:szCs w:val="21"/>
              </w:rPr>
            </w:pPr>
            <w:r>
              <w:rPr>
                <w:rFonts w:hint="eastAsia" w:ascii="宋体" w:hAnsi="宋体" w:eastAsia="宋体" w:cs="宋体"/>
                <w:color w:val="auto"/>
                <w:szCs w:val="21"/>
              </w:rPr>
              <w:t>标项一：人民币柒仟元整（</w:t>
            </w:r>
            <w:r>
              <w:rPr>
                <w:rFonts w:ascii="宋体" w:hAnsi="宋体" w:eastAsia="宋体" w:cs="宋体"/>
                <w:color w:val="auto"/>
                <w:szCs w:val="21"/>
              </w:rPr>
              <w:t>7</w:t>
            </w:r>
            <w:r>
              <w:rPr>
                <w:rFonts w:hint="eastAsia" w:ascii="宋体" w:hAnsi="宋体" w:eastAsia="宋体" w:cs="宋体"/>
                <w:color w:val="auto"/>
                <w:szCs w:val="21"/>
              </w:rPr>
              <w:t>000.00元）。</w:t>
            </w:r>
          </w:p>
          <w:p w14:paraId="0EF36FB6">
            <w:pPr>
              <w:rPr>
                <w:rFonts w:ascii="宋体" w:hAnsi="宋体" w:eastAsia="宋体" w:cs="宋体"/>
                <w:color w:val="auto"/>
                <w:szCs w:val="21"/>
              </w:rPr>
            </w:pPr>
            <w:r>
              <w:rPr>
                <w:rFonts w:hint="eastAsia" w:ascii="宋体" w:hAnsi="宋体" w:eastAsia="宋体" w:cs="宋体"/>
                <w:color w:val="auto"/>
                <w:szCs w:val="21"/>
              </w:rPr>
              <w:t>标项二：人民币贰仟伍佰元整（2500.00元）</w:t>
            </w:r>
          </w:p>
          <w:p w14:paraId="27A5D055">
            <w:pPr>
              <w:rPr>
                <w:rFonts w:ascii="宋体" w:hAnsi="宋体" w:eastAsia="宋体" w:cs="宋体"/>
                <w:color w:val="auto"/>
                <w:szCs w:val="21"/>
              </w:rPr>
            </w:pPr>
            <w:r>
              <w:rPr>
                <w:rFonts w:hint="eastAsia" w:ascii="宋体" w:hAnsi="宋体" w:eastAsia="宋体" w:cs="宋体"/>
                <w:color w:val="auto"/>
                <w:szCs w:val="21"/>
              </w:rPr>
              <w:t>标项三：人民币柒仟元整（</w:t>
            </w:r>
            <w:r>
              <w:rPr>
                <w:rFonts w:ascii="宋体" w:hAnsi="宋体" w:eastAsia="宋体" w:cs="宋体"/>
                <w:color w:val="auto"/>
                <w:szCs w:val="21"/>
              </w:rPr>
              <w:t>7</w:t>
            </w:r>
            <w:r>
              <w:rPr>
                <w:rFonts w:hint="eastAsia" w:ascii="宋体" w:hAnsi="宋体" w:eastAsia="宋体" w:cs="宋体"/>
                <w:color w:val="auto"/>
                <w:szCs w:val="21"/>
              </w:rPr>
              <w:t>000.00元）。</w:t>
            </w:r>
          </w:p>
          <w:p w14:paraId="5B1BA4FC">
            <w:pPr>
              <w:rPr>
                <w:rFonts w:ascii="宋体" w:hAnsi="宋体" w:eastAsia="宋体" w:cs="宋体"/>
                <w:color w:val="auto"/>
                <w:szCs w:val="21"/>
              </w:rPr>
            </w:pPr>
            <w:r>
              <w:rPr>
                <w:rFonts w:hint="eastAsia" w:ascii="宋体" w:hAnsi="宋体" w:eastAsia="宋体" w:cs="宋体"/>
                <w:color w:val="auto"/>
                <w:szCs w:val="21"/>
              </w:rPr>
              <w:t>标项四：中标单位1：人民币伍仟伍佰元整（5</w:t>
            </w:r>
            <w:r>
              <w:rPr>
                <w:rFonts w:hint="eastAsia" w:ascii="宋体" w:hAnsi="宋体" w:eastAsia="宋体" w:cs="宋体"/>
                <w:color w:val="auto"/>
                <w:szCs w:val="21"/>
                <w:lang w:val="en-US" w:eastAsia="zh-CN"/>
              </w:rPr>
              <w:t>0</w:t>
            </w:r>
            <w:r>
              <w:rPr>
                <w:rFonts w:hint="eastAsia" w:ascii="宋体" w:hAnsi="宋体" w:eastAsia="宋体" w:cs="宋体"/>
                <w:color w:val="auto"/>
                <w:szCs w:val="21"/>
              </w:rPr>
              <w:t>00.00元），中标单位</w:t>
            </w:r>
            <w:r>
              <w:rPr>
                <w:rFonts w:ascii="宋体" w:hAnsi="宋体" w:eastAsia="宋体" w:cs="宋体"/>
                <w:color w:val="auto"/>
                <w:szCs w:val="21"/>
              </w:rPr>
              <w:t>2：人民币肆仟</w:t>
            </w:r>
            <w:r>
              <w:rPr>
                <w:rFonts w:hint="eastAsia" w:ascii="宋体" w:hAnsi="宋体" w:eastAsia="宋体" w:cs="宋体"/>
                <w:color w:val="auto"/>
                <w:szCs w:val="21"/>
              </w:rPr>
              <w:t>伍佰</w:t>
            </w:r>
            <w:r>
              <w:rPr>
                <w:rFonts w:ascii="宋体" w:hAnsi="宋体" w:eastAsia="宋体" w:cs="宋体"/>
                <w:color w:val="auto"/>
                <w:szCs w:val="21"/>
              </w:rPr>
              <w:t>元整（4</w:t>
            </w:r>
            <w:r>
              <w:rPr>
                <w:rFonts w:hint="eastAsia" w:ascii="宋体" w:hAnsi="宋体" w:eastAsia="宋体" w:cs="宋体"/>
                <w:color w:val="auto"/>
                <w:szCs w:val="21"/>
                <w:lang w:val="en-US" w:eastAsia="zh-CN"/>
              </w:rPr>
              <w:t>0</w:t>
            </w:r>
            <w:r>
              <w:rPr>
                <w:rFonts w:ascii="宋体" w:hAnsi="宋体" w:eastAsia="宋体" w:cs="宋体"/>
                <w:color w:val="auto"/>
                <w:szCs w:val="21"/>
              </w:rPr>
              <w:t>00.00元）。</w:t>
            </w:r>
          </w:p>
          <w:p w14:paraId="172DA86B">
            <w:pPr>
              <w:rPr>
                <w:rFonts w:ascii="宋体" w:hAnsi="宋体" w:eastAsia="宋体" w:cs="宋体"/>
                <w:color w:val="auto"/>
                <w:szCs w:val="21"/>
              </w:rPr>
            </w:pPr>
            <w:r>
              <w:rPr>
                <w:rFonts w:hint="eastAsia" w:ascii="宋体" w:hAnsi="宋体" w:eastAsia="宋体" w:cs="宋体"/>
                <w:color w:val="auto"/>
                <w:szCs w:val="21"/>
              </w:rPr>
              <w:t>标项五：人民币</w:t>
            </w:r>
            <w:r>
              <w:rPr>
                <w:rFonts w:hint="eastAsia" w:ascii="宋体" w:hAnsi="宋体" w:eastAsia="宋体" w:cs="宋体"/>
                <w:color w:val="auto"/>
                <w:szCs w:val="21"/>
                <w:lang w:val="en-US" w:eastAsia="zh-CN"/>
              </w:rPr>
              <w:t>肆</w:t>
            </w:r>
            <w:r>
              <w:rPr>
                <w:rFonts w:hint="eastAsia" w:ascii="宋体" w:hAnsi="宋体" w:eastAsia="宋体" w:cs="宋体"/>
                <w:color w:val="auto"/>
                <w:szCs w:val="21"/>
              </w:rPr>
              <w:t>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45</w:t>
            </w:r>
            <w:r>
              <w:rPr>
                <w:rFonts w:hint="eastAsia" w:ascii="宋体" w:hAnsi="宋体" w:eastAsia="宋体" w:cs="宋体"/>
                <w:color w:val="auto"/>
                <w:szCs w:val="21"/>
              </w:rPr>
              <w:t>00.00元）。</w:t>
            </w:r>
          </w:p>
          <w:p w14:paraId="25C69221">
            <w:pPr>
              <w:rPr>
                <w:rFonts w:ascii="宋体" w:hAnsi="宋体" w:eastAsia="宋体" w:cs="宋体"/>
                <w:color w:val="auto"/>
                <w:szCs w:val="21"/>
              </w:rPr>
            </w:pPr>
            <w:r>
              <w:rPr>
                <w:rFonts w:hint="eastAsia" w:ascii="宋体" w:hAnsi="宋体" w:eastAsia="宋体" w:cs="宋体"/>
                <w:color w:val="auto"/>
                <w:szCs w:val="21"/>
              </w:rPr>
              <w:t>标项六：人民币</w:t>
            </w:r>
            <w:r>
              <w:rPr>
                <w:rFonts w:hint="eastAsia" w:ascii="宋体" w:hAnsi="宋体" w:eastAsia="宋体" w:cs="宋体"/>
                <w:color w:val="auto"/>
                <w:szCs w:val="21"/>
                <w:lang w:val="en-US" w:eastAsia="zh-CN"/>
              </w:rPr>
              <w:t>叁</w:t>
            </w:r>
            <w:r>
              <w:rPr>
                <w:rFonts w:hint="eastAsia" w:ascii="宋体" w:hAnsi="宋体" w:eastAsia="宋体" w:cs="宋体"/>
                <w:color w:val="auto"/>
                <w:szCs w:val="21"/>
              </w:rPr>
              <w:t>仟伍佰元整（</w:t>
            </w:r>
            <w:r>
              <w:rPr>
                <w:rFonts w:hint="eastAsia" w:ascii="宋体" w:hAnsi="宋体" w:eastAsia="宋体" w:cs="宋体"/>
                <w:color w:val="auto"/>
                <w:szCs w:val="21"/>
                <w:lang w:val="en-US" w:eastAsia="zh-CN"/>
              </w:rPr>
              <w:t>3</w:t>
            </w:r>
            <w:r>
              <w:rPr>
                <w:rFonts w:hint="eastAsia" w:ascii="宋体" w:hAnsi="宋体" w:eastAsia="宋体" w:cs="宋体"/>
                <w:color w:val="auto"/>
                <w:szCs w:val="21"/>
              </w:rPr>
              <w:t>500.00元）</w:t>
            </w:r>
          </w:p>
          <w:p w14:paraId="6A2FC503">
            <w:pPr>
              <w:rPr>
                <w:rFonts w:ascii="宋体" w:hAnsi="宋体" w:eastAsia="宋体" w:cs="宋体"/>
                <w:color w:val="auto"/>
                <w:szCs w:val="21"/>
              </w:rPr>
            </w:pPr>
            <w:r>
              <w:rPr>
                <w:rFonts w:hint="eastAsia" w:ascii="宋体" w:hAnsi="宋体" w:eastAsia="宋体" w:cs="宋体"/>
                <w:color w:val="auto"/>
                <w:szCs w:val="21"/>
              </w:rPr>
              <w:t>标项七：中标单位</w:t>
            </w:r>
            <w:r>
              <w:rPr>
                <w:rFonts w:ascii="宋体" w:hAnsi="宋体" w:eastAsia="宋体" w:cs="宋体"/>
                <w:color w:val="auto"/>
                <w:szCs w:val="21"/>
              </w:rPr>
              <w:t>1：人民币叁仟</w:t>
            </w:r>
            <w:r>
              <w:rPr>
                <w:rFonts w:hint="eastAsia" w:ascii="宋体" w:hAnsi="宋体" w:eastAsia="宋体" w:cs="宋体"/>
                <w:color w:val="auto"/>
                <w:szCs w:val="21"/>
              </w:rPr>
              <w:t>伍佰</w:t>
            </w:r>
            <w:r>
              <w:rPr>
                <w:rFonts w:ascii="宋体" w:hAnsi="宋体" w:eastAsia="宋体" w:cs="宋体"/>
                <w:color w:val="auto"/>
                <w:szCs w:val="21"/>
              </w:rPr>
              <w:t>元整（3500.00元），中标单位2：人民币</w:t>
            </w:r>
            <w:r>
              <w:rPr>
                <w:rFonts w:hint="eastAsia" w:ascii="宋体" w:hAnsi="宋体" w:eastAsia="宋体" w:cs="宋体"/>
                <w:color w:val="auto"/>
                <w:szCs w:val="21"/>
              </w:rPr>
              <w:t>叁</w:t>
            </w:r>
            <w:r>
              <w:rPr>
                <w:rFonts w:ascii="宋体" w:hAnsi="宋体" w:eastAsia="宋体" w:cs="宋体"/>
                <w:color w:val="auto"/>
                <w:szCs w:val="21"/>
              </w:rPr>
              <w:t>仟元整（3000.00元）。</w:t>
            </w:r>
          </w:p>
          <w:p w14:paraId="39CE6869">
            <w:pPr>
              <w:rPr>
                <w:rFonts w:ascii="宋体" w:hAnsi="宋体" w:eastAsia="宋体" w:cs="宋体"/>
                <w:color w:val="auto"/>
                <w:szCs w:val="21"/>
              </w:rPr>
            </w:pPr>
            <w:r>
              <w:rPr>
                <w:rFonts w:hint="eastAsia" w:ascii="宋体" w:hAnsi="宋体" w:eastAsia="宋体" w:cs="宋体"/>
                <w:color w:val="auto"/>
                <w:szCs w:val="21"/>
              </w:rPr>
              <w:t>标项八：人民币</w:t>
            </w:r>
            <w:r>
              <w:rPr>
                <w:rFonts w:hint="eastAsia" w:ascii="宋体" w:hAnsi="宋体" w:eastAsia="宋体" w:cs="宋体"/>
                <w:color w:val="auto"/>
                <w:szCs w:val="21"/>
                <w:lang w:val="en-US" w:eastAsia="zh-CN"/>
              </w:rPr>
              <w:t>伍</w:t>
            </w:r>
            <w:r>
              <w:rPr>
                <w:rFonts w:hint="eastAsia" w:ascii="宋体" w:hAnsi="宋体" w:eastAsia="宋体" w:cs="宋体"/>
                <w:color w:val="auto"/>
                <w:szCs w:val="21"/>
              </w:rPr>
              <w:t>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55</w:t>
            </w:r>
            <w:r>
              <w:rPr>
                <w:rFonts w:hint="eastAsia" w:ascii="宋体" w:hAnsi="宋体" w:eastAsia="宋体" w:cs="宋体"/>
                <w:color w:val="auto"/>
                <w:szCs w:val="21"/>
              </w:rPr>
              <w:t>00.00元）。</w:t>
            </w:r>
          </w:p>
          <w:p w14:paraId="7F7FF97A">
            <w:pPr>
              <w:rPr>
                <w:rFonts w:ascii="宋体" w:hAnsi="宋体" w:eastAsia="宋体" w:cs="宋体"/>
                <w:color w:val="auto"/>
                <w:szCs w:val="21"/>
              </w:rPr>
            </w:pPr>
            <w:r>
              <w:rPr>
                <w:rFonts w:hint="eastAsia" w:ascii="宋体" w:hAnsi="宋体" w:eastAsia="宋体" w:cs="宋体"/>
                <w:color w:val="auto"/>
                <w:szCs w:val="21"/>
              </w:rPr>
              <w:t>标项九：人民币贰仟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元整（2</w:t>
            </w:r>
            <w:r>
              <w:rPr>
                <w:rFonts w:hint="eastAsia" w:ascii="宋体" w:hAnsi="宋体" w:eastAsia="宋体" w:cs="宋体"/>
                <w:color w:val="auto"/>
                <w:szCs w:val="21"/>
                <w:lang w:val="en-US" w:eastAsia="zh-CN"/>
              </w:rPr>
              <w:t>5</w:t>
            </w:r>
            <w:r>
              <w:rPr>
                <w:rFonts w:hint="eastAsia" w:ascii="宋体" w:hAnsi="宋体" w:eastAsia="宋体" w:cs="宋体"/>
                <w:color w:val="auto"/>
                <w:szCs w:val="21"/>
              </w:rPr>
              <w:t>00.00元）。</w:t>
            </w:r>
          </w:p>
          <w:p w14:paraId="7F22391B">
            <w:pPr>
              <w:rPr>
                <w:rFonts w:ascii="宋体" w:hAnsi="宋体" w:eastAsia="宋体" w:cs="宋体"/>
                <w:color w:val="auto"/>
                <w:szCs w:val="21"/>
              </w:rPr>
            </w:pPr>
            <w:r>
              <w:rPr>
                <w:rFonts w:hint="eastAsia" w:ascii="宋体" w:hAnsi="宋体" w:eastAsia="宋体" w:cs="宋体"/>
                <w:color w:val="auto"/>
                <w:szCs w:val="21"/>
              </w:rPr>
              <w:t>标项十：人民币贰仟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元整（2</w:t>
            </w:r>
            <w:r>
              <w:rPr>
                <w:rFonts w:hint="eastAsia" w:ascii="宋体" w:hAnsi="宋体" w:eastAsia="宋体" w:cs="宋体"/>
                <w:color w:val="auto"/>
                <w:szCs w:val="21"/>
                <w:lang w:val="en-US" w:eastAsia="zh-CN"/>
              </w:rPr>
              <w:t>5</w:t>
            </w:r>
            <w:r>
              <w:rPr>
                <w:rFonts w:hint="eastAsia" w:ascii="宋体" w:hAnsi="宋体" w:eastAsia="宋体" w:cs="宋体"/>
                <w:color w:val="auto"/>
                <w:szCs w:val="21"/>
              </w:rPr>
              <w:t>00.00元）。</w:t>
            </w:r>
          </w:p>
          <w:p w14:paraId="511BCCE3">
            <w:pPr>
              <w:rPr>
                <w:rFonts w:ascii="宋体" w:hAnsi="宋体" w:eastAsia="宋体" w:cs="宋体"/>
                <w:color w:val="auto"/>
                <w:szCs w:val="21"/>
              </w:rPr>
            </w:pPr>
            <w:r>
              <w:rPr>
                <w:rFonts w:hint="eastAsia" w:ascii="宋体" w:hAnsi="宋体" w:eastAsia="宋体" w:cs="宋体"/>
                <w:color w:val="auto"/>
                <w:szCs w:val="21"/>
              </w:rPr>
              <w:t>标项十一：人民币</w:t>
            </w:r>
            <w:r>
              <w:rPr>
                <w:rFonts w:hint="eastAsia" w:ascii="宋体" w:hAnsi="宋体" w:eastAsia="宋体" w:cs="宋体"/>
                <w:color w:val="auto"/>
                <w:szCs w:val="21"/>
                <w:lang w:val="en-US" w:eastAsia="zh-CN"/>
              </w:rPr>
              <w:t>伍</w:t>
            </w:r>
            <w:r>
              <w:rPr>
                <w:rFonts w:hint="eastAsia" w:ascii="宋体" w:hAnsi="宋体" w:eastAsia="宋体" w:cs="宋体"/>
                <w:color w:val="auto"/>
                <w:szCs w:val="21"/>
              </w:rPr>
              <w:t>仟</w:t>
            </w:r>
            <w:r>
              <w:rPr>
                <w:rFonts w:hint="eastAsia" w:ascii="宋体" w:hAnsi="宋体" w:eastAsia="宋体" w:cs="宋体"/>
                <w:color w:val="auto"/>
                <w:szCs w:val="21"/>
                <w:lang w:val="en-US" w:eastAsia="zh-CN"/>
              </w:rPr>
              <w:t>伍佰</w:t>
            </w:r>
            <w:r>
              <w:rPr>
                <w:rFonts w:hint="eastAsia" w:ascii="宋体" w:hAnsi="宋体" w:eastAsia="宋体" w:cs="宋体"/>
                <w:color w:val="auto"/>
                <w:szCs w:val="21"/>
              </w:rPr>
              <w:t>元整（</w:t>
            </w:r>
            <w:r>
              <w:rPr>
                <w:rFonts w:hint="eastAsia" w:ascii="宋体" w:hAnsi="宋体" w:eastAsia="宋体" w:cs="宋体"/>
                <w:color w:val="auto"/>
                <w:szCs w:val="21"/>
                <w:lang w:val="en-US" w:eastAsia="zh-CN"/>
              </w:rPr>
              <w:t>55</w:t>
            </w:r>
            <w:r>
              <w:rPr>
                <w:rFonts w:hint="eastAsia" w:ascii="宋体" w:hAnsi="宋体" w:eastAsia="宋体" w:cs="宋体"/>
                <w:color w:val="auto"/>
                <w:szCs w:val="21"/>
              </w:rPr>
              <w:t>00.00元）。</w:t>
            </w:r>
          </w:p>
          <w:p w14:paraId="53AF1F72">
            <w:pPr>
              <w:rPr>
                <w:rFonts w:ascii="Times New Roman" w:hAnsi="Times New Roman" w:eastAsia="宋体" w:cs="Times New Roman"/>
                <w:color w:val="auto"/>
                <w:szCs w:val="21"/>
              </w:rPr>
            </w:pPr>
            <w:r>
              <w:rPr>
                <w:rFonts w:hint="eastAsia" w:ascii="宋体" w:hAnsi="宋体" w:eastAsia="宋体" w:cs="宋体"/>
                <w:color w:val="auto"/>
                <w:szCs w:val="21"/>
              </w:rPr>
              <w:t>4.中标通知书发出的同时，中标供应商应及时支付招标代理费，收到服务费后提供全额发票。中标结果确认后，因中标单位自身原因退出中标，招标代理费不予退回。</w:t>
            </w:r>
          </w:p>
        </w:tc>
      </w:tr>
      <w:tr w14:paraId="3D610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54B9EA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936C630">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银行账号</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FA87F6">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收款单位：深圳市国信招标有限公司舟山分公司</w:t>
            </w:r>
          </w:p>
          <w:p w14:paraId="2FE2D16E">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开户银行：中国工商银行舟山市定海区支行</w:t>
            </w:r>
          </w:p>
          <w:p w14:paraId="41CF0C06">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银行账号：</w:t>
            </w:r>
            <w:r>
              <w:rPr>
                <w:rFonts w:ascii="Times New Roman" w:hAnsi="Times New Roman" w:eastAsia="宋体" w:cs="Times New Roman"/>
                <w:color w:val="auto"/>
                <w:szCs w:val="21"/>
              </w:rPr>
              <w:t>1206020209200081758</w:t>
            </w:r>
          </w:p>
        </w:tc>
      </w:tr>
      <w:tr w14:paraId="7F3BB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B40FA0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89D0FD">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质量标准</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D4DFA3B">
            <w:pPr>
              <w:spacing w:line="240" w:lineRule="exact"/>
              <w:rPr>
                <w:rFonts w:ascii="Times New Roman" w:hAnsi="Times New Roman" w:eastAsia="宋体" w:cs="Times New Roman"/>
                <w:color w:val="auto"/>
                <w:szCs w:val="21"/>
              </w:rPr>
            </w:pPr>
            <w:r>
              <w:rPr>
                <w:rFonts w:hint="eastAsia" w:ascii="宋体" w:hAnsi="宋体" w:eastAsia="宋体" w:cs="Times New Roman"/>
                <w:color w:val="auto"/>
              </w:rPr>
              <w:t>合同约定，经验收合格</w:t>
            </w:r>
          </w:p>
        </w:tc>
      </w:tr>
      <w:tr w14:paraId="6225D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8C0788C">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1</w:t>
            </w:r>
            <w:r>
              <w:rPr>
                <w:rFonts w:ascii="Times New Roman" w:hAnsi="Times New Roman" w:eastAsia="宋体" w:cs="Times New Roman"/>
                <w:b/>
                <w:color w:val="auto"/>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249857">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 xml:space="preserve">履约保证金 </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7D8A50">
            <w:pPr>
              <w:spacing w:line="240" w:lineRule="exact"/>
              <w:rPr>
                <w:rFonts w:ascii="宋体" w:hAnsi="宋体" w:eastAsia="宋体" w:cs="Times New Roman"/>
                <w:color w:val="auto"/>
              </w:rPr>
            </w:pPr>
            <w:r>
              <w:rPr>
                <w:rFonts w:hint="eastAsia" w:ascii="宋体" w:hAnsi="宋体" w:eastAsia="宋体" w:cs="Times New Roman"/>
                <w:color w:val="auto"/>
              </w:rPr>
              <w:t>无</w:t>
            </w:r>
          </w:p>
        </w:tc>
      </w:tr>
      <w:tr w14:paraId="4298C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46AE1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692A82">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89B3150">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8A88486">
            <w:pPr>
              <w:snapToGrid w:val="0"/>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投标文件由资格响应文件、商务及技术响应文件、报价文件组成。</w:t>
            </w:r>
          </w:p>
        </w:tc>
      </w:tr>
      <w:tr w14:paraId="6F380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A220B4">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5854C0A8">
            <w:pPr>
              <w:snapToGrid w:val="0"/>
              <w:spacing w:line="24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投标文件的</w:t>
            </w:r>
          </w:p>
          <w:p w14:paraId="7B3C505D">
            <w:pPr>
              <w:spacing w:line="240" w:lineRule="auto"/>
              <w:ind w:firstLine="517" w:firstLineChars="245"/>
              <w:rPr>
                <w:rFonts w:hint="eastAsia" w:ascii="宋体" w:hAnsi="宋体" w:eastAsia="宋体" w:cs="宋体"/>
                <w:b/>
                <w:color w:val="auto"/>
                <w:sz w:val="21"/>
                <w:szCs w:val="21"/>
                <w:shd w:val="pct10" w:color="auto" w:fill="FFFFFF"/>
              </w:rPr>
            </w:pPr>
            <w:r>
              <w:rPr>
                <w:rFonts w:hint="eastAsia" w:ascii="宋体" w:hAnsi="宋体" w:eastAsia="宋体" w:cs="宋体"/>
                <w:b/>
                <w:color w:val="auto"/>
                <w:sz w:val="21"/>
                <w:szCs w:val="21"/>
              </w:rPr>
              <w:t>制作</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94DC7B">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本项目实行电子投标。</w:t>
            </w:r>
          </w:p>
          <w:p w14:paraId="59B20624">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投标人应准备电子投标文件、以介质存储的数据电文形式的备份投标文件：</w:t>
            </w:r>
          </w:p>
          <w:p w14:paraId="2EC3FE5A">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（1）电子投标文件，按政采云平台项目采购-电子交易操作指南及本招标文件要求递交。</w:t>
            </w:r>
          </w:p>
          <w:p w14:paraId="7D445BAD">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（2）以介质存储的数据电文形式的备份投标文件，按政采云平台项目采购-电子交易操作指南中上传的电子投标文件格式，以U盘形式存储提供。数量为1份。</w:t>
            </w:r>
          </w:p>
          <w:p w14:paraId="52F590B5">
            <w:pPr>
              <w:spacing w:line="24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投标文件均由资格响应文件、商务及技术响应文件、报价文件组成。</w:t>
            </w:r>
          </w:p>
          <w:p w14:paraId="3807D10F">
            <w:pPr>
              <w:spacing w:line="240" w:lineRule="auto"/>
              <w:rPr>
                <w:rFonts w:hint="eastAsia" w:ascii="宋体" w:hAnsi="宋体" w:eastAsia="宋体" w:cs="宋体"/>
                <w:color w:val="auto"/>
                <w:sz w:val="21"/>
                <w:szCs w:val="21"/>
              </w:rPr>
            </w:pPr>
            <w:r>
              <w:rPr>
                <w:rFonts w:hint="eastAsia" w:ascii="宋体" w:hAnsi="宋体" w:eastAsia="宋体" w:cs="宋体"/>
                <w:b/>
                <w:color w:val="auto"/>
                <w:sz w:val="21"/>
                <w:szCs w:val="21"/>
              </w:rPr>
              <w:t>投标人可以不提供备份投标文件，造成项目开评标活动无法进行下去的，投标无效，相关风险由投标人自行承担</w:t>
            </w:r>
          </w:p>
        </w:tc>
      </w:tr>
      <w:tr w14:paraId="1AA21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EBE7AB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57EC7D">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A444908">
            <w:pPr>
              <w:jc w:val="center"/>
              <w:rPr>
                <w:rFonts w:hint="eastAsia" w:ascii="宋体" w:hAnsi="宋体" w:eastAsia="宋体" w:cs="宋体"/>
                <w:b/>
                <w:color w:val="auto"/>
                <w:sz w:val="21"/>
                <w:szCs w:val="21"/>
                <w:shd w:val="pct10" w:color="auto" w:fill="FFFFFF"/>
              </w:rPr>
            </w:pPr>
            <w:r>
              <w:rPr>
                <w:rFonts w:hint="eastAsia" w:ascii="Times New Roman" w:hAnsi="Times New Roman" w:eastAsia="宋体" w:cs="Times New Roman"/>
                <w:b/>
                <w:color w:val="auto"/>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9D460A8">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0184F4A">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投标人应当在规定时间前将以介质存储的数据电文形式的备份投标文件寄到或送达采购代理公司：舟山市定海区昌国路</w:t>
            </w:r>
            <w:r>
              <w:rPr>
                <w:rFonts w:ascii="Times New Roman" w:hAnsi="Times New Roman" w:eastAsia="宋体" w:cs="Times New Roman"/>
                <w:color w:val="auto"/>
                <w:sz w:val="22"/>
              </w:rPr>
              <w:t>232</w:t>
            </w:r>
            <w:r>
              <w:rPr>
                <w:rFonts w:hint="eastAsia" w:ascii="Times New Roman" w:hAnsi="Times New Roman" w:eastAsia="宋体" w:cs="Times New Roman"/>
                <w:color w:val="auto"/>
                <w:sz w:val="22"/>
              </w:rPr>
              <w:t>号中楼</w:t>
            </w:r>
            <w:r>
              <w:rPr>
                <w:rFonts w:ascii="Times New Roman" w:hAnsi="Times New Roman" w:eastAsia="宋体" w:cs="Times New Roman"/>
                <w:color w:val="auto"/>
                <w:sz w:val="22"/>
              </w:rPr>
              <w:t>202</w:t>
            </w:r>
            <w:r>
              <w:rPr>
                <w:rFonts w:hint="eastAsia" w:ascii="Times New Roman" w:hAnsi="Times New Roman" w:eastAsia="宋体" w:cs="Times New Roman"/>
                <w:color w:val="auto"/>
                <w:sz w:val="22"/>
              </w:rPr>
              <w:t>。逾期送达或未密封将被拒收。也可现场递交。</w:t>
            </w:r>
          </w:p>
          <w:p w14:paraId="6C5C7C79">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投标人递交以介质存储的数据电文形式的备份投标文件时，如出现下列情况之一的，将被拒收：</w:t>
            </w:r>
          </w:p>
          <w:p w14:paraId="41D3F943">
            <w:pPr>
              <w:rPr>
                <w:rFonts w:ascii="Times New Roman" w:hAnsi="Times New Roman" w:eastAsia="宋体" w:cs="Times New Roman"/>
                <w:color w:val="auto"/>
                <w:sz w:val="22"/>
              </w:rPr>
            </w:pPr>
            <w:r>
              <w:rPr>
                <w:rFonts w:ascii="Times New Roman" w:hAnsi="Times New Roman" w:eastAsia="宋体" w:cs="Times New Roman"/>
                <w:color w:val="auto"/>
                <w:sz w:val="22"/>
              </w:rPr>
              <w:t>1.</w:t>
            </w:r>
            <w:r>
              <w:rPr>
                <w:rFonts w:hint="eastAsia" w:ascii="Times New Roman" w:hAnsi="Times New Roman" w:eastAsia="宋体" w:cs="Times New Roman"/>
                <w:color w:val="auto"/>
                <w:sz w:val="22"/>
              </w:rPr>
              <w:t>未按规定密封或标记的投标文件；</w:t>
            </w:r>
          </w:p>
          <w:p w14:paraId="1B2DBA34">
            <w:pPr>
              <w:rPr>
                <w:rFonts w:ascii="Times New Roman" w:hAnsi="Times New Roman" w:eastAsia="宋体" w:cs="Times New Roman"/>
                <w:color w:val="auto"/>
                <w:sz w:val="22"/>
              </w:rPr>
            </w:pPr>
            <w:r>
              <w:rPr>
                <w:rFonts w:ascii="Times New Roman" w:hAnsi="Times New Roman" w:eastAsia="宋体" w:cs="Times New Roman"/>
                <w:color w:val="auto"/>
                <w:sz w:val="22"/>
              </w:rPr>
              <w:t>2.</w:t>
            </w:r>
            <w:r>
              <w:rPr>
                <w:rFonts w:hint="eastAsia" w:ascii="Times New Roman" w:hAnsi="Times New Roman" w:eastAsia="宋体" w:cs="Times New Roman"/>
                <w:color w:val="auto"/>
                <w:sz w:val="22"/>
              </w:rPr>
              <w:t>由于包装不妥，在送交途中严重破损或失散的；</w:t>
            </w:r>
          </w:p>
          <w:p w14:paraId="1C49C798">
            <w:pPr>
              <w:rPr>
                <w:rFonts w:ascii="Times New Roman" w:hAnsi="Times New Roman" w:eastAsia="宋体" w:cs="Times New Roman"/>
                <w:color w:val="auto"/>
                <w:sz w:val="22"/>
              </w:rPr>
            </w:pPr>
            <w:r>
              <w:rPr>
                <w:rFonts w:ascii="Times New Roman" w:hAnsi="Times New Roman" w:eastAsia="宋体" w:cs="Times New Roman"/>
                <w:color w:val="auto"/>
                <w:sz w:val="22"/>
              </w:rPr>
              <w:t>3.</w:t>
            </w:r>
            <w:r>
              <w:rPr>
                <w:rFonts w:hint="eastAsia" w:ascii="Times New Roman" w:hAnsi="Times New Roman" w:eastAsia="宋体" w:cs="Times New Roman"/>
                <w:color w:val="auto"/>
                <w:sz w:val="22"/>
              </w:rPr>
              <w:t>未成功办理投标人报名手续的；</w:t>
            </w:r>
          </w:p>
          <w:p w14:paraId="221F2DD7">
            <w:pPr>
              <w:rPr>
                <w:rFonts w:ascii="Times New Roman" w:hAnsi="Times New Roman" w:eastAsia="宋体" w:cs="Times New Roman"/>
                <w:color w:val="auto"/>
                <w:sz w:val="22"/>
              </w:rPr>
            </w:pPr>
            <w:r>
              <w:rPr>
                <w:rFonts w:ascii="Times New Roman" w:hAnsi="Times New Roman" w:eastAsia="宋体" w:cs="Times New Roman"/>
                <w:color w:val="auto"/>
                <w:sz w:val="22"/>
              </w:rPr>
              <w:t>4.</w:t>
            </w:r>
            <w:r>
              <w:rPr>
                <w:rFonts w:hint="eastAsia" w:ascii="Times New Roman" w:hAnsi="Times New Roman" w:eastAsia="宋体" w:cs="Times New Roman"/>
                <w:color w:val="auto"/>
                <w:sz w:val="22"/>
              </w:rPr>
              <w:t>超过截止时间送达的；</w:t>
            </w:r>
          </w:p>
          <w:p w14:paraId="10EC54C6">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仅提供备份投标文件的，投标无效。</w:t>
            </w:r>
          </w:p>
          <w:p w14:paraId="7FD37658">
            <w:pPr>
              <w:rPr>
                <w:rFonts w:hint="eastAsia" w:ascii="宋体" w:hAnsi="宋体" w:eastAsia="宋体" w:cs="宋体"/>
                <w:color w:val="auto"/>
                <w:sz w:val="21"/>
                <w:szCs w:val="21"/>
              </w:rPr>
            </w:pPr>
            <w:r>
              <w:rPr>
                <w:rFonts w:hint="eastAsia" w:ascii="Times New Roman" w:hAnsi="Times New Roman" w:eastAsia="宋体" w:cs="Times New Roman"/>
                <w:color w:val="auto"/>
                <w:sz w:val="22"/>
              </w:rPr>
              <w:t>投标人可以不提供备份投标文件，造成项目开评标活动无法进行下去的，投标无效，相关风险由投标人自行承担。</w:t>
            </w:r>
          </w:p>
        </w:tc>
      </w:tr>
      <w:tr w14:paraId="54094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814C5F">
            <w:pPr>
              <w:snapToGrid w:val="0"/>
              <w:jc w:val="center"/>
              <w:rPr>
                <w:rFonts w:ascii="Times New Roman" w:hAnsi="Times New Roman" w:eastAsia="宋体" w:cs="Times New Roman"/>
                <w:b/>
                <w:color w:val="auto"/>
              </w:rPr>
            </w:pPr>
            <w:r>
              <w:rPr>
                <w:rFonts w:ascii="Times New Roman" w:hAnsi="Times New Roman" w:eastAsia="宋体" w:cs="Times New Roman"/>
                <w:b/>
                <w:color w:val="auto"/>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2D1520">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投标人注册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AB3D74E">
            <w:pPr>
              <w:spacing w:before="24" w:beforeLines="10"/>
              <w:jc w:val="left"/>
              <w:rPr>
                <w:rFonts w:ascii="Times New Roman" w:hAnsi="Times New Roman" w:eastAsia="宋体" w:cs="Times New Roman"/>
                <w:bCs/>
                <w:snapToGrid w:val="0"/>
                <w:color w:val="auto"/>
                <w:kern w:val="0"/>
              </w:rPr>
            </w:pPr>
            <w:r>
              <w:rPr>
                <w:rFonts w:hint="eastAsia" w:ascii="Times New Roman" w:hAnsi="Times New Roman" w:eastAsia="宋体" w:cs="Times New Roman"/>
                <w:bCs/>
                <w:snapToGrid w:val="0"/>
                <w:color w:val="auto"/>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color w:val="auto"/>
                <w:kern w:val="0"/>
              </w:rPr>
              <w:t>2010</w:t>
            </w:r>
            <w:r>
              <w:rPr>
                <w:rFonts w:hint="eastAsia" w:ascii="Times New Roman" w:hAnsi="Times New Roman" w:eastAsia="宋体" w:cs="Times New Roman"/>
                <w:bCs/>
                <w:snapToGrid w:val="0"/>
                <w:color w:val="auto"/>
                <w:kern w:val="0"/>
              </w:rPr>
              <w:t>】</w:t>
            </w:r>
            <w:r>
              <w:rPr>
                <w:rFonts w:ascii="Times New Roman" w:hAnsi="Times New Roman" w:eastAsia="宋体" w:cs="Times New Roman"/>
                <w:bCs/>
                <w:snapToGrid w:val="0"/>
                <w:color w:val="auto"/>
                <w:kern w:val="0"/>
              </w:rPr>
              <w:t>8</w:t>
            </w:r>
            <w:r>
              <w:rPr>
                <w:rFonts w:hint="eastAsia" w:ascii="Times New Roman" w:hAnsi="Times New Roman" w:eastAsia="宋体" w:cs="Times New Roman"/>
                <w:bCs/>
                <w:snapToGrid w:val="0"/>
                <w:color w:val="auto"/>
                <w:kern w:val="0"/>
              </w:rPr>
              <w:t>号文）的要求，通过浙江政府采购网申请注册加入政府采购投标人库。以免影响享受相关政策优惠及成交后的款项支付。</w:t>
            </w:r>
          </w:p>
          <w:p w14:paraId="37E9BCCF">
            <w:pPr>
              <w:spacing w:before="24" w:beforeLines="10"/>
              <w:jc w:val="left"/>
              <w:rPr>
                <w:rFonts w:ascii="Times New Roman" w:hAnsi="Times New Roman" w:eastAsia="宋体" w:cs="Times New Roman"/>
                <w:color w:val="auto"/>
                <w:szCs w:val="21"/>
              </w:rPr>
            </w:pPr>
            <w:r>
              <w:rPr>
                <w:rFonts w:hint="eastAsia" w:ascii="Times New Roman" w:hAnsi="Times New Roman" w:eastAsia="宋体" w:cs="Times New Roman"/>
                <w:bCs/>
                <w:snapToGrid w:val="0"/>
                <w:color w:val="auto"/>
                <w:kern w:val="0"/>
              </w:rPr>
              <w:t>投标人在申请注册前，请认真阅读，学习《中华人民共和国政府采购法》和《浙江省政府采购投标人注册及诚信管理暂行办法》等相关法规规定。</w:t>
            </w:r>
          </w:p>
        </w:tc>
      </w:tr>
      <w:tr w14:paraId="27C31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7E9FFA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07E887D">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不良信用记录查询</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BD5221B">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根据财库</w:t>
            </w:r>
            <w:r>
              <w:rPr>
                <w:rFonts w:ascii="Times New Roman" w:hAnsi="Times New Roman" w:eastAsia="宋体" w:cs="Times New Roman"/>
                <w:color w:val="auto"/>
                <w:szCs w:val="21"/>
              </w:rPr>
              <w:t>[2016]125</w:t>
            </w:r>
            <w:r>
              <w:rPr>
                <w:rFonts w:hint="eastAsia" w:ascii="Times New Roman" w:hAnsi="Times New Roman" w:eastAsia="宋体" w:cs="Times New Roman"/>
                <w:color w:val="auto"/>
                <w:szCs w:val="21"/>
              </w:rPr>
              <w:t>号文件：</w:t>
            </w:r>
          </w:p>
          <w:p w14:paraId="03EA4EF7">
            <w:pPr>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至本项目投标截止前未被列入</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信用中国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网站</w:t>
            </w:r>
            <w:r>
              <w:rPr>
                <w:rFonts w:ascii="Times New Roman" w:hAnsi="Times New Roman" w:eastAsia="宋体" w:cs="Times New Roman"/>
                <w:color w:val="auto"/>
                <w:szCs w:val="21"/>
              </w:rPr>
              <w:t>(www.creditchina.gov.cn)“</w:t>
            </w:r>
            <w:r>
              <w:rPr>
                <w:rFonts w:hint="eastAsia" w:ascii="Times New Roman" w:hAnsi="Times New Roman" w:eastAsia="宋体" w:cs="Times New Roman"/>
                <w:color w:val="auto"/>
                <w:szCs w:val="21"/>
              </w:rPr>
              <w:t>记录失信被执行人或重大税收违法案件当事人名单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记录名单。</w:t>
            </w:r>
          </w:p>
          <w:p w14:paraId="45FCD7EB">
            <w:pPr>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至本项目投标截止前不处于中国政府采购网</w:t>
            </w:r>
            <w:r>
              <w:rPr>
                <w:rFonts w:ascii="Times New Roman" w:hAnsi="Times New Roman" w:eastAsia="宋体" w:cs="Times New Roman"/>
                <w:color w:val="auto"/>
                <w:szCs w:val="21"/>
              </w:rPr>
              <w:t>(www.ccgp.gov.cn)“</w:t>
            </w:r>
            <w:r>
              <w:rPr>
                <w:rFonts w:hint="eastAsia" w:ascii="Times New Roman" w:hAnsi="Times New Roman" w:eastAsia="宋体" w:cs="Times New Roman"/>
                <w:color w:val="auto"/>
                <w:szCs w:val="21"/>
              </w:rPr>
              <w:t>政府采购严重违法失信行为信息记录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中的禁止参加政府采购活动期间。</w:t>
            </w:r>
          </w:p>
          <w:p w14:paraId="557D7C13">
            <w:pPr>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b/>
                <w:color w:val="auto"/>
              </w:rPr>
              <w:t>查询截图，（截图查询网站时间须在开标截止前二个星期内）。</w:t>
            </w:r>
            <w:r>
              <w:rPr>
                <w:rFonts w:hint="eastAsia" w:ascii="Times New Roman" w:hAnsi="Times New Roman" w:eastAsia="宋体" w:cs="Times New Roman"/>
                <w:color w:val="auto"/>
                <w:szCs w:val="21"/>
              </w:rPr>
              <w:t>对列入失信被执行人、重大税收违法案件当事人名单、政府采购严重违法失信行为记录名单的供应商，</w:t>
            </w:r>
            <w:r>
              <w:rPr>
                <w:rFonts w:hint="eastAsia" w:ascii="Times New Roman" w:hAnsi="Times New Roman" w:eastAsia="宋体" w:cs="Times New Roman"/>
                <w:b/>
                <w:color w:val="auto"/>
                <w:szCs w:val="21"/>
              </w:rPr>
              <w:t>其投标将作无效标处理</w:t>
            </w:r>
            <w:r>
              <w:rPr>
                <w:rFonts w:hint="eastAsia" w:ascii="Times New Roman" w:hAnsi="Times New Roman" w:eastAsia="宋体" w:cs="Times New Roman"/>
                <w:color w:val="auto"/>
                <w:szCs w:val="21"/>
              </w:rPr>
              <w:t>。</w:t>
            </w:r>
          </w:p>
        </w:tc>
      </w:tr>
      <w:tr w14:paraId="3A956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5F328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57EC83">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中小企业有关政策</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E32C12">
            <w:pPr>
              <w:spacing w:line="240" w:lineRule="auto"/>
              <w:rPr>
                <w:rFonts w:hint="eastAsia" w:ascii="宋体" w:hAnsi="宋体" w:eastAsia="宋体" w:cs="宋体"/>
                <w:b/>
                <w:bCs/>
                <w:color w:val="auto"/>
                <w:szCs w:val="21"/>
              </w:rPr>
            </w:pPr>
            <w:r>
              <w:rPr>
                <w:rFonts w:hint="eastAsia" w:ascii="宋体" w:hAnsi="宋体" w:eastAsia="宋体" w:cs="宋体"/>
                <w:color w:val="auto"/>
                <w:szCs w:val="21"/>
              </w:rPr>
              <w:t>（1）</w:t>
            </w:r>
            <w:r>
              <w:rPr>
                <w:rFonts w:ascii="Times New Roman" w:hAnsi="Times New Roman" w:eastAsia="宋体" w:cs="Times New Roman"/>
                <w:color w:val="auto"/>
                <w:szCs w:val="21"/>
              </w:rPr>
              <w:t>中小企业预留份额情况：根据《政府采购促进中小企业发展管理办法》（财库〔2020〕46号），</w:t>
            </w:r>
            <w:r>
              <w:rPr>
                <w:rFonts w:hint="eastAsia" w:ascii="宋体" w:hAnsi="宋体" w:eastAsia="宋体" w:cs="宋体"/>
                <w:b/>
                <w:bCs/>
                <w:color w:val="auto"/>
                <w:sz w:val="21"/>
                <w:szCs w:val="21"/>
              </w:rPr>
              <w:t>标项一～标项</w:t>
            </w:r>
            <w:r>
              <w:rPr>
                <w:rFonts w:hint="eastAsia" w:ascii="宋体" w:hAnsi="宋体" w:eastAsia="宋体" w:cs="宋体"/>
                <w:b/>
                <w:bCs/>
                <w:color w:val="auto"/>
                <w:sz w:val="21"/>
                <w:szCs w:val="21"/>
                <w:lang w:val="en-US" w:eastAsia="zh-CN"/>
              </w:rPr>
              <w:t>二、标项四</w:t>
            </w:r>
            <w:r>
              <w:rPr>
                <w:rFonts w:hint="eastAsia" w:ascii="宋体" w:hAnsi="宋体" w:eastAsia="宋体" w:cs="宋体"/>
                <w:b/>
                <w:bCs/>
                <w:color w:val="auto"/>
                <w:sz w:val="21"/>
                <w:szCs w:val="21"/>
              </w:rPr>
              <w:t>～标项</w:t>
            </w:r>
            <w:r>
              <w:rPr>
                <w:rFonts w:hint="eastAsia" w:ascii="宋体" w:hAnsi="宋体" w:eastAsia="宋体" w:cs="宋体"/>
                <w:b/>
                <w:bCs/>
                <w:color w:val="auto"/>
                <w:sz w:val="21"/>
                <w:szCs w:val="21"/>
                <w:lang w:val="en-US" w:eastAsia="zh-CN"/>
              </w:rPr>
              <w:t>十</w:t>
            </w:r>
            <w:r>
              <w:rPr>
                <w:rFonts w:hint="eastAsia" w:ascii="宋体" w:hAnsi="宋体" w:eastAsia="宋体" w:cs="宋体"/>
                <w:b/>
                <w:bCs/>
                <w:color w:val="auto"/>
                <w:sz w:val="21"/>
                <w:szCs w:val="21"/>
              </w:rPr>
              <w:t>专门面向中小企业，标项</w:t>
            </w:r>
            <w:r>
              <w:rPr>
                <w:rFonts w:hint="eastAsia" w:ascii="宋体" w:hAnsi="宋体" w:eastAsia="宋体" w:cs="宋体"/>
                <w:b/>
                <w:bCs/>
                <w:color w:val="auto"/>
                <w:sz w:val="21"/>
                <w:szCs w:val="21"/>
                <w:lang w:val="en-US" w:eastAsia="zh-CN"/>
              </w:rPr>
              <w:t>三</w:t>
            </w:r>
            <w:r>
              <w:rPr>
                <w:rFonts w:hint="eastAsia" w:ascii="宋体" w:hAnsi="宋体" w:eastAsia="宋体" w:cs="宋体"/>
                <w:b/>
                <w:bCs/>
                <w:color w:val="auto"/>
                <w:sz w:val="21"/>
                <w:szCs w:val="21"/>
              </w:rPr>
              <w:t>、标项十一不专门面向中小企业。(本项目对应的中小企业划分标准所属行业：农、林、牧、渔业。)</w:t>
            </w:r>
          </w:p>
          <w:p w14:paraId="3A564421">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2）在政府采购活动中，供应商提供的货物、工程或者服务符合下列情形的，享受本办法规定的中小企业扶持政策：</w:t>
            </w:r>
          </w:p>
          <w:p w14:paraId="4B60122A">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①在货物采购项目中，货物由中小企业制造，即货物由中小企业生产且使用该中小企业商号或者注册商标；</w:t>
            </w:r>
          </w:p>
          <w:p w14:paraId="3886258F">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②在工程采购项目中，工程由中小企业承建，即工程施工单位为中小企业；</w:t>
            </w:r>
          </w:p>
          <w:p w14:paraId="2B88034E">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③在服务采购项目中，服务由中小企业承接，即提供服务的人员为中小企业依照《中华人民共和国劳动合同法》订立劳动合同的从业人员。</w:t>
            </w:r>
          </w:p>
          <w:p w14:paraId="02269D60">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在货物采购项目中，供应商提供的货物既有中小企业制造货物，也有大型企业制造货物的，不享受本办法规定的中小企业扶持政策。</w:t>
            </w:r>
          </w:p>
          <w:p w14:paraId="35805EB3">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以联合体形式参加政府采购活动，联合体各方均为中小企业的，联合体视同中小企业。其中，联合体各方均为小微企业的，联合体视同小微企业。</w:t>
            </w:r>
          </w:p>
          <w:p w14:paraId="68991049">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506AAFD0">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4）投标人符合《三部门联合发布关于促进残疾人就业政府采购政策的通知》（财库〔2017〕141号）文件要求，并提供《残疾人福利性单位声明函》的，则视同小型、微型企业。</w:t>
            </w:r>
          </w:p>
          <w:p w14:paraId="53B5068F">
            <w:pPr>
              <w:spacing w:line="240" w:lineRule="auto"/>
              <w:rPr>
                <w:rFonts w:hint="eastAsia" w:ascii="宋体" w:hAnsi="宋体" w:eastAsia="宋体" w:cs="宋体"/>
                <w:b/>
                <w:color w:val="auto"/>
                <w:szCs w:val="21"/>
              </w:rPr>
            </w:pPr>
            <w:r>
              <w:rPr>
                <w:rFonts w:hint="eastAsia" w:ascii="宋体" w:hAnsi="宋体" w:eastAsia="宋体" w:cs="宋体"/>
                <w:b/>
                <w:color w:val="auto"/>
                <w:szCs w:val="21"/>
              </w:rPr>
              <w:t>标项一～标项</w:t>
            </w:r>
            <w:r>
              <w:rPr>
                <w:rFonts w:hint="eastAsia" w:ascii="宋体" w:hAnsi="宋体" w:eastAsia="宋体" w:cs="宋体"/>
                <w:b/>
                <w:color w:val="auto"/>
                <w:szCs w:val="21"/>
                <w:lang w:val="en-US" w:eastAsia="zh-CN"/>
              </w:rPr>
              <w:t>二、标项四</w:t>
            </w:r>
            <w:r>
              <w:rPr>
                <w:rFonts w:hint="eastAsia" w:ascii="宋体" w:hAnsi="宋体" w:eastAsia="宋体" w:cs="宋体"/>
                <w:b/>
                <w:color w:val="auto"/>
                <w:szCs w:val="21"/>
              </w:rPr>
              <w:t>～标项</w:t>
            </w:r>
            <w:r>
              <w:rPr>
                <w:rFonts w:hint="eastAsia" w:ascii="宋体" w:hAnsi="宋体" w:eastAsia="宋体" w:cs="宋体"/>
                <w:b/>
                <w:color w:val="auto"/>
                <w:szCs w:val="21"/>
                <w:lang w:val="en-US" w:eastAsia="zh-CN"/>
              </w:rPr>
              <w:t>十</w:t>
            </w:r>
            <w:r>
              <w:rPr>
                <w:rFonts w:hint="eastAsia" w:ascii="宋体" w:hAnsi="宋体" w:eastAsia="宋体" w:cs="宋体"/>
                <w:b/>
                <w:color w:val="auto"/>
                <w:szCs w:val="21"/>
              </w:rPr>
              <w:t>专门面向中小企业采购（参加投标供应商须出具《中小企业声明函》，未提供不认定为中小企业，此次投标无效）。</w:t>
            </w:r>
          </w:p>
          <w:p w14:paraId="16061685">
            <w:pPr>
              <w:spacing w:line="240" w:lineRule="auto"/>
              <w:rPr>
                <w:rFonts w:hint="eastAsia" w:ascii="宋体" w:hAnsi="宋体" w:eastAsia="宋体" w:cs="宋体"/>
                <w:color w:val="auto"/>
                <w:szCs w:val="21"/>
              </w:rPr>
            </w:pPr>
            <w:r>
              <w:rPr>
                <w:rFonts w:hint="eastAsia" w:ascii="宋体" w:hAnsi="宋体" w:eastAsia="宋体" w:cs="宋体"/>
                <w:b/>
                <w:bCs/>
                <w:color w:val="auto"/>
                <w:kern w:val="0"/>
                <w:szCs w:val="21"/>
              </w:rPr>
              <w:t>标项</w:t>
            </w:r>
            <w:r>
              <w:rPr>
                <w:rFonts w:hint="eastAsia" w:ascii="宋体" w:hAnsi="宋体" w:eastAsia="宋体" w:cs="宋体"/>
                <w:b/>
                <w:bCs/>
                <w:color w:val="auto"/>
                <w:kern w:val="0"/>
                <w:szCs w:val="21"/>
                <w:lang w:val="en-US" w:eastAsia="zh-CN"/>
              </w:rPr>
              <w:t>三</w:t>
            </w:r>
            <w:r>
              <w:rPr>
                <w:rFonts w:hint="eastAsia" w:ascii="宋体" w:hAnsi="宋体" w:eastAsia="宋体" w:cs="宋体"/>
                <w:b/>
                <w:bCs/>
                <w:color w:val="auto"/>
                <w:kern w:val="0"/>
                <w:szCs w:val="21"/>
              </w:rPr>
              <w:t>、标项十一：</w:t>
            </w:r>
          </w:p>
          <w:p w14:paraId="5013F90F">
            <w:pPr>
              <w:widowControl/>
              <w:snapToGrid w:val="0"/>
              <w:spacing w:line="240" w:lineRule="auto"/>
              <w:rPr>
                <w:rFonts w:hint="eastAsia" w:ascii="宋体" w:hAnsi="宋体" w:eastAsia="宋体" w:cs="宋体"/>
                <w:b/>
                <w:bCs/>
                <w:color w:val="auto"/>
                <w:szCs w:val="21"/>
              </w:rPr>
            </w:pPr>
            <w:r>
              <w:rPr>
                <w:rFonts w:hint="eastAsia" w:ascii="宋体" w:hAnsi="宋体" w:eastAsia="宋体" w:cs="宋体"/>
                <w:bCs/>
                <w:color w:val="auto"/>
                <w:szCs w:val="21"/>
              </w:rPr>
              <w:t>（1）根据财政部财库〔2022〕19号《关于进一步加大政府采购支持中小企业力度的通知》等相关文件规定，对小型和微型企业的价格给予10%的扣除。对于联合协议或者分包意向协议约定小微企业的合同份额占到合同总金额40%以上的，给予4%的扣除。属于小型和微型企业的，投标文件中投标人必须提供《中小企业声明函》。</w:t>
            </w:r>
            <w:r>
              <w:rPr>
                <w:rFonts w:hint="eastAsia" w:ascii="宋体" w:hAnsi="宋体" w:eastAsia="宋体" w:cs="宋体"/>
                <w:bCs/>
                <w:color w:val="auto"/>
                <w:szCs w:val="21"/>
                <w:lang w:val="en-US" w:eastAsia="zh-CN"/>
              </w:rPr>
              <w:t>标项三、标项十一</w:t>
            </w:r>
            <w:r>
              <w:rPr>
                <w:rFonts w:hint="eastAsia" w:ascii="宋体" w:hAnsi="宋体" w:eastAsia="宋体" w:cs="宋体"/>
                <w:bCs/>
                <w:color w:val="auto"/>
                <w:szCs w:val="21"/>
              </w:rPr>
              <w:t>不专门面向中小企业，</w:t>
            </w:r>
            <w:r>
              <w:rPr>
                <w:rFonts w:hint="eastAsia" w:ascii="宋体" w:hAnsi="宋体" w:eastAsia="宋体" w:cs="宋体"/>
                <w:b/>
                <w:bCs/>
                <w:color w:val="auto"/>
                <w:szCs w:val="21"/>
              </w:rPr>
              <w:t>本项目对应的中小企业划分标准所属行业：</w:t>
            </w:r>
            <w:r>
              <w:rPr>
                <w:rFonts w:hint="eastAsia" w:ascii="宋体" w:hAnsi="宋体" w:eastAsia="宋体" w:cs="宋体"/>
                <w:b/>
                <w:bCs/>
                <w:color w:val="auto"/>
                <w:szCs w:val="21"/>
                <w:u w:val="single"/>
              </w:rPr>
              <w:t>农、林、牧、渔业。</w:t>
            </w:r>
          </w:p>
          <w:p w14:paraId="0B0F1375">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未提供完整证明材料的，投标报价不予扣减。</w:t>
            </w:r>
          </w:p>
          <w:p w14:paraId="71820B61">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（2）根据《关于政府采购支持监狱企业发展有关问题的通知》（财库[2014]68号）的规定，供应商如为监狱企业且所投产品为小型或微型企业生产的，其投标报价扣除10%后参与评审。</w:t>
            </w:r>
          </w:p>
          <w:p w14:paraId="133D9F40">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投标文件中须同时提供：供应商的省级以上监狱管理局、戒毒管理局（含新疆生产建设兵团）出具的属于监狱企业的证明文件，投标产品制造商的小微企业证明，未提供完整证明材料的，投标报价不予扣减。</w:t>
            </w:r>
          </w:p>
          <w:p w14:paraId="1628B3F2">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3）根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0E3C119E">
            <w:pPr>
              <w:widowControl/>
              <w:snapToGrid w:val="0"/>
              <w:spacing w:line="240" w:lineRule="auto"/>
              <w:rPr>
                <w:rFonts w:hint="eastAsia" w:ascii="宋体" w:hAnsi="宋体" w:eastAsia="宋体" w:cs="宋体"/>
                <w:color w:val="auto"/>
                <w:szCs w:val="21"/>
              </w:rPr>
            </w:pPr>
            <w:r>
              <w:rPr>
                <w:rFonts w:hint="eastAsia" w:ascii="宋体" w:hAnsi="宋体" w:eastAsia="宋体" w:cs="宋体"/>
                <w:color w:val="auto"/>
                <w:szCs w:val="21"/>
              </w:rPr>
              <w:t>投标文件中须提供：《残疾人福利性单位声明函》，未提供完整证明材料的，投标报价不予扣减。</w:t>
            </w:r>
          </w:p>
          <w:p w14:paraId="23A44027">
            <w:pPr>
              <w:widowControl/>
              <w:snapToGrid w:val="0"/>
              <w:spacing w:line="240" w:lineRule="auto"/>
              <w:rPr>
                <w:rFonts w:ascii="宋体" w:hAnsi="宋体" w:eastAsia="宋体" w:cs="宋体"/>
                <w:color w:val="auto"/>
                <w:szCs w:val="21"/>
              </w:rPr>
            </w:pPr>
            <w:r>
              <w:rPr>
                <w:rFonts w:hint="eastAsia" w:ascii="宋体" w:hAnsi="宋体" w:eastAsia="宋体" w:cs="宋体"/>
                <w:color w:val="auto"/>
                <w:szCs w:val="21"/>
              </w:rPr>
              <w:t>上述（1），（2），（3）政策不重复计算。</w:t>
            </w:r>
          </w:p>
        </w:tc>
      </w:tr>
    </w:tbl>
    <w:p w14:paraId="7ADD431E">
      <w:pPr>
        <w:snapToGrid w:val="0"/>
        <w:spacing w:before="120" w:line="312" w:lineRule="auto"/>
        <w:rPr>
          <w:rFonts w:ascii="Times New Roman" w:hAnsi="Times New Roman" w:eastAsia="宋体" w:cs="Times New Roman"/>
          <w:b/>
          <w:color w:val="auto"/>
          <w:sz w:val="28"/>
        </w:rPr>
      </w:pPr>
    </w:p>
    <w:p w14:paraId="088426C7">
      <w:pPr>
        <w:snapToGrid w:val="0"/>
        <w:spacing w:before="120" w:line="312" w:lineRule="auto"/>
        <w:jc w:val="center"/>
        <w:rPr>
          <w:rFonts w:hint="eastAsia" w:ascii="Times New Roman" w:hAnsi="Times New Roman" w:eastAsia="宋体" w:cs="Times New Roman"/>
          <w:b/>
          <w:color w:val="auto"/>
          <w:sz w:val="28"/>
        </w:rPr>
      </w:pPr>
    </w:p>
    <w:p w14:paraId="4509160A">
      <w:pPr>
        <w:snapToGrid w:val="0"/>
        <w:spacing w:before="120" w:line="312" w:lineRule="auto"/>
        <w:jc w:val="center"/>
        <w:rPr>
          <w:rFonts w:hint="eastAsia" w:ascii="Times New Roman" w:hAnsi="Times New Roman" w:eastAsia="宋体" w:cs="Times New Roman"/>
          <w:b/>
          <w:color w:val="auto"/>
          <w:sz w:val="28"/>
        </w:rPr>
      </w:pPr>
    </w:p>
    <w:p w14:paraId="27B3C23E">
      <w:pPr>
        <w:snapToGrid w:val="0"/>
        <w:spacing w:before="120" w:line="312" w:lineRule="auto"/>
        <w:jc w:val="center"/>
        <w:rPr>
          <w:rFonts w:hint="eastAsia" w:ascii="Times New Roman" w:hAnsi="Times New Roman" w:eastAsia="宋体" w:cs="Times New Roman"/>
          <w:b/>
          <w:color w:val="auto"/>
          <w:sz w:val="28"/>
        </w:rPr>
      </w:pPr>
    </w:p>
    <w:p w14:paraId="51768161">
      <w:pPr>
        <w:snapToGrid w:val="0"/>
        <w:spacing w:before="120" w:line="312" w:lineRule="auto"/>
        <w:jc w:val="center"/>
        <w:rPr>
          <w:rFonts w:hint="eastAsia" w:ascii="Times New Roman" w:hAnsi="Times New Roman" w:eastAsia="宋体" w:cs="Times New Roman"/>
          <w:b/>
          <w:color w:val="auto"/>
          <w:sz w:val="28"/>
        </w:rPr>
      </w:pPr>
    </w:p>
    <w:p w14:paraId="69AC0BAD">
      <w:pPr>
        <w:snapToGrid w:val="0"/>
        <w:spacing w:before="120" w:line="312" w:lineRule="auto"/>
        <w:jc w:val="center"/>
        <w:rPr>
          <w:rFonts w:hint="eastAsia" w:ascii="Times New Roman" w:hAnsi="Times New Roman" w:eastAsia="宋体" w:cs="Times New Roman"/>
          <w:b/>
          <w:color w:val="auto"/>
          <w:sz w:val="28"/>
        </w:rPr>
      </w:pPr>
    </w:p>
    <w:p w14:paraId="5C987288">
      <w:pPr>
        <w:snapToGrid w:val="0"/>
        <w:spacing w:before="120" w:line="312" w:lineRule="auto"/>
        <w:jc w:val="center"/>
        <w:rPr>
          <w:rFonts w:hint="eastAsia" w:ascii="Times New Roman" w:hAnsi="Times New Roman" w:eastAsia="宋体" w:cs="Times New Roman"/>
          <w:b/>
          <w:color w:val="auto"/>
          <w:sz w:val="28"/>
        </w:rPr>
      </w:pPr>
    </w:p>
    <w:p w14:paraId="21F82C10">
      <w:pPr>
        <w:snapToGrid w:val="0"/>
        <w:spacing w:before="120" w:line="312" w:lineRule="auto"/>
        <w:jc w:val="center"/>
        <w:rPr>
          <w:rFonts w:hint="eastAsia" w:ascii="Times New Roman" w:hAnsi="Times New Roman" w:eastAsia="宋体" w:cs="Times New Roman"/>
          <w:b/>
          <w:color w:val="auto"/>
          <w:sz w:val="28"/>
        </w:rPr>
      </w:pPr>
    </w:p>
    <w:p w14:paraId="212B77D3">
      <w:pPr>
        <w:snapToGrid w:val="0"/>
        <w:spacing w:before="120" w:line="312" w:lineRule="auto"/>
        <w:jc w:val="center"/>
        <w:rPr>
          <w:rFonts w:hint="eastAsia" w:ascii="Times New Roman" w:hAnsi="Times New Roman" w:eastAsia="宋体" w:cs="Times New Roman"/>
          <w:b/>
          <w:color w:val="auto"/>
          <w:sz w:val="28"/>
        </w:rPr>
      </w:pPr>
    </w:p>
    <w:p w14:paraId="3FCF7256">
      <w:pPr>
        <w:snapToGrid w:val="0"/>
        <w:spacing w:before="120" w:line="312" w:lineRule="auto"/>
        <w:jc w:val="center"/>
        <w:rPr>
          <w:rFonts w:hint="eastAsia" w:ascii="Times New Roman" w:hAnsi="Times New Roman" w:eastAsia="宋体" w:cs="Times New Roman"/>
          <w:b/>
          <w:color w:val="auto"/>
          <w:sz w:val="28"/>
        </w:rPr>
      </w:pPr>
    </w:p>
    <w:p w14:paraId="4A1B4D47">
      <w:pPr>
        <w:snapToGrid w:val="0"/>
        <w:spacing w:before="120" w:line="312" w:lineRule="auto"/>
        <w:jc w:val="center"/>
        <w:rPr>
          <w:rFonts w:hint="eastAsia" w:ascii="Times New Roman" w:hAnsi="Times New Roman" w:eastAsia="宋体" w:cs="Times New Roman"/>
          <w:b/>
          <w:color w:val="auto"/>
          <w:sz w:val="28"/>
        </w:rPr>
      </w:pPr>
    </w:p>
    <w:p w14:paraId="0F99E097">
      <w:pPr>
        <w:snapToGrid w:val="0"/>
        <w:spacing w:before="120" w:line="312" w:lineRule="auto"/>
        <w:jc w:val="center"/>
        <w:rPr>
          <w:rFonts w:hint="eastAsia" w:ascii="Times New Roman" w:hAnsi="Times New Roman" w:eastAsia="宋体" w:cs="Times New Roman"/>
          <w:b/>
          <w:color w:val="auto"/>
          <w:sz w:val="28"/>
        </w:rPr>
      </w:pPr>
    </w:p>
    <w:p w14:paraId="6CFB6D28">
      <w:pPr>
        <w:snapToGrid w:val="0"/>
        <w:spacing w:before="120" w:line="312" w:lineRule="auto"/>
        <w:jc w:val="center"/>
        <w:rPr>
          <w:rFonts w:hint="eastAsia" w:ascii="Times New Roman" w:hAnsi="Times New Roman" w:eastAsia="宋体" w:cs="Times New Roman"/>
          <w:b/>
          <w:color w:val="auto"/>
          <w:sz w:val="28"/>
        </w:rPr>
      </w:pPr>
    </w:p>
    <w:p w14:paraId="7B1793BF">
      <w:pPr>
        <w:snapToGrid w:val="0"/>
        <w:spacing w:before="120" w:line="312" w:lineRule="auto"/>
        <w:jc w:val="center"/>
        <w:rPr>
          <w:rFonts w:hint="eastAsia" w:ascii="Times New Roman" w:hAnsi="Times New Roman" w:eastAsia="宋体" w:cs="Times New Roman"/>
          <w:b/>
          <w:color w:val="auto"/>
          <w:sz w:val="28"/>
        </w:rPr>
      </w:pPr>
    </w:p>
    <w:p w14:paraId="2060F1E4">
      <w:pPr>
        <w:snapToGrid w:val="0"/>
        <w:spacing w:before="120" w:line="312" w:lineRule="auto"/>
        <w:jc w:val="center"/>
        <w:rPr>
          <w:rFonts w:hint="eastAsia" w:ascii="Times New Roman" w:hAnsi="Times New Roman" w:eastAsia="宋体" w:cs="Times New Roman"/>
          <w:b/>
          <w:color w:val="auto"/>
          <w:sz w:val="28"/>
        </w:rPr>
      </w:pPr>
    </w:p>
    <w:p w14:paraId="06C3F86A">
      <w:pPr>
        <w:snapToGrid w:val="0"/>
        <w:spacing w:before="120" w:line="312" w:lineRule="auto"/>
        <w:jc w:val="center"/>
        <w:rPr>
          <w:rFonts w:hint="eastAsia" w:ascii="Times New Roman" w:hAnsi="Times New Roman" w:eastAsia="宋体" w:cs="Times New Roman"/>
          <w:b/>
          <w:color w:val="auto"/>
          <w:sz w:val="28"/>
        </w:rPr>
      </w:pPr>
    </w:p>
    <w:p w14:paraId="1692144E">
      <w:pPr>
        <w:snapToGrid w:val="0"/>
        <w:spacing w:before="120" w:line="312" w:lineRule="auto"/>
        <w:jc w:val="center"/>
        <w:rPr>
          <w:rFonts w:hint="eastAsia" w:ascii="Times New Roman" w:hAnsi="Times New Roman" w:eastAsia="宋体" w:cs="Times New Roman"/>
          <w:b/>
          <w:color w:val="auto"/>
          <w:sz w:val="28"/>
        </w:rPr>
      </w:pPr>
    </w:p>
    <w:p w14:paraId="00E9A13D">
      <w:pPr>
        <w:snapToGrid w:val="0"/>
        <w:spacing w:before="120" w:line="312" w:lineRule="auto"/>
        <w:jc w:val="center"/>
        <w:rPr>
          <w:rFonts w:hint="eastAsia" w:ascii="Times New Roman" w:hAnsi="Times New Roman" w:eastAsia="宋体" w:cs="Times New Roman"/>
          <w:b/>
          <w:color w:val="auto"/>
          <w:sz w:val="28"/>
        </w:rPr>
      </w:pPr>
    </w:p>
    <w:p w14:paraId="7297598A">
      <w:pPr>
        <w:snapToGrid w:val="0"/>
        <w:spacing w:before="120" w:line="312" w:lineRule="auto"/>
        <w:jc w:val="center"/>
        <w:rPr>
          <w:rFonts w:hint="eastAsia" w:ascii="Times New Roman" w:hAnsi="Times New Roman" w:eastAsia="宋体" w:cs="Times New Roman"/>
          <w:b/>
          <w:color w:val="auto"/>
          <w:sz w:val="28"/>
        </w:rPr>
      </w:pPr>
    </w:p>
    <w:p w14:paraId="68C38393">
      <w:pPr>
        <w:snapToGrid w:val="0"/>
        <w:spacing w:before="120" w:line="312" w:lineRule="auto"/>
        <w:jc w:val="center"/>
        <w:rPr>
          <w:rFonts w:hint="eastAsia" w:ascii="Times New Roman" w:hAnsi="Times New Roman" w:eastAsia="宋体" w:cs="Times New Roman"/>
          <w:b/>
          <w:color w:val="auto"/>
          <w:sz w:val="28"/>
        </w:rPr>
      </w:pPr>
    </w:p>
    <w:p w14:paraId="0B340094">
      <w:pPr>
        <w:snapToGrid w:val="0"/>
        <w:spacing w:before="120" w:line="312" w:lineRule="auto"/>
        <w:jc w:val="center"/>
        <w:rPr>
          <w:rFonts w:hint="eastAsia" w:ascii="Times New Roman" w:hAnsi="Times New Roman" w:eastAsia="宋体" w:cs="Times New Roman"/>
          <w:b/>
          <w:color w:val="auto"/>
          <w:sz w:val="28"/>
        </w:rPr>
      </w:pPr>
    </w:p>
    <w:p w14:paraId="6439F6A4">
      <w:pPr>
        <w:snapToGrid w:val="0"/>
        <w:spacing w:before="120" w:line="312" w:lineRule="auto"/>
        <w:jc w:val="center"/>
        <w:rPr>
          <w:rFonts w:hint="eastAsia" w:ascii="Times New Roman" w:hAnsi="Times New Roman" w:eastAsia="宋体" w:cs="Times New Roman"/>
          <w:b/>
          <w:color w:val="auto"/>
          <w:sz w:val="28"/>
        </w:rPr>
      </w:pPr>
    </w:p>
    <w:p w14:paraId="362F9C84">
      <w:pPr>
        <w:snapToGrid w:val="0"/>
        <w:spacing w:before="120" w:line="312" w:lineRule="auto"/>
        <w:jc w:val="center"/>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一、总  则</w:t>
      </w:r>
    </w:p>
    <w:p w14:paraId="60653791">
      <w:pPr>
        <w:snapToGrid w:val="0"/>
        <w:spacing w:before="120" w:line="360" w:lineRule="auto"/>
        <w:ind w:right="55" w:rightChars="26"/>
        <w:rPr>
          <w:rFonts w:ascii="Times New Roman" w:hAnsi="Times New Roman" w:eastAsia="宋体" w:cs="Times New Roman"/>
          <w:b/>
          <w:color w:val="auto"/>
        </w:rPr>
      </w:pPr>
    </w:p>
    <w:p w14:paraId="2BCF4C22">
      <w:pPr>
        <w:snapToGrid w:val="0"/>
        <w:spacing w:before="120" w:line="360" w:lineRule="auto"/>
        <w:ind w:right="55" w:rightChars="26"/>
        <w:rPr>
          <w:rFonts w:ascii="Times New Roman" w:hAnsi="Times New Roman" w:eastAsia="宋体" w:cs="Times New Roman"/>
          <w:b/>
          <w:color w:val="auto"/>
          <w:sz w:val="28"/>
        </w:rPr>
      </w:pPr>
      <w:r>
        <w:rPr>
          <w:rFonts w:hint="eastAsia" w:ascii="Times New Roman" w:hAnsi="Times New Roman" w:eastAsia="宋体" w:cs="Times New Roman"/>
          <w:b/>
          <w:color w:val="auto"/>
        </w:rPr>
        <w:t>（一）适用范围</w:t>
      </w:r>
    </w:p>
    <w:p w14:paraId="6ED38C4C">
      <w:pPr>
        <w:snapToGrid w:val="0"/>
        <w:spacing w:line="360"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本招标文件适用于</w:t>
      </w:r>
      <w:r>
        <w:rPr>
          <w:rFonts w:hint="eastAsia" w:ascii="Times New Roman" w:hAnsi="Times New Roman" w:eastAsia="宋体" w:cs="Times New Roman"/>
          <w:bCs/>
          <w:color w:val="auto"/>
          <w:lang w:eastAsia="zh-CN"/>
        </w:rPr>
        <w:t xml:space="preserve">2025年舟山市（本级）海洋水生生物增殖放流 </w:t>
      </w:r>
      <w:r>
        <w:rPr>
          <w:rFonts w:hint="eastAsia" w:ascii="Times New Roman" w:hAnsi="Times New Roman" w:eastAsia="宋体" w:cs="Times New Roman"/>
          <w:color w:val="auto"/>
        </w:rPr>
        <w:t>的招标、投标、评标、定标、验收、合同履约、付款等行为（法律、法规另有规定的，从其规定）。</w:t>
      </w:r>
    </w:p>
    <w:p w14:paraId="52396ECD">
      <w:pPr>
        <w:snapToGrid w:val="0"/>
        <w:spacing w:line="360"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（二）定义</w:t>
      </w:r>
    </w:p>
    <w:p w14:paraId="0F5AA865">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“采购人”系指</w:t>
      </w:r>
      <w:r>
        <w:rPr>
          <w:rFonts w:hint="eastAsia" w:ascii="Times New Roman" w:hAnsi="Times New Roman" w:eastAsia="宋体" w:cs="Times New Roman"/>
          <w:bCs/>
          <w:color w:val="auto"/>
          <w:lang w:eastAsia="zh-CN"/>
        </w:rPr>
        <w:t>舟山市海洋经济发展局</w:t>
      </w:r>
      <w:r>
        <w:rPr>
          <w:rFonts w:hint="eastAsia" w:ascii="Times New Roman" w:hAnsi="Times New Roman" w:eastAsia="宋体" w:cs="Times New Roman"/>
          <w:color w:val="auto"/>
        </w:rPr>
        <w:t>。</w:t>
      </w:r>
    </w:p>
    <w:p w14:paraId="48FE04B3">
      <w:pPr>
        <w:spacing w:after="120"/>
        <w:ind w:firstLine="420" w:firstLineChars="200"/>
        <w:rPr>
          <w:rFonts w:ascii="Times New Roman" w:hAnsi="Calibri" w:eastAsia="宋体" w:cs="Times New Roman"/>
          <w:color w:val="auto"/>
          <w:kern w:val="0"/>
        </w:rPr>
      </w:pPr>
      <w:r>
        <w:rPr>
          <w:rFonts w:ascii="Times New Roman" w:hAnsi="Calibri" w:eastAsia="宋体" w:cs="Times New Roman"/>
          <w:color w:val="auto"/>
          <w:kern w:val="0"/>
        </w:rPr>
        <w:t>2.</w:t>
      </w:r>
      <w:r>
        <w:rPr>
          <w:rFonts w:hint="eastAsia" w:ascii="Times New Roman" w:hAnsi="Calibri" w:eastAsia="宋体" w:cs="Times New Roman"/>
          <w:color w:val="auto"/>
          <w:kern w:val="0"/>
        </w:rPr>
        <w:t>“采购代理机构”系指组织本次招标的深圳市国信招标有限公司。</w:t>
      </w:r>
    </w:p>
    <w:p w14:paraId="2ACEAB38">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“投标人”系指向采购人提交投标文件的单位或个人。</w:t>
      </w:r>
    </w:p>
    <w:p w14:paraId="302845AB">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4</w:t>
      </w:r>
      <w:r>
        <w:rPr>
          <w:rFonts w:hint="eastAsia" w:ascii="宋体" w:hAnsi="宋体" w:eastAsia="宋体" w:cs="Times New Roman"/>
          <w:color w:val="auto"/>
        </w:rPr>
        <w:t>.“合同”系指买卖双方签署的规定买卖双方权利与义务的协议，以及所有的附件、附录和招标文件所提到的构成合同的所有文件。</w:t>
      </w:r>
    </w:p>
    <w:p w14:paraId="738F466F">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5</w:t>
      </w:r>
      <w:r>
        <w:rPr>
          <w:rFonts w:hint="eastAsia" w:ascii="宋体" w:hAnsi="宋体" w:eastAsia="宋体" w:cs="Times New Roman"/>
          <w:color w:val="auto"/>
        </w:rPr>
        <w:t>.“货物” 系指卖方按招标文件规定须向买方提供生产的增殖放流种苗和有关放流种苗的技术资料及其他材料。</w:t>
      </w:r>
    </w:p>
    <w:p w14:paraId="1CEA0854">
      <w:pPr>
        <w:snapToGrid w:val="0"/>
        <w:spacing w:line="360" w:lineRule="auto"/>
        <w:ind w:firstLine="420" w:firstLineChars="200"/>
        <w:jc w:val="left"/>
        <w:rPr>
          <w:rFonts w:ascii="宋体" w:hAnsi="宋体" w:eastAsia="宋体" w:cs="Times New Roman"/>
          <w:color w:val="auto"/>
        </w:rPr>
      </w:pPr>
      <w:r>
        <w:rPr>
          <w:rFonts w:ascii="宋体" w:hAnsi="宋体" w:eastAsia="宋体" w:cs="Times New Roman"/>
          <w:color w:val="auto"/>
        </w:rPr>
        <w:t>6</w:t>
      </w:r>
      <w:r>
        <w:rPr>
          <w:rFonts w:hint="eastAsia" w:ascii="宋体" w:hAnsi="宋体" w:eastAsia="宋体" w:cs="Times New Roman"/>
          <w:color w:val="auto"/>
        </w:rPr>
        <w:t>.“服务”系指招标文件规定卖方须承担生产增殖放流种苗、投放、种苗检验检疫、跟踪监测等其他类似的附随义务。</w:t>
      </w:r>
    </w:p>
    <w:p w14:paraId="190E8E7D">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7</w:t>
      </w:r>
      <w:r>
        <w:rPr>
          <w:rFonts w:hint="eastAsia" w:ascii="宋体" w:hAnsi="宋体" w:eastAsia="宋体" w:cs="Times New Roman"/>
          <w:color w:val="auto"/>
        </w:rPr>
        <w:t xml:space="preserve">.“附随服务”系指根据本合同规定卖方必须承担与货物有关的辅助服务，如免费运输、装卸、宣传增殖放流种苗期间禁止捕鱼以及合同中规定卖方应承担的义务,以及合同中未规定,但依有利于合同履行原则,应当由卖方承担的其它义务。 </w:t>
      </w:r>
    </w:p>
    <w:p w14:paraId="494B3EFF">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8</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书面形式</w:t>
      </w:r>
      <w:r>
        <w:rPr>
          <w:rFonts w:hint="eastAsia" w:ascii="宋体" w:hAnsi="Times New Roman" w:eastAsia="宋体" w:cs="Times New Roman"/>
          <w:color w:val="auto"/>
        </w:rPr>
        <w:t>”</w:t>
      </w:r>
      <w:r>
        <w:rPr>
          <w:rFonts w:hint="eastAsia" w:ascii="宋体" w:hAnsi="宋体" w:eastAsia="宋体" w:cs="Times New Roman"/>
          <w:color w:val="auto"/>
        </w:rPr>
        <w:t>包括信函、传真、</w:t>
      </w:r>
      <w:r>
        <w:rPr>
          <w:rFonts w:hint="eastAsia" w:ascii="宋体" w:hAnsi="宋体" w:eastAsia="宋体" w:cs="Times New Roman"/>
          <w:color w:val="auto"/>
          <w:lang w:val="en-US" w:eastAsia="zh-CN"/>
        </w:rPr>
        <w:t>邮件</w:t>
      </w:r>
      <w:r>
        <w:rPr>
          <w:rFonts w:hint="eastAsia" w:ascii="宋体" w:hAnsi="宋体" w:eastAsia="宋体" w:cs="Times New Roman"/>
          <w:color w:val="auto"/>
        </w:rPr>
        <w:t>、电子文档等。</w:t>
      </w:r>
    </w:p>
    <w:p w14:paraId="21FC6BC5">
      <w:pPr>
        <w:snapToGrid w:val="0"/>
        <w:spacing w:line="360" w:lineRule="auto"/>
        <w:ind w:firstLine="420" w:firstLineChars="200"/>
        <w:jc w:val="left"/>
        <w:rPr>
          <w:rFonts w:ascii="宋体" w:hAnsi="Times New Roman" w:eastAsia="宋体" w:cs="Times New Roman"/>
          <w:color w:val="auto"/>
        </w:rPr>
      </w:pPr>
      <w:r>
        <w:rPr>
          <w:rFonts w:ascii="宋体" w:hAnsi="宋体" w:eastAsia="宋体" w:cs="Times New Roman"/>
          <w:color w:val="auto"/>
        </w:rPr>
        <w:t>9</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w:t>
      </w:r>
      <w:r>
        <w:rPr>
          <w:rFonts w:hint="eastAsia" w:ascii="宋体" w:hAnsi="Times New Roman" w:eastAsia="宋体" w:cs="Times New Roman"/>
          <w:color w:val="auto"/>
        </w:rPr>
        <w:t>”</w:t>
      </w:r>
      <w:r>
        <w:rPr>
          <w:rFonts w:hint="eastAsia" w:ascii="宋体" w:hAnsi="宋体" w:eastAsia="宋体" w:cs="Times New Roman"/>
          <w:color w:val="auto"/>
        </w:rPr>
        <w:t>系指实质性要求条款。</w:t>
      </w:r>
    </w:p>
    <w:p w14:paraId="7FBDBCFC">
      <w:pPr>
        <w:snapToGrid w:val="0"/>
        <w:spacing w:line="312" w:lineRule="auto"/>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（三）招标方式</w:t>
      </w:r>
    </w:p>
    <w:p w14:paraId="58F55CA7">
      <w:pPr>
        <w:snapToGrid w:val="0"/>
        <w:spacing w:line="312" w:lineRule="auto"/>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本次招标采用公开招标方式进行。</w:t>
      </w:r>
    </w:p>
    <w:p w14:paraId="40B6B8AF">
      <w:pPr>
        <w:snapToGrid w:val="0"/>
        <w:spacing w:line="312"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（四）投标费用</w:t>
      </w:r>
    </w:p>
    <w:p w14:paraId="3B53AE3B">
      <w:pPr>
        <w:snapToGrid w:val="0"/>
        <w:spacing w:line="312"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不论投标结果如何，投标人均应自行承担所有与投标有关的全部费用（招标文件另有规定除外）。</w:t>
      </w:r>
    </w:p>
    <w:p w14:paraId="3696B587">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（五）关于联合体</w:t>
      </w:r>
    </w:p>
    <w:p w14:paraId="728BBE96">
      <w:pPr>
        <w:pStyle w:val="58"/>
        <w:ind w:firstLine="210"/>
        <w:rPr>
          <w:color w:val="auto"/>
        </w:rPr>
      </w:pPr>
      <w:r>
        <w:rPr>
          <w:rFonts w:hint="eastAsia"/>
          <w:color w:val="auto"/>
        </w:rPr>
        <w:t xml:space="preserve"> </w:t>
      </w:r>
      <w:r>
        <w:rPr>
          <w:color w:val="auto"/>
        </w:rPr>
        <w:t xml:space="preserve">  </w:t>
      </w:r>
      <w:r>
        <w:rPr>
          <w:rFonts w:hint="eastAsia"/>
          <w:color w:val="auto"/>
        </w:rPr>
        <w:t>本项目不接受联合体</w:t>
      </w:r>
    </w:p>
    <w:p w14:paraId="38FAAE07">
      <w:pPr>
        <w:snapToGrid w:val="0"/>
        <w:spacing w:line="312"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（六）关于分包和转包</w:t>
      </w:r>
    </w:p>
    <w:p w14:paraId="2E7BCD35">
      <w:pPr>
        <w:pStyle w:val="58"/>
        <w:ind w:firstLine="210"/>
        <w:rPr>
          <w:color w:val="auto"/>
        </w:rPr>
      </w:pPr>
      <w:r>
        <w:rPr>
          <w:rFonts w:hint="eastAsia"/>
          <w:color w:val="auto"/>
        </w:rPr>
        <w:t xml:space="preserve"> </w:t>
      </w:r>
      <w:r>
        <w:rPr>
          <w:color w:val="auto"/>
        </w:rPr>
        <w:t xml:space="preserve"> </w:t>
      </w:r>
      <w:r>
        <w:rPr>
          <w:rFonts w:hint="eastAsia"/>
          <w:color w:val="auto"/>
        </w:rPr>
        <w:t>本项目不允许分包。</w:t>
      </w:r>
    </w:p>
    <w:p w14:paraId="57D965DD">
      <w:pPr>
        <w:snapToGrid w:val="0"/>
        <w:spacing w:line="312" w:lineRule="auto"/>
        <w:ind w:right="55" w:rightChars="26"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本项目不允许转包。</w:t>
      </w:r>
    </w:p>
    <w:p w14:paraId="1DD51C26">
      <w:pPr>
        <w:keepNext w:val="0"/>
        <w:keepLines w:val="0"/>
        <w:pageBreakBefore w:val="0"/>
        <w:kinsoku/>
        <w:wordWrap/>
        <w:overflowPunct/>
        <w:topLinePunct w:val="0"/>
        <w:autoSpaceDE/>
        <w:autoSpaceDN/>
        <w:bidi w:val="0"/>
        <w:adjustRightInd/>
        <w:snapToGrid w:val="0"/>
        <w:spacing w:line="360" w:lineRule="auto"/>
        <w:ind w:right="0" w:rightChars="0"/>
        <w:textAlignment w:val="auto"/>
        <w:rPr>
          <w:rFonts w:ascii="Times New Roman" w:hAnsi="Times New Roman" w:eastAsia="宋体" w:cs="Times New Roman"/>
          <w:b/>
          <w:color w:val="auto"/>
          <w:spacing w:val="-4"/>
          <w:kern w:val="0"/>
          <w:sz w:val="24"/>
          <w:szCs w:val="24"/>
        </w:rPr>
      </w:pPr>
      <w:r>
        <w:rPr>
          <w:rFonts w:hint="eastAsia" w:ascii="Times New Roman" w:hAnsi="Times New Roman" w:eastAsia="宋体" w:cs="Times New Roman"/>
          <w:b/>
          <w:color w:val="auto"/>
          <w:spacing w:val="-4"/>
          <w:kern w:val="0"/>
          <w:sz w:val="24"/>
          <w:szCs w:val="24"/>
        </w:rPr>
        <w:t>（七）特别说明：</w:t>
      </w:r>
    </w:p>
    <w:p w14:paraId="19DCB92B">
      <w:pPr>
        <w:pStyle w:val="17"/>
        <w:keepNext w:val="0"/>
        <w:keepLines w:val="0"/>
        <w:pageBreakBefore w:val="0"/>
        <w:kinsoku/>
        <w:wordWrap/>
        <w:overflowPunct/>
        <w:topLinePunct w:val="0"/>
        <w:autoSpaceDE/>
        <w:autoSpaceDN/>
        <w:bidi w:val="0"/>
        <w:adjustRightInd/>
        <w:snapToGrid w:val="0"/>
        <w:spacing w:line="360" w:lineRule="auto"/>
        <w:ind w:right="0" w:rightChars="0" w:firstLine="401" w:firstLineChars="199"/>
        <w:textAlignment w:val="auto"/>
        <w:rPr>
          <w:rFonts w:ascii="Times New Roman" w:hAnsi="Times New Roman"/>
          <w:bCs/>
          <w:color w:val="auto"/>
          <w:sz w:val="21"/>
        </w:rPr>
      </w:pPr>
      <w:r>
        <w:rPr>
          <w:rFonts w:hint="eastAsia" w:ascii="Times New Roman" w:hAnsi="Times New Roman"/>
          <w:bCs/>
          <w:color w:val="auto"/>
          <w:sz w:val="21"/>
        </w:rPr>
        <w:t>1.</w:t>
      </w:r>
      <w:r>
        <w:rPr>
          <w:rFonts w:ascii="Times New Roman" w:hAnsi="Times New Roman"/>
          <w:bCs/>
          <w:color w:val="auto"/>
          <w:sz w:val="21"/>
        </w:rPr>
        <w:t>投标人投标所使用的资格、信誉、荣誉、业绩与企业认证必须为本法人所拥有。投标人投标所使用的采购项目实施人员必须为本法人员工。</w:t>
      </w:r>
    </w:p>
    <w:p w14:paraId="3CF7BC02">
      <w:pPr>
        <w:pStyle w:val="17"/>
        <w:keepNext w:val="0"/>
        <w:keepLines w:val="0"/>
        <w:pageBreakBefore w:val="0"/>
        <w:kinsoku/>
        <w:wordWrap/>
        <w:overflowPunct/>
        <w:topLinePunct w:val="0"/>
        <w:autoSpaceDE/>
        <w:autoSpaceDN/>
        <w:bidi w:val="0"/>
        <w:adjustRightInd/>
        <w:snapToGrid w:val="0"/>
        <w:spacing w:line="360" w:lineRule="auto"/>
        <w:ind w:right="0" w:rightChars="0"/>
        <w:textAlignment w:val="auto"/>
        <w:rPr>
          <w:rFonts w:ascii="Times New Roman" w:hAnsi="Times New Roman"/>
          <w:bCs/>
          <w:color w:val="auto"/>
          <w:sz w:val="21"/>
        </w:rPr>
      </w:pPr>
      <w:r>
        <w:rPr>
          <w:rFonts w:ascii="Times New Roman" w:hAnsi="Times New Roman"/>
          <w:bCs/>
          <w:color w:val="auto"/>
          <w:sz w:val="21"/>
        </w:rPr>
        <w:t xml:space="preserve"> </w:t>
      </w:r>
      <w:r>
        <w:rPr>
          <w:rFonts w:hint="eastAsia" w:ascii="Times New Roman" w:hAnsi="Times New Roman"/>
          <w:bCs/>
          <w:color w:val="auto"/>
          <w:sz w:val="21"/>
        </w:rPr>
        <w:t>2.</w:t>
      </w:r>
      <w:r>
        <w:rPr>
          <w:rFonts w:ascii="Times New Roman" w:hAnsi="Times New Roman"/>
          <w:bCs/>
          <w:color w:val="auto"/>
          <w:sz w:val="21"/>
        </w:rPr>
        <w:t>投标人应仔细阅读招标文件的所有内容，按照招标文件的要求提交投标文件，并对所提供的全部资料的真实性承担法律责任。</w:t>
      </w:r>
    </w:p>
    <w:p w14:paraId="26DEA5A9">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1"/>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（八）质疑</w:t>
      </w:r>
    </w:p>
    <w:p w14:paraId="605596ED">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投标人应当自知道或者应当知道其合法权益受到损害之日起七个工作日内提出质疑。</w:t>
      </w:r>
    </w:p>
    <w:p w14:paraId="6526F93C">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hint="eastAsia" w:ascii="Times New Roman" w:hAnsi="Times New Roman" w:eastAsia="宋体" w:cs="Times New Roman"/>
          <w:bCs/>
          <w:color w:val="auto"/>
          <w:szCs w:val="21"/>
        </w:rPr>
        <w:t>对可以质疑的采购文件提出质疑的，为收到采购文件之日或者采购文件公告期限届满之日；</w:t>
      </w:r>
    </w:p>
    <w:p w14:paraId="72645FE1">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2.</w:t>
      </w:r>
      <w:r>
        <w:rPr>
          <w:rFonts w:hint="eastAsia" w:ascii="Times New Roman" w:hAnsi="Times New Roman" w:eastAsia="宋体" w:cs="Times New Roman"/>
          <w:bCs/>
          <w:color w:val="auto"/>
          <w:szCs w:val="21"/>
        </w:rPr>
        <w:t>对采购过程提出质疑的，为各采购程序环节结束之日；</w:t>
      </w:r>
    </w:p>
    <w:p w14:paraId="1C876F8E">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对中标或者成交结果提出质疑的，为中标或者成交结果公告期限届满之日。</w:t>
      </w:r>
    </w:p>
    <w:p w14:paraId="734F02B9">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4.</w:t>
      </w:r>
      <w:r>
        <w:rPr>
          <w:rFonts w:hint="eastAsia" w:ascii="Times New Roman" w:hAnsi="Times New Roman" w:eastAsia="宋体" w:cs="Times New Roman"/>
          <w:bCs/>
          <w:color w:val="auto"/>
          <w:szCs w:val="21"/>
        </w:rPr>
        <w:t>质疑书应包括下列主要内容：</w:t>
      </w:r>
    </w:p>
    <w:p w14:paraId="387318A0">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①</w:t>
      </w:r>
      <w:r>
        <w:rPr>
          <w:rFonts w:hint="eastAsia" w:ascii="Times New Roman" w:hAnsi="Times New Roman" w:eastAsia="宋体" w:cs="Times New Roman"/>
          <w:bCs/>
          <w:color w:val="auto"/>
          <w:szCs w:val="21"/>
        </w:rPr>
        <w:t>质疑人的名称、地址、邮政编码、联系人、联系电话，以及被质疑人名称及联系方式；</w:t>
      </w:r>
    </w:p>
    <w:p w14:paraId="0C3137F2">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②</w:t>
      </w:r>
      <w:r>
        <w:rPr>
          <w:rFonts w:hint="eastAsia" w:ascii="Times New Roman" w:hAnsi="Times New Roman" w:eastAsia="宋体" w:cs="Times New Roman"/>
          <w:bCs/>
          <w:color w:val="auto"/>
          <w:szCs w:val="21"/>
        </w:rPr>
        <w:t>被质疑采购项目名称、编号及采购内容；</w:t>
      </w:r>
    </w:p>
    <w:p w14:paraId="6A4B9F42">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③</w:t>
      </w:r>
      <w:r>
        <w:rPr>
          <w:rFonts w:hint="eastAsia" w:ascii="Times New Roman" w:hAnsi="Times New Roman" w:eastAsia="宋体" w:cs="Times New Roman"/>
          <w:bCs/>
          <w:color w:val="auto"/>
          <w:szCs w:val="21"/>
        </w:rPr>
        <w:t>具体的质疑事项及事实依据；</w:t>
      </w:r>
    </w:p>
    <w:p w14:paraId="54265B68">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④</w:t>
      </w:r>
      <w:r>
        <w:rPr>
          <w:rFonts w:hint="eastAsia" w:ascii="Times New Roman" w:hAnsi="Times New Roman" w:eastAsia="宋体" w:cs="Times New Roman"/>
          <w:bCs/>
          <w:color w:val="auto"/>
          <w:szCs w:val="21"/>
        </w:rPr>
        <w:t>认为自己合法权益受到损害或可能受到损害的相关证据材料；</w:t>
      </w:r>
    </w:p>
    <w:p w14:paraId="0028DBBD">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⑤</w:t>
      </w:r>
      <w:r>
        <w:rPr>
          <w:rFonts w:hint="eastAsia" w:ascii="Times New Roman" w:hAnsi="Times New Roman" w:eastAsia="宋体" w:cs="Times New Roman"/>
          <w:bCs/>
          <w:color w:val="auto"/>
          <w:szCs w:val="21"/>
        </w:rPr>
        <w:t>提出质疑的日期。</w:t>
      </w:r>
    </w:p>
    <w:p w14:paraId="146BE350">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供应商为自然人的，应当由本人签字：供应商为法人或者其他组织的，应当由法定代表人、主要负责人，或者其授权代表签字或者盖章，并加盖公章。</w:t>
      </w:r>
    </w:p>
    <w:p w14:paraId="581ADB7C">
      <w:pPr>
        <w:keepNext w:val="0"/>
        <w:keepLines w:val="0"/>
        <w:pageBreakBefore w:val="0"/>
        <w:widowControl/>
        <w:kinsoku/>
        <w:wordWrap/>
        <w:overflowPunct/>
        <w:topLinePunct w:val="0"/>
        <w:autoSpaceDE/>
        <w:autoSpaceDN/>
        <w:bidi w:val="0"/>
        <w:adjustRightInd/>
        <w:snapToGrid w:val="0"/>
        <w:spacing w:line="360" w:lineRule="auto"/>
        <w:ind w:right="0" w:rightChars="0" w:firstLine="420" w:firstLineChars="200"/>
        <w:textAlignment w:val="auto"/>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供应商在法定质疑期内一次性提出针对同一采购程序环节的质疑。</w:t>
      </w:r>
    </w:p>
    <w:p w14:paraId="09CEA78F">
      <w:pPr>
        <w:snapToGrid w:val="0"/>
        <w:spacing w:before="120" w:line="312" w:lineRule="auto"/>
        <w:ind w:right="-506" w:rightChars="-241" w:firstLine="3795" w:firstLineChars="1350"/>
        <w:rPr>
          <w:rFonts w:ascii="Times New Roman" w:hAnsi="Times New Roman" w:eastAsia="宋体" w:cs="Times New Roman"/>
          <w:b/>
          <w:color w:val="auto"/>
          <w:sz w:val="28"/>
        </w:rPr>
      </w:pPr>
    </w:p>
    <w:p w14:paraId="0618F665">
      <w:pPr>
        <w:snapToGrid w:val="0"/>
        <w:spacing w:before="120" w:line="312" w:lineRule="auto"/>
        <w:ind w:right="-506" w:rightChars="-241" w:firstLine="3795" w:firstLineChars="135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二、招标文件</w:t>
      </w:r>
    </w:p>
    <w:p w14:paraId="106799EC">
      <w:pPr>
        <w:snapToGrid w:val="0"/>
        <w:spacing w:line="360" w:lineRule="auto"/>
        <w:ind w:right="-341"/>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（一）招标文件的构成。本招标文件由以下部份组成：</w:t>
      </w:r>
    </w:p>
    <w:p w14:paraId="547DD536">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招标公告</w:t>
      </w:r>
    </w:p>
    <w:p w14:paraId="30ADB21B">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招标需求</w:t>
      </w:r>
    </w:p>
    <w:p w14:paraId="125431FE">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投标人须知</w:t>
      </w:r>
    </w:p>
    <w:p w14:paraId="2C1F6376">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lang w:eastAsia="zh-CN"/>
        </w:rPr>
        <w:t>评标方法</w:t>
      </w:r>
      <w:r>
        <w:rPr>
          <w:rFonts w:hint="eastAsia" w:ascii="Times New Roman" w:hAnsi="Times New Roman" w:eastAsia="宋体" w:cs="Times New Roman"/>
          <w:color w:val="auto"/>
        </w:rPr>
        <w:t>及标准</w:t>
      </w:r>
    </w:p>
    <w:p w14:paraId="2C826AB4">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合同主要条款</w:t>
      </w:r>
    </w:p>
    <w:p w14:paraId="487610B2">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投标文件格式</w:t>
      </w:r>
    </w:p>
    <w:p w14:paraId="188110E6">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本项目招标文件的澄清、答复、修改、补充的内容</w:t>
      </w:r>
    </w:p>
    <w:p w14:paraId="34E0DF83">
      <w:pPr>
        <w:snapToGrid w:val="0"/>
        <w:spacing w:line="360" w:lineRule="auto"/>
        <w:ind w:right="-87"/>
        <w:jc w:val="left"/>
        <w:rPr>
          <w:rFonts w:hint="eastAsia" w:ascii="Times New Roman" w:hAnsi="Times New Roman" w:eastAsia="宋体" w:cs="Times New Roman"/>
          <w:b/>
          <w:color w:val="auto"/>
          <w:sz w:val="24"/>
        </w:rPr>
      </w:pPr>
    </w:p>
    <w:p w14:paraId="74976A42">
      <w:pPr>
        <w:snapToGrid w:val="0"/>
        <w:spacing w:line="360" w:lineRule="auto"/>
        <w:ind w:right="-87"/>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（二）投标人的风险</w:t>
      </w:r>
    </w:p>
    <w:p w14:paraId="6485E833">
      <w:pPr>
        <w:spacing w:line="360" w:lineRule="auto"/>
        <w:ind w:right="-506" w:rightChars="-241" w:firstLine="420"/>
        <w:rPr>
          <w:rFonts w:ascii="Times New Roman" w:hAnsi="Times New Roman" w:eastAsia="宋体" w:cs="Times New Roman"/>
          <w:color w:val="auto"/>
        </w:rPr>
      </w:pPr>
      <w:r>
        <w:rPr>
          <w:rFonts w:hint="eastAsia" w:ascii="Times New Roman" w:hAnsi="Times New Roman" w:eastAsia="宋体" w:cs="Times New Roman"/>
          <w:color w:val="auto"/>
        </w:rPr>
        <w:t>投标人没有按照招标文件要求提供全部资料，或者投标人没有对招标文件在各方面作出实质性响应是投标人的风险，并可能导致其投标被拒绝。</w:t>
      </w:r>
    </w:p>
    <w:p w14:paraId="276FC6E6">
      <w:pPr>
        <w:keepNext w:val="0"/>
        <w:keepLines w:val="0"/>
        <w:pageBreakBefore w:val="0"/>
        <w:tabs>
          <w:tab w:val="left" w:pos="454"/>
          <w:tab w:val="left" w:pos="720"/>
          <w:tab w:val="left" w:pos="900"/>
        </w:tabs>
        <w:kinsoku/>
        <w:wordWrap/>
        <w:overflowPunct/>
        <w:topLinePunct w:val="0"/>
        <w:autoSpaceDE/>
        <w:autoSpaceDN/>
        <w:bidi w:val="0"/>
        <w:adjustRightInd/>
        <w:snapToGrid w:val="0"/>
        <w:spacing w:line="360" w:lineRule="auto"/>
        <w:ind w:left="0" w:right="0" w:rightChars="0" w:hanging="247" w:hangingChars="117"/>
        <w:textAlignment w:val="auto"/>
        <w:rPr>
          <w:rFonts w:ascii="Times New Roman" w:hAnsi="Times New Roman" w:eastAsia="宋体" w:cs="Times New Roman"/>
          <w:b/>
          <w:color w:val="auto"/>
        </w:rPr>
      </w:pPr>
      <w:r>
        <w:rPr>
          <w:rFonts w:hint="eastAsia" w:ascii="Times New Roman" w:hAnsi="Times New Roman" w:eastAsia="宋体" w:cs="Times New Roman"/>
          <w:b/>
          <w:color w:val="auto"/>
        </w:rPr>
        <w:t>（三）招标文件的澄清与修改</w:t>
      </w:r>
    </w:p>
    <w:p w14:paraId="77816534">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投标人应认真阅读本招标文件，发现其中有误或有要求不合理的，投标人必须在投标截止前</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天前，在财政部门指定的政府采购信息发布媒体上发布更正公告，并通知所有已报名的潜在投标人。</w:t>
      </w:r>
    </w:p>
    <w:p w14:paraId="5EE86477">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1B38EF41">
      <w:pPr>
        <w:keepNext w:val="0"/>
        <w:keepLines w:val="0"/>
        <w:pageBreakBefore w:val="0"/>
        <w:widowControl/>
        <w:kinsoku/>
        <w:wordWrap/>
        <w:overflowPunct/>
        <w:topLinePunct w:val="0"/>
        <w:autoSpaceDE/>
        <w:autoSpaceDN/>
        <w:bidi w:val="0"/>
        <w:adjustRightInd/>
        <w:snapToGrid w:val="0"/>
        <w:spacing w:line="360" w:lineRule="auto"/>
        <w:ind w:left="0" w:right="0" w:rightChars="0"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招标文件澄清、答复、修改、补充的内容为采购文件的组成部分。当招标文件与招标文件的答复、澄清、修改、补充通知就同一内容的表述不一致时，以最后发出的变更公告为准。</w:t>
      </w:r>
    </w:p>
    <w:p w14:paraId="1D59A668">
      <w:pPr>
        <w:keepNext w:val="0"/>
        <w:keepLines w:val="0"/>
        <w:pageBreakBefore w:val="0"/>
        <w:kinsoku/>
        <w:wordWrap/>
        <w:overflowPunct/>
        <w:topLinePunct w:val="0"/>
        <w:autoSpaceDE/>
        <w:autoSpaceDN/>
        <w:bidi w:val="0"/>
        <w:adjustRightInd/>
        <w:snapToGrid w:val="0"/>
        <w:spacing w:line="360" w:lineRule="auto"/>
        <w:ind w:left="0"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招标文件的澄清、答复、修改或补充都应该通过本代理机构以法定形式发布。</w:t>
      </w:r>
    </w:p>
    <w:p w14:paraId="1D698FB8">
      <w:pPr>
        <w:snapToGrid w:val="0"/>
        <w:spacing w:before="120" w:line="360" w:lineRule="auto"/>
        <w:ind w:right="-87" w:firstLine="2923" w:firstLineChars="104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三、投标文件的编制</w:t>
      </w:r>
    </w:p>
    <w:p w14:paraId="5E486E66">
      <w:pPr>
        <w:keepNext w:val="0"/>
        <w:keepLines w:val="0"/>
        <w:pageBreakBefore w:val="0"/>
        <w:widowControl w:val="0"/>
        <w:kinsoku/>
        <w:wordWrap/>
        <w:overflowPunct/>
        <w:topLinePunct w:val="0"/>
        <w:autoSpaceDE/>
        <w:autoSpaceDN/>
        <w:bidi w:val="0"/>
        <w:adjustRightInd/>
        <w:spacing w:line="336" w:lineRule="auto"/>
        <w:ind w:left="0" w:right="0" w:rightChars="0" w:firstLine="211" w:firstLineChars="10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（一）投标文件的签署</w:t>
      </w:r>
    </w:p>
    <w:p w14:paraId="13F55AD5">
      <w:pPr>
        <w:keepNext w:val="0"/>
        <w:keepLines w:val="0"/>
        <w:pageBreakBefore w:val="0"/>
        <w:widowControl w:val="0"/>
        <w:kinsoku/>
        <w:wordWrap/>
        <w:overflowPunct/>
        <w:topLinePunct w:val="0"/>
        <w:autoSpaceDE/>
        <w:autoSpaceDN/>
        <w:bidi w:val="0"/>
        <w:adjustRightInd/>
        <w:spacing w:line="336" w:lineRule="auto"/>
        <w:ind w:left="0" w:right="0" w:rightChars="0" w:firstLine="420"/>
        <w:textAlignment w:val="auto"/>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电子投标文件部分：</w:t>
      </w:r>
    </w:p>
    <w:p w14:paraId="2DA385DB">
      <w:pPr>
        <w:keepNext w:val="0"/>
        <w:keepLines w:val="0"/>
        <w:pageBreakBefore w:val="0"/>
        <w:widowControl w:val="0"/>
        <w:kinsoku/>
        <w:wordWrap/>
        <w:overflowPunct/>
        <w:topLinePunct w:val="0"/>
        <w:autoSpaceDE/>
        <w:autoSpaceDN/>
        <w:bidi w:val="0"/>
        <w:adjustRightInd/>
        <w:spacing w:line="336" w:lineRule="auto"/>
        <w:ind w:left="0" w:right="0" w:rightChars="0" w:firstLine="420"/>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投标人应根据</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政采云供应商项目采购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及本招标文件规定的格式和顺序编制电子投标文件并进行关联定位。</w:t>
      </w:r>
    </w:p>
    <w:p w14:paraId="02B14D1C">
      <w:pPr>
        <w:keepNext w:val="0"/>
        <w:keepLines w:val="0"/>
        <w:pageBreakBefore w:val="0"/>
        <w:widowControl w:val="0"/>
        <w:kinsoku/>
        <w:wordWrap/>
        <w:overflowPunct/>
        <w:topLinePunct w:val="0"/>
        <w:autoSpaceDE/>
        <w:autoSpaceDN/>
        <w:bidi w:val="0"/>
        <w:adjustRightInd/>
        <w:spacing w:line="336" w:lineRule="auto"/>
        <w:ind w:left="0" w:right="0" w:rightChars="0" w:firstLine="420"/>
        <w:textAlignment w:val="auto"/>
        <w:rPr>
          <w:rFonts w:ascii="Times New Roman" w:hAnsi="Times New Roman" w:eastAsia="宋体" w:cs="Times New Roman"/>
          <w:b/>
          <w:bCs/>
          <w:color w:val="auto"/>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备份投标文件部分：</w:t>
      </w:r>
    </w:p>
    <w:p w14:paraId="3C43EDE6">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63B1AA2C">
      <w:pPr>
        <w:keepNext w:val="0"/>
        <w:keepLines w:val="0"/>
        <w:pageBreakBefore w:val="0"/>
        <w:widowControl w:val="0"/>
        <w:tabs>
          <w:tab w:val="left" w:pos="0"/>
        </w:tabs>
        <w:kinsoku/>
        <w:wordWrap/>
        <w:overflowPunct/>
        <w:topLinePunct w:val="0"/>
        <w:autoSpaceDE/>
        <w:autoSpaceDN/>
        <w:bidi w:val="0"/>
        <w:adjustRightInd/>
        <w:spacing w:line="360" w:lineRule="auto"/>
        <w:ind w:left="0" w:right="0" w:rightChars="0" w:firstLine="211" w:firstLineChars="10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（二）投标文件的组成</w:t>
      </w:r>
    </w:p>
    <w:p w14:paraId="53470131">
      <w:pPr>
        <w:keepNext w:val="0"/>
        <w:keepLines w:val="0"/>
        <w:pageBreakBefore w:val="0"/>
        <w:widowControl w:val="0"/>
        <w:kinsoku/>
        <w:wordWrap/>
        <w:overflowPunct/>
        <w:topLinePunct w:val="0"/>
        <w:autoSpaceDE/>
        <w:autoSpaceDN/>
        <w:bidi w:val="0"/>
        <w:adjustRightInd/>
        <w:spacing w:line="360" w:lineRule="auto"/>
        <w:ind w:left="0" w:right="0" w:rightChars="0" w:firstLine="413" w:firstLineChars="196"/>
        <w:textAlignment w:val="auto"/>
        <w:rPr>
          <w:rFonts w:ascii="宋体" w:hAnsi="Courier New" w:eastAsia="宋体" w:cs="Times New Roman"/>
          <w:color w:val="auto"/>
          <w:szCs w:val="21"/>
        </w:rPr>
      </w:pPr>
      <w:r>
        <w:rPr>
          <w:rFonts w:hint="eastAsia" w:ascii="宋体" w:hAnsi="Courier New" w:eastAsia="宋体" w:cs="Times New Roman"/>
          <w:b/>
          <w:bCs/>
          <w:color w:val="auto"/>
          <w:szCs w:val="21"/>
        </w:rPr>
        <w:t>投标文件由资格响应文件、商务及技术响应文件、报价文件三部份组成。</w:t>
      </w:r>
      <w:r>
        <w:rPr>
          <w:rFonts w:hint="eastAsia" w:ascii="宋体" w:hAnsi="Courier New" w:eastAsia="宋体" w:cs="Times New Roman"/>
          <w:color w:val="auto"/>
          <w:szCs w:val="21"/>
        </w:rPr>
        <w:t>电子投标文件中所须加盖公章部分均采用CA签章。（以下投标文件的部分格式详见本招标文件第六章，如本招标文件没有提供相应的格式，投标人可自行制表填写）</w:t>
      </w:r>
    </w:p>
    <w:p w14:paraId="5ADA3966">
      <w:pPr>
        <w:keepNext w:val="0"/>
        <w:keepLines w:val="0"/>
        <w:pageBreakBefore w:val="0"/>
        <w:widowControl w:val="0"/>
        <w:kinsoku/>
        <w:wordWrap/>
        <w:overflowPunct/>
        <w:topLinePunct w:val="0"/>
        <w:autoSpaceDE/>
        <w:autoSpaceDN/>
        <w:bidi w:val="0"/>
        <w:adjustRightInd/>
        <w:spacing w:line="360" w:lineRule="auto"/>
        <w:ind w:left="0" w:right="0" w:rightChars="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资格响应部份：</w:t>
      </w:r>
    </w:p>
    <w:p w14:paraId="75E59A21">
      <w:pPr>
        <w:keepNext w:val="0"/>
        <w:keepLines w:val="0"/>
        <w:pageBreakBefore w:val="0"/>
        <w:widowControl w:val="0"/>
        <w:kinsoku/>
        <w:wordWrap/>
        <w:overflowPunct/>
        <w:topLinePunct w:val="0"/>
        <w:autoSpaceDE/>
        <w:autoSpaceDN/>
        <w:bidi w:val="0"/>
        <w:adjustRightInd/>
        <w:spacing w:line="360" w:lineRule="auto"/>
        <w:ind w:left="0" w:right="0" w:rightChars="0"/>
        <w:textAlignment w:val="auto"/>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基本资格条件：符合《中华人民共和国政府采购法》第二十二条的规定；</w:t>
      </w:r>
    </w:p>
    <w:p w14:paraId="3E8D2CE7">
      <w:pPr>
        <w:keepNext w:val="0"/>
        <w:keepLines w:val="0"/>
        <w:pageBreakBefore w:val="0"/>
        <w:widowControl w:val="0"/>
        <w:kinsoku/>
        <w:wordWrap/>
        <w:overflowPunct/>
        <w:topLinePunct w:val="0"/>
        <w:autoSpaceDE/>
        <w:autoSpaceDN/>
        <w:bidi w:val="0"/>
        <w:adjustRightInd/>
        <w:spacing w:line="360" w:lineRule="auto"/>
        <w:ind w:left="0" w:right="0" w:rightChars="0" w:firstLine="420" w:firstLineChars="200"/>
        <w:textAlignment w:val="auto"/>
        <w:rPr>
          <w:rFonts w:ascii="Times New Roman" w:hAnsi="Times New Roman" w:eastAsia="宋体" w:cs="Times New Roman"/>
          <w:color w:val="auto"/>
        </w:rPr>
      </w:pPr>
      <w:r>
        <w:rPr>
          <w:rFonts w:hint="eastAsia" w:ascii="Times New Roman" w:hAnsi="Times New Roman" w:eastAsia="宋体" w:cs="Times New Roman"/>
          <w:color w:val="auto"/>
        </w:rPr>
        <w:t>（以下</w:t>
      </w:r>
      <w:r>
        <w:rPr>
          <w:rFonts w:ascii="Times New Roman" w:hAnsi="Times New Roman" w:eastAsia="宋体" w:cs="Times New Roman"/>
          <w:color w:val="auto"/>
        </w:rPr>
        <w:t>A~E</w:t>
      </w:r>
      <w:r>
        <w:rPr>
          <w:rFonts w:hint="eastAsia" w:ascii="Times New Roman" w:hAnsi="Times New Roman" w:eastAsia="宋体" w:cs="Times New Roman"/>
          <w:color w:val="auto"/>
        </w:rPr>
        <w:t>项是第二十二条要求及对应证明材料的具体内容，各投标人须在投标文件中出具对应证明材料）</w:t>
      </w:r>
    </w:p>
    <w:p w14:paraId="2415D3B2">
      <w:pPr>
        <w:keepNext w:val="0"/>
        <w:keepLines w:val="0"/>
        <w:pageBreakBefore w:val="0"/>
        <w:widowControl w:val="0"/>
        <w:kinsoku/>
        <w:wordWrap/>
        <w:overflowPunct/>
        <w:topLinePunct w:val="0"/>
        <w:autoSpaceDE/>
        <w:autoSpaceDN/>
        <w:bidi w:val="0"/>
        <w:adjustRightInd/>
        <w:spacing w:line="360" w:lineRule="auto"/>
        <w:ind w:left="0" w:right="0" w:rightChars="0" w:firstLine="482" w:firstLineChars="200"/>
        <w:textAlignment w:val="auto"/>
        <w:rPr>
          <w:rFonts w:ascii="Times New Roman" w:hAnsi="Times New Roman" w:eastAsia="宋体" w:cs="Times New Roman"/>
          <w:b/>
          <w:bCs/>
          <w:color w:val="auto"/>
        </w:rPr>
      </w:pPr>
      <w:r>
        <w:rPr>
          <w:rFonts w:ascii="Times New Roman" w:hAnsi="Times New Roman" w:eastAsia="宋体" w:cs="Times New Roman"/>
          <w:b/>
          <w:bCs/>
          <w:color w:val="auto"/>
          <w:sz w:val="24"/>
        </w:rPr>
        <w:t>A.</w:t>
      </w:r>
      <w:r>
        <w:rPr>
          <w:rFonts w:hint="eastAsia" w:ascii="Times New Roman" w:hAnsi="Times New Roman" w:eastAsia="宋体" w:cs="Times New Roman"/>
          <w:b/>
          <w:bCs/>
          <w:color w:val="auto"/>
        </w:rPr>
        <w:t>具有独立承担民事责任的能力：</w:t>
      </w:r>
    </w:p>
    <w:p w14:paraId="68E29048">
      <w:pPr>
        <w:spacing w:line="360" w:lineRule="auto"/>
        <w:ind w:firstLine="420" w:firstLineChars="200"/>
        <w:rPr>
          <w:rFonts w:ascii="Times New Roman" w:hAnsi="Times New Roman" w:eastAsia="宋体" w:cs="Times New Roman"/>
          <w:b/>
          <w:bCs/>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（五选一）：</w:t>
      </w:r>
    </w:p>
    <w:p w14:paraId="2AA168EE">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①如投标人是企业（包括合伙企业），提供在工商部门注册的有效</w:t>
      </w:r>
      <w:r>
        <w:rPr>
          <w:rFonts w:ascii="Times New Roman" w:hAnsi="Times New Roman" w:eastAsia="宋体" w:cs="Times New Roman"/>
          <w:color w:val="auto"/>
        </w:rPr>
        <w:t>“</w:t>
      </w:r>
      <w:r>
        <w:rPr>
          <w:rFonts w:hint="eastAsia" w:ascii="Times New Roman" w:hAnsi="Times New Roman" w:eastAsia="宋体" w:cs="Times New Roman"/>
          <w:color w:val="auto"/>
        </w:rPr>
        <w:t>企业法人营业执照</w:t>
      </w:r>
      <w:r>
        <w:rPr>
          <w:rFonts w:ascii="Times New Roman" w:hAnsi="Times New Roman" w:eastAsia="宋体" w:cs="Times New Roman"/>
          <w:color w:val="auto"/>
        </w:rPr>
        <w:t>”</w:t>
      </w:r>
      <w:r>
        <w:rPr>
          <w:rFonts w:hint="eastAsia" w:ascii="Times New Roman" w:hAnsi="Times New Roman" w:eastAsia="宋体" w:cs="Times New Roman"/>
          <w:color w:val="auto"/>
        </w:rPr>
        <w:t>或</w:t>
      </w:r>
      <w:r>
        <w:rPr>
          <w:rFonts w:ascii="Times New Roman" w:hAnsi="Times New Roman" w:eastAsia="宋体" w:cs="Times New Roman"/>
          <w:color w:val="auto"/>
        </w:rPr>
        <w:t>“</w:t>
      </w:r>
      <w:r>
        <w:rPr>
          <w:rFonts w:hint="eastAsia" w:ascii="Times New Roman" w:hAnsi="Times New Roman" w:eastAsia="宋体" w:cs="Times New Roman"/>
          <w:color w:val="auto"/>
        </w:rPr>
        <w:t>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4393D132">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②如投标人是事业单位，提供有效的</w:t>
      </w:r>
      <w:r>
        <w:rPr>
          <w:rFonts w:ascii="Times New Roman" w:hAnsi="Times New Roman" w:eastAsia="宋体" w:cs="Times New Roman"/>
          <w:color w:val="auto"/>
        </w:rPr>
        <w:t>“</w:t>
      </w:r>
      <w:r>
        <w:rPr>
          <w:rFonts w:hint="eastAsia" w:ascii="Times New Roman" w:hAnsi="Times New Roman" w:eastAsia="宋体" w:cs="Times New Roman"/>
          <w:color w:val="auto"/>
        </w:rPr>
        <w:t>事业单位法人证书</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26E38677">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③如投标人是非企业专业服务机构的，提供执业许可证等证明文件；</w:t>
      </w:r>
    </w:p>
    <w:p w14:paraId="4F92222B">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④如投标人是个体工商户，提供有效的</w:t>
      </w:r>
      <w:r>
        <w:rPr>
          <w:rFonts w:ascii="Times New Roman" w:hAnsi="Times New Roman" w:eastAsia="宋体" w:cs="Times New Roman"/>
          <w:color w:val="auto"/>
        </w:rPr>
        <w:t>“</w:t>
      </w:r>
      <w:r>
        <w:rPr>
          <w:rFonts w:hint="eastAsia" w:ascii="Times New Roman" w:hAnsi="Times New Roman" w:eastAsia="宋体" w:cs="Times New Roman"/>
          <w:color w:val="auto"/>
        </w:rPr>
        <w:t>个体工商户营业执照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0240F965">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⑤如投标人是自然人，提供有效的自然人身份证明（居民身份证正反面或公安机关出具的临时居民身份证正反面或港澳台胞证或证照）。</w:t>
      </w:r>
    </w:p>
    <w:p w14:paraId="483D6BAB">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szCs w:val="21"/>
        </w:rPr>
        <w:t>B.</w:t>
      </w:r>
      <w:r>
        <w:rPr>
          <w:rFonts w:hint="eastAsia" w:ascii="Times New Roman" w:hAnsi="Times New Roman" w:eastAsia="宋体" w:cs="Times New Roman"/>
          <w:b/>
          <w:bCs/>
          <w:color w:val="auto"/>
        </w:rPr>
        <w:t>具有良好的商业信誉和健全的财务会计制度：</w:t>
      </w:r>
    </w:p>
    <w:p w14:paraId="449B5F46">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①良好的商业信誉：</w:t>
      </w:r>
    </w:p>
    <w:p w14:paraId="01DE35CF">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至本项目投标截止时间止未被</w:t>
      </w:r>
      <w:r>
        <w:rPr>
          <w:rFonts w:ascii="Times New Roman" w:hAnsi="Times New Roman" w:eastAsia="宋体" w:cs="Times New Roman"/>
          <w:color w:val="auto"/>
        </w:rPr>
        <w:t>“</w:t>
      </w:r>
      <w:r>
        <w:rPr>
          <w:rFonts w:hint="eastAsia" w:ascii="Times New Roman" w:hAnsi="Times New Roman" w:eastAsia="宋体" w:cs="Times New Roman"/>
          <w:color w:val="auto"/>
        </w:rPr>
        <w:t>信用中国</w:t>
      </w:r>
      <w:r>
        <w:rPr>
          <w:rFonts w:ascii="Times New Roman" w:hAnsi="Times New Roman" w:eastAsia="宋体" w:cs="Times New Roman"/>
          <w:color w:val="auto"/>
        </w:rPr>
        <w:t>”</w:t>
      </w:r>
      <w:r>
        <w:rPr>
          <w:rFonts w:hint="eastAsia" w:ascii="Times New Roman" w:hAnsi="Times New Roman" w:eastAsia="宋体" w:cs="Times New Roman"/>
          <w:color w:val="auto"/>
        </w:rPr>
        <w:t>（</w:t>
      </w:r>
      <w:r>
        <w:rPr>
          <w:rFonts w:ascii="Times New Roman" w:hAnsi="Times New Roman" w:eastAsia="宋体" w:cs="Times New Roman"/>
          <w:color w:val="auto"/>
        </w:rPr>
        <w:t>www.creditchina.gov.cn</w:t>
      </w:r>
      <w:r>
        <w:rPr>
          <w:rFonts w:hint="eastAsia" w:ascii="Times New Roman" w:hAnsi="Times New Roman" w:eastAsia="宋体" w:cs="Times New Roman"/>
          <w:color w:val="auto"/>
        </w:rPr>
        <w:t>）、中国政府采购网（</w:t>
      </w:r>
      <w:r>
        <w:rPr>
          <w:rFonts w:ascii="Times New Roman" w:hAnsi="Times New Roman" w:eastAsia="宋体" w:cs="Times New Roman"/>
          <w:color w:val="auto"/>
        </w:rPr>
        <w:t>www.ccgp.gov.cn</w:t>
      </w:r>
      <w:r>
        <w:rPr>
          <w:rFonts w:hint="eastAsia" w:ascii="Times New Roman" w:hAnsi="Times New Roman" w:eastAsia="宋体" w:cs="Times New Roman"/>
          <w:color w:val="auto"/>
        </w:rPr>
        <w:t>）列入失信被执行人、重大税收违法案件当事人名单、政府采购严重违法失信行为记录名单网页查询记录截图。</w:t>
      </w:r>
    </w:p>
    <w:p w14:paraId="1F4B12C2">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color w:val="auto"/>
        </w:rPr>
        <w:t>查询截图，（截图查询网站时间须在开标截止前二个星期内）</w:t>
      </w:r>
    </w:p>
    <w:p w14:paraId="72E4A5C9">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对</w:t>
      </w:r>
      <w:r>
        <w:rPr>
          <w:rFonts w:hint="eastAsia" w:ascii="Times New Roman" w:hAnsi="Times New Roman" w:eastAsia="宋体" w:cs="Times New Roman"/>
          <w:color w:val="auto"/>
        </w:rPr>
        <w:t>列入失信被执行人、重大税收违法案件当事人名单、政府采购严重违法失信行为记录名单的投标人，其投标将作无效标处理。</w:t>
      </w:r>
    </w:p>
    <w:p w14:paraId="2282046B">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健全的财务会计制度：</w:t>
      </w:r>
    </w:p>
    <w:p w14:paraId="21CA4841">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（三选一）</w:t>
      </w:r>
      <w:r>
        <w:rPr>
          <w:rFonts w:hint="eastAsia" w:ascii="Times New Roman" w:hAnsi="Times New Roman" w:eastAsia="宋体" w:cs="Times New Roman"/>
          <w:color w:val="auto"/>
        </w:rPr>
        <w:t>：</w:t>
      </w:r>
    </w:p>
    <w:p w14:paraId="45660BED">
      <w:pPr>
        <w:tabs>
          <w:tab w:val="left" w:pos="735"/>
        </w:tabs>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03F39BB2">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其他组织和自然人如没有经审计的财务报告的，可以提供资产负债表、利润表、现金</w:t>
      </w:r>
    </w:p>
    <w:p w14:paraId="073733B4">
      <w:p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流量表。</w:t>
      </w:r>
    </w:p>
    <w:p w14:paraId="0C2815FD">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新成立不足一年的公司须出具情况说明。</w:t>
      </w:r>
    </w:p>
    <w:p w14:paraId="11392EB9">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C.</w:t>
      </w:r>
      <w:r>
        <w:rPr>
          <w:rFonts w:hint="eastAsia" w:ascii="Times New Roman" w:hAnsi="Times New Roman" w:eastAsia="宋体" w:cs="Times New Roman"/>
          <w:b/>
          <w:bCs/>
          <w:color w:val="auto"/>
          <w:szCs w:val="21"/>
        </w:rPr>
        <w:t>具有履行合同所必需的设备和专业技术能力：</w:t>
      </w:r>
    </w:p>
    <w:p w14:paraId="2F567BA0">
      <w:pPr>
        <w:spacing w:line="360" w:lineRule="auto"/>
        <w:ind w:left="42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投标人须在投标文件中出具具有履行合同所必需的设备和专业技术能力的《投标函》。</w:t>
      </w:r>
    </w:p>
    <w:p w14:paraId="23744839">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D.</w:t>
      </w:r>
      <w:r>
        <w:rPr>
          <w:rFonts w:hint="eastAsia" w:ascii="Times New Roman" w:hAnsi="Times New Roman" w:eastAsia="宋体" w:cs="Times New Roman"/>
          <w:b/>
          <w:bCs/>
          <w:color w:val="auto"/>
          <w:szCs w:val="21"/>
        </w:rPr>
        <w:t>有依法缴纳税收和社会保障资金的良好记录：（如有）</w:t>
      </w:r>
    </w:p>
    <w:p w14:paraId="66BDA60E">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投标人须在投标文件中同时出具满足以下要求的证明材料复印件：</w:t>
      </w:r>
    </w:p>
    <w:p w14:paraId="1311C790">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①投标人须提供由税务部门出具的最近一季度缴纳增值税和企业所得税的纳税证明。</w:t>
      </w:r>
    </w:p>
    <w:p w14:paraId="5FC8F5DF">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投标人须提供最近三个月内缴纳社会保险的凭据（缴税付款凭证或社会保险缴纳证明）</w:t>
      </w:r>
    </w:p>
    <w:p w14:paraId="5F973E12">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依法免税或不需要缴纳社会保障资金的投标人，应提供相应文件证明其依法免税或不需要缴纳社会保障资金。</w:t>
      </w:r>
    </w:p>
    <w:p w14:paraId="2C2D5E86">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rPr>
        <w:t>E.</w:t>
      </w:r>
      <w:r>
        <w:rPr>
          <w:rFonts w:hint="eastAsia" w:ascii="Times New Roman" w:hAnsi="Times New Roman" w:eastAsia="宋体" w:cs="Times New Roman"/>
          <w:b/>
          <w:bCs/>
          <w:color w:val="auto"/>
        </w:rPr>
        <w:t>参加政府采购活动前三年内，在经营活动中没有重大违法记录：</w:t>
      </w:r>
    </w:p>
    <w:p w14:paraId="2902CB20">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投标人须在投标文件中出具《声明函》、廉政承诺书。（格式见附件）</w:t>
      </w:r>
    </w:p>
    <w:p w14:paraId="1FEB6AC2">
      <w:pPr>
        <w:keepNext w:val="0"/>
        <w:keepLines w:val="0"/>
        <w:pageBreakBefore w:val="0"/>
        <w:widowControl w:val="0"/>
        <w:kinsoku/>
        <w:wordWrap/>
        <w:overflowPunct/>
        <w:topLinePunct w:val="0"/>
        <w:autoSpaceDE/>
        <w:autoSpaceDN/>
        <w:bidi w:val="0"/>
        <w:adjustRightInd/>
        <w:snapToGrid w:val="0"/>
        <w:spacing w:line="336"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注：证明材料均需加盖签章。</w:t>
      </w:r>
    </w:p>
    <w:p w14:paraId="2A87E349">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36" w:lineRule="auto"/>
        <w:ind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中小企业</w:t>
      </w:r>
      <w:r>
        <w:rPr>
          <w:rFonts w:hint="eastAsia" w:ascii="Times New Roman" w:hAnsi="Times New Roman" w:eastAsia="宋体" w:cs="Times New Roman"/>
          <w:color w:val="auto"/>
          <w:szCs w:val="21"/>
          <w:lang w:val="en-US" w:eastAsia="zh-CN"/>
        </w:rPr>
        <w:t>声</w:t>
      </w:r>
      <w:r>
        <w:rPr>
          <w:rFonts w:ascii="Times New Roman" w:hAnsi="Times New Roman" w:eastAsia="宋体" w:cs="Times New Roman"/>
          <w:color w:val="auto"/>
          <w:szCs w:val="21"/>
        </w:rPr>
        <w:t>明函；</w:t>
      </w:r>
    </w:p>
    <w:p w14:paraId="2C3E6E25">
      <w:pPr>
        <w:keepNext w:val="0"/>
        <w:keepLines w:val="0"/>
        <w:pageBreakBefore w:val="0"/>
        <w:widowControl w:val="0"/>
        <w:tabs>
          <w:tab w:val="left" w:pos="3870"/>
          <w:tab w:val="left" w:pos="4085"/>
        </w:tabs>
        <w:kinsoku/>
        <w:wordWrap/>
        <w:overflowPunct/>
        <w:topLinePunct w:val="0"/>
        <w:autoSpaceDE/>
        <w:autoSpaceDN/>
        <w:bidi w:val="0"/>
        <w:adjustRightInd/>
        <w:snapToGrid w:val="0"/>
        <w:spacing w:line="336" w:lineRule="auto"/>
        <w:ind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监狱企业声明函；</w:t>
      </w:r>
    </w:p>
    <w:p w14:paraId="0562922C">
      <w:pPr>
        <w:keepNext w:val="0"/>
        <w:keepLines w:val="0"/>
        <w:pageBreakBefore w:val="0"/>
        <w:widowControl w:val="0"/>
        <w:kinsoku/>
        <w:wordWrap/>
        <w:overflowPunct/>
        <w:topLinePunct w:val="0"/>
        <w:autoSpaceDE/>
        <w:autoSpaceDN/>
        <w:bidi w:val="0"/>
        <w:adjustRightInd/>
        <w:snapToGrid w:val="0"/>
        <w:spacing w:line="336"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残疾人福利性单位声明函；</w:t>
      </w:r>
    </w:p>
    <w:p w14:paraId="37E6A839">
      <w:pPr>
        <w:keepNext w:val="0"/>
        <w:keepLines w:val="0"/>
        <w:pageBreakBefore w:val="0"/>
        <w:widowControl w:val="0"/>
        <w:kinsoku/>
        <w:wordWrap/>
        <w:overflowPunct/>
        <w:topLinePunct w:val="0"/>
        <w:autoSpaceDE/>
        <w:autoSpaceDN/>
        <w:bidi w:val="0"/>
        <w:adjustRightInd/>
        <w:snapToGrid w:val="0"/>
        <w:spacing w:line="336" w:lineRule="auto"/>
        <w:ind w:left="0" w:right="0" w:rightChars="0" w:firstLine="422" w:firstLineChars="200"/>
        <w:textAlignment w:val="auto"/>
        <w:rPr>
          <w:rFonts w:ascii="宋体" w:hAnsi="宋体" w:eastAsia="宋体" w:cs="Times New Roman"/>
          <w:b/>
          <w:color w:val="auto"/>
          <w:szCs w:val="21"/>
        </w:rPr>
      </w:pPr>
      <w:r>
        <w:rPr>
          <w:rFonts w:hint="eastAsia" w:ascii="宋体" w:hAnsi="宋体" w:eastAsia="宋体" w:cs="Times New Roman"/>
          <w:b/>
          <w:color w:val="auto"/>
          <w:szCs w:val="21"/>
        </w:rPr>
        <w:t>2.商务及技术部分：</w:t>
      </w:r>
    </w:p>
    <w:p w14:paraId="60184881">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2.1投标人提供水产种苗许可证资质等级复印件及投标单位资质情况说明；</w:t>
      </w:r>
    </w:p>
    <w:p w14:paraId="61E3206E">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2.2投标人同类型业绩证明材料；</w:t>
      </w:r>
    </w:p>
    <w:p w14:paraId="1A283119">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2.3投标人信誉证明材料；</w:t>
      </w:r>
    </w:p>
    <w:p w14:paraId="77EA691B">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2.4投标人必须遵守浙江省制订的相应种类种苗放流技术规范；</w:t>
      </w:r>
    </w:p>
    <w:p w14:paraId="01B41BCB">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2.5投标人技术力量、实施种苗生产技术标准情况、管理水平、企业规模、是否为原种场、良种场或试验基地（提供相关证明文件）等（自行编写），提供相关证明材料；投标人育苗能力、种质来源、育苗水体大小、本种类亲本数量及实际年生产本种类种苗数量、可实际承担放流任务数量等（自行编写）；</w:t>
      </w:r>
    </w:p>
    <w:p w14:paraId="69EBD04E">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2.6投标人运输方案（运输距离、运输方式）；投标人运输时间；（自行编写）</w:t>
      </w:r>
    </w:p>
    <w:p w14:paraId="0E0DADC2">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2.7关于投标种苗及相关事项的声明；</w:t>
      </w:r>
    </w:p>
    <w:p w14:paraId="5F5674E6">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2.8本项目相关人员的联系方式（如投标人法定代表人或授权代表、项目负责人、技术人员、相关负责人等电话等）；</w:t>
      </w:r>
    </w:p>
    <w:p w14:paraId="055740F2">
      <w:pPr>
        <w:keepNext w:val="0"/>
        <w:keepLines w:val="0"/>
        <w:pageBreakBefore w:val="0"/>
        <w:widowControl w:val="0"/>
        <w:kinsoku/>
        <w:wordWrap/>
        <w:overflowPunct/>
        <w:topLinePunct w:val="0"/>
        <w:autoSpaceDE/>
        <w:autoSpaceDN/>
        <w:bidi w:val="0"/>
        <w:adjustRightInd/>
        <w:snapToGrid w:val="0"/>
        <w:spacing w:line="360" w:lineRule="auto"/>
        <w:ind w:left="0" w:right="0" w:rightChars="0" w:firstLine="411" w:firstLineChars="196"/>
        <w:jc w:val="left"/>
        <w:textAlignment w:val="auto"/>
        <w:rPr>
          <w:rFonts w:ascii="宋体" w:hAnsi="宋体" w:eastAsia="宋体" w:cs="Times New Roman"/>
          <w:color w:val="auto"/>
          <w:szCs w:val="21"/>
        </w:rPr>
      </w:pPr>
      <w:r>
        <w:rPr>
          <w:rFonts w:hint="eastAsia" w:ascii="宋体" w:hAnsi="宋体" w:eastAsia="宋体" w:cs="Times New Roman"/>
          <w:color w:val="auto"/>
          <w:szCs w:val="21"/>
        </w:rPr>
        <w:t>2.9</w:t>
      </w:r>
      <w:r>
        <w:rPr>
          <w:rFonts w:hint="eastAsia" w:ascii="宋体" w:hAnsi="宋体" w:eastAsia="宋体" w:cs="Times New Roman"/>
          <w:color w:val="auto"/>
          <w:szCs w:val="21"/>
          <w:lang w:val="en-US" w:eastAsia="zh-CN"/>
        </w:rPr>
        <w:t>评分规则中涉及的所需提交的材料（如有），投标人需要说明的其他文件和说明（如有）</w:t>
      </w:r>
      <w:r>
        <w:rPr>
          <w:rFonts w:hint="eastAsia" w:ascii="宋体" w:hAnsi="宋体" w:eastAsia="宋体" w:cs="Times New Roman"/>
          <w:color w:val="auto"/>
          <w:szCs w:val="21"/>
        </w:rPr>
        <w:t>。</w:t>
      </w:r>
    </w:p>
    <w:p w14:paraId="5EBDEC95">
      <w:pPr>
        <w:snapToGrid w:val="0"/>
        <w:spacing w:line="360" w:lineRule="auto"/>
        <w:ind w:firstLine="413" w:firstLineChars="196"/>
        <w:jc w:val="left"/>
        <w:rPr>
          <w:rFonts w:ascii="宋体" w:hAnsi="宋体" w:eastAsia="宋体" w:cs="Times New Roman"/>
          <w:b/>
          <w:color w:val="auto"/>
          <w:szCs w:val="21"/>
        </w:rPr>
      </w:pPr>
      <w:r>
        <w:rPr>
          <w:rFonts w:hint="eastAsia" w:ascii="宋体" w:hAnsi="宋体" w:eastAsia="宋体" w:cs="Times New Roman"/>
          <w:b/>
          <w:color w:val="auto"/>
          <w:szCs w:val="21"/>
        </w:rPr>
        <w:t>3.报价部分：</w:t>
      </w:r>
    </w:p>
    <w:p w14:paraId="6EC54AB4">
      <w:pPr>
        <w:snapToGrid w:val="0"/>
        <w:spacing w:line="336" w:lineRule="auto"/>
        <w:ind w:firstLine="420" w:firstLineChars="200"/>
        <w:jc w:val="left"/>
        <w:rPr>
          <w:rFonts w:ascii="宋体" w:hAnsi="宋体" w:eastAsia="宋体" w:cs="Times New Roman"/>
          <w:color w:val="auto"/>
          <w:szCs w:val="21"/>
        </w:rPr>
      </w:pPr>
      <w:r>
        <w:rPr>
          <w:rFonts w:hint="eastAsia" w:ascii="宋体" w:hAnsi="宋体" w:eastAsia="宋体" w:cs="Times New Roman"/>
          <w:color w:val="auto"/>
          <w:szCs w:val="21"/>
        </w:rPr>
        <w:t>3.1投标报价一览表；</w:t>
      </w:r>
    </w:p>
    <w:p w14:paraId="2ACE5F7C">
      <w:pPr>
        <w:snapToGrid w:val="0"/>
        <w:spacing w:line="336" w:lineRule="auto"/>
        <w:ind w:firstLine="420" w:firstLineChars="200"/>
        <w:jc w:val="left"/>
        <w:rPr>
          <w:color w:val="auto"/>
        </w:rPr>
      </w:pPr>
      <w:r>
        <w:rPr>
          <w:rFonts w:hint="eastAsia" w:ascii="宋体" w:hAnsi="宋体" w:eastAsia="宋体" w:cs="Times New Roman"/>
          <w:color w:val="auto"/>
          <w:szCs w:val="21"/>
        </w:rPr>
        <w:t>3.2投标人针对报价需要说明的其他文件和说明。</w:t>
      </w:r>
    </w:p>
    <w:p w14:paraId="0808F85A">
      <w:pPr>
        <w:snapToGrid w:val="0"/>
        <w:spacing w:line="360" w:lineRule="auto"/>
        <w:ind w:right="55"/>
        <w:jc w:val="left"/>
        <w:outlineLvl w:val="0"/>
        <w:rPr>
          <w:rFonts w:ascii="Times New Roman" w:hAnsi="Times New Roman" w:eastAsia="宋体" w:cs="Times New Roman"/>
          <w:b/>
          <w:color w:val="auto"/>
          <w:sz w:val="24"/>
        </w:rPr>
      </w:pPr>
      <w:r>
        <w:rPr>
          <w:rFonts w:hint="eastAsia" w:ascii="Times New Roman" w:hAnsi="Times New Roman" w:eastAsia="宋体" w:cs="Times New Roman"/>
          <w:b/>
          <w:color w:val="auto"/>
          <w:szCs w:val="21"/>
        </w:rPr>
        <w:t>（二）投标文件的语言及计量</w:t>
      </w:r>
    </w:p>
    <w:p w14:paraId="2DC4885E">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投标文件以及投标人与采购人就有关投标事宜的所有来往函电，均应以中文汉语书写。除签名、盖章、专用名称等特殊情形外，以中文汉语以外的文字表述的投标文件视同未提供。</w:t>
      </w:r>
    </w:p>
    <w:p w14:paraId="00C7F5F2">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投标计量单位，采购文件已有明确规定的，使用采购文件规定的计量单位；采购文件没有规定的，应采用中华人民共和国法定计量单位（货币单位：人民币元），否则视同未响应。</w:t>
      </w:r>
    </w:p>
    <w:p w14:paraId="0938F72A">
      <w:pPr>
        <w:tabs>
          <w:tab w:val="left" w:pos="0"/>
        </w:tabs>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（三）响应报价</w:t>
      </w:r>
    </w:p>
    <w:p w14:paraId="5B3E8D77">
      <w:pPr>
        <w:snapToGrid w:val="0"/>
        <w:spacing w:line="360" w:lineRule="auto"/>
        <w:ind w:firstLine="422" w:firstLineChars="20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投标报价应以人民币报价，投标人报价应是包括为完成本项目服务、设备供应可能发生的全部费用及中标人的利润和应交纳的税金等一切费用。</w:t>
      </w:r>
    </w:p>
    <w:p w14:paraId="33184D77">
      <w:pPr>
        <w:spacing w:line="360" w:lineRule="auto"/>
        <w:ind w:firstLine="420"/>
        <w:rPr>
          <w:rFonts w:ascii="Times New Roman" w:hAnsi="Times New Roman" w:eastAsia="宋体" w:cs="Times New Roman"/>
          <w:color w:val="auto"/>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投标文件针对同一内容只允许有一个报价，有选择的或有条件的报价将不予接受。</w:t>
      </w:r>
    </w:p>
    <w:p w14:paraId="169664FD">
      <w:pPr>
        <w:snapToGrid w:val="0"/>
        <w:spacing w:line="360" w:lineRule="auto"/>
        <w:jc w:val="left"/>
        <w:outlineLvl w:val="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（四）投标文件的有效期</w:t>
      </w:r>
    </w:p>
    <w:p w14:paraId="1EDEA6E5">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自投标截止日起</w:t>
      </w:r>
      <w:r>
        <w:rPr>
          <w:rFonts w:ascii="Times New Roman" w:hAnsi="Times New Roman" w:eastAsia="宋体" w:cs="Times New Roman"/>
          <w:b/>
          <w:color w:val="auto"/>
          <w:u w:val="single"/>
        </w:rPr>
        <w:t>90</w:t>
      </w:r>
      <w:r>
        <w:rPr>
          <w:rFonts w:hint="eastAsia" w:ascii="Times New Roman" w:hAnsi="Times New Roman" w:eastAsia="宋体" w:cs="Times New Roman"/>
          <w:b/>
          <w:color w:val="auto"/>
        </w:rPr>
        <w:t>天</w:t>
      </w:r>
      <w:r>
        <w:rPr>
          <w:rFonts w:hint="eastAsia" w:ascii="Times New Roman" w:hAnsi="Times New Roman" w:eastAsia="宋体" w:cs="Times New Roman"/>
          <w:color w:val="auto"/>
        </w:rPr>
        <w:t>投标文件应保持有效。有效期不足的投标文件将被拒绝。</w:t>
      </w:r>
    </w:p>
    <w:p w14:paraId="0A0222DD">
      <w:pPr>
        <w:snapToGrid w:val="0"/>
        <w:spacing w:line="360" w:lineRule="auto"/>
        <w:ind w:right="-86" w:rightChars="-41"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在特殊情况下，采购人可与投标人协商延长投标书的有效期，这种要求和答复均以书面形式进行。</w:t>
      </w:r>
    </w:p>
    <w:p w14:paraId="09145F13">
      <w:pPr>
        <w:snapToGrid w:val="0"/>
        <w:spacing w:line="360" w:lineRule="auto"/>
        <w:ind w:right="55"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中标人的投标文件自开标之日起至合同履行完毕止均应保持有效。</w:t>
      </w:r>
    </w:p>
    <w:p w14:paraId="42F3DB05">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（五）投标文件的包装、递交、修改和撤回</w:t>
      </w:r>
    </w:p>
    <w:p w14:paraId="15612DE6">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567DC60E">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投标人应当在投标截止时间前将以介质存储的数据电文形式的备份投标文件寄到或送达采购代理公司。地址：舟山市定海区昌国路</w:t>
      </w:r>
      <w:r>
        <w:rPr>
          <w:rFonts w:ascii="Times New Roman" w:hAnsi="Times New Roman" w:eastAsia="宋体" w:cs="Times New Roman"/>
          <w:color w:val="auto"/>
        </w:rPr>
        <w:t>232</w:t>
      </w:r>
      <w:r>
        <w:rPr>
          <w:rFonts w:hint="eastAsia" w:ascii="Times New Roman" w:hAnsi="Times New Roman" w:eastAsia="宋体" w:cs="Times New Roman"/>
          <w:color w:val="auto"/>
        </w:rPr>
        <w:t>号中楼</w:t>
      </w:r>
      <w:r>
        <w:rPr>
          <w:rFonts w:ascii="Times New Roman" w:hAnsi="Times New Roman" w:eastAsia="宋体" w:cs="Times New Roman"/>
          <w:color w:val="auto"/>
        </w:rPr>
        <w:t>202</w:t>
      </w:r>
      <w:r>
        <w:rPr>
          <w:rFonts w:hint="eastAsia" w:ascii="Times New Roman" w:hAnsi="Times New Roman" w:eastAsia="宋体" w:cs="Times New Roman"/>
          <w:color w:val="auto"/>
        </w:rPr>
        <w:t>深圳市国信招标有限公司舟山分公司。也可现场递交。逾期送达或未密封将被拒收。</w:t>
      </w:r>
    </w:p>
    <w:p w14:paraId="1E2E4C1A">
      <w:pPr>
        <w:snapToGrid w:val="0"/>
        <w:spacing w:line="360" w:lineRule="auto"/>
        <w:ind w:right="-86" w:rightChars="-41" w:firstLine="422" w:firstLineChars="200"/>
        <w:jc w:val="left"/>
        <w:rPr>
          <w:rFonts w:ascii="Times New Roman" w:hAnsi="Times New Roman" w:eastAsia="宋体" w:cs="Times New Roman"/>
          <w:color w:val="auto"/>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p w14:paraId="18A39B0C">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投标人递交以介质存储的数据电文形式的备份投标文件时，如出现下列情况之一的，将被拒收：</w:t>
      </w:r>
    </w:p>
    <w:p w14:paraId="3A28502C">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1</w:t>
      </w:r>
      <w:r>
        <w:rPr>
          <w:rFonts w:hint="eastAsia" w:ascii="Times New Roman" w:hAnsi="Times New Roman" w:eastAsia="宋体" w:cs="Times New Roman"/>
          <w:color w:val="auto"/>
        </w:rPr>
        <w:t>）未按规定密封或标记的投标文件；</w:t>
      </w:r>
    </w:p>
    <w:p w14:paraId="06475680">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2</w:t>
      </w:r>
      <w:r>
        <w:rPr>
          <w:rFonts w:hint="eastAsia" w:ascii="Times New Roman" w:hAnsi="Times New Roman" w:eastAsia="宋体" w:cs="Times New Roman"/>
          <w:color w:val="auto"/>
        </w:rPr>
        <w:t>）由于包装不妥，在送交途中严重破损或失散的；</w:t>
      </w:r>
    </w:p>
    <w:p w14:paraId="00E4CE66">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3</w:t>
      </w:r>
      <w:r>
        <w:rPr>
          <w:rFonts w:hint="eastAsia" w:ascii="Times New Roman" w:hAnsi="Times New Roman" w:eastAsia="宋体" w:cs="Times New Roman"/>
          <w:color w:val="auto"/>
        </w:rPr>
        <w:t>）未成功办理投标人报名手续的；</w:t>
      </w:r>
    </w:p>
    <w:p w14:paraId="1C72BDE9">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4</w:t>
      </w:r>
      <w:r>
        <w:rPr>
          <w:rFonts w:hint="eastAsia" w:ascii="Times New Roman" w:hAnsi="Times New Roman" w:eastAsia="宋体" w:cs="Times New Roman"/>
          <w:color w:val="auto"/>
        </w:rPr>
        <w:t>）超过投标截止时间送达的；</w:t>
      </w:r>
    </w:p>
    <w:p w14:paraId="32AD1542">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仅提供备份投标文件的，投标无效。</w:t>
      </w:r>
    </w:p>
    <w:p w14:paraId="588E2AD1">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仅提供其中一种形式的备份投标文件，造成项目开评标活动无法进行下去的，投标无效，相关风险由投标人自行承担。</w:t>
      </w:r>
    </w:p>
    <w:p w14:paraId="4EDBE532">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投标、响应文件未按时解密，供应商提供了备份投标、响应文件的，以备份投标、响应文件作为依据，否则视为投标、响应文件撤回。投标、响应文件已按时解密的，备份投标、响应文件自动失效。</w:t>
      </w:r>
    </w:p>
    <w:p w14:paraId="7174C2D6">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备份投标文件须密封封装。包装封面上应注明投标人名称，封口处加盖投标人公章。</w:t>
      </w:r>
    </w:p>
    <w:p w14:paraId="14B21CDD">
      <w:pPr>
        <w:keepNext w:val="0"/>
        <w:keepLines w:val="0"/>
        <w:pageBreakBefore w:val="0"/>
        <w:widowControl w:val="0"/>
        <w:kinsoku/>
        <w:wordWrap/>
        <w:overflowPunct/>
        <w:topLinePunct w:val="0"/>
        <w:autoSpaceDE/>
        <w:autoSpaceDN/>
        <w:bidi w:val="0"/>
        <w:adjustRightInd/>
        <w:spacing w:line="360" w:lineRule="auto"/>
        <w:ind w:right="0" w:rightChars="0"/>
        <w:textAlignment w:val="auto"/>
        <w:rPr>
          <w:rFonts w:ascii="Times New Roman" w:hAnsi="Times New Roman" w:eastAsia="宋体" w:cs="Times New Roman"/>
          <w:color w:val="auto"/>
        </w:rPr>
      </w:pPr>
      <w:r>
        <w:rPr>
          <w:rFonts w:hint="eastAsia" w:ascii="Times New Roman" w:hAnsi="Times New Roman" w:eastAsia="宋体" w:cs="Times New Roman"/>
          <w:b/>
          <w:color w:val="auto"/>
          <w:szCs w:val="21"/>
        </w:rPr>
        <w:t>（六）投标无效的情形</w:t>
      </w:r>
    </w:p>
    <w:p w14:paraId="75C0DA5D">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26508EF5">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宋体" w:hAnsi="宋体" w:eastAsia="宋体"/>
          <w:color w:val="auto"/>
          <w:szCs w:val="21"/>
        </w:rPr>
      </w:pPr>
      <w:r>
        <w:rPr>
          <w:rFonts w:ascii="Times New Roman" w:hAnsi="Times New Roman" w:eastAsia="宋体" w:cs="Times New Roman"/>
          <w:b/>
          <w:bCs/>
          <w:color w:val="auto"/>
          <w:szCs w:val="21"/>
        </w:rPr>
        <w:t>1.</w:t>
      </w:r>
      <w:r>
        <w:rPr>
          <w:rFonts w:hint="eastAsia" w:ascii="宋体" w:hAnsi="宋体" w:eastAsia="宋体"/>
          <w:b/>
          <w:bCs/>
          <w:color w:val="auto"/>
          <w:szCs w:val="21"/>
        </w:rPr>
        <w:t>在符合性审查和商务评审时，如发现下列情形之一且无法作出合理解释的，投标文件将被视为无效投标：</w:t>
      </w:r>
    </w:p>
    <w:p w14:paraId="48A0BC16">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1.1</w:t>
      </w:r>
      <w:r>
        <w:rPr>
          <w:rFonts w:hint="eastAsia" w:ascii="Times New Roman" w:hAnsi="Times New Roman" w:eastAsia="宋体" w:cs="Times New Roman"/>
          <w:color w:val="auto"/>
          <w:szCs w:val="21"/>
        </w:rPr>
        <w:t>资格证明文件不全的，或者不符合采购文件标明的资格要求的</w:t>
      </w:r>
      <w:r>
        <w:rPr>
          <w:rFonts w:hint="eastAsia" w:ascii="Times New Roman" w:hAnsi="Times New Roman" w:eastAsia="宋体" w:cs="Times New Roman"/>
          <w:bCs/>
          <w:color w:val="auto"/>
          <w:szCs w:val="21"/>
        </w:rPr>
        <w:t>；</w:t>
      </w:r>
    </w:p>
    <w:p w14:paraId="0A10F0E1">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投标文件组成不全的；</w:t>
      </w:r>
    </w:p>
    <w:p w14:paraId="2B761E8D">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1.3</w:t>
      </w:r>
      <w:r>
        <w:rPr>
          <w:rFonts w:hint="eastAsia" w:ascii="Times New Roman" w:hAnsi="Times New Roman" w:eastAsia="宋体" w:cs="Times New Roman"/>
          <w:bCs/>
          <w:color w:val="auto"/>
          <w:szCs w:val="21"/>
        </w:rPr>
        <w:t>投标文件的实质性内容未使用中文表述、意思表述不明确、前后矛盾或者使用计量单位不符合采购文件要求的；（</w:t>
      </w:r>
      <w:r>
        <w:rPr>
          <w:rFonts w:hint="eastAsia" w:ascii="Times New Roman" w:hAnsi="Times New Roman" w:eastAsia="宋体" w:cs="Times New Roman"/>
          <w:color w:val="auto"/>
          <w:szCs w:val="21"/>
        </w:rPr>
        <w:t>经评审小组认定允许其在线更正的笔误除外</w:t>
      </w:r>
      <w:r>
        <w:rPr>
          <w:rFonts w:hint="eastAsia" w:ascii="Times New Roman" w:hAnsi="Times New Roman" w:eastAsia="宋体" w:cs="Times New Roman"/>
          <w:bCs/>
          <w:color w:val="auto"/>
          <w:szCs w:val="21"/>
        </w:rPr>
        <w:t>）</w:t>
      </w:r>
    </w:p>
    <w:p w14:paraId="5F403BF8">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1.4</w:t>
      </w:r>
      <w:r>
        <w:rPr>
          <w:rFonts w:hint="eastAsia" w:ascii="Times New Roman" w:hAnsi="Times New Roman" w:eastAsia="宋体" w:cs="Times New Roman"/>
          <w:bCs/>
          <w:color w:val="auto"/>
          <w:szCs w:val="21"/>
        </w:rPr>
        <w:t>投标文件的关键内容字迹模糊、无法辨认的，或者投标文件中经修正的内容字迹模糊难以辩认或者修改处未按规定签名盖章的；</w:t>
      </w:r>
    </w:p>
    <w:p w14:paraId="6E1387F8">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1.5</w:t>
      </w:r>
      <w:r>
        <w:rPr>
          <w:rFonts w:hint="eastAsia" w:ascii="Times New Roman" w:hAnsi="Times New Roman" w:eastAsia="宋体" w:cs="Times New Roman"/>
          <w:bCs/>
          <w:color w:val="auto"/>
          <w:szCs w:val="21"/>
        </w:rPr>
        <w:t>投标有效期、交货时间、质保期等商务条款不能满足采购文件要求的；</w:t>
      </w:r>
    </w:p>
    <w:p w14:paraId="241F8D46">
      <w:pPr>
        <w:keepNext w:val="0"/>
        <w:keepLines w:val="0"/>
        <w:pageBreakBefore w:val="0"/>
        <w:widowControl w:val="0"/>
        <w:kinsoku/>
        <w:wordWrap/>
        <w:overflowPunct/>
        <w:topLinePunct w:val="0"/>
        <w:autoSpaceDE/>
        <w:autoSpaceDN/>
        <w:bidi w:val="0"/>
        <w:adjustRightInd/>
        <w:snapToGrid w:val="0"/>
        <w:spacing w:line="360" w:lineRule="auto"/>
        <w:ind w:right="0" w:rightChars="0" w:firstLine="415" w:firstLineChars="198"/>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1.6</w:t>
      </w:r>
      <w:r>
        <w:rPr>
          <w:rFonts w:hint="eastAsia" w:ascii="Times New Roman" w:hAnsi="Times New Roman" w:eastAsia="宋体" w:cs="Times New Roman"/>
          <w:bCs/>
          <w:color w:val="auto"/>
          <w:szCs w:val="21"/>
        </w:rPr>
        <w:t>未响应采购文件实质性要求或者投标文件有采购人不能接受的附加条件的；</w:t>
      </w:r>
    </w:p>
    <w:p w14:paraId="114E7792">
      <w:pPr>
        <w:keepNext w:val="0"/>
        <w:keepLines w:val="0"/>
        <w:pageBreakBefore w:val="0"/>
        <w:widowControl w:val="0"/>
        <w:kinsoku/>
        <w:wordWrap/>
        <w:overflowPunct/>
        <w:topLinePunct w:val="0"/>
        <w:autoSpaceDE/>
        <w:autoSpaceDN/>
        <w:bidi w:val="0"/>
        <w:adjustRightInd/>
        <w:snapToGrid w:val="0"/>
        <w:spacing w:line="360" w:lineRule="auto"/>
        <w:ind w:right="0" w:rightChars="0" w:firstLine="438" w:firstLineChars="209"/>
        <w:textAlignment w:val="auto"/>
        <w:rPr>
          <w:rFonts w:ascii="Times New Roman" w:hAnsi="Times New Roman" w:eastAsia="宋体" w:cs="Times New Roman"/>
          <w:bCs/>
          <w:color w:val="auto"/>
          <w:szCs w:val="21"/>
        </w:rPr>
      </w:pPr>
      <w:r>
        <w:rPr>
          <w:rFonts w:ascii="Times New Roman" w:hAnsi="Times New Roman" w:eastAsia="宋体" w:cs="Times New Roman"/>
          <w:bCs/>
          <w:color w:val="auto"/>
          <w:szCs w:val="21"/>
        </w:rPr>
        <w:t>1.7</w:t>
      </w:r>
      <w:r>
        <w:rPr>
          <w:rFonts w:hint="eastAsia" w:ascii="Times New Roman" w:hAnsi="Times New Roman" w:eastAsia="宋体" w:cs="Times New Roman"/>
          <w:bCs/>
          <w:color w:val="auto"/>
          <w:szCs w:val="21"/>
        </w:rPr>
        <w:t>投标文件没有按采购文件要求响应有标</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的条款的资料和材料的；</w:t>
      </w:r>
    </w:p>
    <w:p w14:paraId="48B34783">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1.8在不影响公平竞争的前提下，采购文件中参与同一标段（包）的供应商存在以下情形的，其投标文件相应无效：MAC地址相同、计算机硬盘序列号相同、采购文件细节错误一致且无合理解释的等情形。</w:t>
      </w:r>
    </w:p>
    <w:p w14:paraId="2B3C5C77">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1.9上传的电子投标（响应）文件若出现使用本项目其他投标（响应）供应商的数字证书加密的，或者加盖本项目其他投标（响应）供应商的电子印章的；</w:t>
      </w:r>
    </w:p>
    <w:p w14:paraId="5966ED93">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1.10不同供应商的投标（响应）文件的内容存在三处（含）以上错误一致的；</w:t>
      </w:r>
    </w:p>
    <w:p w14:paraId="060CEF23">
      <w:pPr>
        <w:keepNext w:val="0"/>
        <w:keepLines w:val="0"/>
        <w:pageBreakBefore w:val="0"/>
        <w:widowControl w:val="0"/>
        <w:kinsoku/>
        <w:wordWrap/>
        <w:overflowPunct/>
        <w:topLinePunct w:val="0"/>
        <w:autoSpaceDE/>
        <w:autoSpaceDN/>
        <w:bidi w:val="0"/>
        <w:adjustRightInd/>
        <w:snapToGrid w:val="0"/>
        <w:spacing w:line="360" w:lineRule="auto"/>
        <w:ind w:right="0" w:rightChars="0" w:firstLine="417" w:firstLineChars="198"/>
        <w:textAlignment w:val="auto"/>
        <w:rPr>
          <w:rFonts w:ascii="Times New Roman" w:hAnsi="Times New Roman" w:eastAsia="宋体" w:cs="Times New Roman"/>
          <w:bCs/>
          <w:color w:val="auto"/>
          <w:szCs w:val="21"/>
        </w:rPr>
      </w:pPr>
      <w:r>
        <w:rPr>
          <w:rFonts w:hint="eastAsia" w:ascii="Times New Roman" w:hAnsi="Times New Roman" w:eastAsia="宋体" w:cs="Times New Roman"/>
          <w:b/>
          <w:color w:val="auto"/>
          <w:szCs w:val="21"/>
        </w:rPr>
        <w:t>1.11不同供应商联系人为同一人或不同联系人的联系电话一致的</w:t>
      </w:r>
      <w:r>
        <w:rPr>
          <w:rFonts w:hint="eastAsia" w:ascii="Times New Roman" w:hAnsi="Times New Roman" w:eastAsia="宋体" w:cs="Times New Roman"/>
          <w:bCs/>
          <w:color w:val="auto"/>
          <w:szCs w:val="21"/>
        </w:rPr>
        <w:t>；</w:t>
      </w:r>
    </w:p>
    <w:p w14:paraId="6FE8E5EE">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szCs w:val="21"/>
        </w:rPr>
      </w:pPr>
      <w:r>
        <w:rPr>
          <w:rFonts w:ascii="Times New Roman" w:hAnsi="Times New Roman" w:eastAsia="宋体" w:cs="Times New Roman"/>
          <w:b/>
          <w:bCs/>
          <w:color w:val="auto"/>
        </w:rPr>
        <w:t>2.</w:t>
      </w:r>
      <w:r>
        <w:rPr>
          <w:rFonts w:hint="eastAsia" w:ascii="Times New Roman" w:hAnsi="Times New Roman" w:eastAsia="宋体" w:cs="Times New Roman"/>
          <w:b/>
          <w:bCs/>
          <w:color w:val="auto"/>
        </w:rPr>
        <w:t>在技术评审时，如发现下列情形之一的，投标文件将被视为无效响应：</w:t>
      </w:r>
    </w:p>
    <w:p w14:paraId="2C4F684A">
      <w:pPr>
        <w:keepNext w:val="0"/>
        <w:keepLines w:val="0"/>
        <w:pageBreakBefore w:val="0"/>
        <w:widowControl w:val="0"/>
        <w:kinsoku/>
        <w:wordWrap/>
        <w:overflowPunct/>
        <w:topLinePunct w:val="0"/>
        <w:autoSpaceDE/>
        <w:autoSpaceDN/>
        <w:bidi w:val="0"/>
        <w:adjustRightInd/>
        <w:spacing w:line="360" w:lineRule="auto"/>
        <w:ind w:right="0" w:rightChars="0" w:firstLine="42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投标文件标明的响应或偏离与事实不符或虚假投标的；</w:t>
      </w:r>
    </w:p>
    <w:p w14:paraId="66DEC820">
      <w:pPr>
        <w:keepNext w:val="0"/>
        <w:keepLines w:val="0"/>
        <w:pageBreakBefore w:val="0"/>
        <w:widowControl w:val="0"/>
        <w:kinsoku/>
        <w:wordWrap/>
        <w:overflowPunct/>
        <w:topLinePunct w:val="0"/>
        <w:autoSpaceDE/>
        <w:autoSpaceDN/>
        <w:bidi w:val="0"/>
        <w:adjustRightInd/>
        <w:spacing w:line="360" w:lineRule="auto"/>
        <w:ind w:right="0" w:rightChars="0"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bCs/>
          <w:color w:val="auto"/>
          <w:szCs w:val="21"/>
        </w:rPr>
        <w:t>2.2</w:t>
      </w:r>
      <w:r>
        <w:rPr>
          <w:rFonts w:hint="eastAsia" w:ascii="Times New Roman" w:hAnsi="Times New Roman" w:eastAsia="宋体" w:cs="Times New Roman"/>
          <w:bCs/>
          <w:color w:val="auto"/>
          <w:szCs w:val="21"/>
        </w:rPr>
        <w:t>明显不符合采购文件标明的质量标准，或者采购文件中标</w:t>
      </w:r>
      <w:r>
        <w:rPr>
          <w:rFonts w:ascii="Times New Roman" w:hAnsi="Times New Roman" w:eastAsia="宋体" w:cs="Times New Roman"/>
          <w:bCs/>
          <w:color w:val="auto"/>
          <w:szCs w:val="21"/>
        </w:rPr>
        <w:t>“</w:t>
      </w:r>
      <w:r>
        <w:rPr>
          <w:rFonts w:hint="eastAsia" w:ascii="Times New Roman" w:hAnsi="Times New Roman" w:eastAsia="宋体" w:cs="Times New Roman"/>
          <w:b/>
          <w:color w:val="auto"/>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的技术参数、条款（如有）发生实质性偏离的；</w:t>
      </w:r>
    </w:p>
    <w:p w14:paraId="05199BD0">
      <w:pPr>
        <w:spacing w:line="360" w:lineRule="auto"/>
        <w:ind w:firstLine="420"/>
        <w:rPr>
          <w:rFonts w:ascii="Times New Roman" w:hAnsi="Times New Roman" w:eastAsia="宋体" w:cs="Times New Roman"/>
          <w:color w:val="auto"/>
        </w:rPr>
      </w:pPr>
      <w:r>
        <w:rPr>
          <w:rFonts w:ascii="Times New Roman" w:hAnsi="Times New Roman" w:eastAsia="宋体" w:cs="Times New Roman"/>
          <w:color w:val="auto"/>
          <w:szCs w:val="21"/>
        </w:rPr>
        <w:t>2.3</w:t>
      </w:r>
      <w:r>
        <w:rPr>
          <w:rFonts w:hint="eastAsia" w:ascii="Times New Roman" w:hAnsi="Times New Roman" w:eastAsia="宋体" w:cs="Times New Roman"/>
          <w:color w:val="auto"/>
          <w:szCs w:val="21"/>
        </w:rPr>
        <w:t>投标技术方案不明确，存在一个或一个以上备选（替代）投标方案的；</w:t>
      </w:r>
    </w:p>
    <w:p w14:paraId="18D1CFF8">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3.</w:t>
      </w:r>
      <w:r>
        <w:rPr>
          <w:rFonts w:hint="eastAsia" w:ascii="Times New Roman" w:hAnsi="Times New Roman" w:eastAsia="宋体" w:cs="Times New Roman"/>
          <w:b/>
          <w:color w:val="auto"/>
          <w:szCs w:val="21"/>
        </w:rPr>
        <w:t>在投标报价文件评审时</w:t>
      </w:r>
      <w:r>
        <w:rPr>
          <w:rFonts w:hint="eastAsia" w:ascii="Times New Roman" w:hAnsi="Times New Roman" w:eastAsia="宋体" w:cs="Times New Roman"/>
          <w:b/>
          <w:bCs/>
          <w:color w:val="auto"/>
        </w:rPr>
        <w:t>，如发现下列情形之一的，投标文件将被视为无效响应：</w:t>
      </w:r>
    </w:p>
    <w:p w14:paraId="44F6A7BB">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3.1</w:t>
      </w:r>
      <w:r>
        <w:rPr>
          <w:rFonts w:hint="eastAsia" w:ascii="Times New Roman" w:hAnsi="Times New Roman" w:eastAsia="宋体" w:cs="Times New Roman"/>
          <w:color w:val="auto"/>
          <w:szCs w:val="20"/>
        </w:rPr>
        <w:t>未采用人民币报价或者未按照采购文件标明的币种报价的；</w:t>
      </w:r>
    </w:p>
    <w:p w14:paraId="6FFAF153">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3.2</w:t>
      </w:r>
      <w:r>
        <w:rPr>
          <w:rFonts w:hint="eastAsia" w:ascii="Times New Roman" w:hAnsi="Times New Roman" w:eastAsia="宋体" w:cs="Times New Roman"/>
          <w:color w:val="auto"/>
          <w:szCs w:val="20"/>
        </w:rPr>
        <w:t>报价超出最高限价，或者超出采购预算金额，采购人不能支付的；</w:t>
      </w:r>
    </w:p>
    <w:p w14:paraId="37CFF65C">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3.3</w:t>
      </w:r>
      <w:r>
        <w:rPr>
          <w:rFonts w:hint="eastAsia" w:ascii="Times New Roman" w:hAnsi="Times New Roman" w:eastAsia="宋体" w:cs="Times New Roman"/>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8B70551">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3.4</w:t>
      </w:r>
      <w:r>
        <w:rPr>
          <w:rFonts w:hint="eastAsia" w:ascii="Times New Roman" w:hAnsi="Times New Roman" w:eastAsia="宋体" w:cs="Times New Roman"/>
          <w:color w:val="auto"/>
          <w:szCs w:val="20"/>
        </w:rPr>
        <w:t>投标报价具有选择性，或者开标价格与投标文件承诺的优惠（折扣）价格不一致的；</w:t>
      </w:r>
    </w:p>
    <w:p w14:paraId="2A7981F6">
      <w:pPr>
        <w:snapToGrid w:val="0"/>
        <w:spacing w:line="360" w:lineRule="auto"/>
        <w:ind w:right="-86" w:rightChars="-41" w:firstLine="441" w:firstLineChars="209"/>
        <w:rPr>
          <w:rFonts w:ascii="Times New Roman" w:hAnsi="Times New Roman" w:eastAsia="宋体" w:cs="Times New Roman"/>
          <w:b/>
          <w:bCs/>
          <w:color w:val="auto"/>
          <w:szCs w:val="20"/>
        </w:rPr>
      </w:pPr>
      <w:r>
        <w:rPr>
          <w:rFonts w:ascii="Times New Roman" w:hAnsi="Times New Roman" w:eastAsia="宋体" w:cs="Times New Roman"/>
          <w:b/>
          <w:bCs/>
          <w:color w:val="auto"/>
          <w:szCs w:val="20"/>
        </w:rPr>
        <w:t>4.</w:t>
      </w:r>
      <w:r>
        <w:rPr>
          <w:rFonts w:hint="eastAsia" w:ascii="Times New Roman" w:hAnsi="Times New Roman" w:eastAsia="宋体" w:cs="Times New Roman"/>
          <w:b/>
          <w:bCs/>
          <w:color w:val="auto"/>
          <w:szCs w:val="20"/>
        </w:rPr>
        <w:t>法律、法规和采购文件规定的其他无效情形。</w:t>
      </w:r>
    </w:p>
    <w:p w14:paraId="0F9A72CA">
      <w:pPr>
        <w:snapToGrid w:val="0"/>
        <w:spacing w:line="360" w:lineRule="auto"/>
        <w:ind w:right="-86" w:rightChars="-41"/>
        <w:rPr>
          <w:rFonts w:ascii="Times New Roman" w:hAnsi="Times New Roman" w:eastAsia="宋体" w:cs="Times New Roman"/>
          <w:color w:val="auto"/>
          <w:szCs w:val="20"/>
        </w:rPr>
      </w:pPr>
      <w:r>
        <w:rPr>
          <w:rFonts w:hint="eastAsia" w:ascii="Times New Roman" w:hAnsi="Times New Roman" w:eastAsia="宋体" w:cs="Times New Roman"/>
          <w:b/>
          <w:color w:val="auto"/>
          <w:szCs w:val="21"/>
        </w:rPr>
        <w:t>（七）</w:t>
      </w:r>
      <w:r>
        <w:rPr>
          <w:rFonts w:hint="eastAsia" w:ascii="Times New Roman" w:hAnsi="Times New Roman" w:eastAsia="宋体" w:cs="Times New Roman"/>
          <w:b/>
          <w:color w:val="auto"/>
          <w:szCs w:val="20"/>
        </w:rPr>
        <w:t>出现以下情形，导致电子交易平台无法正常运行，或者无法保证电子交易的公平、公正和安全时，中止电子交易活动：</w:t>
      </w:r>
    </w:p>
    <w:p w14:paraId="6F262544">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（一）电子交易平台发生故障而无法登录访问的；</w:t>
      </w:r>
    </w:p>
    <w:p w14:paraId="467A52C5">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（二）电子交易平台应用或数据库出现错误，不能进行正常操作的；</w:t>
      </w:r>
    </w:p>
    <w:p w14:paraId="5D3F516B">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（三）电子交易平台发现严重安全漏洞，有潜在泄密危险的；</w:t>
      </w:r>
    </w:p>
    <w:p w14:paraId="629F7C7D">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（四）病毒发作导致不能进行正常操作的；</w:t>
      </w:r>
    </w:p>
    <w:p w14:paraId="6C14F669">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（五）其他无法保证电子交易的公平、公正和安全的情况。</w:t>
      </w:r>
    </w:p>
    <w:p w14:paraId="68ABD031">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29A1A2AC">
      <w:pPr>
        <w:widowControl/>
        <w:snapToGrid w:val="0"/>
        <w:spacing w:line="360" w:lineRule="auto"/>
        <w:ind w:right="55"/>
        <w:rPr>
          <w:rFonts w:ascii="Times New Roman" w:hAnsi="Times New Roman" w:eastAsia="宋体" w:cs="Times New Roman"/>
          <w:b/>
          <w:bCs/>
          <w:color w:val="auto"/>
          <w:spacing w:val="-4"/>
          <w:kern w:val="0"/>
          <w:szCs w:val="21"/>
        </w:rPr>
      </w:pPr>
      <w:r>
        <w:rPr>
          <w:rFonts w:hint="eastAsia" w:ascii="Times New Roman" w:hAnsi="Times New Roman" w:eastAsia="宋体" w:cs="Times New Roman"/>
          <w:b/>
          <w:bCs/>
          <w:color w:val="auto"/>
          <w:spacing w:val="-4"/>
          <w:kern w:val="0"/>
          <w:szCs w:val="21"/>
        </w:rPr>
        <w:t>（八）报名不足三家的处理方式</w:t>
      </w:r>
    </w:p>
    <w:p w14:paraId="4EFDDD1E">
      <w:pPr>
        <w:widowControl/>
        <w:snapToGrid w:val="0"/>
        <w:spacing w:line="360" w:lineRule="auto"/>
        <w:ind w:right="55" w:firstLine="470"/>
        <w:rPr>
          <w:rFonts w:ascii="Times New Roman" w:hAnsi="Times New Roman" w:eastAsia="宋体" w:cs="Times New Roman"/>
          <w:bCs/>
          <w:color w:val="auto"/>
          <w:spacing w:val="-4"/>
          <w:kern w:val="0"/>
          <w:szCs w:val="21"/>
        </w:rPr>
      </w:pPr>
      <w:r>
        <w:rPr>
          <w:rFonts w:hint="eastAsia" w:ascii="Times New Roman" w:hAnsi="Times New Roman" w:eastAsia="宋体" w:cs="Times New Roman"/>
          <w:bCs/>
          <w:color w:val="auto"/>
          <w:spacing w:val="-4"/>
          <w:kern w:val="0"/>
          <w:szCs w:val="21"/>
        </w:rPr>
        <w:t>报名时间截止后，在开标时间前获取招标文件的潜在投标人不足三家的，采购代理机构可以顺延提供期限，并予公告。</w:t>
      </w:r>
    </w:p>
    <w:p w14:paraId="1F62ED2B">
      <w:pPr>
        <w:widowControl/>
        <w:snapToGrid w:val="0"/>
        <w:spacing w:line="360" w:lineRule="auto"/>
        <w:ind w:right="55"/>
        <w:jc w:val="left"/>
        <w:rPr>
          <w:rFonts w:ascii="Times New Roman" w:hAnsi="Times New Roman" w:eastAsia="宋体" w:cs="Times New Roman"/>
          <w:b/>
          <w:color w:val="auto"/>
          <w:spacing w:val="-4"/>
          <w:kern w:val="0"/>
          <w:szCs w:val="21"/>
        </w:rPr>
      </w:pPr>
      <w:r>
        <w:rPr>
          <w:rFonts w:hint="eastAsia" w:ascii="Times New Roman" w:hAnsi="Times New Roman" w:eastAsia="宋体" w:cs="Times New Roman"/>
          <w:b/>
          <w:color w:val="auto"/>
          <w:spacing w:val="-4"/>
          <w:kern w:val="0"/>
          <w:szCs w:val="21"/>
        </w:rPr>
        <w:t>（九）被拒绝的投标文件为无效。</w:t>
      </w:r>
    </w:p>
    <w:p w14:paraId="7434FC95">
      <w:pPr>
        <w:ind w:firstLine="420" w:firstLineChars="200"/>
        <w:rPr>
          <w:rFonts w:ascii="Times New Roman" w:hAnsi="Times New Roman" w:eastAsia="宋体" w:cs="Times New Roman"/>
          <w:color w:val="auto"/>
          <w:szCs w:val="20"/>
        </w:rPr>
      </w:pPr>
    </w:p>
    <w:p w14:paraId="527217F3">
      <w:pPr>
        <w:widowControl/>
        <w:snapToGrid w:val="0"/>
        <w:spacing w:line="360" w:lineRule="auto"/>
        <w:ind w:right="55" w:firstLine="3591" w:firstLineChars="1315"/>
        <w:rPr>
          <w:rFonts w:ascii="Times New Roman" w:hAnsi="Times New Roman" w:eastAsia="宋体" w:cs="Times New Roman"/>
          <w:b/>
          <w:color w:val="auto"/>
          <w:spacing w:val="-4"/>
          <w:kern w:val="0"/>
          <w:sz w:val="28"/>
          <w:szCs w:val="28"/>
        </w:rPr>
      </w:pPr>
      <w:r>
        <w:rPr>
          <w:rFonts w:hint="eastAsia" w:ascii="Times New Roman" w:hAnsi="Times New Roman" w:eastAsia="宋体" w:cs="Times New Roman"/>
          <w:b/>
          <w:color w:val="auto"/>
          <w:spacing w:val="-4"/>
          <w:kern w:val="0"/>
          <w:sz w:val="28"/>
          <w:szCs w:val="28"/>
        </w:rPr>
        <w:t>四、开标</w:t>
      </w:r>
    </w:p>
    <w:p w14:paraId="250C6F00">
      <w:pPr>
        <w:spacing w:after="120" w:line="360" w:lineRule="auto"/>
        <w:ind w:firstLine="422" w:firstLineChars="200"/>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电子招投标开标及评审程序</w:t>
      </w:r>
    </w:p>
    <w:p w14:paraId="40CE111D">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采购组织机构按照规定的时间通过政采云系统组织开标、开启响应文件，所有投标人均应当准时在线参加。</w:t>
      </w:r>
    </w:p>
    <w:p w14:paraId="327D7E36">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投标截止时间后，投标人登录政采云平台，用</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开标评标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功能对电子投标文件进行</w:t>
      </w:r>
      <w:r>
        <w:rPr>
          <w:rFonts w:hint="eastAsia" w:ascii="Times New Roman" w:hAnsi="Times New Roman" w:eastAsia="宋体" w:cs="Times New Roman"/>
          <w:b/>
          <w:bCs/>
          <w:color w:val="auto"/>
          <w:szCs w:val="21"/>
        </w:rPr>
        <w:t>在线解密。</w:t>
      </w:r>
      <w:r>
        <w:rPr>
          <w:rFonts w:hint="eastAsia" w:ascii="Times New Roman" w:hAnsi="Times New Roman" w:eastAsia="宋体" w:cs="Times New Roman"/>
          <w:color w:val="auto"/>
          <w:szCs w:val="21"/>
        </w:rPr>
        <w:t>在线解密电子投标文件时间</w:t>
      </w:r>
      <w:r>
        <w:rPr>
          <w:rFonts w:hint="eastAsia" w:ascii="Times New Roman" w:hAnsi="Times New Roman" w:eastAsia="宋体" w:cs="Times New Roman"/>
          <w:b/>
          <w:bCs/>
          <w:color w:val="auto"/>
          <w:szCs w:val="21"/>
        </w:rPr>
        <w:t>为开标时间起半个小时内；</w:t>
      </w:r>
    </w:p>
    <w:p w14:paraId="45950BB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采购人或代理机构对资格文件进行评审，评标委员会对商务技术响应文件进行评审。</w:t>
      </w:r>
    </w:p>
    <w:p w14:paraId="1F52BE92">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在系统上公开资格和商务技术评审结果；</w:t>
      </w:r>
    </w:p>
    <w:p w14:paraId="4EAABA3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在系统上公开报价开标情况；</w:t>
      </w:r>
    </w:p>
    <w:p w14:paraId="5E644A78">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6.</w:t>
      </w:r>
      <w:r>
        <w:rPr>
          <w:rFonts w:hint="eastAsia" w:ascii="Times New Roman" w:hAnsi="Times New Roman" w:eastAsia="宋体" w:cs="Times New Roman"/>
          <w:color w:val="auto"/>
          <w:szCs w:val="21"/>
        </w:rPr>
        <w:t>评标委员会对报价情况进行评审；</w:t>
      </w:r>
    </w:p>
    <w:p w14:paraId="70E67DDC">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7.</w:t>
      </w:r>
      <w:r>
        <w:rPr>
          <w:rFonts w:hint="eastAsia" w:ascii="Times New Roman" w:hAnsi="Times New Roman" w:eastAsia="宋体" w:cs="Times New Roman"/>
          <w:color w:val="auto"/>
          <w:szCs w:val="21"/>
        </w:rPr>
        <w:t>在系统上公布评审结果。</w:t>
      </w:r>
    </w:p>
    <w:p w14:paraId="2EBBA8C1">
      <w:pPr>
        <w:adjustRightInd w:val="0"/>
        <w:snapToGrid w:val="0"/>
        <w:spacing w:line="360" w:lineRule="auto"/>
        <w:ind w:firstLine="420" w:firstLineChars="200"/>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特别说明：政采云公司如对电子化开标及评审程序有调整的，按调整后的程序操作。</w:t>
      </w:r>
    </w:p>
    <w:p w14:paraId="73FE3480">
      <w:pPr>
        <w:ind w:firstLine="420" w:firstLineChars="200"/>
        <w:rPr>
          <w:rFonts w:ascii="Times New Roman" w:hAnsi="Times New Roman" w:eastAsia="宋体" w:cs="Times New Roman"/>
          <w:color w:val="auto"/>
          <w:szCs w:val="20"/>
        </w:rPr>
      </w:pPr>
    </w:p>
    <w:p w14:paraId="32D7E2E9">
      <w:pPr>
        <w:snapToGrid w:val="0"/>
        <w:spacing w:before="120" w:line="360" w:lineRule="auto"/>
        <w:ind w:right="-87" w:firstLine="3654" w:firstLineChars="130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五、评标</w:t>
      </w:r>
    </w:p>
    <w:p w14:paraId="126BD13C">
      <w:pPr>
        <w:keepNext w:val="0"/>
        <w:keepLines w:val="0"/>
        <w:pageBreakBefore w:val="0"/>
        <w:widowControl w:val="0"/>
        <w:kinsoku/>
        <w:wordWrap/>
        <w:overflowPunct/>
        <w:topLinePunct w:val="0"/>
        <w:autoSpaceDE/>
        <w:autoSpaceDN/>
        <w:bidi w:val="0"/>
        <w:snapToGrid w:val="0"/>
        <w:spacing w:line="360" w:lineRule="auto"/>
        <w:ind w:right="0"/>
        <w:textAlignment w:val="auto"/>
        <w:rPr>
          <w:rFonts w:ascii="Times New Roman" w:hAnsi="Times New Roman" w:eastAsia="宋体" w:cs="Times New Roman"/>
          <w:b/>
          <w:color w:val="auto"/>
        </w:rPr>
      </w:pPr>
      <w:r>
        <w:rPr>
          <w:rFonts w:hint="eastAsia" w:ascii="Times New Roman" w:hAnsi="Times New Roman" w:eastAsia="宋体" w:cs="Times New Roman"/>
          <w:b/>
          <w:color w:val="auto"/>
        </w:rPr>
        <w:t>（一）组建评标委员会</w:t>
      </w:r>
    </w:p>
    <w:p w14:paraId="6B7E91F8">
      <w:pPr>
        <w:keepNext w:val="0"/>
        <w:keepLines w:val="0"/>
        <w:pageBreakBefore w:val="0"/>
        <w:widowControl w:val="0"/>
        <w:kinsoku/>
        <w:wordWrap/>
        <w:overflowPunct/>
        <w:topLinePunct w:val="0"/>
        <w:autoSpaceDE/>
        <w:autoSpaceDN/>
        <w:bidi w:val="0"/>
        <w:snapToGrid w:val="0"/>
        <w:spacing w:line="360" w:lineRule="auto"/>
        <w:ind w:right="0" w:firstLine="420" w:firstLineChars="200"/>
        <w:textAlignment w:val="auto"/>
        <w:rPr>
          <w:rFonts w:ascii="Times New Roman" w:hAnsi="Times New Roman" w:eastAsia="宋体" w:cs="Times New Roman"/>
          <w:color w:val="auto"/>
        </w:rPr>
      </w:pPr>
      <w:r>
        <w:rPr>
          <w:rFonts w:hint="eastAsia" w:ascii="Times New Roman" w:hAnsi="Times New Roman" w:eastAsia="宋体" w:cs="Times New Roman"/>
          <w:color w:val="auto"/>
        </w:rPr>
        <w:t>评标委员会由采购人代表和评审专家组成，成员人数为5人（含）以上单数，其中评审专家不得少于成员总数的三分之二。</w:t>
      </w:r>
    </w:p>
    <w:p w14:paraId="7430684B">
      <w:pPr>
        <w:keepNext w:val="0"/>
        <w:keepLines w:val="0"/>
        <w:pageBreakBefore w:val="0"/>
        <w:widowControl w:val="0"/>
        <w:kinsoku/>
        <w:wordWrap/>
        <w:overflowPunct/>
        <w:topLinePunct w:val="0"/>
        <w:autoSpaceDE/>
        <w:autoSpaceDN/>
        <w:bidi w:val="0"/>
        <w:snapToGrid w:val="0"/>
        <w:spacing w:line="360" w:lineRule="auto"/>
        <w:ind w:right="0"/>
        <w:textAlignment w:val="auto"/>
        <w:rPr>
          <w:rFonts w:ascii="Times New Roman" w:hAnsi="Times New Roman" w:eastAsia="宋体" w:cs="Times New Roman"/>
          <w:b/>
          <w:color w:val="auto"/>
        </w:rPr>
      </w:pPr>
      <w:r>
        <w:rPr>
          <w:rFonts w:hint="eastAsia" w:ascii="Times New Roman" w:hAnsi="Times New Roman" w:eastAsia="宋体" w:cs="Times New Roman"/>
          <w:b/>
          <w:color w:val="auto"/>
        </w:rPr>
        <w:t>（二）评标程序</w:t>
      </w:r>
    </w:p>
    <w:p w14:paraId="47AA6146">
      <w:pPr>
        <w:keepNext w:val="0"/>
        <w:keepLines w:val="0"/>
        <w:pageBreakBefore w:val="0"/>
        <w:widowControl w:val="0"/>
        <w:kinsoku/>
        <w:wordWrap/>
        <w:overflowPunct/>
        <w:topLinePunct w:val="0"/>
        <w:autoSpaceDE/>
        <w:autoSpaceDN/>
        <w:bidi w:val="0"/>
        <w:snapToGrid w:val="0"/>
        <w:spacing w:line="360" w:lineRule="auto"/>
        <w:ind w:right="0"/>
        <w:textAlignment w:val="auto"/>
        <w:rPr>
          <w:rFonts w:ascii="Times New Roman" w:hAnsi="Times New Roman" w:eastAsia="宋体" w:cs="Times New Roman"/>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投标文件初审。</w:t>
      </w:r>
    </w:p>
    <w:p w14:paraId="78B08B8A">
      <w:pPr>
        <w:keepNext w:val="0"/>
        <w:keepLines w:val="0"/>
        <w:pageBreakBefore w:val="0"/>
        <w:widowControl w:val="0"/>
        <w:kinsoku/>
        <w:wordWrap/>
        <w:overflowPunct/>
        <w:topLinePunct w:val="0"/>
        <w:autoSpaceDE/>
        <w:autoSpaceDN/>
        <w:bidi w:val="0"/>
        <w:snapToGrid w:val="0"/>
        <w:spacing w:line="360" w:lineRule="auto"/>
        <w:ind w:right="0" w:firstLine="420" w:firstLineChars="200"/>
        <w:textAlignment w:val="auto"/>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初审分为资格性检查和符合性检查。</w:t>
      </w:r>
    </w:p>
    <w:p w14:paraId="6A853501">
      <w:pPr>
        <w:keepNext w:val="0"/>
        <w:keepLines w:val="0"/>
        <w:pageBreakBefore w:val="0"/>
        <w:widowControl w:val="0"/>
        <w:kinsoku/>
        <w:wordWrap/>
        <w:overflowPunct/>
        <w:topLinePunct w:val="0"/>
        <w:autoSpaceDE/>
        <w:autoSpaceDN/>
        <w:bidi w:val="0"/>
        <w:adjustRightInd w:val="0"/>
        <w:snapToGrid w:val="0"/>
        <w:spacing w:line="360" w:lineRule="auto"/>
        <w:ind w:right="0" w:firstLine="420" w:firstLineChars="200"/>
        <w:jc w:val="left"/>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1.1</w:t>
      </w:r>
      <w:r>
        <w:rPr>
          <w:rFonts w:hint="eastAsia" w:ascii="Times New Roman" w:hAnsi="Times New Roman" w:eastAsia="宋体" w:cs="Times New Roman"/>
          <w:color w:val="auto"/>
          <w:szCs w:val="21"/>
        </w:rPr>
        <w:t>资格性检查。依据法律法规和采购文件的规定，对投标文件中的资格证明等进行审查，以确定投标投标人是否具备投标资格。</w:t>
      </w:r>
    </w:p>
    <w:p w14:paraId="24E74AF2">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1.2</w:t>
      </w:r>
      <w:r>
        <w:rPr>
          <w:rFonts w:hint="eastAsia" w:ascii="Times New Roman" w:hAnsi="Times New Roman" w:eastAsia="宋体" w:cs="Times New Roman"/>
          <w:color w:val="auto"/>
          <w:szCs w:val="21"/>
        </w:rPr>
        <w:t>符合性检查。依据采购文件的规定，从投标文件的有效性、完整性和对采购文件的响应程度进行审查，以确定是否对采购文件的实质性要求作出响应。</w:t>
      </w:r>
    </w:p>
    <w:p w14:paraId="068DB7DA">
      <w:pPr>
        <w:keepNext w:val="0"/>
        <w:keepLines w:val="0"/>
        <w:pageBreakBefore w:val="0"/>
        <w:widowControl w:val="0"/>
        <w:kinsoku/>
        <w:wordWrap/>
        <w:overflowPunct/>
        <w:topLinePunct w:val="0"/>
        <w:autoSpaceDE/>
        <w:autoSpaceDN/>
        <w:bidi w:val="0"/>
        <w:adjustRightInd/>
        <w:snapToGrid w:val="0"/>
        <w:spacing w:line="360" w:lineRule="auto"/>
        <w:ind w:left="0" w:right="0"/>
        <w:textAlignment w:val="auto"/>
        <w:rPr>
          <w:rFonts w:ascii="Times New Roman" w:hAnsi="Times New Roman" w:eastAsia="宋体" w:cs="Times New Roman"/>
          <w:b/>
          <w:color w:val="auto"/>
          <w:sz w:val="24"/>
        </w:rPr>
      </w:pPr>
      <w:r>
        <w:rPr>
          <w:rFonts w:ascii="Times New Roman" w:hAnsi="Times New Roman" w:eastAsia="宋体" w:cs="Times New Roman"/>
          <w:b/>
          <w:color w:val="auto"/>
          <w:sz w:val="24"/>
        </w:rPr>
        <w:t>2.</w:t>
      </w:r>
      <w:r>
        <w:rPr>
          <w:rFonts w:hint="eastAsia" w:ascii="Times New Roman" w:hAnsi="Times New Roman" w:eastAsia="宋体" w:cs="Times New Roman"/>
          <w:b/>
          <w:color w:val="auto"/>
          <w:szCs w:val="21"/>
        </w:rPr>
        <w:t>实质审查</w:t>
      </w:r>
    </w:p>
    <w:p w14:paraId="6FDF392F">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1</w:t>
      </w:r>
      <w:r>
        <w:rPr>
          <w:rFonts w:hint="eastAsia" w:ascii="Times New Roman" w:hAnsi="Times New Roman" w:eastAsia="宋体" w:cs="Times New Roman"/>
          <w:color w:val="auto"/>
          <w:kern w:val="0"/>
          <w:szCs w:val="21"/>
        </w:rPr>
        <w:t>）评标委员会审查投标文件的实质性内容是否符合采购文件的实质性要求。</w:t>
      </w:r>
    </w:p>
    <w:p w14:paraId="22BEF133">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372C0D43">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w:t>
      </w:r>
      <w:r>
        <w:rPr>
          <w:rFonts w:hint="eastAsia" w:ascii="Times New Roman" w:hAnsi="Times New Roman" w:eastAsia="宋体" w:cs="Times New Roman"/>
          <w:color w:val="auto"/>
          <w:kern w:val="0"/>
          <w:szCs w:val="21"/>
        </w:rPr>
        <w:t>）评审小组商务、技术方案响应性评定；</w:t>
      </w:r>
    </w:p>
    <w:p w14:paraId="753A6BC6">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4</w:t>
      </w:r>
      <w:r>
        <w:rPr>
          <w:rFonts w:hint="eastAsia" w:ascii="Times New Roman" w:hAnsi="Times New Roman" w:eastAsia="宋体" w:cs="Times New Roman"/>
          <w:color w:val="auto"/>
          <w:kern w:val="0"/>
          <w:szCs w:val="21"/>
        </w:rPr>
        <w:t>）各投标人的技术得分为所有评委的有效评分的算术平均数，由指定专人进行计算复核。</w:t>
      </w:r>
    </w:p>
    <w:p w14:paraId="4D6F8145">
      <w:pPr>
        <w:keepNext w:val="0"/>
        <w:keepLines w:val="0"/>
        <w:pageBreakBefore w:val="0"/>
        <w:widowControl w:val="0"/>
        <w:kinsoku/>
        <w:wordWrap/>
        <w:overflowPunct/>
        <w:topLinePunct w:val="0"/>
        <w:autoSpaceDE/>
        <w:autoSpaceDN/>
        <w:bidi w:val="0"/>
        <w:adjustRightInd/>
        <w:spacing w:line="360" w:lineRule="auto"/>
        <w:ind w:left="0" w:right="0" w:firstLine="420" w:firstLineChars="200"/>
        <w:textAlignment w:val="auto"/>
        <w:rPr>
          <w:rFonts w:ascii="Times New Roman" w:hAnsi="Times New Roman" w:eastAsia="宋体" w:cs="Times New Roman"/>
          <w:b/>
          <w:color w:val="auto"/>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5</w:t>
      </w:r>
      <w:r>
        <w:rPr>
          <w:rFonts w:hint="eastAsia" w:ascii="Times New Roman" w:hAnsi="Times New Roman" w:eastAsia="宋体" w:cs="Times New Roman"/>
          <w:color w:val="auto"/>
          <w:kern w:val="0"/>
          <w:szCs w:val="21"/>
        </w:rPr>
        <w:t>）评标委员会完成评标后，评委对各部分得分汇总，计算出本项目</w:t>
      </w:r>
      <w:r>
        <w:rPr>
          <w:rFonts w:hint="eastAsia" w:ascii="Times New Roman" w:hAnsi="Times New Roman" w:eastAsia="宋体" w:cs="Times New Roman"/>
          <w:color w:val="auto"/>
          <w:kern w:val="0"/>
          <w:szCs w:val="21"/>
          <w:lang w:eastAsia="zh-CN"/>
        </w:rPr>
        <w:t>综合得分</w:t>
      </w:r>
      <w:r>
        <w:rPr>
          <w:rFonts w:hint="eastAsia" w:ascii="Times New Roman" w:hAnsi="Times New Roman" w:eastAsia="宋体" w:cs="Times New Roman"/>
          <w:color w:val="auto"/>
          <w:kern w:val="0"/>
          <w:szCs w:val="21"/>
        </w:rPr>
        <w:t>。评标委员会按评标原则通过电子系统向采购人及采购代理机构提交评审报告。</w:t>
      </w:r>
    </w:p>
    <w:p w14:paraId="631B60A8">
      <w:pPr>
        <w:keepNext w:val="0"/>
        <w:keepLines w:val="0"/>
        <w:pageBreakBefore w:val="0"/>
        <w:widowControl w:val="0"/>
        <w:kinsoku/>
        <w:wordWrap/>
        <w:overflowPunct/>
        <w:topLinePunct w:val="0"/>
        <w:autoSpaceDE/>
        <w:autoSpaceDN/>
        <w:bidi w:val="0"/>
        <w:adjustRightInd/>
        <w:spacing w:line="360" w:lineRule="auto"/>
        <w:ind w:left="0" w:right="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（三）澄清问题的形式</w:t>
      </w:r>
    </w:p>
    <w:p w14:paraId="5387ED65">
      <w:pPr>
        <w:keepNext w:val="0"/>
        <w:keepLines w:val="0"/>
        <w:pageBreakBefore w:val="0"/>
        <w:widowControl w:val="0"/>
        <w:kinsoku/>
        <w:wordWrap/>
        <w:overflowPunct/>
        <w:topLinePunct w:val="0"/>
        <w:autoSpaceDE/>
        <w:autoSpaceDN/>
        <w:bidi w:val="0"/>
        <w:adjustRightInd/>
        <w:snapToGrid w:val="0"/>
        <w:spacing w:line="360" w:lineRule="auto"/>
        <w:ind w:left="0" w:right="0" w:firstLine="420" w:firstLineChars="200"/>
        <w:textAlignment w:val="auto"/>
        <w:rPr>
          <w:rFonts w:ascii="Times New Roman" w:hAnsi="Times New Roman" w:eastAsia="宋体" w:cs="Times New Roman"/>
          <w:color w:val="auto"/>
        </w:rPr>
      </w:pPr>
      <w:r>
        <w:rPr>
          <w:rFonts w:hint="eastAsia" w:ascii="Times New Roman" w:hAnsi="Times New Roman" w:eastAsia="宋体" w:cs="Times New Roman"/>
          <w:color w:val="auto"/>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color w:val="auto"/>
          <w:szCs w:val="21"/>
        </w:rPr>
        <w:t>通过电子交易平台交换数据电文的形式进行</w:t>
      </w:r>
      <w:r>
        <w:rPr>
          <w:rFonts w:hint="eastAsia" w:ascii="Times New Roman" w:hAnsi="Times New Roman" w:eastAsia="宋体" w:cs="Times New Roman"/>
          <w:color w:val="auto"/>
        </w:rPr>
        <w:t>，给予投标人提交澄清说明或补正的时间不少于半个小时，投标人已经明确表示澄清说明或补正完毕的除外。不得超出投标文件的范围或者改变投标文件的实质性内容。</w:t>
      </w:r>
    </w:p>
    <w:p w14:paraId="419E630A">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（四）错误修正</w:t>
      </w:r>
    </w:p>
    <w:p w14:paraId="0966AF3D">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投标文件如果出现计算或表达上的错误，修正错误的原则如下：</w:t>
      </w:r>
    </w:p>
    <w:p w14:paraId="027E6C60">
      <w:pPr>
        <w:snapToGrid w:val="0"/>
        <w:spacing w:line="360"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1.投标文件中开标一览表（报价表）内容与投标文件中相应内容不一致的，以开标一览表（报价表）为准；</w:t>
      </w:r>
    </w:p>
    <w:p w14:paraId="36164B56">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2.大写金额和小写金额不一致的，以大写金额为准；</w:t>
      </w:r>
    </w:p>
    <w:p w14:paraId="5AACE1B9">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3.单价金额小数点或者百分比有明显错位的，以开标一览表的总价为准，并修改单价；</w:t>
      </w:r>
    </w:p>
    <w:p w14:paraId="6EE2ECFD">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4.总价金额与按单价汇总金额不一致的，以单价金额计算结果为准。</w:t>
      </w:r>
    </w:p>
    <w:p w14:paraId="38038622">
      <w:pPr>
        <w:snapToGrid w:val="0"/>
        <w:spacing w:line="360" w:lineRule="auto"/>
        <w:ind w:firstLine="417" w:firstLineChars="198"/>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同时出现两种以上不一致的，按照前款规定的顺序修正。</w:t>
      </w:r>
    </w:p>
    <w:p w14:paraId="227EA6D9">
      <w:pPr>
        <w:keepNext w:val="0"/>
        <w:keepLines w:val="0"/>
        <w:pageBreakBefore w:val="0"/>
        <w:widowControl w:val="0"/>
        <w:kinsoku/>
        <w:wordWrap/>
        <w:overflowPunct/>
        <w:topLinePunct w:val="0"/>
        <w:autoSpaceDE/>
        <w:autoSpaceDN/>
        <w:bidi w:val="0"/>
        <w:adjustRightInd/>
        <w:snapToGrid w:val="0"/>
        <w:spacing w:line="360" w:lineRule="auto"/>
        <w:ind w:firstLine="417" w:firstLineChars="198"/>
        <w:textAlignment w:val="auto"/>
        <w:rPr>
          <w:rFonts w:ascii="Times New Roman" w:hAnsi="Times New Roman" w:eastAsia="宋体" w:cs="Times New Roman"/>
          <w:color w:val="auto"/>
          <w:szCs w:val="21"/>
        </w:rPr>
      </w:pPr>
      <w:r>
        <w:rPr>
          <w:rFonts w:ascii="Times New Roman" w:hAnsi="Times New Roman" w:eastAsia="宋体" w:cs="Times New Roman"/>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7C771DD9">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imes New Roman" w:hAnsi="Times New Roman" w:eastAsia="宋体" w:cs="Times New Roman"/>
          <w:b/>
          <w:color w:val="auto"/>
          <w:szCs w:val="21"/>
          <w:lang w:eastAsia="zh-CN"/>
        </w:rPr>
      </w:pPr>
      <w:r>
        <w:rPr>
          <w:rFonts w:hint="eastAsia" w:ascii="Times New Roman" w:hAnsi="Times New Roman" w:eastAsia="宋体" w:cs="Times New Roman"/>
          <w:b/>
          <w:color w:val="auto"/>
          <w:szCs w:val="21"/>
        </w:rPr>
        <w:t>（五）评标原则和</w:t>
      </w:r>
      <w:r>
        <w:rPr>
          <w:rFonts w:hint="eastAsia" w:ascii="Times New Roman" w:hAnsi="Times New Roman" w:eastAsia="宋体" w:cs="Times New Roman"/>
          <w:b/>
          <w:color w:val="auto"/>
          <w:szCs w:val="21"/>
          <w:lang w:eastAsia="zh-CN"/>
        </w:rPr>
        <w:t>评标方法</w:t>
      </w:r>
    </w:p>
    <w:p w14:paraId="7C70E89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1EBAEB66">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Times New Roman" w:hAnsi="Times New Roman" w:eastAsia="宋体" w:cs="Times New Roman"/>
          <w:color w:val="auto"/>
          <w:sz w:val="24"/>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。本项目</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是</w:t>
      </w:r>
      <w:r>
        <w:rPr>
          <w:rFonts w:hint="eastAsia" w:ascii="Times New Roman" w:hAnsi="Times New Roman" w:eastAsia="宋体" w:cs="Times New Roman"/>
          <w:color w:val="auto"/>
          <w:szCs w:val="21"/>
          <w:u w:val="single"/>
        </w:rPr>
        <w:t>综合评分法</w:t>
      </w:r>
      <w:r>
        <w:rPr>
          <w:rFonts w:hint="eastAsia" w:ascii="Times New Roman" w:hAnsi="Times New Roman" w:eastAsia="宋体" w:cs="Times New Roman"/>
          <w:color w:val="auto"/>
          <w:szCs w:val="21"/>
        </w:rPr>
        <w:t>，具体评标内容及评分标准等详见《第四章：</w:t>
      </w:r>
      <w:r>
        <w:rPr>
          <w:rFonts w:hint="eastAsia" w:ascii="Times New Roman" w:hAnsi="Times New Roman" w:eastAsia="宋体" w:cs="Times New Roman"/>
          <w:color w:val="auto"/>
          <w:szCs w:val="21"/>
          <w:lang w:eastAsia="zh-CN"/>
        </w:rPr>
        <w:t>评标方法</w:t>
      </w:r>
      <w:r>
        <w:rPr>
          <w:rFonts w:hint="eastAsia" w:ascii="Times New Roman" w:hAnsi="Times New Roman" w:eastAsia="宋体" w:cs="Times New Roman"/>
          <w:color w:val="auto"/>
          <w:szCs w:val="21"/>
        </w:rPr>
        <w:t>及评分标准》。</w:t>
      </w:r>
    </w:p>
    <w:p w14:paraId="36132F80">
      <w:pPr>
        <w:keepNext w:val="0"/>
        <w:keepLines w:val="0"/>
        <w:pageBreakBefore w:val="0"/>
        <w:widowControl/>
        <w:kinsoku/>
        <w:wordWrap/>
        <w:overflowPunct/>
        <w:topLinePunct w:val="0"/>
        <w:autoSpaceDE/>
        <w:autoSpaceDN/>
        <w:bidi w:val="0"/>
        <w:adjustRightInd/>
        <w:snapToGrid w:val="0"/>
        <w:spacing w:line="360" w:lineRule="auto"/>
        <w:ind w:right="0"/>
        <w:textAlignment w:val="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（六）评标过程的监控</w:t>
      </w:r>
    </w:p>
    <w:p w14:paraId="1230E7A5">
      <w:pPr>
        <w:keepNext w:val="0"/>
        <w:keepLines w:val="0"/>
        <w:pageBreakBefore w:val="0"/>
        <w:kinsoku/>
        <w:wordWrap/>
        <w:overflowPunct/>
        <w:topLinePunct w:val="0"/>
        <w:autoSpaceDE/>
        <w:autoSpaceDN/>
        <w:bidi w:val="0"/>
        <w:adjustRightInd/>
        <w:snapToGrid w:val="0"/>
        <w:spacing w:line="360" w:lineRule="auto"/>
        <w:ind w:right="0" w:firstLine="420" w:firstLineChars="200"/>
        <w:textAlignment w:val="auto"/>
        <w:rPr>
          <w:rFonts w:ascii="Times New Roman" w:hAnsi="Times New Roman" w:eastAsia="宋体" w:cs="Times New Roman"/>
          <w:b/>
          <w:color w:val="auto"/>
          <w:sz w:val="28"/>
          <w:szCs w:val="24"/>
        </w:rPr>
      </w:pPr>
      <w:r>
        <w:rPr>
          <w:rFonts w:hint="eastAsia" w:ascii="Times New Roman" w:hAnsi="Times New Roman" w:eastAsia="宋体" w:cs="Times New Roman"/>
          <w:color w:val="auto"/>
          <w:szCs w:val="24"/>
        </w:rPr>
        <w:t>本项目评标过程实行全程录音、录像监控。</w:t>
      </w:r>
    </w:p>
    <w:p w14:paraId="330CA468">
      <w:pPr>
        <w:ind w:firstLine="420" w:firstLineChars="200"/>
        <w:rPr>
          <w:rFonts w:ascii="Times New Roman" w:hAnsi="Times New Roman" w:eastAsia="宋体" w:cs="Times New Roman"/>
          <w:color w:val="auto"/>
          <w:szCs w:val="20"/>
        </w:rPr>
      </w:pPr>
    </w:p>
    <w:p w14:paraId="4CB76ADA">
      <w:pPr>
        <w:snapToGrid w:val="0"/>
        <w:spacing w:before="120" w:line="36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六、定标</w:t>
      </w:r>
    </w:p>
    <w:p w14:paraId="1390EEBD">
      <w:pPr>
        <w:snapToGrid w:val="0"/>
        <w:spacing w:before="120" w:beforeLines="50"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（一）确定中标人。</w:t>
      </w:r>
    </w:p>
    <w:p w14:paraId="2D8051AA">
      <w:pPr>
        <w:snapToGrid w:val="0"/>
        <w:spacing w:before="120" w:beforeLines="50"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本项目由采购人事先授权评审小组确定候选中标人。经采购人确认后，确定项目中标人，同时发布采购结果公告</w:t>
      </w:r>
      <w:r>
        <w:rPr>
          <w:rFonts w:hint="eastAsia" w:ascii="Times New Roman" w:hAnsi="Times New Roman" w:eastAsia="宋体" w:cs="Times New Roman"/>
          <w:b/>
          <w:color w:val="auto"/>
          <w:szCs w:val="21"/>
        </w:rPr>
        <w:t xml:space="preserve">（中标人通过政采云系统领取中标通知书）。 </w:t>
      </w:r>
    </w:p>
    <w:tbl>
      <w:tblPr>
        <w:tblStyle w:val="60"/>
        <w:tblW w:w="0" w:type="auto"/>
        <w:tblInd w:w="675" w:type="dxa"/>
        <w:tblLayout w:type="fixed"/>
        <w:tblCellMar>
          <w:top w:w="0" w:type="dxa"/>
          <w:left w:w="108" w:type="dxa"/>
          <w:bottom w:w="0" w:type="dxa"/>
          <w:right w:w="108" w:type="dxa"/>
        </w:tblCellMar>
      </w:tblPr>
      <w:tblGrid>
        <w:gridCol w:w="1276"/>
        <w:gridCol w:w="2410"/>
        <w:gridCol w:w="2835"/>
      </w:tblGrid>
      <w:tr w14:paraId="3F6543F0">
        <w:tblPrEx>
          <w:tblCellMar>
            <w:top w:w="0" w:type="dxa"/>
            <w:left w:w="108" w:type="dxa"/>
            <w:bottom w:w="0" w:type="dxa"/>
            <w:right w:w="108" w:type="dxa"/>
          </w:tblCellMar>
        </w:tblPrEx>
        <w:trPr>
          <w:trHeight w:val="272" w:hRule="atLeast"/>
        </w:trPr>
        <w:tc>
          <w:tcPr>
            <w:tcW w:w="1276" w:type="dxa"/>
            <w:tcBorders>
              <w:top w:val="single" w:color="auto" w:sz="4" w:space="0"/>
              <w:left w:val="single" w:color="auto" w:sz="4" w:space="0"/>
              <w:bottom w:val="single" w:color="auto" w:sz="4" w:space="0"/>
              <w:right w:val="single" w:color="auto" w:sz="4" w:space="0"/>
            </w:tcBorders>
            <w:vAlign w:val="center"/>
          </w:tcPr>
          <w:p w14:paraId="525FF4B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2410" w:type="dxa"/>
            <w:tcBorders>
              <w:top w:val="single" w:color="auto" w:sz="4" w:space="0"/>
              <w:left w:val="single" w:color="auto" w:sz="4" w:space="0"/>
              <w:bottom w:val="single" w:color="auto" w:sz="4" w:space="0"/>
              <w:right w:val="single" w:color="auto" w:sz="4" w:space="0"/>
            </w:tcBorders>
            <w:vAlign w:val="center"/>
          </w:tcPr>
          <w:p w14:paraId="2F5020F0">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2835" w:type="dxa"/>
            <w:tcBorders>
              <w:top w:val="single" w:color="auto" w:sz="4" w:space="0"/>
              <w:left w:val="single" w:color="auto" w:sz="4" w:space="0"/>
              <w:bottom w:val="single" w:color="auto" w:sz="4" w:space="0"/>
              <w:right w:val="single" w:color="auto" w:sz="4" w:space="0"/>
            </w:tcBorders>
            <w:vAlign w:val="center"/>
          </w:tcPr>
          <w:p w14:paraId="4C52FCD3">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r>
      <w:tr w14:paraId="3CD0671B">
        <w:tblPrEx>
          <w:tblCellMar>
            <w:top w:w="0" w:type="dxa"/>
            <w:left w:w="108" w:type="dxa"/>
            <w:bottom w:w="0" w:type="dxa"/>
            <w:right w:w="108" w:type="dxa"/>
          </w:tblCellMar>
        </w:tblPrEx>
        <w:trPr>
          <w:trHeight w:val="282" w:hRule="atLeast"/>
        </w:trPr>
        <w:tc>
          <w:tcPr>
            <w:tcW w:w="1276" w:type="dxa"/>
            <w:tcBorders>
              <w:top w:val="nil"/>
              <w:left w:val="single" w:color="auto" w:sz="4" w:space="0"/>
              <w:bottom w:val="single" w:color="auto" w:sz="4" w:space="0"/>
              <w:right w:val="single" w:color="auto" w:sz="4" w:space="0"/>
            </w:tcBorders>
            <w:vAlign w:val="center"/>
          </w:tcPr>
          <w:p w14:paraId="5DFF05F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2410" w:type="dxa"/>
            <w:tcBorders>
              <w:top w:val="single" w:color="000000" w:sz="4" w:space="0"/>
              <w:left w:val="single" w:color="000000" w:sz="4" w:space="0"/>
              <w:bottom w:val="single" w:color="000000" w:sz="4" w:space="0"/>
              <w:right w:val="single" w:color="000000" w:sz="4" w:space="0"/>
            </w:tcBorders>
            <w:vAlign w:val="center"/>
          </w:tcPr>
          <w:p w14:paraId="478E0B3D">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2835" w:type="dxa"/>
            <w:tcBorders>
              <w:top w:val="single" w:color="000000" w:sz="4" w:space="0"/>
              <w:left w:val="single" w:color="auto" w:sz="4" w:space="0"/>
              <w:bottom w:val="single" w:color="000000" w:sz="4" w:space="0"/>
              <w:right w:val="single" w:color="000000" w:sz="4" w:space="0"/>
            </w:tcBorders>
            <w:vAlign w:val="center"/>
          </w:tcPr>
          <w:p w14:paraId="5F96C519">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5DAB1D57">
        <w:tblPrEx>
          <w:tblCellMar>
            <w:top w:w="0" w:type="dxa"/>
            <w:left w:w="108" w:type="dxa"/>
            <w:bottom w:w="0" w:type="dxa"/>
            <w:right w:w="108" w:type="dxa"/>
          </w:tblCellMar>
        </w:tblPrEx>
        <w:trPr>
          <w:trHeight w:val="228" w:hRule="atLeast"/>
        </w:trPr>
        <w:tc>
          <w:tcPr>
            <w:tcW w:w="1276" w:type="dxa"/>
            <w:tcBorders>
              <w:top w:val="nil"/>
              <w:left w:val="single" w:color="auto" w:sz="4" w:space="0"/>
              <w:bottom w:val="single" w:color="auto" w:sz="4" w:space="0"/>
              <w:right w:val="single" w:color="auto" w:sz="4" w:space="0"/>
            </w:tcBorders>
            <w:vAlign w:val="center"/>
          </w:tcPr>
          <w:p w14:paraId="5A3F9E6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2410" w:type="dxa"/>
            <w:tcBorders>
              <w:top w:val="single" w:color="000000" w:sz="4" w:space="0"/>
              <w:left w:val="single" w:color="000000" w:sz="4" w:space="0"/>
              <w:bottom w:val="single" w:color="000000" w:sz="4" w:space="0"/>
              <w:right w:val="single" w:color="000000" w:sz="4" w:space="0"/>
            </w:tcBorders>
            <w:vAlign w:val="center"/>
          </w:tcPr>
          <w:p w14:paraId="3C4CC1F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2835" w:type="dxa"/>
            <w:tcBorders>
              <w:top w:val="single" w:color="000000" w:sz="4" w:space="0"/>
              <w:left w:val="single" w:color="auto" w:sz="4" w:space="0"/>
              <w:bottom w:val="single" w:color="000000" w:sz="4" w:space="0"/>
              <w:right w:val="single" w:color="000000" w:sz="4" w:space="0"/>
            </w:tcBorders>
            <w:vAlign w:val="center"/>
          </w:tcPr>
          <w:p w14:paraId="6244280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4D78279F">
        <w:tblPrEx>
          <w:tblCellMar>
            <w:top w:w="0" w:type="dxa"/>
            <w:left w:w="108" w:type="dxa"/>
            <w:bottom w:w="0" w:type="dxa"/>
            <w:right w:w="108" w:type="dxa"/>
          </w:tblCellMar>
        </w:tblPrEx>
        <w:trPr>
          <w:trHeight w:val="231" w:hRule="atLeast"/>
        </w:trPr>
        <w:tc>
          <w:tcPr>
            <w:tcW w:w="1276" w:type="dxa"/>
            <w:tcBorders>
              <w:top w:val="nil"/>
              <w:left w:val="single" w:color="auto" w:sz="4" w:space="0"/>
              <w:bottom w:val="single" w:color="auto" w:sz="4" w:space="0"/>
              <w:right w:val="single" w:color="auto" w:sz="4" w:space="0"/>
            </w:tcBorders>
            <w:vAlign w:val="center"/>
          </w:tcPr>
          <w:p w14:paraId="2E42CB6F">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2410" w:type="dxa"/>
            <w:tcBorders>
              <w:top w:val="single" w:color="000000" w:sz="4" w:space="0"/>
              <w:left w:val="single" w:color="000000" w:sz="4" w:space="0"/>
              <w:bottom w:val="single" w:color="000000" w:sz="4" w:space="0"/>
              <w:right w:val="single" w:color="000000" w:sz="4" w:space="0"/>
            </w:tcBorders>
            <w:vAlign w:val="center"/>
          </w:tcPr>
          <w:p w14:paraId="2ED81C84">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2835" w:type="dxa"/>
            <w:tcBorders>
              <w:top w:val="single" w:color="000000" w:sz="4" w:space="0"/>
              <w:left w:val="single" w:color="auto" w:sz="4" w:space="0"/>
              <w:bottom w:val="single" w:color="000000" w:sz="4" w:space="0"/>
              <w:right w:val="single" w:color="000000" w:sz="4" w:space="0"/>
            </w:tcBorders>
            <w:vAlign w:val="center"/>
          </w:tcPr>
          <w:p w14:paraId="0E4270D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59F9F09D">
        <w:tblPrEx>
          <w:tblCellMar>
            <w:top w:w="0" w:type="dxa"/>
            <w:left w:w="108" w:type="dxa"/>
            <w:bottom w:w="0" w:type="dxa"/>
            <w:right w:w="108" w:type="dxa"/>
          </w:tblCellMar>
        </w:tblPrEx>
        <w:trPr>
          <w:trHeight w:val="284" w:hRule="atLeast"/>
        </w:trPr>
        <w:tc>
          <w:tcPr>
            <w:tcW w:w="1276" w:type="dxa"/>
            <w:tcBorders>
              <w:top w:val="nil"/>
              <w:left w:val="single" w:color="auto" w:sz="4" w:space="0"/>
              <w:bottom w:val="single" w:color="auto" w:sz="4" w:space="0"/>
              <w:right w:val="single" w:color="auto" w:sz="4" w:space="0"/>
            </w:tcBorders>
            <w:vAlign w:val="center"/>
          </w:tcPr>
          <w:p w14:paraId="386BE7E2">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2410" w:type="dxa"/>
            <w:tcBorders>
              <w:top w:val="single" w:color="000000" w:sz="4" w:space="0"/>
              <w:left w:val="single" w:color="000000" w:sz="4" w:space="0"/>
              <w:bottom w:val="single" w:color="000000" w:sz="4" w:space="0"/>
              <w:right w:val="single" w:color="000000" w:sz="4" w:space="0"/>
            </w:tcBorders>
            <w:vAlign w:val="center"/>
          </w:tcPr>
          <w:p w14:paraId="3440D5A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2835" w:type="dxa"/>
            <w:tcBorders>
              <w:top w:val="single" w:color="000000" w:sz="4" w:space="0"/>
              <w:left w:val="single" w:color="auto" w:sz="4" w:space="0"/>
              <w:bottom w:val="single" w:color="000000" w:sz="4" w:space="0"/>
              <w:right w:val="single" w:color="000000" w:sz="4" w:space="0"/>
            </w:tcBorders>
            <w:vAlign w:val="center"/>
          </w:tcPr>
          <w:p w14:paraId="4BF89A79">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r>
      <w:tr w14:paraId="53D313A8">
        <w:tblPrEx>
          <w:tblCellMar>
            <w:top w:w="0" w:type="dxa"/>
            <w:left w:w="108" w:type="dxa"/>
            <w:bottom w:w="0" w:type="dxa"/>
            <w:right w:w="108" w:type="dxa"/>
          </w:tblCellMar>
        </w:tblPrEx>
        <w:trPr>
          <w:trHeight w:val="277" w:hRule="atLeast"/>
        </w:trPr>
        <w:tc>
          <w:tcPr>
            <w:tcW w:w="1276" w:type="dxa"/>
            <w:tcBorders>
              <w:top w:val="nil"/>
              <w:left w:val="single" w:color="auto" w:sz="4" w:space="0"/>
              <w:bottom w:val="single" w:color="auto" w:sz="4" w:space="0"/>
              <w:right w:val="single" w:color="auto" w:sz="4" w:space="0"/>
            </w:tcBorders>
            <w:vAlign w:val="center"/>
          </w:tcPr>
          <w:p w14:paraId="4058FD67">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2410" w:type="dxa"/>
            <w:tcBorders>
              <w:top w:val="single" w:color="000000" w:sz="4" w:space="0"/>
              <w:left w:val="single" w:color="000000" w:sz="4" w:space="0"/>
              <w:bottom w:val="single" w:color="000000" w:sz="4" w:space="0"/>
              <w:right w:val="single" w:color="000000" w:sz="4" w:space="0"/>
            </w:tcBorders>
            <w:vAlign w:val="center"/>
          </w:tcPr>
          <w:p w14:paraId="0B98D77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2835" w:type="dxa"/>
            <w:tcBorders>
              <w:top w:val="single" w:color="000000" w:sz="4" w:space="0"/>
              <w:left w:val="single" w:color="auto" w:sz="4" w:space="0"/>
              <w:bottom w:val="single" w:color="000000" w:sz="4" w:space="0"/>
              <w:right w:val="single" w:color="000000" w:sz="4" w:space="0"/>
            </w:tcBorders>
            <w:vAlign w:val="center"/>
          </w:tcPr>
          <w:p w14:paraId="244293D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03D4DA25">
        <w:tblPrEx>
          <w:tblCellMar>
            <w:top w:w="0" w:type="dxa"/>
            <w:left w:w="108" w:type="dxa"/>
            <w:bottom w:w="0" w:type="dxa"/>
            <w:right w:w="108" w:type="dxa"/>
          </w:tblCellMar>
        </w:tblPrEx>
        <w:trPr>
          <w:trHeight w:val="238" w:hRule="atLeast"/>
        </w:trPr>
        <w:tc>
          <w:tcPr>
            <w:tcW w:w="1276" w:type="dxa"/>
            <w:tcBorders>
              <w:top w:val="nil"/>
              <w:left w:val="single" w:color="auto" w:sz="4" w:space="0"/>
              <w:bottom w:val="single" w:color="auto" w:sz="4" w:space="0"/>
              <w:right w:val="single" w:color="auto" w:sz="4" w:space="0"/>
            </w:tcBorders>
            <w:vAlign w:val="center"/>
          </w:tcPr>
          <w:p w14:paraId="4538B43C">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2410" w:type="dxa"/>
            <w:tcBorders>
              <w:top w:val="single" w:color="000000" w:sz="4" w:space="0"/>
              <w:left w:val="single" w:color="000000" w:sz="4" w:space="0"/>
              <w:bottom w:val="single" w:color="000000" w:sz="4" w:space="0"/>
              <w:right w:val="single" w:color="000000" w:sz="4" w:space="0"/>
            </w:tcBorders>
            <w:vAlign w:val="center"/>
          </w:tcPr>
          <w:p w14:paraId="6D4CFD7C">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2835" w:type="dxa"/>
            <w:tcBorders>
              <w:top w:val="single" w:color="000000" w:sz="4" w:space="0"/>
              <w:left w:val="single" w:color="auto" w:sz="4" w:space="0"/>
              <w:bottom w:val="single" w:color="000000" w:sz="4" w:space="0"/>
              <w:right w:val="single" w:color="000000" w:sz="4" w:space="0"/>
            </w:tcBorders>
            <w:vAlign w:val="center"/>
          </w:tcPr>
          <w:p w14:paraId="263A22C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3BFA3B44">
        <w:tblPrEx>
          <w:tblCellMar>
            <w:top w:w="0" w:type="dxa"/>
            <w:left w:w="108" w:type="dxa"/>
            <w:bottom w:w="0" w:type="dxa"/>
            <w:right w:w="108" w:type="dxa"/>
          </w:tblCellMar>
        </w:tblPrEx>
        <w:trPr>
          <w:trHeight w:val="225" w:hRule="atLeast"/>
        </w:trPr>
        <w:tc>
          <w:tcPr>
            <w:tcW w:w="1276" w:type="dxa"/>
            <w:tcBorders>
              <w:top w:val="nil"/>
              <w:left w:val="single" w:color="auto" w:sz="4" w:space="0"/>
              <w:bottom w:val="single" w:color="auto" w:sz="4" w:space="0"/>
              <w:right w:val="single" w:color="auto" w:sz="4" w:space="0"/>
            </w:tcBorders>
            <w:vAlign w:val="center"/>
          </w:tcPr>
          <w:p w14:paraId="0BD0667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2410" w:type="dxa"/>
            <w:tcBorders>
              <w:top w:val="single" w:color="000000" w:sz="4" w:space="0"/>
              <w:left w:val="single" w:color="000000" w:sz="4" w:space="0"/>
              <w:bottom w:val="single" w:color="000000" w:sz="4" w:space="0"/>
              <w:right w:val="single" w:color="000000" w:sz="4" w:space="0"/>
            </w:tcBorders>
            <w:vAlign w:val="center"/>
          </w:tcPr>
          <w:p w14:paraId="36355183">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2835" w:type="dxa"/>
            <w:tcBorders>
              <w:top w:val="single" w:color="000000" w:sz="4" w:space="0"/>
              <w:left w:val="single" w:color="auto" w:sz="4" w:space="0"/>
              <w:bottom w:val="single" w:color="000000" w:sz="4" w:space="0"/>
              <w:right w:val="single" w:color="000000" w:sz="4" w:space="0"/>
            </w:tcBorders>
            <w:vAlign w:val="center"/>
          </w:tcPr>
          <w:p w14:paraId="09E88037">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r>
      <w:tr w14:paraId="36DA8D9C">
        <w:tblPrEx>
          <w:tblCellMar>
            <w:top w:w="0" w:type="dxa"/>
            <w:left w:w="108" w:type="dxa"/>
            <w:bottom w:w="0" w:type="dxa"/>
            <w:right w:w="108" w:type="dxa"/>
          </w:tblCellMar>
        </w:tblPrEx>
        <w:trPr>
          <w:trHeight w:val="301" w:hRule="atLeast"/>
        </w:trPr>
        <w:tc>
          <w:tcPr>
            <w:tcW w:w="1276" w:type="dxa"/>
            <w:tcBorders>
              <w:top w:val="nil"/>
              <w:left w:val="single" w:color="auto" w:sz="4" w:space="0"/>
              <w:bottom w:val="single" w:color="auto" w:sz="4" w:space="0"/>
              <w:right w:val="single" w:color="auto" w:sz="4" w:space="0"/>
            </w:tcBorders>
            <w:vAlign w:val="center"/>
          </w:tcPr>
          <w:p w14:paraId="372D7DA9">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2410" w:type="dxa"/>
            <w:tcBorders>
              <w:top w:val="single" w:color="000000" w:sz="4" w:space="0"/>
              <w:left w:val="single" w:color="000000" w:sz="4" w:space="0"/>
              <w:bottom w:val="single" w:color="000000" w:sz="4" w:space="0"/>
              <w:right w:val="single" w:color="000000" w:sz="4" w:space="0"/>
            </w:tcBorders>
            <w:vAlign w:val="center"/>
          </w:tcPr>
          <w:p w14:paraId="534B0D29">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2835" w:type="dxa"/>
            <w:tcBorders>
              <w:top w:val="single" w:color="000000" w:sz="4" w:space="0"/>
              <w:left w:val="single" w:color="auto" w:sz="4" w:space="0"/>
              <w:bottom w:val="single" w:color="000000" w:sz="4" w:space="0"/>
              <w:right w:val="single" w:color="000000" w:sz="4" w:space="0"/>
            </w:tcBorders>
            <w:vAlign w:val="center"/>
          </w:tcPr>
          <w:p w14:paraId="21EED7A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111C7A96">
        <w:tblPrEx>
          <w:tblCellMar>
            <w:top w:w="0" w:type="dxa"/>
            <w:left w:w="108" w:type="dxa"/>
            <w:bottom w:w="0" w:type="dxa"/>
            <w:right w:w="108" w:type="dxa"/>
          </w:tblCellMar>
        </w:tblPrEx>
        <w:trPr>
          <w:trHeight w:val="268" w:hRule="atLeast"/>
        </w:trPr>
        <w:tc>
          <w:tcPr>
            <w:tcW w:w="1276" w:type="dxa"/>
            <w:tcBorders>
              <w:top w:val="nil"/>
              <w:left w:val="single" w:color="auto" w:sz="4" w:space="0"/>
              <w:bottom w:val="single" w:color="auto" w:sz="4" w:space="0"/>
              <w:right w:val="single" w:color="auto" w:sz="4" w:space="0"/>
            </w:tcBorders>
            <w:vAlign w:val="center"/>
          </w:tcPr>
          <w:p w14:paraId="754FB2E1">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2410" w:type="dxa"/>
            <w:tcBorders>
              <w:top w:val="single" w:color="000000" w:sz="4" w:space="0"/>
              <w:left w:val="single" w:color="000000" w:sz="4" w:space="0"/>
              <w:bottom w:val="single" w:color="000000" w:sz="4" w:space="0"/>
              <w:right w:val="single" w:color="000000" w:sz="4" w:space="0"/>
            </w:tcBorders>
            <w:vAlign w:val="center"/>
          </w:tcPr>
          <w:p w14:paraId="4034378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2835" w:type="dxa"/>
            <w:tcBorders>
              <w:top w:val="single" w:color="000000" w:sz="4" w:space="0"/>
              <w:left w:val="single" w:color="auto" w:sz="4" w:space="0"/>
              <w:bottom w:val="single" w:color="000000" w:sz="4" w:space="0"/>
              <w:right w:val="single" w:color="000000" w:sz="4" w:space="0"/>
            </w:tcBorders>
            <w:vAlign w:val="center"/>
          </w:tcPr>
          <w:p w14:paraId="6C99D2D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3CB919EB">
        <w:tblPrEx>
          <w:tblCellMar>
            <w:top w:w="0" w:type="dxa"/>
            <w:left w:w="108" w:type="dxa"/>
            <w:bottom w:w="0" w:type="dxa"/>
            <w:right w:w="108" w:type="dxa"/>
          </w:tblCellMar>
        </w:tblPrEx>
        <w:trPr>
          <w:trHeight w:val="235" w:hRule="atLeast"/>
        </w:trPr>
        <w:tc>
          <w:tcPr>
            <w:tcW w:w="1276" w:type="dxa"/>
            <w:tcBorders>
              <w:top w:val="nil"/>
              <w:left w:val="single" w:color="auto" w:sz="4" w:space="0"/>
              <w:bottom w:val="single" w:color="auto" w:sz="4" w:space="0"/>
              <w:right w:val="single" w:color="auto" w:sz="4" w:space="0"/>
            </w:tcBorders>
            <w:vAlign w:val="center"/>
          </w:tcPr>
          <w:p w14:paraId="3BCB5415">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2410" w:type="dxa"/>
            <w:tcBorders>
              <w:top w:val="single" w:color="000000" w:sz="4" w:space="0"/>
              <w:left w:val="single" w:color="000000" w:sz="4" w:space="0"/>
              <w:bottom w:val="single" w:color="000000" w:sz="4" w:space="0"/>
              <w:right w:val="single" w:color="000000" w:sz="4" w:space="0"/>
            </w:tcBorders>
            <w:vAlign w:val="center"/>
          </w:tcPr>
          <w:p w14:paraId="337F09C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2835" w:type="dxa"/>
            <w:tcBorders>
              <w:top w:val="single" w:color="000000" w:sz="4" w:space="0"/>
              <w:left w:val="single" w:color="auto" w:sz="4" w:space="0"/>
              <w:bottom w:val="single" w:color="000000" w:sz="4" w:space="0"/>
              <w:right w:val="single" w:color="000000" w:sz="4" w:space="0"/>
            </w:tcBorders>
            <w:vAlign w:val="center"/>
          </w:tcPr>
          <w:p w14:paraId="08238AF0">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r w14:paraId="3389442D">
        <w:tblPrEx>
          <w:tblCellMar>
            <w:top w:w="0" w:type="dxa"/>
            <w:left w:w="108" w:type="dxa"/>
            <w:bottom w:w="0" w:type="dxa"/>
            <w:right w:w="108" w:type="dxa"/>
          </w:tblCellMar>
        </w:tblPrEx>
        <w:trPr>
          <w:trHeight w:val="225" w:hRule="atLeast"/>
        </w:trPr>
        <w:tc>
          <w:tcPr>
            <w:tcW w:w="1276" w:type="dxa"/>
            <w:tcBorders>
              <w:top w:val="nil"/>
              <w:left w:val="single" w:color="auto" w:sz="4" w:space="0"/>
              <w:bottom w:val="single" w:color="auto" w:sz="4" w:space="0"/>
              <w:right w:val="single" w:color="auto" w:sz="4" w:space="0"/>
            </w:tcBorders>
            <w:vAlign w:val="center"/>
          </w:tcPr>
          <w:p w14:paraId="2E794B4B">
            <w:pPr>
              <w:widowControl/>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2410" w:type="dxa"/>
            <w:tcBorders>
              <w:top w:val="single" w:color="000000" w:sz="4" w:space="0"/>
              <w:left w:val="single" w:color="000000" w:sz="4" w:space="0"/>
              <w:bottom w:val="single" w:color="000000" w:sz="4" w:space="0"/>
              <w:right w:val="single" w:color="000000" w:sz="4" w:space="0"/>
            </w:tcBorders>
            <w:vAlign w:val="center"/>
          </w:tcPr>
          <w:p w14:paraId="4ADC419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2835" w:type="dxa"/>
            <w:tcBorders>
              <w:top w:val="single" w:color="000000" w:sz="4" w:space="0"/>
              <w:left w:val="single" w:color="auto" w:sz="4" w:space="0"/>
              <w:bottom w:val="single" w:color="000000" w:sz="4" w:space="0"/>
              <w:right w:val="single" w:color="000000" w:sz="4" w:space="0"/>
            </w:tcBorders>
            <w:vAlign w:val="center"/>
          </w:tcPr>
          <w:p w14:paraId="7068A48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r>
    </w:tbl>
    <w:p w14:paraId="5A241EB4">
      <w:pPr>
        <w:pStyle w:val="58"/>
        <w:ind w:firstLine="210"/>
        <w:rPr>
          <w:color w:val="auto"/>
        </w:rPr>
      </w:pPr>
    </w:p>
    <w:p w14:paraId="1EAF92B5">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采购代理机构在评标结束后在</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个工作日内将评审报告交采购人确认。</w:t>
      </w:r>
    </w:p>
    <w:p w14:paraId="7DA0A2F2">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投标人对评审结果无异议的，采购人应在收到评审报告后</w:t>
      </w: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个工作日内对评审结果进行确认。如有投标人对评审结果提出质疑的，采购人可在质疑处理完毕后确定中标人。</w:t>
      </w:r>
    </w:p>
    <w:p w14:paraId="00ADE2F4">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采购人依法确定中标人后</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个工作日内，采购代理机构发出《中标通知书》</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并同时在相关网站上发布中标公告。</w:t>
      </w:r>
    </w:p>
    <w:p w14:paraId="5131DC28">
      <w:pPr>
        <w:keepNext w:val="0"/>
        <w:keepLines w:val="0"/>
        <w:pageBreakBefore w:val="0"/>
        <w:widowControl w:val="0"/>
        <w:kinsoku/>
        <w:wordWrap/>
        <w:overflowPunct/>
        <w:topLinePunct w:val="0"/>
        <w:autoSpaceDE/>
        <w:autoSpaceDN/>
        <w:bidi w:val="0"/>
        <w:adjustRightInd/>
        <w:spacing w:line="380" w:lineRule="exact"/>
        <w:textAlignment w:val="auto"/>
        <w:rPr>
          <w:rFonts w:ascii="Times New Roman" w:hAnsi="Times New Roman" w:eastAsia="宋体" w:cs="Times New Roman"/>
          <w:b/>
          <w:color w:val="auto"/>
          <w:sz w:val="28"/>
        </w:rPr>
      </w:pPr>
      <w:r>
        <w:rPr>
          <w:rFonts w:hint="eastAsia" w:ascii="Times New Roman" w:hAnsi="Times New Roman" w:eastAsia="宋体" w:cs="Times New Roman"/>
          <w:color w:val="auto"/>
          <w:szCs w:val="21"/>
        </w:rPr>
        <w:t>（二）</w:t>
      </w:r>
      <w:r>
        <w:rPr>
          <w:rFonts w:hint="eastAsia" w:ascii="Times New Roman" w:hAnsi="Times New Roman" w:eastAsia="宋体" w:cs="Times New Roman"/>
          <w:color w:val="auto"/>
        </w:rPr>
        <w:t>根据《中华人民共和国招标投标法实施条例》（国务院第</w:t>
      </w:r>
      <w:r>
        <w:rPr>
          <w:rFonts w:ascii="Times New Roman" w:hAnsi="Times New Roman" w:eastAsia="宋体" w:cs="Times New Roman"/>
          <w:color w:val="auto"/>
        </w:rPr>
        <w:t>613</w:t>
      </w:r>
      <w:r>
        <w:rPr>
          <w:rFonts w:hint="eastAsia" w:ascii="Times New Roman" w:hAnsi="Times New Roman" w:eastAsia="宋体" w:cs="Times New Roman"/>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39BDD6EA">
      <w:pPr>
        <w:keepNext w:val="0"/>
        <w:keepLines w:val="0"/>
        <w:pageBreakBefore w:val="0"/>
        <w:kinsoku/>
        <w:wordWrap/>
        <w:topLinePunct w:val="0"/>
        <w:bidi w:val="0"/>
        <w:snapToGrid w:val="0"/>
        <w:spacing w:line="360" w:lineRule="auto"/>
        <w:ind w:left="0" w:right="0" w:firstLine="3345" w:firstLineChars="119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七、合同授予</w:t>
      </w:r>
    </w:p>
    <w:p w14:paraId="2D3A33CC">
      <w:pPr>
        <w:keepNext w:val="0"/>
        <w:keepLines w:val="0"/>
        <w:pageBreakBefore w:val="0"/>
        <w:widowControl/>
        <w:numPr>
          <w:ilvl w:val="0"/>
          <w:numId w:val="0"/>
        </w:numPr>
        <w:kinsoku/>
        <w:wordWrap/>
        <w:overflowPunct w:val="0"/>
        <w:topLinePunct w:val="0"/>
        <w:autoSpaceDE w:val="0"/>
        <w:autoSpaceDN w:val="0"/>
        <w:bidi w:val="0"/>
        <w:adjustRightInd w:val="0"/>
        <w:snapToGrid w:val="0"/>
        <w:spacing w:line="336" w:lineRule="auto"/>
        <w:ind w:right="0" w:rightChars="0"/>
        <w:jc w:val="left"/>
        <w:textAlignment w:val="baseline"/>
        <w:rPr>
          <w:rFonts w:ascii="Times New Roman" w:hAnsi="Times New Roman" w:eastAsia="宋体" w:cs="Times New Roman"/>
          <w:b/>
          <w:color w:val="auto"/>
          <w:sz w:val="24"/>
        </w:rPr>
      </w:pPr>
      <w:r>
        <w:rPr>
          <w:rFonts w:hint="eastAsia" w:ascii="Times New Roman" w:hAnsi="Times New Roman" w:eastAsia="宋体" w:cs="Times New Roman"/>
          <w:b/>
          <w:color w:val="auto"/>
          <w:sz w:val="24"/>
          <w:lang w:eastAsia="zh-CN"/>
        </w:rPr>
        <w:t>（</w:t>
      </w:r>
      <w:r>
        <w:rPr>
          <w:rFonts w:hint="eastAsia" w:ascii="Times New Roman" w:hAnsi="Times New Roman" w:eastAsia="宋体" w:cs="Times New Roman"/>
          <w:b/>
          <w:color w:val="auto"/>
          <w:sz w:val="24"/>
          <w:lang w:val="en-US" w:eastAsia="zh-CN"/>
        </w:rPr>
        <w:t>一</w:t>
      </w:r>
      <w:r>
        <w:rPr>
          <w:rFonts w:hint="eastAsia" w:ascii="Times New Roman" w:hAnsi="Times New Roman" w:eastAsia="宋体" w:cs="Times New Roman"/>
          <w:b/>
          <w:color w:val="auto"/>
          <w:sz w:val="24"/>
          <w:lang w:eastAsia="zh-CN"/>
        </w:rPr>
        <w:t>）</w:t>
      </w:r>
      <w:r>
        <w:rPr>
          <w:rFonts w:hint="eastAsia" w:ascii="Times New Roman" w:hAnsi="Times New Roman" w:eastAsia="宋体" w:cs="Times New Roman"/>
          <w:b/>
          <w:color w:val="auto"/>
          <w:sz w:val="24"/>
        </w:rPr>
        <w:t>签订合同</w:t>
      </w:r>
    </w:p>
    <w:p w14:paraId="5236B3D5">
      <w:pPr>
        <w:keepNext w:val="0"/>
        <w:keepLines w:val="0"/>
        <w:pageBreakBefore w:val="0"/>
        <w:kinsoku/>
        <w:wordWrap/>
        <w:topLinePunct w:val="0"/>
        <w:bidi w:val="0"/>
        <w:snapToGrid w:val="0"/>
        <w:spacing w:line="336" w:lineRule="auto"/>
        <w:ind w:left="0" w:right="0" w:firstLine="424" w:firstLineChars="202"/>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采购人与中标人应当在《中标通知书》发出之日起</w:t>
      </w:r>
      <w:r>
        <w:rPr>
          <w:rFonts w:ascii="Times New Roman" w:hAnsi="Times New Roman" w:eastAsia="宋体" w:cs="Times New Roman"/>
          <w:color w:val="auto"/>
        </w:rPr>
        <w:t>30</w:t>
      </w:r>
      <w:r>
        <w:rPr>
          <w:rFonts w:hint="eastAsia" w:ascii="Times New Roman" w:hAnsi="Times New Roman" w:eastAsia="宋体" w:cs="Times New Roman"/>
          <w:color w:val="auto"/>
        </w:rPr>
        <w:t>日内签订政府采购合同。同时，采购代理机构对合同内容进行审查，如发现与采购结果和投标承诺内容不一致的，应予以纠正。</w:t>
      </w:r>
    </w:p>
    <w:p w14:paraId="1DBFC52B">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中标人拖延、拒签合同的，将上报监管部门并取消中标资格。</w:t>
      </w:r>
    </w:p>
    <w:p w14:paraId="32BC13AD">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中标人和采购人签订合同，按合同规定的供货时间供货并安装调试完毕。</w:t>
      </w:r>
    </w:p>
    <w:p w14:paraId="46EAC74D">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宋体" w:cs="Times New Roman"/>
          <w:b/>
          <w:bCs/>
          <w:color w:val="auto"/>
          <w:sz w:val="24"/>
          <w:szCs w:val="24"/>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34332418">
      <w:pPr>
        <w:keepNext w:val="0"/>
        <w:keepLines w:val="0"/>
        <w:pageBreakBefore w:val="0"/>
        <w:kinsoku/>
        <w:wordWrap/>
        <w:topLinePunct w:val="0"/>
        <w:bidi w:val="0"/>
        <w:snapToGrid w:val="0"/>
        <w:spacing w:line="336" w:lineRule="auto"/>
        <w:ind w:left="0" w:right="0"/>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（二）合同公告</w:t>
      </w:r>
    </w:p>
    <w:p w14:paraId="1ACEA064">
      <w:pPr>
        <w:keepNext w:val="0"/>
        <w:keepLines w:val="0"/>
        <w:pageBreakBefore w:val="0"/>
        <w:kinsoku/>
        <w:wordWrap/>
        <w:topLinePunct w:val="0"/>
        <w:bidi w:val="0"/>
        <w:snapToGrid w:val="0"/>
        <w:spacing w:line="336" w:lineRule="auto"/>
        <w:ind w:left="0" w:right="0" w:firstLine="415" w:firstLineChars="198"/>
        <w:rPr>
          <w:rFonts w:ascii="Times New Roman" w:hAnsi="Times New Roman" w:eastAsia="黑体" w:cs="Times New Roman"/>
          <w:color w:val="auto"/>
          <w:sz w:val="30"/>
        </w:rPr>
      </w:pPr>
      <w:r>
        <w:rPr>
          <w:rFonts w:hint="eastAsia" w:ascii="Times New Roman" w:hAnsi="Times New Roman" w:eastAsia="宋体" w:cs="Times New Roman"/>
          <w:color w:val="auto"/>
          <w:szCs w:val="21"/>
        </w:rPr>
        <w:t>采购人应当自政府采购合同签订之日起</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个工作日内，将政府采购合同在省级以上人民政府财政部门指定的媒体上公告，但政府采购合同中涉及国家秘密、商业秘密的内容除外。</w:t>
      </w:r>
    </w:p>
    <w:p w14:paraId="474C9612">
      <w:pPr>
        <w:snapToGrid w:val="0"/>
        <w:spacing w:before="120" w:line="360"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 xml:space="preserve">第四章 </w:t>
      </w:r>
      <w:r>
        <w:rPr>
          <w:rFonts w:ascii="Times New Roman" w:hAnsi="Times New Roman" w:eastAsia="黑体" w:cs="Times New Roman"/>
          <w:color w:val="auto"/>
          <w:sz w:val="30"/>
        </w:rPr>
        <w:t xml:space="preserve"> </w:t>
      </w:r>
      <w:r>
        <w:rPr>
          <w:rFonts w:hint="eastAsia" w:ascii="Times New Roman" w:hAnsi="Times New Roman" w:eastAsia="黑体" w:cs="Times New Roman"/>
          <w:color w:val="auto"/>
          <w:sz w:val="30"/>
          <w:lang w:eastAsia="zh-CN"/>
        </w:rPr>
        <w:t>评标方法</w:t>
      </w:r>
      <w:r>
        <w:rPr>
          <w:rFonts w:hint="eastAsia" w:ascii="Times New Roman" w:hAnsi="Times New Roman" w:eastAsia="黑体" w:cs="Times New Roman"/>
          <w:color w:val="auto"/>
          <w:sz w:val="30"/>
        </w:rPr>
        <w:t>及评分标准</w:t>
      </w:r>
    </w:p>
    <w:p w14:paraId="0CFC8A18">
      <w:pPr>
        <w:snapToGrid w:val="0"/>
        <w:spacing w:before="120" w:line="336" w:lineRule="auto"/>
        <w:ind w:right="-87" w:firstLine="103" w:firstLineChars="49"/>
        <w:outlineLvl w:val="0"/>
        <w:rPr>
          <w:rFonts w:ascii="Times New Roman" w:hAnsi="Times New Roman" w:eastAsia="宋体" w:cs="Times New Roman"/>
          <w:color w:val="auto"/>
        </w:rPr>
      </w:pPr>
      <w:r>
        <w:rPr>
          <w:rFonts w:hint="eastAsia" w:ascii="Times New Roman" w:hAnsi="Times New Roman" w:eastAsia="宋体" w:cs="Times New Roman"/>
          <w:b/>
          <w:color w:val="auto"/>
        </w:rPr>
        <w:t>综合评分法</w:t>
      </w:r>
    </w:p>
    <w:p w14:paraId="3D95381D">
      <w:pPr>
        <w:snapToGrid w:val="0"/>
        <w:spacing w:line="336" w:lineRule="auto"/>
        <w:ind w:right="-87" w:firstLine="1687" w:firstLineChars="700"/>
        <w:rPr>
          <w:rFonts w:hint="eastAsia" w:ascii="Times New Roman" w:hAnsi="Times New Roman" w:eastAsia="宋体" w:cs="Times New Roman"/>
          <w:b/>
          <w:color w:val="auto"/>
          <w:sz w:val="24"/>
          <w:szCs w:val="24"/>
          <w:lang w:eastAsia="zh-CN"/>
        </w:rPr>
      </w:pPr>
      <w:r>
        <w:rPr>
          <w:rFonts w:hint="eastAsia" w:ascii="Times New Roman" w:hAnsi="Times New Roman" w:eastAsia="宋体" w:cs="Times New Roman"/>
          <w:b/>
          <w:color w:val="auto"/>
          <w:sz w:val="24"/>
          <w:szCs w:val="24"/>
          <w:lang w:eastAsia="zh-CN"/>
        </w:rPr>
        <w:t>2025年舟山市（本级）海洋水生生物增殖放流 评标方法</w:t>
      </w:r>
    </w:p>
    <w:p w14:paraId="31DBE34C">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rPr>
        <w:t>为公正、公平、科学地选择中标人，根据《中华人民共和国政府采购法》等有关法律法规的规定，并结合本项目的实际，制定本办法。</w:t>
      </w:r>
    </w:p>
    <w:p w14:paraId="4EF25308">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szCs w:val="21"/>
        </w:rPr>
        <w:t>本办法适用于</w:t>
      </w:r>
      <w:r>
        <w:rPr>
          <w:rFonts w:hint="eastAsia" w:ascii="Times New Roman" w:hAnsi="Times New Roman" w:eastAsia="宋体" w:cs="Times New Roman"/>
          <w:color w:val="auto"/>
          <w:szCs w:val="21"/>
          <w:lang w:eastAsia="zh-CN"/>
        </w:rPr>
        <w:t xml:space="preserve">2025年舟山市（本级）海洋水生生物增殖放流 </w:t>
      </w:r>
      <w:r>
        <w:rPr>
          <w:rFonts w:hint="eastAsia" w:ascii="Times New Roman" w:hAnsi="Times New Roman" w:eastAsia="宋体" w:cs="Times New Roman"/>
          <w:color w:val="auto"/>
          <w:szCs w:val="21"/>
        </w:rPr>
        <w:t>的评标。</w:t>
      </w:r>
    </w:p>
    <w:p w14:paraId="20914688">
      <w:pPr>
        <w:snapToGrid w:val="0"/>
        <w:spacing w:line="336" w:lineRule="auto"/>
        <w:ind w:left="756" w:leftChars="114" w:hanging="517" w:hangingChars="245"/>
        <w:rPr>
          <w:rFonts w:ascii="宋体" w:hAnsi="宋体" w:eastAsia="宋体" w:cs="Times New Roman"/>
          <w:color w:val="auto"/>
        </w:rPr>
      </w:pPr>
      <w:r>
        <w:rPr>
          <w:rFonts w:hint="eastAsia" w:ascii="Times New Roman" w:hAnsi="Times New Roman" w:eastAsia="宋体" w:cs="Times New Roman"/>
          <w:b/>
          <w:color w:val="auto"/>
        </w:rPr>
        <w:t>中标依据：</w:t>
      </w:r>
      <w:r>
        <w:rPr>
          <w:rFonts w:hint="eastAsia" w:ascii="宋体" w:hAnsi="宋体" w:eastAsia="宋体" w:cs="Times New Roman"/>
          <w:color w:val="auto"/>
        </w:rPr>
        <w:t>在不高于</w:t>
      </w:r>
      <w:r>
        <w:rPr>
          <w:rFonts w:hint="eastAsia" w:ascii="宋体" w:hAnsi="宋体" w:eastAsia="宋体" w:cs="Times New Roman"/>
          <w:color w:val="auto"/>
          <w:u w:val="single" w:color="000000"/>
        </w:rPr>
        <w:t>最高限价</w:t>
      </w:r>
      <w:r>
        <w:rPr>
          <w:rFonts w:hint="eastAsia" w:ascii="宋体" w:hAnsi="宋体" w:eastAsia="宋体" w:cs="Times New Roman"/>
          <w:color w:val="auto"/>
        </w:rPr>
        <w:t>的前提下，</w:t>
      </w:r>
      <w:r>
        <w:rPr>
          <w:rFonts w:hint="eastAsia" w:ascii="宋体" w:hAnsi="宋体" w:eastAsia="宋体" w:cs="Times New Roman"/>
          <w:color w:val="auto"/>
          <w:u w:val="single" w:color="000000"/>
          <w:lang w:eastAsia="zh-CN"/>
        </w:rPr>
        <w:t>综合得分</w:t>
      </w:r>
      <w:r>
        <w:rPr>
          <w:rFonts w:hint="eastAsia" w:ascii="宋体" w:hAnsi="宋体" w:eastAsia="宋体" w:cs="Times New Roman"/>
          <w:color w:val="auto"/>
        </w:rPr>
        <w:t>最高者为中标候选人。</w:t>
      </w:r>
    </w:p>
    <w:p w14:paraId="38552BB8">
      <w:pPr>
        <w:snapToGrid w:val="0"/>
        <w:spacing w:line="336" w:lineRule="auto"/>
        <w:ind w:left="756" w:leftChars="114" w:hanging="517" w:hangingChars="245"/>
        <w:rPr>
          <w:rFonts w:ascii="宋体" w:hAnsi="宋体" w:eastAsia="宋体" w:cs="Times New Roman"/>
          <w:b/>
          <w:color w:val="auto"/>
          <w:u w:val="single"/>
        </w:rPr>
      </w:pPr>
      <w:r>
        <w:rPr>
          <w:rFonts w:hint="eastAsia" w:ascii="宋体" w:hAnsi="宋体" w:eastAsia="宋体" w:cs="Times New Roman"/>
          <w:b/>
          <w:color w:val="auto"/>
          <w:u w:val="single"/>
        </w:rPr>
        <w:t>最高限价：预算金额。</w:t>
      </w:r>
    </w:p>
    <w:p w14:paraId="7C0A7D75">
      <w:pPr>
        <w:snapToGrid w:val="0"/>
        <w:spacing w:line="336" w:lineRule="auto"/>
        <w:ind w:left="756" w:leftChars="114" w:hanging="517" w:hangingChars="245"/>
        <w:rPr>
          <w:rFonts w:ascii="Times New Roman" w:hAnsi="Times New Roman" w:eastAsia="宋体" w:cs="Times New Roman"/>
          <w:b/>
          <w:color w:val="auto"/>
        </w:rPr>
      </w:pPr>
      <w:r>
        <w:rPr>
          <w:rFonts w:hint="eastAsia" w:ascii="Times New Roman" w:hAnsi="Times New Roman" w:eastAsia="宋体" w:cs="Times New Roman"/>
          <w:b/>
          <w:color w:val="auto"/>
        </w:rPr>
        <w:t>报价的计分方法：按单价进行报价。</w:t>
      </w:r>
    </w:p>
    <w:p w14:paraId="5F56224D">
      <w:pPr>
        <w:autoSpaceDE w:val="0"/>
        <w:autoSpaceDN w:val="0"/>
        <w:adjustRightInd w:val="0"/>
        <w:snapToGrid w:val="0"/>
        <w:spacing w:line="336" w:lineRule="auto"/>
        <w:ind w:right="-87" w:firstLine="411" w:firstLineChars="196"/>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满足投标文件要求</w:t>
      </w:r>
      <w:r>
        <w:rPr>
          <w:rFonts w:hint="eastAsia" w:ascii="宋体" w:hAnsi="宋体" w:eastAsia="宋体" w:cs="宋体"/>
          <w:color w:val="auto"/>
          <w:kern w:val="0"/>
          <w:szCs w:val="21"/>
        </w:rPr>
        <w:t>且投</w:t>
      </w:r>
      <w:r>
        <w:rPr>
          <w:rFonts w:hint="eastAsia" w:ascii="Times New Roman" w:hAnsi="Times New Roman" w:eastAsia="宋体" w:cs="Times New Roman"/>
          <w:color w:val="auto"/>
          <w:szCs w:val="21"/>
          <w:lang w:val="zh-CN"/>
        </w:rPr>
        <w:t>标报价最低的为评标基准价，其价格分为满分，其他投标人的价格分按下列公式计算：（按各标项单价作为投标报价）</w:t>
      </w:r>
    </w:p>
    <w:p w14:paraId="460FFD2F">
      <w:pPr>
        <w:autoSpaceDE w:val="0"/>
        <w:autoSpaceDN w:val="0"/>
        <w:adjustRightInd w:val="0"/>
        <w:snapToGrid w:val="0"/>
        <w:spacing w:line="336" w:lineRule="auto"/>
        <w:ind w:right="-87" w:firstLine="550" w:firstLineChars="262"/>
        <w:rPr>
          <w:rFonts w:ascii="Times New Roman" w:hAnsi="Times New Roman" w:eastAsia="宋体" w:cs="Times New Roman"/>
          <w:color w:val="auto"/>
          <w:szCs w:val="21"/>
          <w:lang w:val="zh-CN"/>
        </w:rPr>
      </w:pPr>
      <w:r>
        <w:rPr>
          <w:rFonts w:hint="eastAsia" w:ascii="Times New Roman" w:hAnsi="Times New Roman" w:eastAsia="宋体" w:cs="Times New Roman"/>
          <w:color w:val="auto"/>
          <w:szCs w:val="21"/>
          <w:lang w:val="zh-CN"/>
        </w:rPr>
        <w:t>价格得分＝（评标基准价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投标报价）</w:t>
      </w:r>
      <w:r>
        <w:rPr>
          <w:rFonts w:ascii="Times New Roman" w:hAnsi="Times New Roman" w:eastAsia="宋体" w:cs="Times New Roman"/>
          <w:color w:val="auto"/>
          <w:szCs w:val="21"/>
          <w:lang w:val="zh-CN"/>
        </w:rPr>
        <w:t>×</w:t>
      </w:r>
      <w:r>
        <w:rPr>
          <w:rFonts w:hint="eastAsia" w:ascii="Times New Roman" w:hAnsi="Times New Roman" w:eastAsia="宋体" w:cs="Times New Roman"/>
          <w:color w:val="auto"/>
          <w:szCs w:val="21"/>
          <w:lang w:val="zh-CN"/>
        </w:rPr>
        <w:t>价格权重</w:t>
      </w:r>
      <w:r>
        <w:rPr>
          <w:rFonts w:ascii="Times New Roman" w:hAnsi="Times New Roman" w:eastAsia="宋体" w:cs="Times New Roman"/>
          <w:color w:val="auto"/>
          <w:szCs w:val="21"/>
          <w:lang w:val="zh-CN"/>
        </w:rPr>
        <w:t>×100</w:t>
      </w:r>
      <w:r>
        <w:rPr>
          <w:rFonts w:hint="eastAsia" w:ascii="Times New Roman" w:hAnsi="Times New Roman" w:eastAsia="宋体" w:cs="Times New Roman"/>
          <w:color w:val="auto"/>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662B0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433F71EB">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zh-CN"/>
              </w:rPr>
              <w:t>评价指标和各评价权重指标：</w:t>
            </w:r>
            <w:r>
              <w:rPr>
                <w:rFonts w:hint="eastAsia" w:ascii="Times New Roman" w:hAnsi="Times New Roman" w:eastAsia="宋体" w:cs="Times New Roman"/>
                <w:color w:val="auto"/>
                <w:szCs w:val="21"/>
              </w:rPr>
              <w:t>评标指标</w:t>
            </w:r>
          </w:p>
        </w:tc>
        <w:tc>
          <w:tcPr>
            <w:tcW w:w="2700" w:type="dxa"/>
            <w:vAlign w:val="center"/>
          </w:tcPr>
          <w:p w14:paraId="0E6EE667">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权重（％）</w:t>
            </w:r>
          </w:p>
        </w:tc>
      </w:tr>
      <w:tr w14:paraId="0FB67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211C995B">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商务、技术部分</w:t>
            </w:r>
          </w:p>
        </w:tc>
        <w:tc>
          <w:tcPr>
            <w:tcW w:w="2700" w:type="dxa"/>
            <w:vAlign w:val="center"/>
          </w:tcPr>
          <w:p w14:paraId="448F6290">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70</w:t>
            </w:r>
          </w:p>
        </w:tc>
      </w:tr>
      <w:tr w14:paraId="65800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0CD5F054">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投标报价</w:t>
            </w:r>
          </w:p>
        </w:tc>
        <w:tc>
          <w:tcPr>
            <w:tcW w:w="2700" w:type="dxa"/>
            <w:vAlign w:val="center"/>
          </w:tcPr>
          <w:p w14:paraId="74F32BFA">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30</w:t>
            </w:r>
          </w:p>
        </w:tc>
      </w:tr>
      <w:tr w14:paraId="644CA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68C5F5D6">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合计</w:t>
            </w:r>
          </w:p>
        </w:tc>
        <w:tc>
          <w:tcPr>
            <w:tcW w:w="2700" w:type="dxa"/>
            <w:vAlign w:val="center"/>
          </w:tcPr>
          <w:p w14:paraId="0A693A29">
            <w:pPr>
              <w:ind w:right="-341"/>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100</w:t>
            </w:r>
          </w:p>
        </w:tc>
      </w:tr>
    </w:tbl>
    <w:p w14:paraId="185D9EF8">
      <w:pPr>
        <w:autoSpaceDE w:val="0"/>
        <w:autoSpaceDN w:val="0"/>
        <w:adjustRightInd w:val="0"/>
        <w:spacing w:line="336" w:lineRule="auto"/>
        <w:ind w:right="-341" w:firstLine="424" w:firstLineChars="202"/>
        <w:rPr>
          <w:rFonts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综合得分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商务技术得分＋价格得分</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评分过程中采用四舍五入法，并保留小数</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位</w:t>
      </w:r>
      <w:r>
        <w:rPr>
          <w:rFonts w:ascii="Times New Roman" w:hAnsi="Times New Roman" w:eastAsia="宋体" w:cs="Times New Roman"/>
          <w:color w:val="auto"/>
          <w:szCs w:val="21"/>
        </w:rPr>
        <w:t>)</w:t>
      </w:r>
    </w:p>
    <w:p w14:paraId="2BCD73FD">
      <w:pPr>
        <w:pStyle w:val="161"/>
        <w:snapToGrid w:val="0"/>
        <w:spacing w:beforeLines="0" w:line="360" w:lineRule="auto"/>
        <w:ind w:firstLine="420" w:firstLineChars="200"/>
        <w:rPr>
          <w:rFonts w:ascii="宋体" w:hAnsi="宋体" w:eastAsia="宋体" w:cs="Times New Roman"/>
          <w:b/>
          <w:color w:val="auto"/>
        </w:rPr>
      </w:pPr>
      <w:r>
        <w:rPr>
          <w:rFonts w:hint="eastAsia" w:ascii="Times New Roman" w:hAnsi="Times New Roman" w:eastAsia="宋体"/>
          <w:color w:val="auto"/>
          <w:sz w:val="21"/>
          <w:szCs w:val="21"/>
        </w:rPr>
        <w:t>将</w:t>
      </w:r>
      <w:r>
        <w:rPr>
          <w:rFonts w:hint="eastAsia" w:ascii="Times New Roman" w:hAnsi="Times New Roman" w:eastAsia="宋体"/>
          <w:color w:val="auto"/>
          <w:sz w:val="21"/>
          <w:szCs w:val="21"/>
          <w:lang w:eastAsia="zh-CN"/>
        </w:rPr>
        <w:t>综合得分</w:t>
      </w:r>
      <w:r>
        <w:rPr>
          <w:rFonts w:hint="eastAsia" w:ascii="Times New Roman" w:hAnsi="Times New Roman" w:eastAsia="宋体"/>
          <w:color w:val="auto"/>
          <w:sz w:val="21"/>
          <w:szCs w:val="21"/>
        </w:rPr>
        <w:t>从高到低排序，得出参投标人名次。得分相同时，按投标报价由低到高顺序排列，得分且投标报价相同的，按技术指标优劣顺序排列。</w:t>
      </w:r>
    </w:p>
    <w:p w14:paraId="6284185C">
      <w:pPr>
        <w:spacing w:line="336" w:lineRule="auto"/>
        <w:ind w:right="-341" w:firstLine="422" w:firstLineChars="200"/>
        <w:rPr>
          <w:rFonts w:ascii="宋体" w:hAnsi="宋体" w:eastAsia="宋体" w:cs="Times New Roman"/>
          <w:b/>
          <w:color w:val="auto"/>
        </w:rPr>
      </w:pPr>
      <w:r>
        <w:rPr>
          <w:rFonts w:hint="eastAsia" w:ascii="宋体" w:hAnsi="宋体" w:eastAsia="宋体" w:cs="Times New Roman"/>
          <w:b/>
          <w:color w:val="auto"/>
        </w:rPr>
        <w:t>中标分担原则</w:t>
      </w:r>
    </w:p>
    <w:tbl>
      <w:tblPr>
        <w:tblStyle w:val="60"/>
        <w:tblW w:w="0" w:type="auto"/>
        <w:tblInd w:w="1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558"/>
        <w:gridCol w:w="1620"/>
        <w:gridCol w:w="1814"/>
        <w:gridCol w:w="1524"/>
        <w:gridCol w:w="1452"/>
      </w:tblGrid>
      <w:tr w14:paraId="187E4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744" w:type="dxa"/>
            <w:vMerge w:val="restart"/>
            <w:vAlign w:val="center"/>
          </w:tcPr>
          <w:p w14:paraId="58299EAD">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标项</w:t>
            </w:r>
          </w:p>
        </w:tc>
        <w:tc>
          <w:tcPr>
            <w:tcW w:w="1558" w:type="dxa"/>
            <w:vMerge w:val="restart"/>
            <w:vAlign w:val="center"/>
          </w:tcPr>
          <w:p w14:paraId="241D9E41">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种类</w:t>
            </w:r>
          </w:p>
        </w:tc>
        <w:tc>
          <w:tcPr>
            <w:tcW w:w="1620" w:type="dxa"/>
            <w:vMerge w:val="restart"/>
            <w:vAlign w:val="center"/>
          </w:tcPr>
          <w:p w14:paraId="0E39C9FF">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种苗费(万元)</w:t>
            </w:r>
          </w:p>
        </w:tc>
        <w:tc>
          <w:tcPr>
            <w:tcW w:w="1814" w:type="dxa"/>
            <w:vMerge w:val="restart"/>
            <w:vAlign w:val="center"/>
          </w:tcPr>
          <w:p w14:paraId="5C2EC014">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拟中标单位(家)</w:t>
            </w:r>
          </w:p>
        </w:tc>
        <w:tc>
          <w:tcPr>
            <w:tcW w:w="2976" w:type="dxa"/>
            <w:gridSpan w:val="2"/>
            <w:vAlign w:val="center"/>
          </w:tcPr>
          <w:p w14:paraId="2BD02611">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中标单位种苗费分配(万元)</w:t>
            </w:r>
          </w:p>
        </w:tc>
      </w:tr>
      <w:tr w14:paraId="2AC06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744" w:type="dxa"/>
            <w:vMerge w:val="continue"/>
            <w:vAlign w:val="center"/>
          </w:tcPr>
          <w:p w14:paraId="6BA06FE3">
            <w:pPr>
              <w:widowControl/>
              <w:spacing w:line="240" w:lineRule="exact"/>
              <w:jc w:val="left"/>
              <w:rPr>
                <w:rFonts w:ascii="宋体" w:hAnsi="宋体" w:eastAsia="宋体" w:cs="宋体"/>
                <w:b/>
                <w:bCs/>
                <w:color w:val="auto"/>
                <w:kern w:val="0"/>
                <w:szCs w:val="21"/>
              </w:rPr>
            </w:pPr>
          </w:p>
        </w:tc>
        <w:tc>
          <w:tcPr>
            <w:tcW w:w="1558" w:type="dxa"/>
            <w:vMerge w:val="continue"/>
            <w:vAlign w:val="center"/>
          </w:tcPr>
          <w:p w14:paraId="5C191420">
            <w:pPr>
              <w:widowControl/>
              <w:spacing w:line="240" w:lineRule="exact"/>
              <w:jc w:val="left"/>
              <w:rPr>
                <w:rFonts w:ascii="宋体" w:hAnsi="宋体" w:eastAsia="宋体" w:cs="宋体"/>
                <w:b/>
                <w:bCs/>
                <w:color w:val="auto"/>
                <w:kern w:val="0"/>
                <w:szCs w:val="21"/>
              </w:rPr>
            </w:pPr>
          </w:p>
        </w:tc>
        <w:tc>
          <w:tcPr>
            <w:tcW w:w="1620" w:type="dxa"/>
            <w:vMerge w:val="continue"/>
            <w:vAlign w:val="center"/>
          </w:tcPr>
          <w:p w14:paraId="7046E117">
            <w:pPr>
              <w:widowControl/>
              <w:spacing w:line="240" w:lineRule="exact"/>
              <w:jc w:val="left"/>
              <w:rPr>
                <w:rFonts w:ascii="宋体" w:hAnsi="宋体" w:eastAsia="宋体" w:cs="宋体"/>
                <w:b/>
                <w:bCs/>
                <w:color w:val="auto"/>
                <w:kern w:val="0"/>
                <w:szCs w:val="21"/>
              </w:rPr>
            </w:pPr>
          </w:p>
        </w:tc>
        <w:tc>
          <w:tcPr>
            <w:tcW w:w="1814" w:type="dxa"/>
            <w:vMerge w:val="continue"/>
            <w:vAlign w:val="center"/>
          </w:tcPr>
          <w:p w14:paraId="721607A7">
            <w:pPr>
              <w:widowControl/>
              <w:spacing w:line="240" w:lineRule="exact"/>
              <w:jc w:val="left"/>
              <w:rPr>
                <w:rFonts w:ascii="宋体" w:hAnsi="宋体" w:eastAsia="宋体" w:cs="宋体"/>
                <w:b/>
                <w:bCs/>
                <w:color w:val="auto"/>
                <w:kern w:val="0"/>
                <w:szCs w:val="21"/>
              </w:rPr>
            </w:pPr>
          </w:p>
        </w:tc>
        <w:tc>
          <w:tcPr>
            <w:tcW w:w="1524" w:type="dxa"/>
            <w:vAlign w:val="center"/>
          </w:tcPr>
          <w:p w14:paraId="580E1097">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1</w:t>
            </w:r>
          </w:p>
        </w:tc>
        <w:tc>
          <w:tcPr>
            <w:tcW w:w="1452" w:type="dxa"/>
            <w:vAlign w:val="center"/>
          </w:tcPr>
          <w:p w14:paraId="529779B8">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2</w:t>
            </w:r>
          </w:p>
        </w:tc>
      </w:tr>
      <w:tr w14:paraId="27DEC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744" w:type="dxa"/>
            <w:vAlign w:val="center"/>
          </w:tcPr>
          <w:p w14:paraId="016FFC59">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一</w:t>
            </w:r>
          </w:p>
        </w:tc>
        <w:tc>
          <w:tcPr>
            <w:tcW w:w="1558" w:type="dxa"/>
            <w:vAlign w:val="center"/>
          </w:tcPr>
          <w:p w14:paraId="3BEBB0B7">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大黄鱼</w:t>
            </w:r>
          </w:p>
        </w:tc>
        <w:tc>
          <w:tcPr>
            <w:tcW w:w="1620" w:type="dxa"/>
            <w:vAlign w:val="center"/>
          </w:tcPr>
          <w:p w14:paraId="4F2EB76A">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814" w:type="dxa"/>
            <w:vAlign w:val="center"/>
          </w:tcPr>
          <w:p w14:paraId="43879D3A">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6E3C7A0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452" w:type="dxa"/>
            <w:vAlign w:val="center"/>
          </w:tcPr>
          <w:p w14:paraId="716B8E73">
            <w:pPr>
              <w:jc w:val="center"/>
              <w:rPr>
                <w:rFonts w:ascii="宋体" w:hAnsi="宋体" w:eastAsia="宋体" w:cs="宋体"/>
                <w:bCs/>
                <w:color w:val="auto"/>
                <w:kern w:val="0"/>
                <w:sz w:val="21"/>
                <w:szCs w:val="21"/>
              </w:rPr>
            </w:pPr>
          </w:p>
        </w:tc>
      </w:tr>
      <w:tr w14:paraId="06EAB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4" w:type="dxa"/>
            <w:vAlign w:val="center"/>
          </w:tcPr>
          <w:p w14:paraId="71D81AC1">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二</w:t>
            </w:r>
          </w:p>
        </w:tc>
        <w:tc>
          <w:tcPr>
            <w:tcW w:w="1558" w:type="dxa"/>
            <w:vAlign w:val="center"/>
          </w:tcPr>
          <w:p w14:paraId="245A660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厚壳贻贝</w:t>
            </w:r>
          </w:p>
        </w:tc>
        <w:tc>
          <w:tcPr>
            <w:tcW w:w="1620" w:type="dxa"/>
            <w:vAlign w:val="center"/>
          </w:tcPr>
          <w:p w14:paraId="1898112C">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814" w:type="dxa"/>
            <w:vAlign w:val="center"/>
          </w:tcPr>
          <w:p w14:paraId="647FC0B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669776A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452" w:type="dxa"/>
            <w:vAlign w:val="center"/>
          </w:tcPr>
          <w:p w14:paraId="5B0802E5">
            <w:pPr>
              <w:jc w:val="center"/>
              <w:rPr>
                <w:rFonts w:ascii="宋体" w:hAnsi="宋体" w:eastAsia="宋体" w:cs="宋体"/>
                <w:bCs/>
                <w:color w:val="auto"/>
                <w:kern w:val="0"/>
                <w:sz w:val="21"/>
                <w:szCs w:val="21"/>
              </w:rPr>
            </w:pPr>
          </w:p>
        </w:tc>
      </w:tr>
      <w:tr w14:paraId="4D53E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4" w:type="dxa"/>
            <w:vAlign w:val="center"/>
          </w:tcPr>
          <w:p w14:paraId="269834DB">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三</w:t>
            </w:r>
          </w:p>
        </w:tc>
        <w:tc>
          <w:tcPr>
            <w:tcW w:w="1558" w:type="dxa"/>
            <w:vAlign w:val="center"/>
          </w:tcPr>
          <w:p w14:paraId="33FF17D5">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曼氏无针乌贼</w:t>
            </w:r>
          </w:p>
        </w:tc>
        <w:tc>
          <w:tcPr>
            <w:tcW w:w="1620" w:type="dxa"/>
            <w:vAlign w:val="center"/>
          </w:tcPr>
          <w:p w14:paraId="5E0AD802">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814" w:type="dxa"/>
            <w:vAlign w:val="center"/>
          </w:tcPr>
          <w:p w14:paraId="63C1AB8F">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790D1977">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70</w:t>
            </w:r>
          </w:p>
        </w:tc>
        <w:tc>
          <w:tcPr>
            <w:tcW w:w="1452" w:type="dxa"/>
            <w:vAlign w:val="center"/>
          </w:tcPr>
          <w:p w14:paraId="1C6920EA">
            <w:pPr>
              <w:jc w:val="center"/>
              <w:rPr>
                <w:rFonts w:ascii="宋体" w:hAnsi="宋体" w:eastAsia="宋体" w:cs="宋体"/>
                <w:bCs/>
                <w:color w:val="auto"/>
                <w:kern w:val="0"/>
                <w:sz w:val="21"/>
                <w:szCs w:val="21"/>
              </w:rPr>
            </w:pPr>
          </w:p>
        </w:tc>
      </w:tr>
      <w:tr w14:paraId="243A2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744" w:type="dxa"/>
            <w:vAlign w:val="center"/>
          </w:tcPr>
          <w:p w14:paraId="5235E178">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四</w:t>
            </w:r>
          </w:p>
        </w:tc>
        <w:tc>
          <w:tcPr>
            <w:tcW w:w="1558" w:type="dxa"/>
            <w:vAlign w:val="center"/>
          </w:tcPr>
          <w:p w14:paraId="01EE487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海蜇</w:t>
            </w:r>
          </w:p>
        </w:tc>
        <w:tc>
          <w:tcPr>
            <w:tcW w:w="1620" w:type="dxa"/>
            <w:vAlign w:val="center"/>
          </w:tcPr>
          <w:p w14:paraId="4226CF6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90</w:t>
            </w:r>
          </w:p>
        </w:tc>
        <w:tc>
          <w:tcPr>
            <w:tcW w:w="1814" w:type="dxa"/>
            <w:vAlign w:val="center"/>
          </w:tcPr>
          <w:p w14:paraId="558F33B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524" w:type="dxa"/>
            <w:vAlign w:val="center"/>
          </w:tcPr>
          <w:p w14:paraId="44B0B9D2">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50</w:t>
            </w:r>
          </w:p>
        </w:tc>
        <w:tc>
          <w:tcPr>
            <w:tcW w:w="1452" w:type="dxa"/>
            <w:vAlign w:val="center"/>
          </w:tcPr>
          <w:p w14:paraId="2AC49FD4">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40</w:t>
            </w:r>
          </w:p>
        </w:tc>
      </w:tr>
      <w:tr w14:paraId="52874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trPr>
        <w:tc>
          <w:tcPr>
            <w:tcW w:w="744" w:type="dxa"/>
            <w:vAlign w:val="center"/>
          </w:tcPr>
          <w:p w14:paraId="62398FE4">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五</w:t>
            </w:r>
          </w:p>
        </w:tc>
        <w:tc>
          <w:tcPr>
            <w:tcW w:w="1558" w:type="dxa"/>
            <w:vAlign w:val="center"/>
          </w:tcPr>
          <w:p w14:paraId="54D88718">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黑鲷</w:t>
            </w:r>
          </w:p>
        </w:tc>
        <w:tc>
          <w:tcPr>
            <w:tcW w:w="1620" w:type="dxa"/>
            <w:vAlign w:val="center"/>
          </w:tcPr>
          <w:p w14:paraId="7AC8180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814" w:type="dxa"/>
            <w:vAlign w:val="center"/>
          </w:tcPr>
          <w:p w14:paraId="7043ADEF">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46DA41B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45</w:t>
            </w:r>
          </w:p>
        </w:tc>
        <w:tc>
          <w:tcPr>
            <w:tcW w:w="1452" w:type="dxa"/>
            <w:vAlign w:val="center"/>
          </w:tcPr>
          <w:p w14:paraId="432E8F6D">
            <w:pPr>
              <w:jc w:val="center"/>
              <w:rPr>
                <w:rFonts w:ascii="宋体" w:hAnsi="宋体" w:eastAsia="宋体" w:cs="宋体"/>
                <w:bCs/>
                <w:color w:val="auto"/>
                <w:kern w:val="0"/>
                <w:sz w:val="21"/>
                <w:szCs w:val="21"/>
              </w:rPr>
            </w:pPr>
          </w:p>
        </w:tc>
      </w:tr>
      <w:tr w14:paraId="3FFA2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744" w:type="dxa"/>
            <w:vAlign w:val="center"/>
          </w:tcPr>
          <w:p w14:paraId="4020CCAB">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六</w:t>
            </w:r>
          </w:p>
        </w:tc>
        <w:tc>
          <w:tcPr>
            <w:tcW w:w="1558" w:type="dxa"/>
            <w:vAlign w:val="center"/>
          </w:tcPr>
          <w:p w14:paraId="233D1496">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黄姑鱼</w:t>
            </w:r>
          </w:p>
        </w:tc>
        <w:tc>
          <w:tcPr>
            <w:tcW w:w="1620" w:type="dxa"/>
            <w:vAlign w:val="center"/>
          </w:tcPr>
          <w:p w14:paraId="7E9F688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814" w:type="dxa"/>
            <w:vAlign w:val="center"/>
          </w:tcPr>
          <w:p w14:paraId="009996CC">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3A18CB2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452" w:type="dxa"/>
            <w:vAlign w:val="center"/>
          </w:tcPr>
          <w:p w14:paraId="41FA6DAB">
            <w:pPr>
              <w:jc w:val="center"/>
              <w:rPr>
                <w:rFonts w:ascii="宋体" w:hAnsi="宋体" w:eastAsia="宋体" w:cs="宋体"/>
                <w:bCs/>
                <w:color w:val="auto"/>
                <w:kern w:val="0"/>
                <w:sz w:val="21"/>
                <w:szCs w:val="21"/>
              </w:rPr>
            </w:pPr>
          </w:p>
        </w:tc>
      </w:tr>
      <w:tr w14:paraId="472E3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744" w:type="dxa"/>
            <w:vAlign w:val="center"/>
          </w:tcPr>
          <w:p w14:paraId="5ECAD4EF">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七</w:t>
            </w:r>
          </w:p>
        </w:tc>
        <w:tc>
          <w:tcPr>
            <w:tcW w:w="1558" w:type="dxa"/>
            <w:vAlign w:val="center"/>
          </w:tcPr>
          <w:p w14:paraId="4DE4533A">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三疣梭子蟹</w:t>
            </w:r>
          </w:p>
        </w:tc>
        <w:tc>
          <w:tcPr>
            <w:tcW w:w="1620" w:type="dxa"/>
            <w:vAlign w:val="center"/>
          </w:tcPr>
          <w:p w14:paraId="10AEB425">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65</w:t>
            </w:r>
          </w:p>
        </w:tc>
        <w:tc>
          <w:tcPr>
            <w:tcW w:w="1814" w:type="dxa"/>
            <w:vAlign w:val="center"/>
          </w:tcPr>
          <w:p w14:paraId="66E102A1">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w:t>
            </w:r>
          </w:p>
        </w:tc>
        <w:tc>
          <w:tcPr>
            <w:tcW w:w="1524" w:type="dxa"/>
            <w:vAlign w:val="center"/>
          </w:tcPr>
          <w:p w14:paraId="57C8C0F6">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35</w:t>
            </w:r>
          </w:p>
        </w:tc>
        <w:tc>
          <w:tcPr>
            <w:tcW w:w="1452" w:type="dxa"/>
            <w:vAlign w:val="center"/>
          </w:tcPr>
          <w:p w14:paraId="32A8D10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30</w:t>
            </w:r>
          </w:p>
        </w:tc>
      </w:tr>
      <w:tr w14:paraId="3ABDE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44" w:type="dxa"/>
            <w:vAlign w:val="center"/>
          </w:tcPr>
          <w:p w14:paraId="3EE0EA68">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八</w:t>
            </w:r>
          </w:p>
        </w:tc>
        <w:tc>
          <w:tcPr>
            <w:tcW w:w="1558" w:type="dxa"/>
            <w:vAlign w:val="center"/>
          </w:tcPr>
          <w:p w14:paraId="19B030F2">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等边浅蛤</w:t>
            </w:r>
          </w:p>
        </w:tc>
        <w:tc>
          <w:tcPr>
            <w:tcW w:w="1620" w:type="dxa"/>
            <w:vAlign w:val="center"/>
          </w:tcPr>
          <w:p w14:paraId="09BA0117">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814" w:type="dxa"/>
            <w:vAlign w:val="center"/>
          </w:tcPr>
          <w:p w14:paraId="18440B8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3574DAF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452" w:type="dxa"/>
            <w:vAlign w:val="center"/>
          </w:tcPr>
          <w:p w14:paraId="6E3695A3">
            <w:pPr>
              <w:jc w:val="center"/>
              <w:rPr>
                <w:rFonts w:ascii="宋体" w:hAnsi="宋体" w:eastAsia="宋体" w:cs="宋体"/>
                <w:bCs/>
                <w:color w:val="auto"/>
                <w:kern w:val="0"/>
                <w:sz w:val="21"/>
                <w:szCs w:val="21"/>
              </w:rPr>
            </w:pPr>
          </w:p>
        </w:tc>
      </w:tr>
      <w:tr w14:paraId="218A5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4" w:type="dxa"/>
            <w:vAlign w:val="center"/>
          </w:tcPr>
          <w:p w14:paraId="66D03B6E">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九</w:t>
            </w:r>
          </w:p>
        </w:tc>
        <w:tc>
          <w:tcPr>
            <w:tcW w:w="1558" w:type="dxa"/>
            <w:vAlign w:val="center"/>
          </w:tcPr>
          <w:p w14:paraId="480140B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半滑舌鳎</w:t>
            </w:r>
          </w:p>
        </w:tc>
        <w:tc>
          <w:tcPr>
            <w:tcW w:w="1620" w:type="dxa"/>
            <w:vAlign w:val="center"/>
          </w:tcPr>
          <w:p w14:paraId="472F40BD">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814" w:type="dxa"/>
            <w:vAlign w:val="center"/>
          </w:tcPr>
          <w:p w14:paraId="03743C3E">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0FB0B3FB">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452" w:type="dxa"/>
            <w:vAlign w:val="center"/>
          </w:tcPr>
          <w:p w14:paraId="602FD1B1">
            <w:pPr>
              <w:jc w:val="center"/>
              <w:rPr>
                <w:rFonts w:ascii="宋体" w:hAnsi="宋体" w:eastAsia="宋体" w:cs="宋体"/>
                <w:bCs/>
                <w:color w:val="auto"/>
                <w:kern w:val="0"/>
                <w:sz w:val="21"/>
                <w:szCs w:val="21"/>
              </w:rPr>
            </w:pPr>
          </w:p>
        </w:tc>
      </w:tr>
      <w:tr w14:paraId="4FCF4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trPr>
        <w:tc>
          <w:tcPr>
            <w:tcW w:w="744" w:type="dxa"/>
            <w:vAlign w:val="center"/>
          </w:tcPr>
          <w:p w14:paraId="5DA68834">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w:t>
            </w:r>
          </w:p>
        </w:tc>
        <w:tc>
          <w:tcPr>
            <w:tcW w:w="1558" w:type="dxa"/>
            <w:vAlign w:val="center"/>
          </w:tcPr>
          <w:p w14:paraId="4ECC789E">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鮸</w:t>
            </w:r>
          </w:p>
        </w:tc>
        <w:tc>
          <w:tcPr>
            <w:tcW w:w="1620" w:type="dxa"/>
            <w:vAlign w:val="center"/>
          </w:tcPr>
          <w:p w14:paraId="11C09E6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814" w:type="dxa"/>
            <w:vAlign w:val="center"/>
          </w:tcPr>
          <w:p w14:paraId="77715E0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7A2A4512">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25</w:t>
            </w:r>
          </w:p>
        </w:tc>
        <w:tc>
          <w:tcPr>
            <w:tcW w:w="1452" w:type="dxa"/>
            <w:vAlign w:val="center"/>
          </w:tcPr>
          <w:p w14:paraId="6E0C5565">
            <w:pPr>
              <w:jc w:val="center"/>
              <w:rPr>
                <w:rFonts w:ascii="宋体" w:hAnsi="宋体" w:eastAsia="宋体" w:cs="宋体"/>
                <w:bCs/>
                <w:color w:val="auto"/>
                <w:kern w:val="0"/>
                <w:sz w:val="21"/>
                <w:szCs w:val="21"/>
              </w:rPr>
            </w:pPr>
          </w:p>
        </w:tc>
      </w:tr>
      <w:tr w14:paraId="44A5B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744" w:type="dxa"/>
            <w:vAlign w:val="center"/>
          </w:tcPr>
          <w:p w14:paraId="22168E5D">
            <w:pPr>
              <w:widowControl/>
              <w:spacing w:line="240" w:lineRule="exact"/>
              <w:jc w:val="center"/>
              <w:rPr>
                <w:rFonts w:ascii="宋体" w:hAnsi="宋体" w:eastAsia="宋体" w:cs="宋体"/>
                <w:b/>
                <w:bCs/>
                <w:color w:val="auto"/>
                <w:kern w:val="0"/>
                <w:szCs w:val="21"/>
              </w:rPr>
            </w:pPr>
            <w:r>
              <w:rPr>
                <w:rFonts w:hint="eastAsia" w:ascii="宋体" w:hAnsi="宋体" w:eastAsia="宋体" w:cs="宋体"/>
                <w:b/>
                <w:bCs/>
                <w:color w:val="auto"/>
                <w:kern w:val="0"/>
                <w:szCs w:val="21"/>
              </w:rPr>
              <w:t>十一</w:t>
            </w:r>
          </w:p>
        </w:tc>
        <w:tc>
          <w:tcPr>
            <w:tcW w:w="1558" w:type="dxa"/>
            <w:vAlign w:val="center"/>
          </w:tcPr>
          <w:p w14:paraId="5C13A28B">
            <w:pPr>
              <w:keepNext w:val="0"/>
              <w:keepLines w:val="0"/>
              <w:widowControl/>
              <w:suppressLineNumbers w:val="0"/>
              <w:jc w:val="center"/>
              <w:textAlignment w:val="center"/>
              <w:rPr>
                <w:rFonts w:hint="eastAsia"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条石鲷</w:t>
            </w:r>
          </w:p>
        </w:tc>
        <w:tc>
          <w:tcPr>
            <w:tcW w:w="1620" w:type="dxa"/>
            <w:vAlign w:val="center"/>
          </w:tcPr>
          <w:p w14:paraId="52D2E14A">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814" w:type="dxa"/>
            <w:vAlign w:val="center"/>
          </w:tcPr>
          <w:p w14:paraId="6E4A4418">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1</w:t>
            </w:r>
          </w:p>
        </w:tc>
        <w:tc>
          <w:tcPr>
            <w:tcW w:w="1524" w:type="dxa"/>
            <w:vAlign w:val="center"/>
          </w:tcPr>
          <w:p w14:paraId="48BF9553">
            <w:pPr>
              <w:keepNext w:val="0"/>
              <w:keepLines w:val="0"/>
              <w:widowControl/>
              <w:suppressLineNumbers w:val="0"/>
              <w:jc w:val="center"/>
              <w:textAlignment w:val="center"/>
              <w:rPr>
                <w:rFonts w:ascii="宋体" w:hAnsi="宋体" w:eastAsia="宋体" w:cs="宋体"/>
                <w:bCs/>
                <w:color w:val="auto"/>
                <w:kern w:val="0"/>
                <w:sz w:val="21"/>
                <w:szCs w:val="21"/>
              </w:rPr>
            </w:pPr>
            <w:r>
              <w:rPr>
                <w:rFonts w:hint="eastAsia" w:ascii="宋体" w:hAnsi="宋体" w:eastAsia="宋体" w:cs="宋体"/>
                <w:i w:val="0"/>
                <w:iCs w:val="0"/>
                <w:color w:val="auto"/>
                <w:kern w:val="0"/>
                <w:sz w:val="21"/>
                <w:szCs w:val="21"/>
                <w:u w:val="none"/>
                <w:lang w:val="en-US" w:eastAsia="zh-CN" w:bidi="ar"/>
              </w:rPr>
              <w:t>55</w:t>
            </w:r>
          </w:p>
        </w:tc>
        <w:tc>
          <w:tcPr>
            <w:tcW w:w="1452" w:type="dxa"/>
            <w:vAlign w:val="center"/>
          </w:tcPr>
          <w:p w14:paraId="7D2B0FAD">
            <w:pPr>
              <w:jc w:val="center"/>
              <w:rPr>
                <w:rFonts w:ascii="宋体" w:hAnsi="宋体" w:eastAsia="宋体" w:cs="宋体"/>
                <w:bCs/>
                <w:color w:val="auto"/>
                <w:kern w:val="0"/>
                <w:sz w:val="21"/>
                <w:szCs w:val="21"/>
              </w:rPr>
            </w:pPr>
          </w:p>
        </w:tc>
      </w:tr>
    </w:tbl>
    <w:p w14:paraId="66C90848">
      <w:pPr>
        <w:rPr>
          <w:rFonts w:ascii="Times New Roman" w:hAnsi="Times New Roman" w:eastAsia="宋体" w:cs="Times New Roman"/>
          <w:b/>
          <w:color w:val="auto"/>
          <w:sz w:val="24"/>
          <w:szCs w:val="24"/>
        </w:rPr>
      </w:pPr>
    </w:p>
    <w:p w14:paraId="2BED4741">
      <w:pPr>
        <w:pStyle w:val="17"/>
        <w:rPr>
          <w:color w:val="auto"/>
        </w:rPr>
      </w:pPr>
    </w:p>
    <w:p w14:paraId="24F3625F">
      <w:pPr>
        <w:pStyle w:val="58"/>
        <w:ind w:firstLine="0" w:firstLineChars="0"/>
        <w:rPr>
          <w:rFonts w:hAnsi="Times New Roman"/>
          <w:b/>
          <w:color w:val="auto"/>
          <w:sz w:val="24"/>
          <w:szCs w:val="24"/>
        </w:rPr>
      </w:pPr>
    </w:p>
    <w:p w14:paraId="31F61714">
      <w:pPr>
        <w:spacing w:line="288" w:lineRule="auto"/>
        <w:ind w:right="-341"/>
        <w:jc w:val="center"/>
        <w:rPr>
          <w:rFonts w:hint="eastAsia" w:ascii="Times New Roman" w:hAnsi="Times New Roman" w:eastAsia="宋体" w:cs="Times New Roman"/>
          <w:b/>
          <w:color w:val="auto"/>
          <w:sz w:val="24"/>
          <w:szCs w:val="24"/>
        </w:rPr>
      </w:pPr>
    </w:p>
    <w:p w14:paraId="2B784C30">
      <w:pPr>
        <w:spacing w:line="288" w:lineRule="auto"/>
        <w:ind w:right="-341"/>
        <w:jc w:val="center"/>
        <w:rPr>
          <w:rFonts w:hint="eastAsia" w:ascii="Times New Roman" w:hAnsi="Times New Roman" w:eastAsia="宋体" w:cs="Times New Roman"/>
          <w:b/>
          <w:color w:val="auto"/>
          <w:sz w:val="24"/>
          <w:szCs w:val="24"/>
        </w:rPr>
      </w:pPr>
    </w:p>
    <w:p w14:paraId="22945281">
      <w:pPr>
        <w:spacing w:line="288" w:lineRule="auto"/>
        <w:ind w:right="-341"/>
        <w:jc w:val="center"/>
        <w:rPr>
          <w:rFonts w:hint="eastAsia" w:ascii="Times New Roman" w:hAnsi="Times New Roman" w:eastAsia="宋体" w:cs="Times New Roman"/>
          <w:b/>
          <w:color w:val="auto"/>
          <w:sz w:val="24"/>
          <w:szCs w:val="24"/>
        </w:rPr>
      </w:pPr>
    </w:p>
    <w:p w14:paraId="6B865263">
      <w:pPr>
        <w:spacing w:line="288" w:lineRule="auto"/>
        <w:ind w:right="-341"/>
        <w:jc w:val="center"/>
        <w:rPr>
          <w:rFonts w:hint="eastAsia" w:ascii="Times New Roman" w:hAnsi="Times New Roman" w:eastAsia="宋体" w:cs="Times New Roman"/>
          <w:b/>
          <w:color w:val="auto"/>
          <w:sz w:val="24"/>
          <w:szCs w:val="24"/>
        </w:rPr>
      </w:pPr>
    </w:p>
    <w:p w14:paraId="1C9DDC00">
      <w:pPr>
        <w:spacing w:line="288" w:lineRule="auto"/>
        <w:ind w:right="-341"/>
        <w:jc w:val="center"/>
        <w:rPr>
          <w:rFonts w:ascii="Times New Roman" w:hAnsi="Times New Roman" w:eastAsia="宋体" w:cs="Times New Roman"/>
          <w:color w:val="auto"/>
          <w:szCs w:val="21"/>
        </w:rPr>
      </w:pPr>
      <w:r>
        <w:rPr>
          <w:rFonts w:hint="eastAsia" w:ascii="Times New Roman" w:hAnsi="Times New Roman" w:eastAsia="宋体" w:cs="Times New Roman"/>
          <w:b/>
          <w:color w:val="auto"/>
          <w:sz w:val="24"/>
          <w:szCs w:val="24"/>
          <w:lang w:eastAsia="zh-CN"/>
        </w:rPr>
        <w:t xml:space="preserve">2025年舟山市（本级）海洋水生生物增殖放流 </w:t>
      </w:r>
      <w:r>
        <w:rPr>
          <w:rFonts w:hint="eastAsia" w:ascii="Times New Roman" w:hAnsi="Times New Roman" w:eastAsia="宋体" w:cs="Times New Roman"/>
          <w:b/>
          <w:color w:val="auto"/>
          <w:sz w:val="24"/>
          <w:szCs w:val="24"/>
        </w:rPr>
        <w:t>评分表</w:t>
      </w:r>
    </w:p>
    <w:p w14:paraId="249C85A4">
      <w:pPr>
        <w:spacing w:line="288" w:lineRule="auto"/>
        <w:ind w:right="-341"/>
        <w:jc w:val="left"/>
        <w:rPr>
          <w:rFonts w:ascii="Times New Roman" w:hAnsi="Times New Roman" w:eastAsia="宋体" w:cs="Times New Roman"/>
          <w:b/>
          <w:color w:val="auto"/>
          <w:szCs w:val="21"/>
        </w:rPr>
      </w:pPr>
    </w:p>
    <w:tbl>
      <w:tblPr>
        <w:tblStyle w:val="60"/>
        <w:tblW w:w="108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1"/>
        <w:gridCol w:w="1836"/>
        <w:gridCol w:w="7200"/>
        <w:gridCol w:w="744"/>
      </w:tblGrid>
      <w:tr w14:paraId="5B8ED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1081" w:type="dxa"/>
            <w:vAlign w:val="center"/>
          </w:tcPr>
          <w:p w14:paraId="524E83F2">
            <w:pPr>
              <w:widowControl/>
              <w:jc w:val="center"/>
              <w:rPr>
                <w:rFonts w:ascii="宋体" w:hAnsi="Times New Roman" w:eastAsia="宋体" w:cs="Times New Roman"/>
                <w:color w:val="auto"/>
              </w:rPr>
            </w:pPr>
            <w:r>
              <w:rPr>
                <w:rFonts w:hint="eastAsia" w:ascii="宋体" w:hAnsi="宋体" w:eastAsia="宋体" w:cs="Times New Roman"/>
                <w:color w:val="auto"/>
              </w:rPr>
              <w:t>评审项目</w:t>
            </w:r>
          </w:p>
        </w:tc>
        <w:tc>
          <w:tcPr>
            <w:tcW w:w="1836" w:type="dxa"/>
            <w:vAlign w:val="center"/>
          </w:tcPr>
          <w:p w14:paraId="2B6C4A70">
            <w:pPr>
              <w:widowControl/>
              <w:jc w:val="center"/>
              <w:rPr>
                <w:rFonts w:ascii="宋体" w:hAnsi="Times New Roman" w:eastAsia="宋体" w:cs="Times New Roman"/>
                <w:color w:val="auto"/>
              </w:rPr>
            </w:pPr>
            <w:r>
              <w:rPr>
                <w:rFonts w:hint="eastAsia" w:ascii="宋体" w:hAnsi="宋体" w:eastAsia="宋体" w:cs="Times New Roman"/>
                <w:color w:val="auto"/>
              </w:rPr>
              <w:t>评审内容</w:t>
            </w:r>
          </w:p>
        </w:tc>
        <w:tc>
          <w:tcPr>
            <w:tcW w:w="7200" w:type="dxa"/>
            <w:vAlign w:val="center"/>
          </w:tcPr>
          <w:p w14:paraId="12A46751">
            <w:pPr>
              <w:widowControl/>
              <w:jc w:val="center"/>
              <w:rPr>
                <w:rFonts w:ascii="宋体" w:hAnsi="Times New Roman" w:eastAsia="宋体" w:cs="Times New Roman"/>
                <w:color w:val="auto"/>
              </w:rPr>
            </w:pPr>
            <w:r>
              <w:rPr>
                <w:rFonts w:hint="eastAsia" w:ascii="宋体" w:hAnsi="宋体" w:eastAsia="宋体" w:cs="Times New Roman"/>
                <w:color w:val="auto"/>
              </w:rPr>
              <w:t>评分标准</w:t>
            </w:r>
          </w:p>
        </w:tc>
        <w:tc>
          <w:tcPr>
            <w:tcW w:w="744" w:type="dxa"/>
            <w:vAlign w:val="center"/>
          </w:tcPr>
          <w:p w14:paraId="2BB63489">
            <w:pPr>
              <w:widowControl/>
              <w:jc w:val="center"/>
              <w:rPr>
                <w:rFonts w:ascii="宋体" w:hAnsi="Times New Roman" w:eastAsia="宋体" w:cs="Times New Roman"/>
                <w:color w:val="auto"/>
              </w:rPr>
            </w:pPr>
            <w:r>
              <w:rPr>
                <w:rFonts w:hint="eastAsia" w:ascii="宋体" w:hAnsi="宋体" w:eastAsia="宋体" w:cs="Times New Roman"/>
                <w:color w:val="auto"/>
              </w:rPr>
              <w:t>得分</w:t>
            </w:r>
          </w:p>
        </w:tc>
      </w:tr>
      <w:tr w14:paraId="29308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restart"/>
            <w:vAlign w:val="center"/>
          </w:tcPr>
          <w:p w14:paraId="6D746DC1">
            <w:pPr>
              <w:jc w:val="center"/>
              <w:rPr>
                <w:rFonts w:ascii="宋体" w:hAnsi="Times New Roman" w:eastAsia="宋体" w:cs="Times New Roman"/>
                <w:color w:val="auto"/>
              </w:rPr>
            </w:pPr>
            <w:r>
              <w:rPr>
                <w:rFonts w:hint="eastAsia" w:ascii="宋体" w:hAnsi="Times New Roman" w:eastAsia="宋体" w:cs="Times New Roman"/>
                <w:color w:val="auto"/>
              </w:rPr>
              <w:t>商务技术得分</w:t>
            </w:r>
          </w:p>
          <w:p w14:paraId="4ECFD223">
            <w:pPr>
              <w:jc w:val="center"/>
              <w:rPr>
                <w:rFonts w:ascii="宋体" w:hAnsi="Times New Roman" w:eastAsia="宋体" w:cs="Times New Roman"/>
                <w:color w:val="auto"/>
              </w:rPr>
            </w:pPr>
            <w:r>
              <w:rPr>
                <w:rFonts w:hint="eastAsia" w:ascii="宋体" w:hAnsi="Times New Roman" w:eastAsia="宋体" w:cs="Times New Roman"/>
                <w:color w:val="auto"/>
              </w:rPr>
              <w:t>（6</w:t>
            </w:r>
            <w:r>
              <w:rPr>
                <w:rFonts w:ascii="宋体" w:hAnsi="Times New Roman" w:eastAsia="宋体" w:cs="Times New Roman"/>
                <w:color w:val="auto"/>
              </w:rPr>
              <w:t>5</w:t>
            </w:r>
            <w:r>
              <w:rPr>
                <w:rFonts w:hint="eastAsia" w:ascii="宋体" w:hAnsi="Times New Roman" w:eastAsia="宋体" w:cs="Times New Roman"/>
                <w:color w:val="auto"/>
              </w:rPr>
              <w:t>分）</w:t>
            </w:r>
          </w:p>
        </w:tc>
        <w:tc>
          <w:tcPr>
            <w:tcW w:w="1836" w:type="dxa"/>
            <w:vAlign w:val="center"/>
          </w:tcPr>
          <w:p w14:paraId="2E12A1AD">
            <w:pPr>
              <w:jc w:val="center"/>
              <w:rPr>
                <w:rFonts w:ascii="宋体" w:hAnsi="Times New Roman" w:eastAsia="宋体" w:cs="仿宋"/>
                <w:color w:val="auto"/>
                <w:szCs w:val="21"/>
              </w:rPr>
            </w:pPr>
            <w:r>
              <w:rPr>
                <w:rFonts w:hint="eastAsia" w:ascii="宋体" w:hAnsi="宋体" w:eastAsia="宋体" w:cs="仿宋"/>
                <w:color w:val="auto"/>
                <w:szCs w:val="21"/>
              </w:rPr>
              <w:t>同类型项目业绩</w:t>
            </w:r>
          </w:p>
          <w:p w14:paraId="2F2BD550">
            <w:pPr>
              <w:jc w:val="center"/>
              <w:rPr>
                <w:rFonts w:ascii="宋体" w:hAnsi="Times New Roman" w:eastAsia="宋体" w:cs="仿宋"/>
                <w:color w:val="auto"/>
                <w:szCs w:val="21"/>
              </w:rPr>
            </w:pPr>
            <w:r>
              <w:rPr>
                <w:rFonts w:hint="eastAsia" w:ascii="宋体" w:hAnsi="宋体" w:eastAsia="宋体" w:cs="仿宋"/>
                <w:color w:val="auto"/>
                <w:szCs w:val="21"/>
              </w:rPr>
              <w:t>（3分）</w:t>
            </w:r>
          </w:p>
        </w:tc>
        <w:tc>
          <w:tcPr>
            <w:tcW w:w="7200" w:type="dxa"/>
            <w:vAlign w:val="center"/>
          </w:tcPr>
          <w:p w14:paraId="6945616F">
            <w:pPr>
              <w:rPr>
                <w:rFonts w:ascii="宋体" w:hAnsi="Times New Roman" w:eastAsia="宋体" w:cs="仿宋"/>
                <w:color w:val="auto"/>
                <w:szCs w:val="21"/>
              </w:rPr>
            </w:pPr>
            <w:r>
              <w:rPr>
                <w:rFonts w:hint="eastAsia" w:ascii="宋体" w:hAnsi="宋体" w:eastAsia="宋体" w:cs="仿宋"/>
                <w:color w:val="auto"/>
                <w:szCs w:val="21"/>
              </w:rPr>
              <w:t>提供20</w:t>
            </w:r>
            <w:r>
              <w:rPr>
                <w:rFonts w:ascii="宋体" w:hAnsi="宋体" w:eastAsia="宋体" w:cs="仿宋"/>
                <w:color w:val="auto"/>
                <w:szCs w:val="21"/>
              </w:rPr>
              <w:t>2</w:t>
            </w:r>
            <w:r>
              <w:rPr>
                <w:rFonts w:hint="eastAsia" w:ascii="宋体" w:hAnsi="宋体" w:eastAsia="宋体" w:cs="仿宋"/>
                <w:color w:val="auto"/>
                <w:szCs w:val="21"/>
                <w:lang w:val="en-US" w:eastAsia="zh-CN"/>
              </w:rPr>
              <w:t>2</w:t>
            </w:r>
            <w:r>
              <w:rPr>
                <w:rFonts w:hint="eastAsia" w:ascii="宋体" w:hAnsi="宋体" w:eastAsia="宋体" w:cs="仿宋"/>
                <w:color w:val="auto"/>
                <w:szCs w:val="21"/>
              </w:rPr>
              <w:t>年1月以来完成增殖放流同种苗业绩，每提供1个合同得</w:t>
            </w:r>
            <w:r>
              <w:rPr>
                <w:rFonts w:ascii="宋体" w:hAnsi="宋体" w:eastAsia="宋体" w:cs="仿宋"/>
                <w:color w:val="auto"/>
                <w:szCs w:val="21"/>
              </w:rPr>
              <w:t>1</w:t>
            </w:r>
            <w:r>
              <w:rPr>
                <w:rFonts w:hint="eastAsia" w:ascii="宋体" w:hAnsi="宋体" w:eastAsia="宋体" w:cs="仿宋"/>
                <w:color w:val="auto"/>
                <w:szCs w:val="21"/>
              </w:rPr>
              <w:t>.5分，最多得3分。</w:t>
            </w:r>
            <w:r>
              <w:rPr>
                <w:rFonts w:hint="eastAsia" w:ascii="宋体" w:hAnsi="宋体" w:eastAsia="宋体" w:cs="仿宋"/>
                <w:b/>
                <w:bCs/>
                <w:color w:val="auto"/>
                <w:szCs w:val="21"/>
                <w:lang w:val="en-US" w:eastAsia="zh-CN"/>
              </w:rPr>
              <w:t>（提供中标通知书（如有）、合同协议书及投标人认为需要提交的其他证明材料证实，复印件加盖公章，须提供重要页面，能够体现项目内容）</w:t>
            </w:r>
          </w:p>
        </w:tc>
        <w:tc>
          <w:tcPr>
            <w:tcW w:w="744" w:type="dxa"/>
            <w:vAlign w:val="center"/>
          </w:tcPr>
          <w:p w14:paraId="498AAA31">
            <w:pPr>
              <w:ind w:firstLine="210" w:firstLineChars="100"/>
              <w:rPr>
                <w:rFonts w:ascii="宋体" w:hAnsi="Times New Roman" w:eastAsia="宋体" w:cs="Times New Roman"/>
                <w:color w:val="auto"/>
              </w:rPr>
            </w:pPr>
          </w:p>
        </w:tc>
      </w:tr>
      <w:tr w14:paraId="3725B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1E243C63">
            <w:pPr>
              <w:jc w:val="center"/>
              <w:rPr>
                <w:rFonts w:ascii="宋体" w:hAnsi="Times New Roman" w:eastAsia="宋体" w:cs="Times New Roman"/>
                <w:color w:val="auto"/>
              </w:rPr>
            </w:pPr>
          </w:p>
        </w:tc>
        <w:tc>
          <w:tcPr>
            <w:tcW w:w="1836" w:type="dxa"/>
            <w:vAlign w:val="center"/>
          </w:tcPr>
          <w:p w14:paraId="006FFBCB">
            <w:pPr>
              <w:jc w:val="center"/>
              <w:rPr>
                <w:rFonts w:hint="eastAsia" w:ascii="宋体" w:hAnsi="宋体" w:eastAsia="宋体" w:cs="仿宋"/>
                <w:color w:val="auto"/>
                <w:szCs w:val="21"/>
              </w:rPr>
            </w:pPr>
            <w:r>
              <w:rPr>
                <w:rFonts w:hint="eastAsia" w:ascii="宋体" w:hAnsi="宋体" w:eastAsia="宋体" w:cs="仿宋"/>
                <w:color w:val="auto"/>
                <w:szCs w:val="21"/>
              </w:rPr>
              <w:t>放流服务能力</w:t>
            </w:r>
          </w:p>
          <w:p w14:paraId="6F761E51">
            <w:pPr>
              <w:jc w:val="center"/>
              <w:rPr>
                <w:rFonts w:ascii="宋体" w:hAnsi="宋体" w:eastAsia="宋体" w:cs="仿宋"/>
                <w:color w:val="auto"/>
                <w:szCs w:val="21"/>
              </w:rPr>
            </w:pPr>
            <w:r>
              <w:rPr>
                <w:rFonts w:hint="eastAsia" w:ascii="宋体" w:hAnsi="宋体" w:eastAsia="宋体" w:cs="仿宋"/>
                <w:color w:val="auto"/>
                <w:szCs w:val="21"/>
              </w:rPr>
              <w:t>（</w:t>
            </w:r>
            <w:r>
              <w:rPr>
                <w:rFonts w:ascii="宋体" w:hAnsi="宋体" w:eastAsia="宋体" w:cs="仿宋"/>
                <w:color w:val="auto"/>
                <w:szCs w:val="21"/>
              </w:rPr>
              <w:t>1</w:t>
            </w:r>
            <w:r>
              <w:rPr>
                <w:rFonts w:hint="eastAsia" w:ascii="宋体" w:hAnsi="宋体" w:eastAsia="宋体" w:cs="仿宋"/>
                <w:color w:val="auto"/>
                <w:szCs w:val="21"/>
              </w:rPr>
              <w:t>2分）</w:t>
            </w:r>
          </w:p>
        </w:tc>
        <w:tc>
          <w:tcPr>
            <w:tcW w:w="7200" w:type="dxa"/>
            <w:vAlign w:val="center"/>
          </w:tcPr>
          <w:p w14:paraId="6A1544F2">
            <w:pPr>
              <w:rPr>
                <w:rFonts w:ascii="宋体" w:hAnsi="Times New Roman" w:eastAsia="宋体" w:cs="仿宋"/>
                <w:color w:val="auto"/>
                <w:szCs w:val="21"/>
              </w:rPr>
            </w:pPr>
            <w:r>
              <w:rPr>
                <w:rFonts w:hint="eastAsia" w:ascii="宋体" w:hAnsi="宋体" w:eastAsia="宋体" w:cs="仿宋"/>
                <w:color w:val="auto"/>
                <w:szCs w:val="21"/>
              </w:rPr>
              <w:t>根据从供货单位的生产种苗基地到规定放流海域之间的种苗运输时间确定，</w:t>
            </w:r>
            <w:r>
              <w:rPr>
                <w:rFonts w:ascii="宋体" w:hAnsi="宋体" w:eastAsia="宋体" w:cs="仿宋"/>
                <w:color w:val="auto"/>
                <w:szCs w:val="21"/>
              </w:rPr>
              <w:t>2</w:t>
            </w:r>
            <w:r>
              <w:rPr>
                <w:rFonts w:hint="eastAsia" w:ascii="宋体" w:hAnsi="宋体" w:eastAsia="宋体" w:cs="仿宋"/>
                <w:color w:val="auto"/>
                <w:szCs w:val="21"/>
              </w:rPr>
              <w:t>小时内（含）能到达的得12分，每增加半个小时（含）扣1分，扣完为止。</w:t>
            </w:r>
          </w:p>
          <w:p w14:paraId="60FC7350">
            <w:pPr>
              <w:rPr>
                <w:rFonts w:ascii="宋体" w:hAnsi="宋体" w:eastAsia="宋体" w:cs="仿宋"/>
                <w:color w:val="auto"/>
                <w:szCs w:val="21"/>
              </w:rPr>
            </w:pPr>
            <w:r>
              <w:rPr>
                <w:rFonts w:hint="eastAsia" w:ascii="宋体" w:hAnsi="宋体" w:eastAsia="宋体" w:cs="仿宋"/>
                <w:b/>
                <w:color w:val="auto"/>
                <w:szCs w:val="21"/>
              </w:rPr>
              <w:t>（须承诺且提供相关证明文件，无承诺或未提供相关证明文件都不得分。</w:t>
            </w:r>
            <w:r>
              <w:rPr>
                <w:rFonts w:hint="eastAsia" w:ascii="宋体" w:hAnsi="宋体" w:eastAsia="宋体" w:cs="Times New Roman"/>
                <w:b/>
                <w:color w:val="auto"/>
              </w:rPr>
              <w:t>虚假承诺者做无效标处理，并承担相关责任，且不能参与本单位下一年度的投标。</w:t>
            </w:r>
            <w:r>
              <w:rPr>
                <w:rFonts w:hint="eastAsia" w:ascii="宋体" w:hAnsi="宋体" w:eastAsia="宋体" w:cs="仿宋"/>
                <w:b/>
                <w:color w:val="auto"/>
                <w:szCs w:val="21"/>
              </w:rPr>
              <w:t>）</w:t>
            </w:r>
          </w:p>
        </w:tc>
        <w:tc>
          <w:tcPr>
            <w:tcW w:w="744" w:type="dxa"/>
            <w:vAlign w:val="center"/>
          </w:tcPr>
          <w:p w14:paraId="2CC77807">
            <w:pPr>
              <w:ind w:firstLine="210" w:firstLineChars="100"/>
              <w:rPr>
                <w:rFonts w:ascii="宋体" w:hAnsi="Times New Roman" w:eastAsia="宋体" w:cs="Times New Roman"/>
                <w:color w:val="auto"/>
              </w:rPr>
            </w:pPr>
          </w:p>
        </w:tc>
      </w:tr>
      <w:tr w14:paraId="63C26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1081" w:type="dxa"/>
            <w:vMerge w:val="continue"/>
            <w:vAlign w:val="center"/>
          </w:tcPr>
          <w:p w14:paraId="5A1646FA">
            <w:pPr>
              <w:rPr>
                <w:rFonts w:ascii="宋体" w:hAnsi="Times New Roman" w:eastAsia="宋体" w:cs="Times New Roman"/>
                <w:color w:val="auto"/>
              </w:rPr>
            </w:pPr>
          </w:p>
        </w:tc>
        <w:tc>
          <w:tcPr>
            <w:tcW w:w="1836" w:type="dxa"/>
            <w:vAlign w:val="center"/>
          </w:tcPr>
          <w:p w14:paraId="40D6FB35">
            <w:pPr>
              <w:jc w:val="center"/>
              <w:rPr>
                <w:rFonts w:ascii="宋体" w:hAnsi="Times New Roman" w:eastAsia="宋体" w:cs="仿宋"/>
                <w:color w:val="auto"/>
                <w:szCs w:val="21"/>
              </w:rPr>
            </w:pPr>
            <w:r>
              <w:rPr>
                <w:rFonts w:hint="eastAsia" w:ascii="宋体" w:hAnsi="宋体" w:eastAsia="宋体" w:cs="仿宋"/>
                <w:color w:val="auto"/>
                <w:kern w:val="0"/>
                <w:szCs w:val="21"/>
              </w:rPr>
              <w:t>苗种运输及放流组织方案（6分）</w:t>
            </w:r>
          </w:p>
        </w:tc>
        <w:tc>
          <w:tcPr>
            <w:tcW w:w="7200" w:type="dxa"/>
            <w:vAlign w:val="center"/>
          </w:tcPr>
          <w:p w14:paraId="6D7995E6">
            <w:pPr>
              <w:rPr>
                <w:rFonts w:ascii="宋体" w:hAnsi="Times New Roman" w:eastAsia="宋体" w:cs="仿宋"/>
                <w:b/>
                <w:color w:val="auto"/>
                <w:szCs w:val="21"/>
              </w:rPr>
            </w:pPr>
            <w:r>
              <w:rPr>
                <w:rFonts w:hint="eastAsia" w:ascii="宋体" w:hAnsi="宋体" w:eastAsia="宋体" w:cs="仿宋"/>
                <w:color w:val="auto"/>
                <w:kern w:val="0"/>
                <w:szCs w:val="21"/>
              </w:rPr>
              <w:t>方案完整合理的，得6分</w:t>
            </w:r>
            <w:r>
              <w:rPr>
                <w:rFonts w:hint="eastAsia" w:ascii="宋体" w:hAnsi="宋体" w:eastAsia="宋体" w:cs="仿宋"/>
                <w:color w:val="auto"/>
                <w:kern w:val="0"/>
                <w:szCs w:val="21"/>
                <w:lang w:eastAsia="zh-CN"/>
              </w:rPr>
              <w:t>；</w:t>
            </w:r>
            <w:r>
              <w:rPr>
                <w:rFonts w:hint="eastAsia" w:ascii="宋体" w:hAnsi="宋体" w:eastAsia="宋体" w:cs="仿宋"/>
                <w:color w:val="auto"/>
                <w:kern w:val="0"/>
                <w:szCs w:val="21"/>
              </w:rPr>
              <w:t>方案基本合理的，得4分</w:t>
            </w:r>
            <w:r>
              <w:rPr>
                <w:rFonts w:hint="eastAsia" w:ascii="宋体" w:hAnsi="宋体" w:eastAsia="宋体" w:cs="仿宋"/>
                <w:color w:val="auto"/>
                <w:kern w:val="0"/>
                <w:szCs w:val="21"/>
                <w:lang w:eastAsia="zh-CN"/>
              </w:rPr>
              <w:t>；</w:t>
            </w:r>
            <w:r>
              <w:rPr>
                <w:rFonts w:hint="eastAsia" w:ascii="宋体" w:hAnsi="宋体" w:eastAsia="宋体" w:cs="仿宋"/>
                <w:color w:val="auto"/>
                <w:kern w:val="0"/>
                <w:szCs w:val="21"/>
              </w:rPr>
              <w:t>方案不够合理的，得2分</w:t>
            </w:r>
            <w:r>
              <w:rPr>
                <w:rFonts w:hint="eastAsia" w:ascii="宋体" w:hAnsi="宋体" w:eastAsia="宋体" w:cs="仿宋"/>
                <w:color w:val="auto"/>
                <w:kern w:val="0"/>
                <w:szCs w:val="21"/>
                <w:lang w:eastAsia="zh-CN"/>
              </w:rPr>
              <w:t>；</w:t>
            </w:r>
            <w:r>
              <w:rPr>
                <w:rFonts w:hint="eastAsia" w:ascii="宋体" w:hAnsi="宋体" w:eastAsia="宋体" w:cs="仿宋"/>
                <w:color w:val="auto"/>
                <w:kern w:val="0"/>
                <w:szCs w:val="21"/>
              </w:rPr>
              <w:t>方案不合理的不得分。</w:t>
            </w:r>
          </w:p>
        </w:tc>
        <w:tc>
          <w:tcPr>
            <w:tcW w:w="744" w:type="dxa"/>
            <w:vAlign w:val="center"/>
          </w:tcPr>
          <w:p w14:paraId="788E4338">
            <w:pPr>
              <w:ind w:firstLine="210" w:firstLineChars="100"/>
              <w:rPr>
                <w:rFonts w:ascii="宋体" w:hAnsi="Times New Roman" w:eastAsia="宋体" w:cs="Times New Roman"/>
                <w:color w:val="auto"/>
              </w:rPr>
            </w:pPr>
          </w:p>
        </w:tc>
      </w:tr>
      <w:tr w14:paraId="4B311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081" w:type="dxa"/>
            <w:vMerge w:val="continue"/>
            <w:vAlign w:val="center"/>
          </w:tcPr>
          <w:p w14:paraId="0925B0DE">
            <w:pPr>
              <w:rPr>
                <w:rFonts w:ascii="宋体" w:hAnsi="Times New Roman" w:eastAsia="宋体" w:cs="Times New Roman"/>
                <w:color w:val="auto"/>
              </w:rPr>
            </w:pPr>
          </w:p>
        </w:tc>
        <w:tc>
          <w:tcPr>
            <w:tcW w:w="1836" w:type="dxa"/>
            <w:vAlign w:val="center"/>
          </w:tcPr>
          <w:p w14:paraId="49CCBE3A">
            <w:pPr>
              <w:widowControl/>
              <w:tabs>
                <w:tab w:val="left" w:pos="0"/>
              </w:tabs>
              <w:jc w:val="center"/>
              <w:rPr>
                <w:rFonts w:ascii="宋体" w:hAnsi="Times New Roman" w:eastAsia="宋体" w:cs="仿宋"/>
                <w:color w:val="auto"/>
                <w:szCs w:val="21"/>
              </w:rPr>
            </w:pPr>
            <w:r>
              <w:rPr>
                <w:rFonts w:hint="eastAsia" w:ascii="宋体" w:hAnsi="宋体" w:eastAsia="宋体" w:cs="仿宋"/>
                <w:color w:val="auto"/>
                <w:szCs w:val="21"/>
              </w:rPr>
              <w:t>合同履约情况，技术支撑情况，放流沟通、海域熟悉情况（11分）</w:t>
            </w:r>
          </w:p>
        </w:tc>
        <w:tc>
          <w:tcPr>
            <w:tcW w:w="7200" w:type="dxa"/>
            <w:vAlign w:val="center"/>
          </w:tcPr>
          <w:p w14:paraId="77E21DCF">
            <w:pPr>
              <w:rPr>
                <w:rFonts w:ascii="宋体" w:hAnsi="Times New Roman" w:eastAsia="宋体" w:cs="仿宋"/>
                <w:color w:val="auto"/>
                <w:kern w:val="0"/>
                <w:szCs w:val="21"/>
              </w:rPr>
            </w:pPr>
            <w:r>
              <w:rPr>
                <w:rFonts w:hint="eastAsia" w:ascii="宋体" w:hAnsi="宋体" w:eastAsia="宋体" w:cs="仿宋"/>
                <w:color w:val="auto"/>
                <w:szCs w:val="21"/>
              </w:rPr>
              <w:t>合同履约及放流沟通情况能完全满足放流要求，对相关放流海域非常熟悉的，得11分；合同履约及放流沟通情况能基本满足放流要求，对相关放流海域熟悉的，得</w:t>
            </w:r>
            <w:r>
              <w:rPr>
                <w:rFonts w:ascii="宋体" w:hAnsi="宋体" w:eastAsia="宋体" w:cs="仿宋"/>
                <w:color w:val="auto"/>
                <w:szCs w:val="21"/>
              </w:rPr>
              <w:t>6</w:t>
            </w:r>
            <w:r>
              <w:rPr>
                <w:rFonts w:hint="eastAsia" w:ascii="宋体" w:hAnsi="宋体" w:eastAsia="宋体" w:cs="仿宋"/>
                <w:color w:val="auto"/>
                <w:szCs w:val="21"/>
              </w:rPr>
              <w:t>分；合同履约及放流沟通情况仅能基本满足放流要求，对相关放流海域不够熟悉的；得</w:t>
            </w:r>
            <w:r>
              <w:rPr>
                <w:rFonts w:ascii="宋体" w:hAnsi="宋体" w:eastAsia="宋体" w:cs="仿宋"/>
                <w:color w:val="auto"/>
                <w:szCs w:val="21"/>
              </w:rPr>
              <w:t>2</w:t>
            </w:r>
            <w:r>
              <w:rPr>
                <w:rFonts w:hint="eastAsia" w:ascii="宋体" w:hAnsi="宋体" w:eastAsia="宋体" w:cs="仿宋"/>
                <w:color w:val="auto"/>
                <w:szCs w:val="21"/>
              </w:rPr>
              <w:t>分；无法履行合同要求，对放流海域不熟悉，无法满足放流要求的不得分。</w:t>
            </w:r>
            <w:r>
              <w:rPr>
                <w:rFonts w:hint="eastAsia" w:ascii="宋体" w:hAnsi="宋体" w:eastAsia="宋体" w:cs="仿宋"/>
                <w:b/>
                <w:bCs/>
                <w:color w:val="auto"/>
                <w:szCs w:val="21"/>
              </w:rPr>
              <w:t>（提供合同履约相关证明文件，复印件加盖公章。）</w:t>
            </w:r>
          </w:p>
        </w:tc>
        <w:tc>
          <w:tcPr>
            <w:tcW w:w="744" w:type="dxa"/>
            <w:vAlign w:val="center"/>
          </w:tcPr>
          <w:p w14:paraId="21466808">
            <w:pPr>
              <w:ind w:firstLine="210" w:firstLineChars="100"/>
              <w:rPr>
                <w:rFonts w:ascii="宋体" w:hAnsi="Times New Roman" w:eastAsia="宋体" w:cs="Times New Roman"/>
                <w:color w:val="auto"/>
              </w:rPr>
            </w:pPr>
          </w:p>
        </w:tc>
      </w:tr>
      <w:tr w14:paraId="1768E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5" w:hRule="atLeast"/>
          <w:jc w:val="center"/>
        </w:trPr>
        <w:tc>
          <w:tcPr>
            <w:tcW w:w="1081" w:type="dxa"/>
            <w:vMerge w:val="continue"/>
            <w:vAlign w:val="center"/>
          </w:tcPr>
          <w:p w14:paraId="69AE168E">
            <w:pPr>
              <w:rPr>
                <w:rFonts w:ascii="宋体" w:hAnsi="Times New Roman" w:eastAsia="宋体" w:cs="Times New Roman"/>
                <w:color w:val="auto"/>
              </w:rPr>
            </w:pPr>
          </w:p>
        </w:tc>
        <w:tc>
          <w:tcPr>
            <w:tcW w:w="1836" w:type="dxa"/>
            <w:vAlign w:val="center"/>
          </w:tcPr>
          <w:p w14:paraId="0B18251A">
            <w:pPr>
              <w:tabs>
                <w:tab w:val="left" w:pos="1080"/>
              </w:tabs>
              <w:jc w:val="center"/>
              <w:rPr>
                <w:rFonts w:ascii="宋体" w:hAnsi="宋体" w:eastAsia="宋体" w:cs="宋体"/>
                <w:color w:val="auto"/>
                <w:kern w:val="0"/>
                <w:szCs w:val="21"/>
              </w:rPr>
            </w:pPr>
            <w:r>
              <w:rPr>
                <w:rFonts w:hint="eastAsia" w:ascii="宋体" w:hAnsi="宋体" w:eastAsia="宋体" w:cs="宋体"/>
                <w:color w:val="auto"/>
                <w:kern w:val="0"/>
                <w:szCs w:val="21"/>
              </w:rPr>
              <w:t>技术力量</w:t>
            </w:r>
          </w:p>
          <w:p w14:paraId="4AC97048">
            <w:pPr>
              <w:tabs>
                <w:tab w:val="left" w:pos="1080"/>
              </w:tabs>
              <w:jc w:val="center"/>
              <w:rPr>
                <w:rFonts w:ascii="宋体" w:hAnsi="宋体" w:eastAsia="宋体" w:cs="宋体"/>
                <w:color w:val="auto"/>
                <w:kern w:val="0"/>
                <w:szCs w:val="21"/>
              </w:rPr>
            </w:pPr>
            <w:r>
              <w:rPr>
                <w:rFonts w:hint="eastAsia" w:ascii="宋体" w:hAnsi="宋体" w:eastAsia="宋体" w:cs="宋体"/>
                <w:color w:val="auto"/>
                <w:kern w:val="0"/>
                <w:szCs w:val="21"/>
              </w:rPr>
              <w:t>（8分）</w:t>
            </w:r>
          </w:p>
        </w:tc>
        <w:tc>
          <w:tcPr>
            <w:tcW w:w="7200" w:type="dxa"/>
            <w:vAlign w:val="center"/>
          </w:tcPr>
          <w:p w14:paraId="2E6CAC11">
            <w:pPr>
              <w:tabs>
                <w:tab w:val="left" w:pos="0"/>
              </w:tabs>
              <w:rPr>
                <w:rFonts w:ascii="宋体" w:hAnsi="宋体" w:eastAsia="宋体" w:cs="宋体"/>
                <w:color w:val="auto"/>
              </w:rPr>
            </w:pPr>
            <w:r>
              <w:rPr>
                <w:rFonts w:hint="eastAsia" w:ascii="宋体" w:hAnsi="宋体" w:eastAsia="宋体" w:cs="宋体"/>
                <w:color w:val="auto"/>
              </w:rPr>
              <w:t>1.水产类相关专业副高以上技术人员情况，有一人得2分，最多得4分；</w:t>
            </w:r>
          </w:p>
          <w:p w14:paraId="68F106AA">
            <w:pPr>
              <w:tabs>
                <w:tab w:val="left" w:pos="0"/>
              </w:tabs>
              <w:rPr>
                <w:rFonts w:ascii="宋体" w:hAnsi="宋体" w:eastAsia="宋体" w:cs="宋体"/>
                <w:b/>
                <w:bCs/>
                <w:color w:val="auto"/>
              </w:rPr>
            </w:pPr>
            <w:r>
              <w:rPr>
                <w:rFonts w:hint="eastAsia" w:ascii="宋体" w:hAnsi="宋体" w:eastAsia="宋体" w:cs="宋体"/>
                <w:b/>
                <w:bCs/>
                <w:color w:val="auto"/>
              </w:rPr>
              <w:t>（提供技术人员职称证书、职业资格证书复印件加盖公章。本单位人员须提供</w:t>
            </w:r>
            <w:r>
              <w:rPr>
                <w:rFonts w:hint="eastAsia" w:ascii="宋体" w:hAnsi="宋体" w:eastAsia="宋体" w:cs="宋体"/>
                <w:b/>
                <w:bCs/>
                <w:color w:val="auto"/>
                <w:lang w:val="en-US" w:eastAsia="zh-CN"/>
              </w:rPr>
              <w:t>25年1月、2月、3月</w:t>
            </w:r>
            <w:r>
              <w:rPr>
                <w:rFonts w:hint="eastAsia" w:ascii="宋体" w:hAnsi="宋体" w:eastAsia="宋体" w:cs="宋体"/>
                <w:b/>
                <w:bCs/>
                <w:color w:val="auto"/>
              </w:rPr>
              <w:t>任意一个月的社保证明及工资支付证明，对外聘用人员提供聘用合同复印件及工资支付证明，否则不得分）</w:t>
            </w:r>
          </w:p>
          <w:p w14:paraId="05AAC7D7">
            <w:pPr>
              <w:tabs>
                <w:tab w:val="left" w:pos="0"/>
              </w:tabs>
              <w:rPr>
                <w:rFonts w:ascii="宋体" w:hAnsi="宋体" w:eastAsia="宋体" w:cs="宋体"/>
                <w:color w:val="auto"/>
              </w:rPr>
            </w:pPr>
            <w:r>
              <w:rPr>
                <w:rFonts w:hint="eastAsia" w:ascii="宋体" w:hAnsi="宋体" w:eastAsia="宋体" w:cs="宋体"/>
                <w:color w:val="auto"/>
              </w:rPr>
              <w:t>2.水产类相关专业、有证书的技术工人情况，有一人得2分，最多得4分；</w:t>
            </w:r>
          </w:p>
          <w:p w14:paraId="446EDB02">
            <w:pPr>
              <w:tabs>
                <w:tab w:val="left" w:pos="0"/>
              </w:tabs>
              <w:rPr>
                <w:rFonts w:ascii="宋体" w:hAnsi="宋体" w:eastAsia="宋体" w:cs="宋体"/>
                <w:b/>
                <w:bCs/>
                <w:color w:val="auto"/>
              </w:rPr>
            </w:pPr>
            <w:r>
              <w:rPr>
                <w:rFonts w:hint="eastAsia" w:ascii="宋体" w:hAnsi="宋体" w:eastAsia="宋体" w:cs="宋体"/>
                <w:b/>
                <w:bCs/>
                <w:color w:val="auto"/>
              </w:rPr>
              <w:t>（提供技术人员职称证书、职业资格证书复印件加盖公章。本单位人员须提供</w:t>
            </w:r>
            <w:r>
              <w:rPr>
                <w:rFonts w:hint="eastAsia" w:ascii="宋体" w:hAnsi="宋体" w:eastAsia="宋体" w:cs="宋体"/>
                <w:b/>
                <w:bCs/>
                <w:color w:val="auto"/>
                <w:lang w:val="en-US" w:eastAsia="zh-CN"/>
              </w:rPr>
              <w:t>25年1月、2月、3月</w:t>
            </w:r>
            <w:r>
              <w:rPr>
                <w:rFonts w:hint="eastAsia" w:ascii="宋体" w:hAnsi="宋体" w:eastAsia="宋体" w:cs="宋体"/>
                <w:b/>
                <w:bCs/>
                <w:color w:val="auto"/>
              </w:rPr>
              <w:t>任意一个月的社保证明及工资支付证明，对外聘用人员提供聘用合同复印件及工资支付证明，否则不得分）</w:t>
            </w:r>
          </w:p>
          <w:p w14:paraId="664F2BF6">
            <w:pPr>
              <w:pStyle w:val="58"/>
              <w:ind w:firstLine="0" w:firstLineChars="0"/>
              <w:rPr>
                <w:rFonts w:ascii="宋体" w:hAnsi="宋体" w:cs="宋体"/>
                <w:color w:val="auto"/>
              </w:rPr>
            </w:pPr>
            <w:r>
              <w:rPr>
                <w:rFonts w:hint="eastAsia" w:ascii="宋体" w:hAnsi="宋体" w:cs="宋体"/>
                <w:b/>
                <w:bCs/>
                <w:color w:val="auto"/>
                <w:szCs w:val="21"/>
              </w:rPr>
              <w:t>注：以上两点不重复得分。</w:t>
            </w:r>
          </w:p>
        </w:tc>
        <w:tc>
          <w:tcPr>
            <w:tcW w:w="744" w:type="dxa"/>
            <w:vAlign w:val="center"/>
          </w:tcPr>
          <w:p w14:paraId="1D2E0976">
            <w:pPr>
              <w:ind w:firstLine="210" w:firstLineChars="100"/>
              <w:rPr>
                <w:rFonts w:ascii="宋体" w:hAnsi="Times New Roman" w:eastAsia="宋体" w:cs="Times New Roman"/>
                <w:color w:val="auto"/>
              </w:rPr>
            </w:pPr>
          </w:p>
        </w:tc>
      </w:tr>
      <w:tr w14:paraId="1CE60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7BAE68D5">
            <w:pPr>
              <w:widowControl/>
              <w:jc w:val="left"/>
              <w:rPr>
                <w:rFonts w:ascii="宋体" w:hAnsi="Times New Roman" w:eastAsia="宋体" w:cs="Times New Roman"/>
                <w:color w:val="auto"/>
              </w:rPr>
            </w:pPr>
          </w:p>
        </w:tc>
        <w:tc>
          <w:tcPr>
            <w:tcW w:w="1836" w:type="dxa"/>
            <w:vMerge w:val="restart"/>
            <w:vAlign w:val="center"/>
          </w:tcPr>
          <w:p w14:paraId="43A9ABFD">
            <w:pPr>
              <w:widowControl/>
              <w:tabs>
                <w:tab w:val="left" w:pos="0"/>
              </w:tabs>
              <w:jc w:val="center"/>
              <w:rPr>
                <w:rFonts w:ascii="宋体" w:hAnsi="Times New Roman" w:eastAsia="宋体" w:cs="仿宋"/>
                <w:color w:val="auto"/>
                <w:kern w:val="0"/>
                <w:szCs w:val="21"/>
              </w:rPr>
            </w:pPr>
            <w:r>
              <w:rPr>
                <w:rFonts w:hint="eastAsia" w:ascii="宋体" w:hAnsi="宋体" w:eastAsia="宋体" w:cs="仿宋"/>
                <w:color w:val="auto"/>
                <w:kern w:val="0"/>
                <w:szCs w:val="21"/>
              </w:rPr>
              <w:t>育苗能力</w:t>
            </w:r>
          </w:p>
          <w:p w14:paraId="7D34A11F">
            <w:pPr>
              <w:widowControl/>
              <w:tabs>
                <w:tab w:val="left" w:pos="0"/>
              </w:tabs>
              <w:jc w:val="center"/>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3分）</w:t>
            </w:r>
          </w:p>
        </w:tc>
        <w:tc>
          <w:tcPr>
            <w:tcW w:w="7200" w:type="dxa"/>
            <w:vAlign w:val="center"/>
          </w:tcPr>
          <w:p w14:paraId="6293DD7A">
            <w:pPr>
              <w:widowControl/>
              <w:tabs>
                <w:tab w:val="left" w:pos="0"/>
              </w:tabs>
              <w:rPr>
                <w:rFonts w:ascii="宋体" w:hAnsi="宋体" w:eastAsia="宋体" w:cs="仿宋"/>
                <w:color w:val="auto"/>
                <w:kern w:val="0"/>
                <w:szCs w:val="21"/>
              </w:rPr>
            </w:pPr>
            <w:r>
              <w:rPr>
                <w:rFonts w:hint="eastAsia" w:ascii="宋体" w:hAnsi="宋体" w:eastAsia="宋体" w:cs="仿宋"/>
                <w:color w:val="auto"/>
                <w:kern w:val="0"/>
                <w:szCs w:val="21"/>
              </w:rPr>
              <w:t>种质来源情况：来源为野生种得5分，其他得2分。</w:t>
            </w:r>
            <w:r>
              <w:rPr>
                <w:rFonts w:hint="eastAsia" w:ascii="宋体" w:hAnsi="宋体" w:eastAsia="宋体" w:cs="仿宋"/>
                <w:b/>
                <w:bCs/>
                <w:color w:val="auto"/>
                <w:kern w:val="0"/>
                <w:szCs w:val="21"/>
              </w:rPr>
              <w:t>（须提供相关证明材料）</w:t>
            </w:r>
          </w:p>
        </w:tc>
        <w:tc>
          <w:tcPr>
            <w:tcW w:w="744" w:type="dxa"/>
            <w:vAlign w:val="center"/>
          </w:tcPr>
          <w:p w14:paraId="17955D67">
            <w:pPr>
              <w:ind w:firstLine="210" w:firstLineChars="100"/>
              <w:rPr>
                <w:rFonts w:ascii="宋体" w:hAnsi="Times New Roman" w:eastAsia="宋体" w:cs="Times New Roman"/>
                <w:color w:val="auto"/>
              </w:rPr>
            </w:pPr>
          </w:p>
        </w:tc>
      </w:tr>
      <w:tr w14:paraId="52600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33FD0882">
            <w:pPr>
              <w:widowControl/>
              <w:jc w:val="left"/>
              <w:rPr>
                <w:rFonts w:ascii="宋体" w:hAnsi="Times New Roman" w:eastAsia="宋体" w:cs="Times New Roman"/>
                <w:color w:val="auto"/>
              </w:rPr>
            </w:pPr>
          </w:p>
        </w:tc>
        <w:tc>
          <w:tcPr>
            <w:tcW w:w="1836" w:type="dxa"/>
            <w:vMerge w:val="continue"/>
            <w:vAlign w:val="center"/>
          </w:tcPr>
          <w:p w14:paraId="7DBB0F1A">
            <w:pPr>
              <w:widowControl/>
              <w:tabs>
                <w:tab w:val="left" w:pos="0"/>
              </w:tabs>
              <w:jc w:val="center"/>
              <w:rPr>
                <w:rFonts w:ascii="宋体" w:hAnsi="宋体" w:eastAsia="宋体" w:cs="仿宋"/>
                <w:color w:val="auto"/>
                <w:kern w:val="0"/>
                <w:szCs w:val="21"/>
              </w:rPr>
            </w:pPr>
          </w:p>
        </w:tc>
        <w:tc>
          <w:tcPr>
            <w:tcW w:w="7200" w:type="dxa"/>
            <w:vAlign w:val="center"/>
          </w:tcPr>
          <w:p w14:paraId="36CC2267">
            <w:pPr>
              <w:widowControl/>
              <w:tabs>
                <w:tab w:val="left" w:pos="0"/>
              </w:tabs>
              <w:rPr>
                <w:rFonts w:ascii="宋体" w:hAnsi="宋体" w:eastAsia="宋体" w:cs="仿宋"/>
                <w:color w:val="auto"/>
                <w:kern w:val="0"/>
                <w:szCs w:val="21"/>
              </w:rPr>
            </w:pPr>
            <w:r>
              <w:rPr>
                <w:rFonts w:hint="eastAsia" w:ascii="宋体" w:hAnsi="宋体" w:eastAsia="宋体" w:cs="仿宋"/>
                <w:color w:val="auto"/>
                <w:kern w:val="0"/>
                <w:szCs w:val="21"/>
              </w:rPr>
              <w:t>本种类亲本数量及年生产本种类种苗数量等情况：满足种苗生产需要及放流要求的得3分，否则不得分。</w:t>
            </w:r>
            <w:r>
              <w:rPr>
                <w:rFonts w:hint="eastAsia" w:ascii="宋体" w:hAnsi="宋体" w:eastAsia="宋体" w:cs="仿宋"/>
                <w:b/>
                <w:bCs/>
                <w:color w:val="auto"/>
                <w:kern w:val="0"/>
                <w:szCs w:val="21"/>
              </w:rPr>
              <w:t>（须提供相关证明材料）</w:t>
            </w:r>
          </w:p>
        </w:tc>
        <w:tc>
          <w:tcPr>
            <w:tcW w:w="744" w:type="dxa"/>
            <w:vAlign w:val="center"/>
          </w:tcPr>
          <w:p w14:paraId="08869850">
            <w:pPr>
              <w:ind w:firstLine="210" w:firstLineChars="100"/>
              <w:rPr>
                <w:rFonts w:ascii="宋体" w:hAnsi="Times New Roman" w:eastAsia="宋体" w:cs="Times New Roman"/>
                <w:color w:val="auto"/>
              </w:rPr>
            </w:pPr>
          </w:p>
        </w:tc>
      </w:tr>
      <w:tr w14:paraId="0657A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Merge w:val="continue"/>
            <w:vAlign w:val="center"/>
          </w:tcPr>
          <w:p w14:paraId="430218F3">
            <w:pPr>
              <w:widowControl/>
              <w:jc w:val="left"/>
              <w:rPr>
                <w:rFonts w:ascii="宋体" w:hAnsi="Times New Roman" w:eastAsia="宋体" w:cs="Times New Roman"/>
                <w:color w:val="auto"/>
              </w:rPr>
            </w:pPr>
          </w:p>
        </w:tc>
        <w:tc>
          <w:tcPr>
            <w:tcW w:w="1836" w:type="dxa"/>
            <w:vMerge w:val="continue"/>
            <w:vAlign w:val="center"/>
          </w:tcPr>
          <w:p w14:paraId="7C6C9247">
            <w:pPr>
              <w:widowControl/>
              <w:tabs>
                <w:tab w:val="left" w:pos="0"/>
              </w:tabs>
              <w:jc w:val="center"/>
              <w:rPr>
                <w:rFonts w:ascii="宋体" w:hAnsi="宋体" w:eastAsia="宋体" w:cs="仿宋"/>
                <w:color w:val="auto"/>
                <w:kern w:val="0"/>
                <w:szCs w:val="21"/>
              </w:rPr>
            </w:pPr>
          </w:p>
        </w:tc>
        <w:tc>
          <w:tcPr>
            <w:tcW w:w="7200" w:type="dxa"/>
            <w:vAlign w:val="center"/>
          </w:tcPr>
          <w:p w14:paraId="271CA009">
            <w:pPr>
              <w:widowControl/>
              <w:tabs>
                <w:tab w:val="left" w:pos="0"/>
              </w:tabs>
              <w:rPr>
                <w:rFonts w:ascii="Times New Roman" w:hAnsi="Times New Roman" w:eastAsia="宋体" w:cs="Times New Roman"/>
                <w:color w:val="auto"/>
                <w:szCs w:val="21"/>
              </w:rPr>
            </w:pPr>
            <w:r>
              <w:rPr>
                <w:rFonts w:hint="eastAsia" w:ascii="宋体" w:hAnsi="宋体" w:eastAsia="宋体" w:cs="仿宋"/>
                <w:color w:val="auto"/>
                <w:kern w:val="0"/>
                <w:szCs w:val="21"/>
              </w:rPr>
              <w:t>育苗水体情况：育苗水体3000m³（含）以上的得5分，1500（含）-3000m³的得3分，1500m³以下的得1分。</w:t>
            </w:r>
            <w:r>
              <w:rPr>
                <w:rFonts w:hint="eastAsia" w:ascii="Times New Roman" w:hAnsi="Times New Roman" w:eastAsia="宋体" w:cs="Times New Roman"/>
                <w:b/>
                <w:bCs/>
                <w:color w:val="auto"/>
                <w:szCs w:val="21"/>
              </w:rPr>
              <w:t>（</w:t>
            </w:r>
            <w:r>
              <w:rPr>
                <w:rFonts w:hint="eastAsia" w:ascii="宋体" w:hAnsi="宋体" w:eastAsia="宋体" w:cs="仿宋"/>
                <w:b/>
                <w:bCs/>
                <w:color w:val="auto"/>
                <w:kern w:val="0"/>
                <w:szCs w:val="21"/>
              </w:rPr>
              <w:t>须提供当地渔业主管部门出具的相关证明材料</w:t>
            </w:r>
            <w:r>
              <w:rPr>
                <w:rFonts w:hint="eastAsia" w:ascii="Times New Roman" w:hAnsi="Times New Roman" w:eastAsia="宋体" w:cs="Times New Roman"/>
                <w:b/>
                <w:bCs/>
                <w:color w:val="auto"/>
                <w:szCs w:val="21"/>
              </w:rPr>
              <w:t>）</w:t>
            </w:r>
          </w:p>
        </w:tc>
        <w:tc>
          <w:tcPr>
            <w:tcW w:w="744" w:type="dxa"/>
            <w:vAlign w:val="center"/>
          </w:tcPr>
          <w:p w14:paraId="34F4705C">
            <w:pPr>
              <w:ind w:firstLine="210" w:firstLineChars="100"/>
              <w:rPr>
                <w:rFonts w:ascii="宋体" w:hAnsi="Times New Roman" w:eastAsia="宋体" w:cs="Times New Roman"/>
                <w:color w:val="auto"/>
              </w:rPr>
            </w:pPr>
          </w:p>
        </w:tc>
      </w:tr>
      <w:tr w14:paraId="7ED67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2" w:hRule="atLeast"/>
          <w:jc w:val="center"/>
        </w:trPr>
        <w:tc>
          <w:tcPr>
            <w:tcW w:w="1081" w:type="dxa"/>
            <w:vMerge w:val="continue"/>
            <w:vAlign w:val="center"/>
          </w:tcPr>
          <w:p w14:paraId="1E72038A">
            <w:pPr>
              <w:widowControl/>
              <w:jc w:val="left"/>
              <w:rPr>
                <w:rFonts w:ascii="宋体" w:hAnsi="Times New Roman" w:eastAsia="宋体" w:cs="Times New Roman"/>
                <w:color w:val="auto"/>
              </w:rPr>
            </w:pPr>
          </w:p>
        </w:tc>
        <w:tc>
          <w:tcPr>
            <w:tcW w:w="1836" w:type="dxa"/>
            <w:vAlign w:val="center"/>
          </w:tcPr>
          <w:p w14:paraId="32AD4781">
            <w:pPr>
              <w:widowControl/>
              <w:tabs>
                <w:tab w:val="left" w:pos="0"/>
              </w:tabs>
              <w:jc w:val="center"/>
              <w:rPr>
                <w:rFonts w:ascii="宋体" w:hAnsi="Times New Roman" w:eastAsia="宋体" w:cs="仿宋"/>
                <w:color w:val="auto"/>
                <w:kern w:val="0"/>
                <w:szCs w:val="21"/>
              </w:rPr>
            </w:pPr>
            <w:r>
              <w:rPr>
                <w:rFonts w:hint="eastAsia" w:ascii="宋体" w:hAnsi="宋体" w:eastAsia="宋体" w:cs="仿宋"/>
                <w:color w:val="auto"/>
                <w:kern w:val="0"/>
                <w:szCs w:val="21"/>
              </w:rPr>
              <w:t>企业信誉</w:t>
            </w:r>
          </w:p>
          <w:p w14:paraId="46FCEDA1">
            <w:pPr>
              <w:widowControl/>
              <w:tabs>
                <w:tab w:val="left" w:pos="0"/>
              </w:tabs>
              <w:jc w:val="center"/>
              <w:rPr>
                <w:rFonts w:ascii="宋体" w:hAnsi="Times New Roman" w:eastAsia="宋体" w:cs="仿宋"/>
                <w:color w:val="auto"/>
                <w:szCs w:val="21"/>
              </w:rPr>
            </w:pPr>
            <w:r>
              <w:rPr>
                <w:rFonts w:hint="eastAsia" w:ascii="宋体" w:hAnsi="宋体" w:eastAsia="宋体" w:cs="仿宋"/>
                <w:color w:val="auto"/>
                <w:kern w:val="0"/>
                <w:szCs w:val="21"/>
              </w:rPr>
              <w:t>（</w:t>
            </w:r>
            <w:r>
              <w:rPr>
                <w:rFonts w:ascii="宋体" w:hAnsi="宋体" w:eastAsia="宋体" w:cs="仿宋"/>
                <w:color w:val="auto"/>
                <w:kern w:val="0"/>
                <w:szCs w:val="21"/>
              </w:rPr>
              <w:t>1</w:t>
            </w:r>
            <w:r>
              <w:rPr>
                <w:rFonts w:hint="eastAsia" w:ascii="宋体" w:hAnsi="宋体" w:eastAsia="宋体" w:cs="仿宋"/>
                <w:color w:val="auto"/>
                <w:kern w:val="0"/>
                <w:szCs w:val="21"/>
              </w:rPr>
              <w:t>2分）</w:t>
            </w:r>
          </w:p>
        </w:tc>
        <w:tc>
          <w:tcPr>
            <w:tcW w:w="7200" w:type="dxa"/>
            <w:vAlign w:val="center"/>
          </w:tcPr>
          <w:p w14:paraId="51324E10">
            <w:pPr>
              <w:tabs>
                <w:tab w:val="left" w:pos="1080"/>
              </w:tabs>
              <w:rPr>
                <w:rFonts w:ascii="宋体" w:hAnsi="宋体" w:eastAsia="宋体" w:cs="仿宋"/>
                <w:color w:val="auto"/>
                <w:kern w:val="0"/>
                <w:szCs w:val="21"/>
              </w:rPr>
            </w:pPr>
            <w:r>
              <w:rPr>
                <w:rFonts w:hint="eastAsia" w:ascii="宋体" w:hAnsi="宋体" w:eastAsia="宋体" w:cs="仿宋"/>
                <w:color w:val="auto"/>
                <w:kern w:val="0"/>
                <w:szCs w:val="21"/>
              </w:rPr>
              <w:t>20</w:t>
            </w:r>
            <w:r>
              <w:rPr>
                <w:rFonts w:hint="eastAsia" w:ascii="宋体" w:hAnsi="宋体" w:eastAsia="宋体" w:cs="仿宋"/>
                <w:color w:val="auto"/>
                <w:kern w:val="0"/>
                <w:szCs w:val="21"/>
                <w:lang w:val="en-US" w:eastAsia="zh-CN"/>
              </w:rPr>
              <w:t>22</w:t>
            </w:r>
            <w:r>
              <w:rPr>
                <w:rFonts w:hint="eastAsia" w:ascii="宋体" w:hAnsi="宋体" w:eastAsia="宋体" w:cs="仿宋"/>
                <w:color w:val="auto"/>
                <w:kern w:val="0"/>
                <w:szCs w:val="21"/>
              </w:rPr>
              <w:t>年1月以来，曾出现过重大质量问题或有合同执行不到位的地方（包括但不限于本物种）。非本物种的每次扣2分，本物种的每次扣3分。最多扣6分。</w:t>
            </w:r>
            <w:r>
              <w:rPr>
                <w:rFonts w:hint="eastAsia" w:ascii="宋体" w:hAnsi="宋体" w:eastAsia="宋体" w:cs="仿宋"/>
                <w:b/>
                <w:bCs/>
                <w:color w:val="auto"/>
                <w:kern w:val="0"/>
                <w:szCs w:val="21"/>
              </w:rPr>
              <w:t>（由采购单位提供相关证明）</w:t>
            </w:r>
          </w:p>
          <w:p w14:paraId="2845B3A2">
            <w:pPr>
              <w:tabs>
                <w:tab w:val="left" w:pos="1080"/>
              </w:tabs>
              <w:rPr>
                <w:rFonts w:ascii="宋体" w:hAnsi="Times New Roman" w:eastAsia="宋体" w:cs="仿宋"/>
                <w:color w:val="auto"/>
                <w:szCs w:val="21"/>
              </w:rPr>
            </w:pPr>
            <w:r>
              <w:rPr>
                <w:rFonts w:hint="eastAsia" w:ascii="宋体" w:hAnsi="宋体" w:eastAsia="宋体" w:cs="仿宋"/>
                <w:color w:val="auto"/>
                <w:kern w:val="0"/>
                <w:szCs w:val="21"/>
              </w:rPr>
              <w:t>20</w:t>
            </w:r>
            <w:r>
              <w:rPr>
                <w:rFonts w:hint="eastAsia" w:ascii="宋体" w:hAnsi="宋体" w:eastAsia="宋体" w:cs="仿宋"/>
                <w:color w:val="auto"/>
                <w:kern w:val="0"/>
                <w:szCs w:val="21"/>
                <w:lang w:val="en-US" w:eastAsia="zh-CN"/>
              </w:rPr>
              <w:t>22</w:t>
            </w:r>
            <w:r>
              <w:rPr>
                <w:rFonts w:hint="eastAsia" w:ascii="宋体" w:hAnsi="宋体" w:eastAsia="宋体" w:cs="仿宋"/>
                <w:color w:val="auto"/>
                <w:kern w:val="0"/>
                <w:szCs w:val="21"/>
              </w:rPr>
              <w:t>年1月以来，苗种产区为非疫病区，是否被查到有滥用药物等不良信用记录。每次扣2 分，最多扣6分。</w:t>
            </w:r>
            <w:r>
              <w:rPr>
                <w:rFonts w:hint="eastAsia" w:ascii="宋体" w:hAnsi="宋体" w:eastAsia="宋体" w:cs="仿宋"/>
                <w:b/>
                <w:bCs/>
                <w:color w:val="auto"/>
                <w:kern w:val="0"/>
                <w:szCs w:val="21"/>
              </w:rPr>
              <w:t>（须提供当地渔业主管部门出具的相关证明材料，未提供证明的扣3分)</w:t>
            </w:r>
          </w:p>
        </w:tc>
        <w:tc>
          <w:tcPr>
            <w:tcW w:w="744" w:type="dxa"/>
            <w:vAlign w:val="center"/>
          </w:tcPr>
          <w:p w14:paraId="57865642">
            <w:pPr>
              <w:ind w:firstLine="210" w:firstLineChars="100"/>
              <w:rPr>
                <w:rFonts w:ascii="宋体" w:hAnsi="Times New Roman" w:eastAsia="宋体" w:cs="Times New Roman"/>
                <w:color w:val="auto"/>
              </w:rPr>
            </w:pPr>
          </w:p>
        </w:tc>
      </w:tr>
      <w:tr w14:paraId="4CBD7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5" w:hRule="atLeast"/>
          <w:jc w:val="center"/>
        </w:trPr>
        <w:tc>
          <w:tcPr>
            <w:tcW w:w="1081" w:type="dxa"/>
            <w:vAlign w:val="center"/>
          </w:tcPr>
          <w:p w14:paraId="79D6EE74">
            <w:pPr>
              <w:jc w:val="center"/>
              <w:rPr>
                <w:rFonts w:ascii="宋体" w:hAnsi="Times New Roman" w:eastAsia="宋体" w:cs="Times New Roman"/>
                <w:color w:val="auto"/>
              </w:rPr>
            </w:pPr>
            <w:r>
              <w:rPr>
                <w:rFonts w:ascii="宋体" w:hAnsi="Times New Roman" w:eastAsia="宋体" w:cs="Times New Roman"/>
                <w:color w:val="auto"/>
                <w:szCs w:val="21"/>
              </w:rPr>
              <w:t>投标文件响应</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1836" w:type="dxa"/>
            <w:vAlign w:val="center"/>
          </w:tcPr>
          <w:p w14:paraId="301302CE">
            <w:pPr>
              <w:widowControl/>
              <w:tabs>
                <w:tab w:val="left" w:pos="0"/>
              </w:tabs>
              <w:jc w:val="center"/>
              <w:rPr>
                <w:rFonts w:ascii="宋体" w:hAnsi="宋体" w:eastAsia="宋体" w:cs="仿宋"/>
                <w:color w:val="auto"/>
                <w:kern w:val="0"/>
                <w:szCs w:val="21"/>
              </w:rPr>
            </w:pPr>
            <w:r>
              <w:rPr>
                <w:rFonts w:ascii="宋体" w:hAnsi="Times New Roman" w:eastAsia="宋体" w:cs="Times New Roman"/>
                <w:color w:val="auto"/>
                <w:szCs w:val="21"/>
              </w:rPr>
              <w:t>对招标文件的响应程度</w:t>
            </w:r>
            <w:r>
              <w:rPr>
                <w:rFonts w:hint="eastAsia" w:ascii="宋体" w:hAnsi="Times New Roman" w:eastAsia="宋体" w:cs="Times New Roman"/>
                <w:color w:val="auto"/>
                <w:szCs w:val="21"/>
              </w:rPr>
              <w:t>（</w:t>
            </w:r>
            <w:r>
              <w:rPr>
                <w:rFonts w:ascii="宋体" w:hAnsi="Times New Roman" w:eastAsia="宋体" w:cs="Times New Roman"/>
                <w:color w:val="auto"/>
                <w:szCs w:val="21"/>
              </w:rPr>
              <w:t>5</w:t>
            </w:r>
            <w:r>
              <w:rPr>
                <w:rFonts w:hint="eastAsia" w:ascii="宋体" w:hAnsi="Times New Roman" w:eastAsia="宋体" w:cs="Times New Roman"/>
                <w:color w:val="auto"/>
                <w:szCs w:val="21"/>
              </w:rPr>
              <w:t>分）</w:t>
            </w:r>
          </w:p>
        </w:tc>
        <w:tc>
          <w:tcPr>
            <w:tcW w:w="7200" w:type="dxa"/>
            <w:vAlign w:val="center"/>
          </w:tcPr>
          <w:p w14:paraId="32B3FE3F">
            <w:pPr>
              <w:widowControl/>
              <w:jc w:val="left"/>
              <w:rPr>
                <w:rFonts w:ascii="宋体" w:hAnsi="宋体" w:eastAsia="宋体" w:cs="仿宋"/>
                <w:color w:val="auto"/>
                <w:kern w:val="0"/>
                <w:szCs w:val="21"/>
              </w:rPr>
            </w:pPr>
            <w:r>
              <w:rPr>
                <w:rFonts w:hint="eastAsia" w:ascii="宋体" w:hAnsi="Times New Roman" w:eastAsia="宋体" w:cs="Times New Roman"/>
                <w:color w:val="auto"/>
                <w:szCs w:val="21"/>
              </w:rPr>
              <w:t>对本项目要求的响应程度：完全满足招标文件要求的：5分</w:t>
            </w:r>
            <w:r>
              <w:rPr>
                <w:rFonts w:hint="eastAsia" w:ascii="宋体" w:hAnsi="Times New Roman" w:eastAsia="宋体" w:cs="Times New Roman"/>
                <w:color w:val="auto"/>
                <w:szCs w:val="21"/>
                <w:lang w:eastAsia="zh-CN"/>
              </w:rPr>
              <w:t>；</w:t>
            </w:r>
            <w:r>
              <w:rPr>
                <w:rFonts w:hint="eastAsia" w:ascii="宋体" w:hAnsi="Times New Roman" w:eastAsia="宋体" w:cs="Times New Roman"/>
                <w:color w:val="auto"/>
                <w:szCs w:val="21"/>
              </w:rPr>
              <w:t>基本满足招标文件要求的：</w:t>
            </w:r>
            <w:r>
              <w:rPr>
                <w:rFonts w:hint="eastAsia" w:ascii="宋体" w:hAnsi="Times New Roman" w:eastAsia="宋体" w:cs="Times New Roman"/>
                <w:color w:val="auto"/>
                <w:szCs w:val="21"/>
                <w:lang w:val="en-US" w:eastAsia="zh-CN"/>
              </w:rPr>
              <w:t>2</w:t>
            </w:r>
            <w:r>
              <w:rPr>
                <w:rFonts w:hint="eastAsia" w:ascii="宋体" w:hAnsi="Times New Roman" w:eastAsia="宋体" w:cs="Times New Roman"/>
                <w:color w:val="auto"/>
                <w:szCs w:val="21"/>
              </w:rPr>
              <w:t>分。不满足招标文件要求的不得分。</w:t>
            </w:r>
          </w:p>
        </w:tc>
        <w:tc>
          <w:tcPr>
            <w:tcW w:w="744" w:type="dxa"/>
            <w:vAlign w:val="center"/>
          </w:tcPr>
          <w:p w14:paraId="650B5E68">
            <w:pPr>
              <w:widowControl/>
              <w:jc w:val="left"/>
              <w:rPr>
                <w:rFonts w:ascii="宋体" w:hAnsi="Times New Roman" w:eastAsia="宋体" w:cs="Times New Roman"/>
                <w:color w:val="auto"/>
              </w:rPr>
            </w:pPr>
          </w:p>
        </w:tc>
      </w:tr>
      <w:tr w14:paraId="3D283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1081" w:type="dxa"/>
            <w:vAlign w:val="center"/>
          </w:tcPr>
          <w:p w14:paraId="75AAF312">
            <w:pPr>
              <w:jc w:val="center"/>
              <w:rPr>
                <w:rFonts w:ascii="宋体" w:hAnsi="Times New Roman" w:eastAsia="宋体" w:cs="Times New Roman"/>
                <w:color w:val="auto"/>
                <w:szCs w:val="21"/>
              </w:rPr>
            </w:pPr>
            <w:r>
              <w:rPr>
                <w:rFonts w:hint="eastAsia" w:ascii="宋体" w:hAnsi="宋体" w:eastAsia="宋体" w:cs="Times New Roman"/>
                <w:color w:val="auto"/>
              </w:rPr>
              <w:t>报价部分</w:t>
            </w:r>
            <w:r>
              <w:rPr>
                <w:rFonts w:ascii="宋体" w:hAnsi="宋体" w:eastAsia="宋体" w:cs="Times New Roman"/>
                <w:color w:val="auto"/>
              </w:rPr>
              <w:t>(30</w:t>
            </w:r>
            <w:r>
              <w:rPr>
                <w:rFonts w:hint="eastAsia" w:ascii="宋体" w:hAnsi="宋体" w:eastAsia="宋体" w:cs="Times New Roman"/>
                <w:color w:val="auto"/>
              </w:rPr>
              <w:t>分</w:t>
            </w:r>
            <w:r>
              <w:rPr>
                <w:rFonts w:ascii="宋体" w:hAnsi="宋体" w:eastAsia="宋体" w:cs="Times New Roman"/>
                <w:color w:val="auto"/>
              </w:rPr>
              <w:t>)</w:t>
            </w:r>
          </w:p>
        </w:tc>
        <w:tc>
          <w:tcPr>
            <w:tcW w:w="1836" w:type="dxa"/>
            <w:vAlign w:val="center"/>
          </w:tcPr>
          <w:p w14:paraId="29A09BE9">
            <w:pPr>
              <w:widowControl/>
              <w:tabs>
                <w:tab w:val="left" w:pos="0"/>
              </w:tabs>
              <w:jc w:val="center"/>
              <w:rPr>
                <w:rFonts w:ascii="宋体" w:hAnsi="Times New Roman" w:eastAsia="宋体" w:cs="Times New Roman"/>
                <w:color w:val="auto"/>
                <w:szCs w:val="21"/>
              </w:rPr>
            </w:pPr>
            <w:r>
              <w:rPr>
                <w:rFonts w:hint="eastAsia" w:ascii="Times New Roman" w:hAnsi="宋体" w:eastAsia="宋体" w:cs="Times New Roman"/>
                <w:color w:val="auto"/>
              </w:rPr>
              <w:t>投标报价</w:t>
            </w:r>
          </w:p>
        </w:tc>
        <w:tc>
          <w:tcPr>
            <w:tcW w:w="7200" w:type="dxa"/>
            <w:vAlign w:val="center"/>
          </w:tcPr>
          <w:p w14:paraId="70F91F1E">
            <w:pPr>
              <w:widowControl/>
              <w:jc w:val="left"/>
              <w:rPr>
                <w:rFonts w:ascii="宋体" w:hAnsi="宋体" w:eastAsia="宋体" w:cs="宋体"/>
                <w:color w:val="auto"/>
                <w:kern w:val="0"/>
                <w:szCs w:val="21"/>
              </w:rPr>
            </w:pPr>
            <w:r>
              <w:rPr>
                <w:rFonts w:hint="eastAsia" w:ascii="宋体" w:hAnsi="宋体" w:eastAsia="宋体" w:cs="宋体"/>
                <w:color w:val="auto"/>
                <w:kern w:val="0"/>
                <w:szCs w:val="21"/>
              </w:rPr>
              <w:t>满足投标文件要求且投标报价最低的为评标基准价，其价格分为满分，其他投标人的价格分按下列公式计算：（按各标项单价作为投标报价）</w:t>
            </w:r>
          </w:p>
          <w:p w14:paraId="2A49FA02">
            <w:pPr>
              <w:widowControl/>
              <w:jc w:val="left"/>
              <w:rPr>
                <w:rFonts w:ascii="宋体" w:hAnsi="Times New Roman" w:eastAsia="宋体" w:cs="Times New Roman"/>
                <w:color w:val="auto"/>
                <w:szCs w:val="21"/>
              </w:rPr>
            </w:pPr>
            <w:r>
              <w:rPr>
                <w:rFonts w:hint="eastAsia" w:ascii="宋体" w:hAnsi="宋体" w:eastAsia="宋体" w:cs="宋体"/>
                <w:color w:val="auto"/>
                <w:kern w:val="0"/>
                <w:szCs w:val="21"/>
              </w:rPr>
              <w:t>价格得分＝（评标基准价</w:t>
            </w:r>
            <w:r>
              <w:rPr>
                <w:rFonts w:ascii="宋体" w:hAnsi="宋体" w:eastAsia="宋体" w:cs="宋体"/>
                <w:color w:val="auto"/>
                <w:kern w:val="0"/>
                <w:szCs w:val="21"/>
              </w:rPr>
              <w:t>/投标报价）×价格权重×100。</w:t>
            </w:r>
          </w:p>
        </w:tc>
        <w:tc>
          <w:tcPr>
            <w:tcW w:w="744" w:type="dxa"/>
            <w:vAlign w:val="center"/>
          </w:tcPr>
          <w:p w14:paraId="6B5576D1">
            <w:pPr>
              <w:widowControl/>
              <w:jc w:val="left"/>
              <w:rPr>
                <w:rFonts w:ascii="宋体" w:hAnsi="Times New Roman" w:eastAsia="宋体" w:cs="Times New Roman"/>
                <w:color w:val="auto"/>
              </w:rPr>
            </w:pPr>
          </w:p>
        </w:tc>
      </w:tr>
      <w:bookmarkEnd w:id="0"/>
    </w:tbl>
    <w:p w14:paraId="2071C96F">
      <w:pPr>
        <w:spacing w:line="360" w:lineRule="auto"/>
        <w:ind w:right="-341"/>
        <w:jc w:val="center"/>
        <w:rPr>
          <w:rFonts w:ascii="Times New Roman" w:hAnsi="Times New Roman" w:eastAsia="黑体" w:cs="Times New Roman"/>
          <w:color w:val="auto"/>
          <w:sz w:val="30"/>
        </w:rPr>
      </w:pPr>
    </w:p>
    <w:p w14:paraId="5DDDED16">
      <w:pPr>
        <w:spacing w:line="360" w:lineRule="auto"/>
        <w:ind w:right="-341"/>
        <w:jc w:val="center"/>
        <w:rPr>
          <w:rFonts w:ascii="Times New Roman" w:hAnsi="Times New Roman" w:eastAsia="黑体" w:cs="Times New Roman"/>
          <w:color w:val="auto"/>
          <w:sz w:val="30"/>
        </w:rPr>
      </w:pPr>
      <w:r>
        <w:rPr>
          <w:rFonts w:ascii="Times New Roman" w:hAnsi="Times New Roman" w:eastAsia="黑体" w:cs="Times New Roman"/>
          <w:color w:val="auto"/>
          <w:sz w:val="30"/>
        </w:rPr>
        <w:t>第五章合同主要条款</w:t>
      </w:r>
    </w:p>
    <w:p w14:paraId="4CF7778B">
      <w:pPr>
        <w:snapToGrid w:val="0"/>
        <w:spacing w:before="120" w:beforeLines="50" w:after="120" w:afterLines="50" w:line="288" w:lineRule="auto"/>
        <w:jc w:val="center"/>
        <w:rPr>
          <w:rFonts w:ascii="宋体" w:hAnsi="Times New Roman" w:eastAsia="宋体" w:cs="Times New Roman"/>
          <w:b/>
          <w:color w:val="auto"/>
          <w:sz w:val="28"/>
          <w:szCs w:val="28"/>
        </w:rPr>
      </w:pPr>
      <w:r>
        <w:rPr>
          <w:rFonts w:hint="eastAsia" w:ascii="宋体" w:hAnsi="宋体" w:eastAsia="宋体" w:cs="Times New Roman"/>
          <w:b/>
          <w:color w:val="auto"/>
          <w:sz w:val="28"/>
          <w:szCs w:val="28"/>
        </w:rPr>
        <w:t>（具体条款以甲方为主协商确定）</w:t>
      </w:r>
    </w:p>
    <w:p w14:paraId="442D1BF5">
      <w:pPr>
        <w:snapToGrid w:val="0"/>
        <w:spacing w:before="120" w:beforeLines="50" w:after="120" w:afterLines="50" w:line="288" w:lineRule="auto"/>
        <w:jc w:val="center"/>
        <w:rPr>
          <w:rFonts w:ascii="宋体" w:hAnsi="宋体" w:eastAsia="宋体" w:cs="Times New Roman"/>
          <w:b/>
          <w:color w:val="auto"/>
          <w:sz w:val="28"/>
          <w:szCs w:val="28"/>
        </w:rPr>
      </w:pPr>
      <w:r>
        <w:rPr>
          <w:rFonts w:hint="eastAsia" w:ascii="宋体" w:hAnsi="宋体" w:eastAsia="宋体" w:cs="Times New Roman"/>
          <w:b/>
          <w:color w:val="auto"/>
          <w:sz w:val="28"/>
          <w:szCs w:val="28"/>
          <w:lang w:eastAsia="zh-CN"/>
        </w:rPr>
        <w:t xml:space="preserve">2025年舟山市（本级）海洋水生生物增殖放流 </w:t>
      </w:r>
      <w:r>
        <w:rPr>
          <w:rFonts w:hint="eastAsia" w:ascii="宋体" w:hAnsi="宋体" w:eastAsia="宋体" w:cs="Times New Roman"/>
          <w:b/>
          <w:color w:val="auto"/>
          <w:sz w:val="28"/>
          <w:szCs w:val="28"/>
        </w:rPr>
        <w:t>采购合同</w:t>
      </w:r>
    </w:p>
    <w:p w14:paraId="5BC3B0F2">
      <w:pPr>
        <w:snapToGrid w:val="0"/>
        <w:spacing w:before="240" w:beforeLines="100" w:line="288" w:lineRule="auto"/>
        <w:rPr>
          <w:rFonts w:ascii="宋体" w:hAnsi="宋体" w:eastAsia="宋体" w:cs="Times New Roman"/>
          <w:b/>
          <w:color w:val="auto"/>
          <w:sz w:val="30"/>
          <w:szCs w:val="30"/>
        </w:rPr>
      </w:pPr>
      <w:r>
        <w:rPr>
          <w:rFonts w:hint="eastAsia" w:ascii="宋体" w:hAnsi="宋体" w:eastAsia="宋体" w:cs="Times New Roman"/>
          <w:color w:val="auto"/>
        </w:rPr>
        <w:t>项目名称：</w:t>
      </w:r>
    </w:p>
    <w:p w14:paraId="426AF2DE">
      <w:pPr>
        <w:spacing w:line="288" w:lineRule="auto"/>
        <w:jc w:val="left"/>
        <w:rPr>
          <w:rFonts w:ascii="宋体" w:hAnsi="宋体" w:eastAsia="宋体" w:cs="Times New Roman"/>
          <w:color w:val="auto"/>
        </w:rPr>
      </w:pPr>
      <w:r>
        <w:rPr>
          <w:rFonts w:hint="eastAsia" w:ascii="宋体" w:hAnsi="宋体" w:eastAsia="宋体" w:cs="Times New Roman"/>
          <w:color w:val="auto"/>
        </w:rPr>
        <w:t>采购编号：</w:t>
      </w:r>
    </w:p>
    <w:p w14:paraId="7C80000C">
      <w:pPr>
        <w:spacing w:before="120" w:beforeLines="50" w:line="288" w:lineRule="auto"/>
        <w:rPr>
          <w:rFonts w:hint="eastAsia" w:ascii="宋体" w:hAnsi="宋体" w:eastAsia="宋体" w:cs="Times New Roman"/>
          <w:color w:val="auto"/>
          <w:lang w:eastAsia="zh-CN"/>
        </w:rPr>
      </w:pPr>
      <w:r>
        <w:rPr>
          <w:rFonts w:hint="eastAsia" w:ascii="宋体" w:hAnsi="宋体" w:eastAsia="宋体" w:cs="Times New Roman"/>
          <w:b/>
          <w:bCs/>
          <w:color w:val="auto"/>
        </w:rPr>
        <w:t>甲方（买方）：</w:t>
      </w:r>
      <w:r>
        <w:rPr>
          <w:rFonts w:hint="eastAsia" w:ascii="宋体" w:hAnsi="宋体" w:eastAsia="宋体" w:cs="Times New Roman"/>
          <w:color w:val="auto"/>
          <w:lang w:eastAsia="zh-CN"/>
        </w:rPr>
        <w:t>舟山市海洋经济发展局</w:t>
      </w:r>
    </w:p>
    <w:p w14:paraId="26848354">
      <w:pPr>
        <w:spacing w:line="288" w:lineRule="auto"/>
        <w:rPr>
          <w:rFonts w:ascii="宋体" w:hAnsi="宋体" w:eastAsia="宋体" w:cs="Times New Roman"/>
          <w:color w:val="auto"/>
        </w:rPr>
      </w:pPr>
      <w:r>
        <w:rPr>
          <w:rFonts w:hint="eastAsia" w:ascii="宋体" w:hAnsi="宋体" w:eastAsia="宋体" w:cs="Times New Roman"/>
          <w:b/>
          <w:bCs/>
          <w:color w:val="auto"/>
        </w:rPr>
        <w:t>乙方（卖方）：</w:t>
      </w:r>
    </w:p>
    <w:p w14:paraId="217F9352">
      <w:pPr>
        <w:spacing w:before="120" w:beforeLines="50" w:line="288" w:lineRule="auto"/>
        <w:ind w:firstLine="420" w:firstLineChars="200"/>
        <w:rPr>
          <w:rFonts w:ascii="宋体" w:hAnsi="宋体" w:eastAsia="宋体" w:cs="Times New Roman"/>
          <w:color w:val="auto"/>
        </w:rPr>
      </w:pPr>
      <w:r>
        <w:rPr>
          <w:rFonts w:hint="eastAsia" w:ascii="宋体" w:hAnsi="宋体" w:eastAsia="宋体" w:cs="Times New Roman"/>
          <w:color w:val="auto"/>
        </w:rPr>
        <w:t>根据深圳市国信招标有限公司关于《</w:t>
      </w:r>
      <w:r>
        <w:rPr>
          <w:rFonts w:hint="eastAsia" w:ascii="宋体" w:hAnsi="宋体" w:eastAsia="宋体" w:cs="Times New Roman"/>
          <w:color w:val="auto"/>
          <w:lang w:eastAsia="zh-CN"/>
        </w:rPr>
        <w:t xml:space="preserve">2025年舟山市（本级）海洋水生生物增殖放流 </w:t>
      </w:r>
      <w:r>
        <w:rPr>
          <w:rFonts w:hint="eastAsia" w:ascii="宋体" w:hAnsi="宋体" w:eastAsia="宋体" w:cs="Times New Roman"/>
          <w:color w:val="auto"/>
        </w:rPr>
        <w:t>》公开招标结果，甲、乙双方经协商签署本合同。</w:t>
      </w:r>
    </w:p>
    <w:p w14:paraId="14B0AD6C">
      <w:pPr>
        <w:spacing w:before="170" w:after="170" w:line="288" w:lineRule="auto"/>
        <w:rPr>
          <w:rFonts w:ascii="宋体" w:hAnsi="宋体" w:eastAsia="宋体" w:cs="Times New Roman"/>
          <w:b/>
          <w:bCs/>
          <w:color w:val="auto"/>
          <w:szCs w:val="21"/>
        </w:rPr>
      </w:pPr>
      <w:r>
        <w:rPr>
          <w:rFonts w:hint="eastAsia" w:ascii="宋体" w:hAnsi="宋体" w:eastAsia="宋体" w:cs="Times New Roman"/>
          <w:b/>
          <w:bCs/>
          <w:color w:val="auto"/>
          <w:szCs w:val="21"/>
        </w:rPr>
        <w:t>一、采购标的</w:t>
      </w:r>
    </w:p>
    <w:tbl>
      <w:tblPr>
        <w:tblStyle w:val="60"/>
        <w:tblW w:w="8943" w:type="dxa"/>
        <w:tblInd w:w="0" w:type="dxa"/>
        <w:tblLayout w:type="fixed"/>
        <w:tblCellMar>
          <w:top w:w="15" w:type="dxa"/>
          <w:left w:w="15" w:type="dxa"/>
          <w:bottom w:w="15" w:type="dxa"/>
          <w:right w:w="15" w:type="dxa"/>
        </w:tblCellMar>
      </w:tblPr>
      <w:tblGrid>
        <w:gridCol w:w="1045"/>
        <w:gridCol w:w="930"/>
        <w:gridCol w:w="1556"/>
        <w:gridCol w:w="1488"/>
        <w:gridCol w:w="1236"/>
        <w:gridCol w:w="1548"/>
        <w:gridCol w:w="1140"/>
      </w:tblGrid>
      <w:tr w14:paraId="656C6D60">
        <w:tblPrEx>
          <w:tblCellMar>
            <w:top w:w="15" w:type="dxa"/>
            <w:left w:w="15" w:type="dxa"/>
            <w:bottom w:w="15" w:type="dxa"/>
            <w:right w:w="15" w:type="dxa"/>
          </w:tblCellMar>
        </w:tblPrEx>
        <w:trPr>
          <w:trHeight w:val="720"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AE5DB">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种苗名称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418EC">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规格(≥)</w:t>
            </w:r>
          </w:p>
        </w:tc>
        <w:tc>
          <w:tcPr>
            <w:tcW w:w="1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A3272">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数量(万尾、只、粒)</w:t>
            </w:r>
          </w:p>
        </w:tc>
        <w:tc>
          <w:tcPr>
            <w:tcW w:w="14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3AEFA">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单价(元/尾、只、粒)</w:t>
            </w: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73661">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金额(万元)</w:t>
            </w:r>
          </w:p>
        </w:tc>
        <w:tc>
          <w:tcPr>
            <w:tcW w:w="15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09AAC">
            <w:pPr>
              <w:widowControl/>
              <w:spacing w:line="288" w:lineRule="auto"/>
              <w:jc w:val="center"/>
              <w:textAlignment w:val="center"/>
              <w:rPr>
                <w:rFonts w:ascii="宋体" w:hAnsi="宋体" w:eastAsia="宋体" w:cs="宋体"/>
                <w:b/>
                <w:color w:val="auto"/>
                <w:kern w:val="0"/>
                <w:sz w:val="20"/>
              </w:rPr>
            </w:pPr>
            <w:r>
              <w:rPr>
                <w:rFonts w:hint="eastAsia" w:ascii="宋体" w:hAnsi="宋体" w:eastAsia="宋体" w:cs="宋体"/>
                <w:b/>
                <w:color w:val="auto"/>
                <w:kern w:val="0"/>
                <w:sz w:val="20"/>
              </w:rPr>
              <w:t>放流时间</w:t>
            </w:r>
          </w:p>
          <w:p w14:paraId="63661818">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lang w:eastAsia="zh-CN"/>
              </w:rPr>
              <w:t>2025年</w:t>
            </w:r>
            <w:r>
              <w:rPr>
                <w:rFonts w:hint="eastAsia" w:ascii="宋体" w:hAnsi="宋体" w:eastAsia="宋体" w:cs="宋体"/>
                <w:b/>
                <w:color w:val="auto"/>
                <w:kern w:val="0"/>
                <w:sz w:val="20"/>
              </w:rPr>
              <w:t>(月)</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1BA1A">
            <w:pPr>
              <w:widowControl/>
              <w:spacing w:line="288" w:lineRule="auto"/>
              <w:jc w:val="center"/>
              <w:textAlignment w:val="center"/>
              <w:rPr>
                <w:rFonts w:ascii="宋体" w:hAnsi="宋体" w:eastAsia="宋体" w:cs="宋体"/>
                <w:b/>
                <w:color w:val="auto"/>
                <w:sz w:val="20"/>
              </w:rPr>
            </w:pPr>
            <w:r>
              <w:rPr>
                <w:rFonts w:hint="eastAsia" w:ascii="宋体" w:hAnsi="宋体" w:eastAsia="宋体" w:cs="宋体"/>
                <w:b/>
                <w:color w:val="auto"/>
                <w:kern w:val="0"/>
                <w:sz w:val="20"/>
              </w:rPr>
              <w:t>放流海域</w:t>
            </w:r>
          </w:p>
        </w:tc>
      </w:tr>
      <w:tr w14:paraId="75C0BE18">
        <w:tblPrEx>
          <w:tblCellMar>
            <w:top w:w="15" w:type="dxa"/>
            <w:left w:w="15" w:type="dxa"/>
            <w:bottom w:w="15" w:type="dxa"/>
            <w:right w:w="15" w:type="dxa"/>
          </w:tblCellMar>
        </w:tblPrEx>
        <w:trPr>
          <w:trHeight w:val="495" w:hRule="atLeast"/>
        </w:trPr>
        <w:tc>
          <w:tcPr>
            <w:tcW w:w="10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1A33F">
            <w:pPr>
              <w:widowControl/>
              <w:spacing w:line="288" w:lineRule="auto"/>
              <w:jc w:val="center"/>
              <w:textAlignment w:val="center"/>
              <w:rPr>
                <w:rFonts w:ascii="宋体" w:hAnsi="宋体" w:eastAsia="宋体" w:cs="宋体"/>
                <w:color w:val="auto"/>
                <w:sz w:val="20"/>
              </w:rPr>
            </w:pP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D5302">
            <w:pPr>
              <w:widowControl/>
              <w:spacing w:line="288" w:lineRule="auto"/>
              <w:jc w:val="center"/>
              <w:textAlignment w:val="center"/>
              <w:rPr>
                <w:rFonts w:ascii="宋体" w:hAnsi="宋体" w:eastAsia="宋体" w:cs="宋体"/>
                <w:color w:val="auto"/>
                <w:sz w:val="20"/>
              </w:rPr>
            </w:pPr>
          </w:p>
        </w:tc>
        <w:tc>
          <w:tcPr>
            <w:tcW w:w="15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9F28A">
            <w:pPr>
              <w:widowControl/>
              <w:spacing w:line="288" w:lineRule="auto"/>
              <w:jc w:val="center"/>
              <w:textAlignment w:val="center"/>
              <w:rPr>
                <w:rFonts w:ascii="宋体" w:hAnsi="宋体" w:eastAsia="宋体" w:cs="宋体"/>
                <w:color w:val="auto"/>
                <w:sz w:val="20"/>
              </w:rPr>
            </w:pPr>
          </w:p>
        </w:tc>
        <w:tc>
          <w:tcPr>
            <w:tcW w:w="14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A7FC9">
            <w:pPr>
              <w:widowControl/>
              <w:spacing w:line="288" w:lineRule="auto"/>
              <w:jc w:val="center"/>
              <w:textAlignment w:val="center"/>
              <w:rPr>
                <w:rFonts w:ascii="宋体" w:hAnsi="宋体" w:eastAsia="宋体" w:cs="宋体"/>
                <w:color w:val="auto"/>
                <w:sz w:val="20"/>
              </w:rPr>
            </w:pPr>
          </w:p>
        </w:tc>
        <w:tc>
          <w:tcPr>
            <w:tcW w:w="1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8D21F">
            <w:pPr>
              <w:widowControl/>
              <w:spacing w:line="288" w:lineRule="auto"/>
              <w:jc w:val="center"/>
              <w:textAlignment w:val="center"/>
              <w:rPr>
                <w:rFonts w:ascii="宋体" w:hAnsi="宋体" w:eastAsia="宋体" w:cs="宋体"/>
                <w:color w:val="auto"/>
                <w:sz w:val="20"/>
              </w:rPr>
            </w:pPr>
          </w:p>
        </w:tc>
        <w:tc>
          <w:tcPr>
            <w:tcW w:w="15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CA436">
            <w:pPr>
              <w:widowControl/>
              <w:spacing w:line="288" w:lineRule="auto"/>
              <w:jc w:val="center"/>
              <w:textAlignment w:val="center"/>
              <w:rPr>
                <w:rFonts w:ascii="宋体" w:hAnsi="宋体" w:eastAsia="宋体" w:cs="宋体"/>
                <w:color w:val="auto"/>
                <w:sz w:val="20"/>
              </w:rPr>
            </w:pP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EC7D3">
            <w:pPr>
              <w:widowControl/>
              <w:spacing w:line="288" w:lineRule="auto"/>
              <w:jc w:val="center"/>
              <w:textAlignment w:val="center"/>
              <w:rPr>
                <w:rFonts w:ascii="宋体" w:hAnsi="宋体" w:eastAsia="宋体" w:cs="宋体"/>
                <w:color w:val="auto"/>
                <w:sz w:val="20"/>
              </w:rPr>
            </w:pPr>
          </w:p>
        </w:tc>
      </w:tr>
    </w:tbl>
    <w:p w14:paraId="533C99CF">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二、合同金额</w:t>
      </w:r>
    </w:p>
    <w:p w14:paraId="4ED8A0EB">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本合同金额为（大写）：</w:t>
      </w:r>
      <w:r>
        <w:rPr>
          <w:rFonts w:hint="eastAsia" w:ascii="宋体" w:hAnsi="宋体" w:eastAsia="宋体" w:cs="Times New Roman"/>
          <w:color w:val="auto"/>
          <w:u w:val="single"/>
        </w:rPr>
        <w:t>人民币     （</w:t>
      </w:r>
      <w:r>
        <w:rPr>
          <w:rFonts w:ascii="Arial" w:hAnsi="Arial" w:eastAsia="宋体" w:cs="Arial"/>
          <w:color w:val="auto"/>
          <w:u w:val="single"/>
        </w:rPr>
        <w:t>¥</w:t>
      </w:r>
      <w:r>
        <w:rPr>
          <w:rFonts w:hint="eastAsia" w:ascii="宋体" w:hAnsi="宋体" w:eastAsia="宋体" w:cs="Times New Roman"/>
          <w:color w:val="auto"/>
          <w:u w:val="single"/>
        </w:rPr>
        <w:t xml:space="preserve">    ）</w:t>
      </w:r>
      <w:r>
        <w:rPr>
          <w:rFonts w:hint="eastAsia" w:ascii="宋体" w:hAnsi="宋体" w:eastAsia="宋体" w:cs="Times New Roman"/>
          <w:color w:val="auto"/>
        </w:rPr>
        <w:t>，已包含种苗、培育繁殖、检验检测、放流以及税金等全部费用。</w:t>
      </w:r>
    </w:p>
    <w:p w14:paraId="44ED1BDE">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三、甲方的权利和义务</w:t>
      </w:r>
    </w:p>
    <w:p w14:paraId="5E0E9219">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1.随时派遣监督人员、技术人员对乙方培育种苗场所及培育苗种进行实地查看，及时了解掌握乙方的种苗培育情况。</w:t>
      </w:r>
    </w:p>
    <w:p w14:paraId="1387BBA2">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2.派遣监督人员和技术人员对乙方的增殖放流用种苗的规格、数量和质量等进行现场验收，具体验收方案，由监督人员和技术人员根据验收现场实际情况确定。放流实施全过程监管，并填写《浙江省水生生物增殖放流工作监督表》确认最终放流结果。</w:t>
      </w:r>
    </w:p>
    <w:p w14:paraId="3DA62F16">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3.根据乙方的投标承诺和种苗培育情况，负责拟定具体放流时间、地点、运输方式等放流实施计划。</w:t>
      </w:r>
    </w:p>
    <w:p w14:paraId="49ACAEF1">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4.甲方有权对乙方提供的种苗和相关技术方案进行必要的检查和审阅，有权对乙方提供的种苗进行</w:t>
      </w:r>
      <w:r>
        <w:rPr>
          <w:rFonts w:hint="eastAsia" w:ascii="宋体" w:hAnsi="宋体" w:eastAsia="宋体" w:cs="宋体"/>
          <w:color w:val="auto"/>
          <w:kern w:val="0"/>
          <w:szCs w:val="21"/>
        </w:rPr>
        <w:t>检测</w:t>
      </w:r>
      <w:r>
        <w:rPr>
          <w:rFonts w:hint="eastAsia" w:ascii="宋体" w:hAnsi="宋体" w:eastAsia="宋体" w:cs="Times New Roman"/>
          <w:color w:val="auto"/>
          <w:szCs w:val="21"/>
        </w:rPr>
        <w:t>复检，确保放流种苗的安全性。</w:t>
      </w:r>
    </w:p>
    <w:p w14:paraId="7B1681CC">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Times New Roman"/>
          <w:color w:val="auto"/>
          <w:szCs w:val="21"/>
        </w:rPr>
      </w:pPr>
      <w:r>
        <w:rPr>
          <w:rFonts w:hint="eastAsia" w:ascii="宋体" w:hAnsi="宋体" w:eastAsia="宋体" w:cs="Times New Roman"/>
          <w:color w:val="auto"/>
          <w:spacing w:val="-4"/>
          <w:szCs w:val="21"/>
        </w:rPr>
        <w:t xml:space="preserve">    5.乙方提供的</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规格若未达到合同要求，甲方可以要求乙方延期放流；延期后超出合同放流时间的，不予放流，乙方应根据合同第八条承担</w:t>
      </w:r>
      <w:r>
        <w:rPr>
          <w:rFonts w:hint="eastAsia" w:ascii="宋体" w:hAnsi="宋体" w:eastAsia="宋体" w:cs="Times New Roman"/>
          <w:color w:val="auto"/>
        </w:rPr>
        <w:t>违约责任。</w:t>
      </w:r>
    </w:p>
    <w:p w14:paraId="5B53129D">
      <w:pPr>
        <w:spacing w:line="288" w:lineRule="auto"/>
        <w:rPr>
          <w:rFonts w:ascii="宋体" w:hAnsi="宋体" w:eastAsia="宋体" w:cs="Times New Roman"/>
          <w:color w:val="auto"/>
          <w:szCs w:val="21"/>
        </w:rPr>
      </w:pPr>
      <w:r>
        <w:rPr>
          <w:rFonts w:hint="eastAsia" w:ascii="宋体" w:hAnsi="宋体" w:eastAsia="宋体" w:cs="Times New Roman"/>
          <w:color w:val="auto"/>
        </w:rPr>
        <w:t xml:space="preserve">    6.放流过程中若遇到技术和操作上的难题，由双方共同商定后实施。因克服难题所需费用全部由乙方承担。</w:t>
      </w:r>
    </w:p>
    <w:p w14:paraId="0BFA907D">
      <w:pPr>
        <w:spacing w:line="288" w:lineRule="auto"/>
        <w:rPr>
          <w:rFonts w:ascii="宋体" w:hAnsi="宋体" w:eastAsia="宋体" w:cs="Times New Roman"/>
          <w:color w:val="auto"/>
          <w:szCs w:val="21"/>
        </w:rPr>
      </w:pPr>
      <w:r>
        <w:rPr>
          <w:rFonts w:hint="eastAsia" w:ascii="宋体" w:hAnsi="宋体" w:eastAsia="宋体" w:cs="Times New Roman"/>
          <w:color w:val="auto"/>
          <w:szCs w:val="21"/>
        </w:rPr>
        <w:t xml:space="preserve">    7.按本合同第六条约定支付款项。</w:t>
      </w:r>
    </w:p>
    <w:p w14:paraId="4602F029">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四、乙方的权利和义务：</w:t>
      </w:r>
    </w:p>
    <w:p w14:paraId="391390BB">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1.乙方按照有关种苗繁育技术规范进行种苗繁育，认真填写育苗日志，记录种苗繁育的关键环节。</w:t>
      </w:r>
    </w:p>
    <w:p w14:paraId="29AB4383">
      <w:pPr>
        <w:keepNext w:val="0"/>
        <w:keepLines w:val="0"/>
        <w:pageBreakBefore w:val="0"/>
        <w:kinsoku/>
        <w:wordWrap/>
        <w:overflowPunct/>
        <w:topLinePunct w:val="0"/>
        <w:autoSpaceDE/>
        <w:autoSpaceDN/>
        <w:bidi w:val="0"/>
        <w:spacing w:line="288" w:lineRule="auto"/>
        <w:jc w:val="left"/>
        <w:textAlignment w:val="auto"/>
        <w:rPr>
          <w:rFonts w:ascii="Times New Roman" w:hAnsi="宋体" w:eastAsia="宋体" w:cs="Times New Roman"/>
          <w:color w:val="auto"/>
          <w:szCs w:val="21"/>
        </w:rPr>
      </w:pPr>
      <w:r>
        <w:rPr>
          <w:rFonts w:hint="eastAsia" w:ascii="宋体" w:hAnsi="宋体" w:eastAsia="宋体" w:cs="Times New Roman"/>
          <w:color w:val="auto"/>
          <w:szCs w:val="21"/>
        </w:rPr>
        <w:t xml:space="preserve">    2.乙方在以下放流种类所表示的种苗培育阶段内,应提前一周告知甲方进行前期验收；超出以下种类所表示的种苗培育阶段的种苗不予验收。鱼类：鱼花</w:t>
      </w:r>
      <w:r>
        <w:rPr>
          <w:rFonts w:ascii="宋体" w:hAnsi="宋体" w:eastAsia="宋体" w:cs="Times New Roman"/>
          <w:color w:val="auto"/>
          <w:szCs w:val="21"/>
        </w:rPr>
        <w:t>—</w:t>
      </w:r>
      <w:r>
        <w:rPr>
          <w:rFonts w:hint="eastAsia" w:ascii="宋体" w:hAnsi="宋体" w:eastAsia="宋体" w:cs="Times New Roman"/>
          <w:color w:val="auto"/>
          <w:szCs w:val="21"/>
        </w:rPr>
        <w:t>仔稚鱼期间；贝类：亲体</w:t>
      </w:r>
      <w:r>
        <w:rPr>
          <w:rFonts w:ascii="宋体" w:hAnsi="宋体" w:eastAsia="宋体" w:cs="Times New Roman"/>
          <w:color w:val="auto"/>
          <w:szCs w:val="21"/>
        </w:rPr>
        <w:t>—</w:t>
      </w:r>
      <w:r>
        <w:rPr>
          <w:rFonts w:hint="eastAsia" w:ascii="宋体" w:hAnsi="宋体" w:eastAsia="宋体" w:cs="Times New Roman"/>
          <w:color w:val="auto"/>
          <w:szCs w:val="21"/>
        </w:rPr>
        <w:t>眼点幼体期间；虾类：无节幼体</w:t>
      </w:r>
      <w:r>
        <w:rPr>
          <w:rFonts w:ascii="宋体" w:hAnsi="宋体" w:eastAsia="宋体" w:cs="Times New Roman"/>
          <w:color w:val="auto"/>
          <w:szCs w:val="21"/>
        </w:rPr>
        <w:t>—</w:t>
      </w:r>
      <w:r>
        <w:rPr>
          <w:rFonts w:hint="eastAsia" w:ascii="宋体" w:hAnsi="宋体" w:eastAsia="宋体" w:cs="Times New Roman"/>
          <w:color w:val="auto"/>
          <w:szCs w:val="21"/>
        </w:rPr>
        <w:t>糠虾期间；乌贼：亲体;</w:t>
      </w:r>
      <w:r>
        <w:rPr>
          <w:rFonts w:hint="eastAsia" w:ascii="Times New Roman" w:hAnsi="宋体" w:eastAsia="宋体" w:cs="Times New Roman"/>
          <w:color w:val="auto"/>
          <w:szCs w:val="21"/>
        </w:rPr>
        <w:t xml:space="preserve"> 海蜇：螅状体—蝶状体期间；</w:t>
      </w:r>
      <w:r>
        <w:rPr>
          <w:rFonts w:hint="eastAsia" w:ascii="宋体" w:hAnsi="宋体" w:eastAsia="宋体" w:cs="Times New Roman"/>
          <w:color w:val="auto"/>
          <w:szCs w:val="21"/>
        </w:rPr>
        <w:t>三疣梭子蟹：蚤状幼体—大眼幼体期间。未经甲方前期验收和确认的种苗不予放流。</w:t>
      </w:r>
    </w:p>
    <w:p w14:paraId="6C70EC7B">
      <w:pPr>
        <w:keepNext w:val="0"/>
        <w:keepLines w:val="0"/>
        <w:pageBreakBefore w:val="0"/>
        <w:kinsoku/>
        <w:wordWrap/>
        <w:overflowPunct/>
        <w:topLinePunct w:val="0"/>
        <w:autoSpaceDE/>
        <w:autoSpaceDN/>
        <w:bidi w:val="0"/>
        <w:spacing w:line="288" w:lineRule="auto"/>
        <w:textAlignment w:val="auto"/>
        <w:rPr>
          <w:rFonts w:ascii="宋体" w:hAnsi="宋体" w:eastAsia="宋体" w:cs="宋体"/>
          <w:color w:val="auto"/>
          <w:szCs w:val="21"/>
        </w:rPr>
      </w:pPr>
      <w:r>
        <w:rPr>
          <w:rFonts w:hint="eastAsia" w:ascii="宋体" w:hAnsi="宋体" w:eastAsia="宋体" w:cs="Times New Roman"/>
          <w:color w:val="auto"/>
          <w:szCs w:val="21"/>
        </w:rPr>
        <w:t xml:space="preserve">    3.</w:t>
      </w:r>
      <w:r>
        <w:rPr>
          <w:rFonts w:hint="eastAsia" w:ascii="宋体" w:hAnsi="宋体" w:eastAsia="宋体" w:cs="宋体"/>
          <w:color w:val="auto"/>
          <w:szCs w:val="21"/>
        </w:rPr>
        <w:t>乙方在放流前必须</w:t>
      </w:r>
      <w:r>
        <w:rPr>
          <w:rFonts w:hint="eastAsia" w:ascii="宋体" w:hAnsi="宋体" w:eastAsia="宋体" w:cs="宋体"/>
          <w:color w:val="auto"/>
          <w:kern w:val="0"/>
          <w:szCs w:val="21"/>
        </w:rPr>
        <w:t>委托有资质的机构</w:t>
      </w:r>
      <w:r>
        <w:rPr>
          <w:rFonts w:hint="eastAsia" w:ascii="宋体" w:hAnsi="宋体" w:eastAsia="宋体" w:cs="宋体"/>
          <w:color w:val="auto"/>
          <w:szCs w:val="21"/>
        </w:rPr>
        <w:t>（单位）</w:t>
      </w:r>
      <w:r>
        <w:rPr>
          <w:rFonts w:hint="eastAsia" w:ascii="宋体" w:hAnsi="宋体" w:eastAsia="宋体" w:cs="宋体"/>
          <w:color w:val="auto"/>
          <w:kern w:val="0"/>
          <w:szCs w:val="21"/>
        </w:rPr>
        <w:t>,对该批次</w:t>
      </w:r>
      <w:r>
        <w:rPr>
          <w:rFonts w:hint="eastAsia" w:ascii="宋体" w:hAnsi="宋体" w:eastAsia="宋体" w:cs="宋体"/>
          <w:color w:val="auto"/>
          <w:szCs w:val="21"/>
        </w:rPr>
        <w:t>放流种苗进行药残检验</w:t>
      </w:r>
      <w:r>
        <w:rPr>
          <w:rFonts w:hint="eastAsia" w:ascii="宋体" w:hAnsi="宋体" w:eastAsia="宋体" w:cs="宋体"/>
          <w:bCs/>
          <w:color w:val="auto"/>
          <w:szCs w:val="21"/>
        </w:rPr>
        <w:t>,</w:t>
      </w:r>
      <w:r>
        <w:rPr>
          <w:rFonts w:hint="eastAsia" w:ascii="宋体" w:hAnsi="宋体" w:eastAsia="宋体" w:cs="宋体"/>
          <w:color w:val="auto"/>
          <w:szCs w:val="21"/>
        </w:rPr>
        <w:t>并向当地水产技术推广机构（或委托有能力的科研机构）申请疫病检测。增殖放流种苗药残检验按《农业部办公厅关于开展增殖放流经济水产苗种质量安全检验的通知》（农办渔〔2009〕52号）执行；种苗疫病检测参照《农业部关于印发&lt;鱼类产地检疫规程（试行）&gt;等3个规程的通知》(农渔发〔2011〕6号)执行，经检验含有药残或不符合疫病检测合格标准的水产苗种，不得用于增殖放流。乙方在放流前必须提供检验检测报告原件，</w:t>
      </w:r>
      <w:r>
        <w:rPr>
          <w:rFonts w:hint="eastAsia" w:ascii="宋体" w:hAnsi="宋体" w:eastAsia="宋体" w:cs="Times New Roman"/>
          <w:color w:val="auto"/>
          <w:szCs w:val="21"/>
        </w:rPr>
        <w:t>否则不予放流。</w:t>
      </w:r>
    </w:p>
    <w:p w14:paraId="1ECE6A59">
      <w:pPr>
        <w:keepNext w:val="0"/>
        <w:keepLines w:val="0"/>
        <w:pageBreakBefore w:val="0"/>
        <w:kinsoku/>
        <w:wordWrap/>
        <w:overflowPunct/>
        <w:topLinePunct w:val="0"/>
        <w:autoSpaceDE/>
        <w:autoSpaceDN/>
        <w:bidi w:val="0"/>
        <w:spacing w:line="288" w:lineRule="auto"/>
        <w:ind w:firstLine="420" w:firstLineChars="200"/>
        <w:textAlignment w:val="auto"/>
        <w:rPr>
          <w:rFonts w:ascii="宋体" w:hAnsi="宋体" w:eastAsia="宋体" w:cs="宋体"/>
          <w:color w:val="auto"/>
          <w:szCs w:val="21"/>
        </w:rPr>
      </w:pPr>
      <w:r>
        <w:rPr>
          <w:rFonts w:hint="eastAsia" w:ascii="宋体" w:hAnsi="宋体" w:eastAsia="宋体" w:cs="宋体"/>
          <w:color w:val="auto"/>
          <w:szCs w:val="21"/>
        </w:rPr>
        <w:t>说明：①药残检验指标为硝基呋喃类代谢物、孔雀石绿和氯霉素。</w:t>
      </w:r>
    </w:p>
    <w:p w14:paraId="7B4A420F">
      <w:pPr>
        <w:keepNext w:val="0"/>
        <w:keepLines w:val="0"/>
        <w:pageBreakBefore w:val="0"/>
        <w:widowControl/>
        <w:kinsoku/>
        <w:wordWrap/>
        <w:overflowPunct/>
        <w:topLinePunct w:val="0"/>
        <w:autoSpaceDE/>
        <w:autoSpaceDN/>
        <w:bidi w:val="0"/>
        <w:adjustRightInd w:val="0"/>
        <w:snapToGrid w:val="0"/>
        <w:spacing w:line="288" w:lineRule="auto"/>
        <w:ind w:firstLine="1050" w:firstLineChars="500"/>
        <w:textAlignment w:val="auto"/>
        <w:rPr>
          <w:rFonts w:ascii="宋体" w:hAnsi="宋体" w:eastAsia="宋体" w:cs="宋体"/>
          <w:color w:val="auto"/>
          <w:szCs w:val="21"/>
        </w:rPr>
      </w:pPr>
      <w:r>
        <w:rPr>
          <w:rFonts w:hint="eastAsia" w:ascii="宋体" w:hAnsi="宋体" w:eastAsia="宋体" w:cs="宋体"/>
          <w:color w:val="auto"/>
          <w:szCs w:val="21"/>
        </w:rPr>
        <w:t>②疫病检测范围及对象：海水鱼类为刺激隐核虫病；对虾为白斑综合征、桃拉综合征和传染性肌肉坏死病。</w:t>
      </w:r>
    </w:p>
    <w:p w14:paraId="7D8529D0">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4.鱼类</w:t>
      </w:r>
      <w:r>
        <w:rPr>
          <w:rFonts w:hint="eastAsia" w:ascii="Times New Roman" w:hAnsi="Times New Roman" w:eastAsia="宋体" w:cs="Times New Roman"/>
          <w:color w:val="auto"/>
          <w:szCs w:val="21"/>
        </w:rPr>
        <w:t>种苗放流前还必须经网箱暂养或拉网锻炼(网箱暂养时间原则上不少于一个月，拉网锻炼时间不少于一周)</w:t>
      </w:r>
      <w:r>
        <w:rPr>
          <w:rFonts w:hint="eastAsia" w:ascii="宋体" w:hAnsi="宋体" w:eastAsia="宋体" w:cs="Times New Roman"/>
          <w:color w:val="auto"/>
          <w:szCs w:val="21"/>
        </w:rPr>
        <w:t>。</w:t>
      </w:r>
    </w:p>
    <w:p w14:paraId="3D1A5C43">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rPr>
        <w:t xml:space="preserve">    5.乙方</w:t>
      </w:r>
      <w:r>
        <w:rPr>
          <w:rFonts w:hint="eastAsia" w:ascii="宋体" w:hAnsi="宋体" w:eastAsia="宋体" w:cs="Times New Roman"/>
          <w:color w:val="auto"/>
          <w:szCs w:val="21"/>
        </w:rPr>
        <w:t>负责提出种苗放流的相关方案,经甲方确认后方能实施；每次放流实施应提前十天书面通知甲方。</w:t>
      </w:r>
    </w:p>
    <w:p w14:paraId="2A3F3413">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6.乙方要严格按照甲方要求，做好种苗的抽样、计数、测量、运输等相关工作。</w:t>
      </w:r>
    </w:p>
    <w:p w14:paraId="3E61655B">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7.提供与放流相关的服务，按甲方放流计划要求，准时将种苗运抵甲方指定的放流地点，并确保运输环节放流种苗的安全、健康。</w:t>
      </w:r>
    </w:p>
    <w:p w14:paraId="4C84F076">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8.对于室内(含大棚)培育的种苗，要求放流前池内水温和当时放流海域的平均水温之差原则上不得大于±3℃。</w:t>
      </w:r>
    </w:p>
    <w:p w14:paraId="5A4806B6">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rPr>
        <w:t xml:space="preserve">    9.放流过程中若遇到技术和操作上的难题，由双方共同商定后实施。因克服难题所需费用全部由乙方承担。</w:t>
      </w:r>
    </w:p>
    <w:p w14:paraId="1979A595">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zCs w:val="21"/>
        </w:rPr>
      </w:pPr>
      <w:r>
        <w:rPr>
          <w:rFonts w:hint="eastAsia" w:ascii="宋体" w:hAnsi="宋体" w:eastAsia="宋体" w:cs="Times New Roman"/>
          <w:color w:val="auto"/>
          <w:szCs w:val="21"/>
        </w:rPr>
        <w:t xml:space="preserve">    10.在甲方付款前向甲方出具等额有效的发票。</w:t>
      </w:r>
    </w:p>
    <w:p w14:paraId="21DEE391">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color w:val="auto"/>
          <w:spacing w:val="-4"/>
          <w:szCs w:val="21"/>
        </w:rPr>
      </w:pPr>
      <w:r>
        <w:rPr>
          <w:rFonts w:hint="eastAsia" w:ascii="宋体" w:hAnsi="宋体" w:eastAsia="宋体" w:cs="Times New Roman"/>
          <w:color w:val="auto"/>
          <w:spacing w:val="-4"/>
          <w:szCs w:val="21"/>
        </w:rPr>
        <w:t xml:space="preserve">    11.放流工作结束后，乙方有权按本合同约定要求甲方及时支付</w:t>
      </w:r>
      <w:r>
        <w:rPr>
          <w:rFonts w:hint="eastAsia" w:ascii="宋体" w:hAnsi="宋体" w:eastAsia="宋体" w:cs="Times New Roman"/>
          <w:color w:val="auto"/>
          <w:szCs w:val="21"/>
        </w:rPr>
        <w:t>种苗</w:t>
      </w:r>
      <w:r>
        <w:rPr>
          <w:rFonts w:hint="eastAsia" w:ascii="宋体" w:hAnsi="宋体" w:eastAsia="宋体" w:cs="Times New Roman"/>
          <w:color w:val="auto"/>
          <w:spacing w:val="-4"/>
          <w:szCs w:val="21"/>
        </w:rPr>
        <w:t>款项。</w:t>
      </w:r>
    </w:p>
    <w:p w14:paraId="23DF3337">
      <w:pPr>
        <w:keepNext w:val="0"/>
        <w:keepLines w:val="0"/>
        <w:pageBreakBefore w:val="0"/>
        <w:kinsoku/>
        <w:wordWrap/>
        <w:overflowPunct/>
        <w:topLinePunct w:val="0"/>
        <w:autoSpaceDE/>
        <w:autoSpaceDN/>
        <w:bidi w:val="0"/>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五、转包或分包</w:t>
      </w:r>
    </w:p>
    <w:p w14:paraId="0ED8F066">
      <w:pPr>
        <w:keepNext w:val="0"/>
        <w:keepLines w:val="0"/>
        <w:pageBreakBefore w:val="0"/>
        <w:kinsoku/>
        <w:wordWrap/>
        <w:overflowPunct/>
        <w:topLinePunct w:val="0"/>
        <w:autoSpaceDE/>
        <w:autoSpaceDN/>
        <w:bidi w:val="0"/>
        <w:spacing w:line="288" w:lineRule="auto"/>
        <w:ind w:firstLine="420" w:firstLineChars="200"/>
        <w:textAlignment w:val="auto"/>
        <w:rPr>
          <w:rFonts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.本合同范围内的种苗，应由</w:t>
      </w:r>
      <w:r>
        <w:rPr>
          <w:rFonts w:hint="eastAsia" w:ascii="宋体" w:hAnsi="宋体" w:eastAsia="宋体" w:cs="Times New Roman"/>
          <w:color w:val="auto"/>
          <w:szCs w:val="21"/>
        </w:rPr>
        <w:t>乙</w:t>
      </w:r>
      <w:r>
        <w:rPr>
          <w:rFonts w:hint="eastAsia" w:ascii="宋体" w:hAnsi="宋体" w:eastAsia="宋体" w:cs="Times New Roman"/>
          <w:color w:val="auto"/>
        </w:rPr>
        <w:t>方直接供应，不得转让他人供应。</w:t>
      </w:r>
    </w:p>
    <w:p w14:paraId="42258044">
      <w:pPr>
        <w:keepNext w:val="0"/>
        <w:keepLines w:val="0"/>
        <w:pageBreakBefore w:val="0"/>
        <w:kinsoku/>
        <w:wordWrap/>
        <w:overflowPunct/>
        <w:topLinePunct w:val="0"/>
        <w:autoSpaceDE/>
        <w:autoSpaceDN/>
        <w:bidi w:val="0"/>
        <w:spacing w:line="360" w:lineRule="auto"/>
        <w:ind w:firstLine="420" w:firstLineChars="200"/>
        <w:textAlignment w:val="auto"/>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.除非得到甲方的书面同意，</w:t>
      </w:r>
      <w:r>
        <w:rPr>
          <w:rFonts w:hint="eastAsia" w:ascii="宋体" w:hAnsi="宋体" w:eastAsia="宋体" w:cs="Times New Roman"/>
          <w:color w:val="auto"/>
          <w:szCs w:val="21"/>
        </w:rPr>
        <w:t>乙</w:t>
      </w:r>
      <w:r>
        <w:rPr>
          <w:rFonts w:hint="eastAsia" w:ascii="宋体" w:hAnsi="宋体" w:eastAsia="宋体" w:cs="Times New Roman"/>
          <w:color w:val="auto"/>
        </w:rPr>
        <w:t>方不得部分分包给他人供应。</w:t>
      </w:r>
    </w:p>
    <w:p w14:paraId="7C4F162E">
      <w:pPr>
        <w:keepNext w:val="0"/>
        <w:keepLines w:val="0"/>
        <w:pageBreakBefore w:val="0"/>
        <w:kinsoku/>
        <w:wordWrap/>
        <w:overflowPunct/>
        <w:topLinePunct w:val="0"/>
        <w:bidi w:val="0"/>
        <w:adjustRightInd/>
        <w:snapToGrid/>
        <w:spacing w:line="360"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六、结算及付款方式</w:t>
      </w:r>
    </w:p>
    <w:p w14:paraId="1198B8CF">
      <w:pPr>
        <w:keepNext w:val="0"/>
        <w:keepLines w:val="0"/>
        <w:pageBreakBefore w:val="0"/>
        <w:kinsoku/>
        <w:wordWrap/>
        <w:overflowPunct/>
        <w:topLinePunct w:val="0"/>
        <w:bidi w:val="0"/>
        <w:adjustRightInd/>
        <w:snapToGrid/>
        <w:spacing w:line="360" w:lineRule="auto"/>
        <w:ind w:right="0" w:rightChars="0"/>
        <w:rPr>
          <w:rFonts w:ascii="宋体" w:hAnsi="宋体" w:eastAsia="宋体" w:cs="Times New Roman"/>
          <w:color w:val="auto"/>
        </w:rPr>
      </w:pPr>
      <w:r>
        <w:rPr>
          <w:rFonts w:hint="eastAsia" w:ascii="宋体" w:hAnsi="宋体" w:eastAsia="宋体" w:cs="Times New Roman"/>
          <w:color w:val="auto"/>
        </w:rPr>
        <w:t xml:space="preserve">    1.增殖放流全部结束后，根据甲方进行现场验收确认书确定的放流种苗总数量结算款项。实际放流种苗数量以到达放流点成活的苗种数量为准，由甲方监督小组及技术小组人员验收确认并提供《浙江省水生生物增殖放流工作监督表》。</w:t>
      </w:r>
    </w:p>
    <w:p w14:paraId="3703C69E">
      <w:pPr>
        <w:keepNext w:val="0"/>
        <w:keepLines w:val="0"/>
        <w:pageBreakBefore w:val="0"/>
        <w:widowControl/>
        <w:kinsoku/>
        <w:wordWrap/>
        <w:overflowPunct/>
        <w:topLinePunct w:val="0"/>
        <w:autoSpaceDE w:val="0"/>
        <w:autoSpaceDN w:val="0"/>
        <w:bidi w:val="0"/>
        <w:adjustRightInd/>
        <w:snapToGrid/>
        <w:spacing w:line="360" w:lineRule="auto"/>
        <w:ind w:right="0" w:rightChars="0" w:firstLine="420" w:firstLineChars="200"/>
        <w:textAlignment w:val="bottom"/>
        <w:rPr>
          <w:rFonts w:ascii="宋体" w:hAnsi="宋体" w:eastAsia="宋体" w:cs="Times New Roman"/>
          <w:b/>
          <w:bCs/>
          <w:color w:val="auto"/>
          <w:szCs w:val="21"/>
        </w:rPr>
      </w:pPr>
      <w:r>
        <w:rPr>
          <w:rFonts w:hint="eastAsia" w:ascii="宋体" w:hAnsi="宋体" w:eastAsia="宋体" w:cs="Times New Roman"/>
          <w:color w:val="auto"/>
        </w:rPr>
        <w:t>2.合同生效以及具备实施条件，收到合法票据后7个工作日内支付</w:t>
      </w:r>
      <w:r>
        <w:rPr>
          <w:rFonts w:hint="eastAsia" w:ascii="宋体" w:hAnsi="宋体" w:eastAsia="宋体" w:cs="Times New Roman"/>
          <w:color w:val="auto"/>
          <w:lang w:val="en-US" w:eastAsia="zh-CN"/>
        </w:rPr>
        <w:t>5</w:t>
      </w:r>
      <w:r>
        <w:rPr>
          <w:rFonts w:hint="eastAsia" w:ascii="宋体" w:hAnsi="宋体" w:eastAsia="宋体" w:cs="Times New Roman"/>
          <w:color w:val="auto"/>
        </w:rPr>
        <w:t>0%的预付款，增殖放流结束并通过验收后，</w:t>
      </w:r>
      <w:r>
        <w:rPr>
          <w:rFonts w:hint="eastAsia" w:ascii="宋体" w:hAnsi="宋体" w:eastAsia="宋体" w:cs="Times New Roman"/>
          <w:color w:val="auto"/>
          <w:lang w:val="en-US" w:eastAsia="zh-CN"/>
        </w:rPr>
        <w:t>甲方</w:t>
      </w:r>
      <w:r>
        <w:rPr>
          <w:rFonts w:hint="eastAsia" w:ascii="宋体" w:hAnsi="宋体" w:eastAsia="宋体" w:cs="Times New Roman"/>
          <w:color w:val="auto"/>
        </w:rPr>
        <w:t>在收到</w:t>
      </w:r>
      <w:r>
        <w:rPr>
          <w:rFonts w:hint="eastAsia" w:ascii="宋体" w:hAnsi="宋体" w:eastAsia="宋体" w:cs="Times New Roman"/>
          <w:color w:val="auto"/>
          <w:lang w:val="en-US" w:eastAsia="zh-CN"/>
        </w:rPr>
        <w:t>乙方</w:t>
      </w:r>
      <w:r>
        <w:rPr>
          <w:rFonts w:hint="eastAsia" w:ascii="宋体" w:hAnsi="宋体" w:eastAsia="宋体" w:cs="Times New Roman"/>
          <w:color w:val="auto"/>
        </w:rPr>
        <w:t>提供的合法票据后7个工作日内支付剩余款项。</w:t>
      </w:r>
    </w:p>
    <w:p w14:paraId="5727A2ED">
      <w:pPr>
        <w:keepNext w:val="0"/>
        <w:keepLines w:val="0"/>
        <w:pageBreakBefore w:val="0"/>
        <w:widowControl/>
        <w:kinsoku/>
        <w:wordWrap/>
        <w:overflowPunct/>
        <w:topLinePunct w:val="0"/>
        <w:autoSpaceDE w:val="0"/>
        <w:autoSpaceDN w:val="0"/>
        <w:bidi w:val="0"/>
        <w:adjustRightInd/>
        <w:snapToGrid/>
        <w:spacing w:line="360" w:lineRule="auto"/>
        <w:ind w:right="0" w:rightChars="0"/>
        <w:textAlignment w:val="bottom"/>
        <w:rPr>
          <w:rFonts w:ascii="宋体" w:hAnsi="宋体" w:eastAsia="宋体" w:cs="Times New Roman"/>
          <w:b/>
          <w:bCs/>
          <w:color w:val="auto"/>
          <w:szCs w:val="21"/>
        </w:rPr>
      </w:pPr>
      <w:r>
        <w:rPr>
          <w:rFonts w:hint="eastAsia" w:ascii="宋体" w:hAnsi="宋体" w:eastAsia="宋体" w:cs="Times New Roman"/>
          <w:b/>
          <w:bCs/>
          <w:color w:val="auto"/>
          <w:szCs w:val="21"/>
        </w:rPr>
        <w:t xml:space="preserve"> </w:t>
      </w:r>
      <w:r>
        <w:rPr>
          <w:rFonts w:ascii="宋体" w:hAnsi="宋体" w:eastAsia="宋体" w:cs="Times New Roman"/>
          <w:b/>
          <w:bCs/>
          <w:color w:val="auto"/>
          <w:szCs w:val="21"/>
        </w:rPr>
        <w:t xml:space="preserve">  </w:t>
      </w:r>
      <w:r>
        <w:rPr>
          <w:rFonts w:hint="eastAsia" w:ascii="宋体" w:hAnsi="宋体" w:eastAsia="宋体" w:cs="Times New Roman"/>
          <w:color w:val="auto"/>
          <w:szCs w:val="21"/>
        </w:rPr>
        <w:t>由甲方决定是否需要提供预付款担保</w:t>
      </w:r>
      <w:r>
        <w:rPr>
          <w:rFonts w:ascii="宋体" w:hAnsi="宋体" w:eastAsia="宋体" w:cs="Times New Roman"/>
          <w:color w:val="auto"/>
          <w:szCs w:val="21"/>
        </w:rPr>
        <w:t>(预付款担保形式可以是银行保函、担保公司担保等)。</w:t>
      </w:r>
    </w:p>
    <w:p w14:paraId="5ABC2D6D">
      <w:pPr>
        <w:keepNext w:val="0"/>
        <w:keepLines w:val="0"/>
        <w:pageBreakBefore w:val="0"/>
        <w:widowControl/>
        <w:kinsoku/>
        <w:wordWrap/>
        <w:overflowPunct/>
        <w:topLinePunct w:val="0"/>
        <w:autoSpaceDE w:val="0"/>
        <w:autoSpaceDN w:val="0"/>
        <w:bidi w:val="0"/>
        <w:adjustRightInd/>
        <w:snapToGrid/>
        <w:spacing w:line="360" w:lineRule="auto"/>
        <w:ind w:right="0" w:rightChars="0"/>
        <w:textAlignment w:val="bottom"/>
        <w:rPr>
          <w:rFonts w:ascii="宋体" w:hAnsi="宋体" w:eastAsia="宋体" w:cs="Times New Roman"/>
          <w:b/>
          <w:bCs/>
          <w:color w:val="auto"/>
          <w:szCs w:val="21"/>
        </w:rPr>
      </w:pPr>
      <w:r>
        <w:rPr>
          <w:rFonts w:hint="eastAsia" w:ascii="宋体" w:hAnsi="宋体" w:eastAsia="宋体" w:cs="Times New Roman"/>
          <w:b/>
          <w:bCs/>
          <w:color w:val="auto"/>
          <w:szCs w:val="21"/>
        </w:rPr>
        <w:t xml:space="preserve">七、税  </w:t>
      </w:r>
    </w:p>
    <w:p w14:paraId="55DE4827">
      <w:pPr>
        <w:keepNext w:val="0"/>
        <w:keepLines w:val="0"/>
        <w:pageBreakBefore w:val="0"/>
        <w:kinsoku/>
        <w:wordWrap/>
        <w:overflowPunct/>
        <w:topLinePunct w:val="0"/>
        <w:bidi w:val="0"/>
        <w:adjustRightInd/>
        <w:snapToGrid/>
        <w:spacing w:line="360" w:lineRule="auto"/>
        <w:ind w:right="0" w:rightChars="0"/>
        <w:rPr>
          <w:rFonts w:ascii="宋体" w:hAnsi="宋体" w:eastAsia="宋体" w:cs="Times New Roman"/>
          <w:b/>
          <w:bCs/>
          <w:color w:val="auto"/>
          <w:szCs w:val="21"/>
        </w:rPr>
      </w:pPr>
      <w:r>
        <w:rPr>
          <w:rFonts w:hint="eastAsia" w:ascii="宋体" w:hAnsi="宋体" w:eastAsia="宋体" w:cs="Times New Roman"/>
          <w:color w:val="auto"/>
        </w:rPr>
        <w:t xml:space="preserve">    本合同执行中相关的一切税费均由乙方负担。</w:t>
      </w:r>
    </w:p>
    <w:p w14:paraId="4FBF6ADB">
      <w:pPr>
        <w:keepNext w:val="0"/>
        <w:keepLines w:val="0"/>
        <w:pageBreakBefore w:val="0"/>
        <w:kinsoku/>
        <w:wordWrap/>
        <w:overflowPunct/>
        <w:topLinePunct w:val="0"/>
        <w:bidi w:val="0"/>
        <w:adjustRightInd/>
        <w:snapToGrid/>
        <w:spacing w:line="288"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八、违约责任</w:t>
      </w:r>
    </w:p>
    <w:p w14:paraId="0C2CADC7">
      <w:pPr>
        <w:keepNext w:val="0"/>
        <w:keepLines w:val="0"/>
        <w:pageBreakBefore w:val="0"/>
        <w:kinsoku/>
        <w:wordWrap/>
        <w:overflowPunct/>
        <w:topLinePunct w:val="0"/>
        <w:bidi w:val="0"/>
        <w:adjustRightInd/>
        <w:snapToGrid/>
        <w:spacing w:line="288" w:lineRule="auto"/>
        <w:ind w:right="0" w:rightChars="0" w:firstLine="420" w:firstLineChars="200"/>
        <w:rPr>
          <w:rFonts w:ascii="宋体" w:hAnsi="Times New Roman"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.若乙方运抵放流点的种苗其游泳能力及健康状况未能达到放流要求，甲方可拒绝验收及放流。</w:t>
      </w:r>
    </w:p>
    <w:p w14:paraId="3590959C">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乙方未能按本合同要求提供增殖放流用种苗或者部分提供放流种苗的，甲方有权解除本合同，若乙方提供种苗数量不足约定数量40%的，则乙方按比例退还预付款，且乙方须按未完成部分的合同金额的8％向甲方支付违约金。</w:t>
      </w:r>
    </w:p>
    <w:p w14:paraId="50B3FC7B">
      <w:pPr>
        <w:keepNext w:val="0"/>
        <w:keepLines w:val="0"/>
        <w:pageBreakBefore w:val="0"/>
        <w:kinsoku/>
        <w:wordWrap/>
        <w:overflowPunct/>
        <w:topLinePunct w:val="0"/>
        <w:bidi w:val="0"/>
        <w:adjustRightInd/>
        <w:snapToGrid/>
        <w:spacing w:line="288" w:lineRule="auto"/>
        <w:ind w:right="0" w:rightChars="0" w:firstLine="420"/>
        <w:rPr>
          <w:rFonts w:ascii="宋体" w:hAnsi="宋体" w:eastAsia="宋体" w:cs="Times New Roman"/>
          <w:color w:val="auto"/>
        </w:rPr>
      </w:pPr>
      <w:r>
        <w:rPr>
          <w:rFonts w:hint="eastAsia" w:ascii="宋体" w:hAnsi="宋体" w:eastAsia="宋体" w:cs="Times New Roman"/>
          <w:color w:val="auto"/>
        </w:rPr>
        <w:t>3.若乙方在招投标中存在虚假承诺等情形的，甲方有权解除本合同，</w:t>
      </w:r>
      <w:r>
        <w:rPr>
          <w:rFonts w:hint="eastAsia" w:ascii="宋体" w:hAnsi="宋体" w:eastAsia="宋体" w:cs="仿宋"/>
          <w:color w:val="auto"/>
          <w:szCs w:val="21"/>
        </w:rPr>
        <w:t>并要求乙方退还预付款，乙方向甲方支付合同金额8%的违约金。</w:t>
      </w:r>
    </w:p>
    <w:p w14:paraId="0B3C5C33">
      <w:pPr>
        <w:keepNext w:val="0"/>
        <w:keepLines w:val="0"/>
        <w:pageBreakBefore w:val="0"/>
        <w:kinsoku/>
        <w:wordWrap/>
        <w:overflowPunct/>
        <w:topLinePunct w:val="0"/>
        <w:bidi w:val="0"/>
        <w:adjustRightInd/>
        <w:snapToGrid/>
        <w:spacing w:line="288" w:lineRule="auto"/>
        <w:ind w:right="0" w:rightChars="0" w:firstLine="420"/>
        <w:rPr>
          <w:rFonts w:ascii="宋体" w:hAnsi="宋体" w:eastAsia="宋体" w:cs="Times New Roman"/>
          <w:color w:val="auto"/>
        </w:rPr>
      </w:pPr>
      <w:r>
        <w:rPr>
          <w:rFonts w:hint="eastAsia" w:ascii="宋体" w:hAnsi="宋体" w:eastAsia="宋体" w:cs="Times New Roman"/>
          <w:color w:val="auto"/>
        </w:rPr>
        <w:t>4.甲方未能如期支付采购种苗款项，则按逾期款项的每日万分之四向乙方支付违约金。</w:t>
      </w:r>
    </w:p>
    <w:p w14:paraId="63DF0CDC">
      <w:pPr>
        <w:keepNext w:val="0"/>
        <w:keepLines w:val="0"/>
        <w:pageBreakBefore w:val="0"/>
        <w:kinsoku/>
        <w:wordWrap/>
        <w:overflowPunct/>
        <w:topLinePunct w:val="0"/>
        <w:bidi w:val="0"/>
        <w:adjustRightInd/>
        <w:snapToGrid/>
        <w:spacing w:line="288" w:lineRule="auto"/>
        <w:ind w:right="0" w:rightChars="0"/>
        <w:rPr>
          <w:rFonts w:ascii="宋体" w:hAnsi="宋体" w:eastAsia="宋体" w:cs="Times New Roman"/>
          <w:b/>
          <w:bCs/>
          <w:color w:val="auto"/>
          <w:szCs w:val="21"/>
        </w:rPr>
      </w:pPr>
      <w:r>
        <w:rPr>
          <w:rFonts w:hint="eastAsia" w:ascii="宋体" w:hAnsi="宋体" w:eastAsia="宋体" w:cs="Times New Roman"/>
          <w:b/>
          <w:bCs/>
          <w:color w:val="auto"/>
          <w:szCs w:val="21"/>
        </w:rPr>
        <w:t>九、不可抗力事件处理</w:t>
      </w:r>
    </w:p>
    <w:p w14:paraId="50FD8AA1">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1</w:t>
      </w:r>
      <w:r>
        <w:rPr>
          <w:rFonts w:hint="eastAsia" w:ascii="宋体" w:hAnsi="宋体" w:eastAsia="宋体" w:cs="Times New Roman"/>
          <w:color w:val="auto"/>
        </w:rPr>
        <w:t>.在合同有效期内，任何一方因不可抗力事件导致不能履行合同，原则上不可以顺延，经双方共同协商确定后，合同履行期方可延长，其延长期与不可抗力影响期相同。</w:t>
      </w:r>
    </w:p>
    <w:p w14:paraId="4A72A36E">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2</w:t>
      </w:r>
      <w:r>
        <w:rPr>
          <w:rFonts w:hint="eastAsia" w:ascii="宋体" w:hAnsi="宋体" w:eastAsia="宋体" w:cs="Times New Roman"/>
          <w:color w:val="auto"/>
        </w:rPr>
        <w:t>.不可抗力事件发生后，应立即通知对方，并寄送有关权威机构出具的证明。</w:t>
      </w:r>
    </w:p>
    <w:p w14:paraId="6D064742">
      <w:pPr>
        <w:keepNext w:val="0"/>
        <w:keepLines w:val="0"/>
        <w:pageBreakBefore w:val="0"/>
        <w:kinsoku/>
        <w:wordWrap/>
        <w:overflowPunct/>
        <w:topLinePunct w:val="0"/>
        <w:bidi w:val="0"/>
        <w:adjustRightInd/>
        <w:snapToGrid/>
        <w:spacing w:line="288" w:lineRule="auto"/>
        <w:ind w:right="0" w:rightChars="0" w:firstLine="420" w:firstLineChars="200"/>
        <w:rPr>
          <w:rFonts w:ascii="宋体" w:hAnsi="宋体" w:eastAsia="宋体" w:cs="Times New Roman"/>
          <w:color w:val="auto"/>
        </w:rPr>
      </w:pPr>
      <w:r>
        <w:rPr>
          <w:rFonts w:ascii="宋体" w:hAnsi="宋体" w:eastAsia="宋体" w:cs="Times New Roman"/>
          <w:color w:val="auto"/>
        </w:rPr>
        <w:t>3</w:t>
      </w:r>
      <w:r>
        <w:rPr>
          <w:rFonts w:hint="eastAsia" w:ascii="宋体" w:hAnsi="宋体" w:eastAsia="宋体" w:cs="Times New Roman"/>
          <w:color w:val="auto"/>
        </w:rPr>
        <w:t>.不可抗力事件延续6</w:t>
      </w:r>
      <w:r>
        <w:rPr>
          <w:rFonts w:ascii="宋体" w:hAnsi="宋体" w:eastAsia="宋体" w:cs="Times New Roman"/>
          <w:color w:val="auto"/>
        </w:rPr>
        <w:t>0</w:t>
      </w:r>
      <w:r>
        <w:rPr>
          <w:rFonts w:hint="eastAsia" w:ascii="宋体" w:hAnsi="宋体" w:eastAsia="宋体" w:cs="Times New Roman"/>
          <w:color w:val="auto"/>
        </w:rPr>
        <w:t>天以上，双方应通过友好协商，确定是否继续履行合同。</w:t>
      </w:r>
    </w:p>
    <w:p w14:paraId="3EFE6BA9">
      <w:pPr>
        <w:keepNext w:val="0"/>
        <w:keepLines w:val="0"/>
        <w:pageBreakBefore w:val="0"/>
        <w:kinsoku/>
        <w:wordWrap/>
        <w:overflowPunct/>
        <w:topLinePunct w:val="0"/>
        <w:bidi w:val="0"/>
        <w:adjustRightInd/>
        <w:snapToGrid/>
        <w:spacing w:line="288" w:lineRule="auto"/>
        <w:ind w:right="0" w:rightChars="0"/>
        <w:rPr>
          <w:rFonts w:ascii="宋体" w:hAnsi="宋体" w:eastAsia="宋体" w:cs="Times New Roman"/>
          <w:b/>
          <w:color w:val="auto"/>
        </w:rPr>
      </w:pPr>
      <w:r>
        <w:rPr>
          <w:rFonts w:hint="eastAsia" w:ascii="宋体" w:hAnsi="宋体" w:eastAsia="宋体" w:cs="Times New Roman"/>
          <w:b/>
          <w:bCs/>
          <w:color w:val="auto"/>
          <w:szCs w:val="21"/>
        </w:rPr>
        <w:t>十、争议解决</w:t>
      </w:r>
    </w:p>
    <w:p w14:paraId="71958A1E">
      <w:pPr>
        <w:keepNext w:val="0"/>
        <w:keepLines w:val="0"/>
        <w:pageBreakBefore w:val="0"/>
        <w:widowControl w:val="0"/>
        <w:kinsoku/>
        <w:wordWrap/>
        <w:overflowPunct/>
        <w:topLinePunct w:val="0"/>
        <w:autoSpaceDE/>
        <w:autoSpaceDN/>
        <w:bidi w:val="0"/>
        <w:adjustRightInd/>
        <w:snapToGrid/>
        <w:spacing w:line="288" w:lineRule="auto"/>
        <w:ind w:right="0" w:rightChars="0"/>
        <w:textAlignment w:val="auto"/>
        <w:rPr>
          <w:rFonts w:ascii="宋体" w:hAnsi="宋体" w:eastAsia="宋体" w:cs="Times New Roman"/>
          <w:color w:val="auto"/>
        </w:rPr>
      </w:pPr>
      <w:r>
        <w:rPr>
          <w:rFonts w:hint="eastAsia" w:ascii="宋体" w:hAnsi="宋体" w:eastAsia="宋体" w:cs="Times New Roman"/>
          <w:color w:val="auto"/>
        </w:rPr>
        <w:t xml:space="preserve">    双方在执行合同中所发生的一切争议，应通过协商解决。如协商不成，可向甲方所在地人民法院起诉。</w:t>
      </w:r>
    </w:p>
    <w:p w14:paraId="3682E5FE">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b/>
          <w:bCs/>
          <w:color w:val="auto"/>
          <w:szCs w:val="21"/>
        </w:rPr>
      </w:pPr>
      <w:r>
        <w:rPr>
          <w:rFonts w:hint="eastAsia" w:ascii="宋体" w:hAnsi="宋体" w:eastAsia="宋体" w:cs="Times New Roman"/>
          <w:b/>
          <w:bCs/>
          <w:color w:val="auto"/>
          <w:szCs w:val="21"/>
        </w:rPr>
        <w:t>十一、合同生效及其它</w:t>
      </w:r>
    </w:p>
    <w:p w14:paraId="22E9B1CC">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1.本次项目的采购文件、乙方的投标文件以及乙方其他投标时承诺等文件均为本合同的组成部分。</w:t>
      </w:r>
    </w:p>
    <w:p w14:paraId="79922BE1">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2.本合同经双方加盖单位公章后生效。</w:t>
      </w:r>
    </w:p>
    <w:p w14:paraId="31BD2B54">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3.合同执行中涉及采购资金和采购内容修改或补充的，须经舟山市财政局政府采购监管处审批，并签书面补充协议报舟山市政府采购监督管理部门备案，方可作为主合同不可分割的一部分。</w:t>
      </w:r>
    </w:p>
    <w:p w14:paraId="22ECC591">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Times New Roman"/>
          <w:color w:val="auto"/>
        </w:rPr>
      </w:pPr>
      <w:r>
        <w:rPr>
          <w:rFonts w:hint="eastAsia" w:ascii="宋体" w:hAnsi="宋体" w:eastAsia="宋体" w:cs="Times New Roman"/>
          <w:color w:val="auto"/>
        </w:rPr>
        <w:t xml:space="preserve">    4.本合同未尽事宜，遵照《</w:t>
      </w:r>
      <w:r>
        <w:rPr>
          <w:rFonts w:hint="eastAsia" w:ascii="宋体" w:hAnsi="宋体" w:eastAsia="宋体" w:cs="Times New Roman"/>
          <w:bCs/>
          <w:color w:val="auto"/>
        </w:rPr>
        <w:t>中华人民共和国民法典</w:t>
      </w:r>
      <w:r>
        <w:rPr>
          <w:rFonts w:hint="eastAsia" w:ascii="宋体" w:hAnsi="宋体" w:eastAsia="宋体" w:cs="Times New Roman"/>
          <w:color w:val="auto"/>
        </w:rPr>
        <w:t>》有关条文执行。</w:t>
      </w:r>
    </w:p>
    <w:p w14:paraId="7FDE2AF4">
      <w:pPr>
        <w:keepNext w:val="0"/>
        <w:keepLines w:val="0"/>
        <w:pageBreakBefore w:val="0"/>
        <w:widowControl w:val="0"/>
        <w:kinsoku/>
        <w:wordWrap/>
        <w:overflowPunct/>
        <w:topLinePunct w:val="0"/>
        <w:autoSpaceDE/>
        <w:autoSpaceDN/>
        <w:bidi w:val="0"/>
        <w:adjustRightInd/>
        <w:snapToGrid/>
        <w:spacing w:line="288" w:lineRule="auto"/>
        <w:ind w:firstLine="420"/>
        <w:textAlignment w:val="auto"/>
        <w:rPr>
          <w:rFonts w:ascii="宋体" w:hAnsi="宋体" w:eastAsia="宋体"/>
          <w:color w:val="auto"/>
        </w:rPr>
      </w:pPr>
      <w:r>
        <w:rPr>
          <w:rFonts w:hint="eastAsia" w:ascii="宋体" w:hAnsi="宋体" w:eastAsia="宋体" w:cs="Times New Roman"/>
          <w:color w:val="auto"/>
        </w:rPr>
        <w:t>5.</w:t>
      </w:r>
      <w:r>
        <w:rPr>
          <w:rFonts w:hint="eastAsia" w:ascii="宋体" w:hAnsi="宋体" w:eastAsia="宋体"/>
          <w:color w:val="auto"/>
        </w:rPr>
        <w:t>本合同壹式叁份，甲、乙双方及代理机构各执壹份，具有同等的法律效力。</w:t>
      </w:r>
    </w:p>
    <w:p w14:paraId="4F8B4904">
      <w:pPr>
        <w:pStyle w:val="58"/>
        <w:keepNext w:val="0"/>
        <w:keepLines w:val="0"/>
        <w:pageBreakBefore w:val="0"/>
        <w:widowControl w:val="0"/>
        <w:kinsoku/>
        <w:wordWrap/>
        <w:overflowPunct/>
        <w:topLinePunct w:val="0"/>
        <w:autoSpaceDE/>
        <w:autoSpaceDN/>
        <w:bidi w:val="0"/>
        <w:adjustRightInd/>
        <w:snapToGrid/>
        <w:spacing w:after="0"/>
        <w:ind w:firstLineChars="200"/>
        <w:textAlignment w:val="auto"/>
        <w:rPr>
          <w:color w:val="auto"/>
        </w:rPr>
      </w:pPr>
    </w:p>
    <w:p w14:paraId="2D8F86E6">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甲方：                                   乙方：</w:t>
      </w:r>
    </w:p>
    <w:p w14:paraId="79C21E2E">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地址：                                   地址：</w:t>
      </w:r>
    </w:p>
    <w:p w14:paraId="230B9258">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法定代表人或授权代表：                   法定代表人或授权代表：</w:t>
      </w:r>
    </w:p>
    <w:p w14:paraId="064E1A56">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电话：                                   电话：</w:t>
      </w:r>
    </w:p>
    <w:p w14:paraId="054CDC65">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电传：                                   电传：</w:t>
      </w:r>
    </w:p>
    <w:p w14:paraId="5D8859DF">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邮政编码：                               邮政编码：</w:t>
      </w:r>
    </w:p>
    <w:p w14:paraId="6FD88789">
      <w:pPr>
        <w:spacing w:line="288" w:lineRule="auto"/>
        <w:ind w:firstLine="420" w:firstLineChars="200"/>
        <w:rPr>
          <w:rFonts w:ascii="宋体" w:hAnsi="Times New Roman" w:eastAsia="宋体" w:cs="Times New Roman"/>
          <w:color w:val="auto"/>
          <w:szCs w:val="21"/>
        </w:rPr>
      </w:pPr>
      <w:r>
        <w:rPr>
          <w:rFonts w:hint="eastAsia" w:ascii="宋体" w:hAnsi="宋体" w:eastAsia="宋体" w:cs="Times New Roman"/>
          <w:color w:val="auto"/>
          <w:szCs w:val="21"/>
        </w:rPr>
        <w:t>开户银行：                               开户银行：</w:t>
      </w:r>
    </w:p>
    <w:p w14:paraId="111B5FB5">
      <w:pPr>
        <w:tabs>
          <w:tab w:val="left" w:pos="2472"/>
        </w:tabs>
        <w:snapToGrid w:val="0"/>
        <w:spacing w:line="288" w:lineRule="auto"/>
        <w:ind w:firstLine="420" w:firstLineChars="200"/>
        <w:rPr>
          <w:rFonts w:ascii="宋体" w:hAnsi="宋体" w:eastAsia="宋体" w:cs="Courier New"/>
          <w:color w:val="auto"/>
          <w:szCs w:val="21"/>
        </w:rPr>
      </w:pPr>
      <w:r>
        <w:rPr>
          <w:rFonts w:hint="eastAsia" w:ascii="宋体" w:hAnsi="宋体" w:eastAsia="宋体" w:cs="Courier New"/>
          <w:color w:val="auto"/>
          <w:szCs w:val="21"/>
          <w:lang w:eastAsia="zh-CN"/>
        </w:rPr>
        <w:t>账号</w:t>
      </w:r>
      <w:r>
        <w:rPr>
          <w:rFonts w:hint="eastAsia" w:ascii="宋体" w:hAnsi="宋体" w:eastAsia="宋体" w:cs="Courier New"/>
          <w:color w:val="auto"/>
          <w:szCs w:val="21"/>
        </w:rPr>
        <w:t xml:space="preserve">：                                   </w:t>
      </w:r>
      <w:r>
        <w:rPr>
          <w:rFonts w:hint="eastAsia" w:ascii="宋体" w:hAnsi="宋体" w:eastAsia="宋体" w:cs="Courier New"/>
          <w:color w:val="auto"/>
          <w:szCs w:val="21"/>
          <w:lang w:eastAsia="zh-CN"/>
        </w:rPr>
        <w:t>账号</w:t>
      </w:r>
      <w:r>
        <w:rPr>
          <w:rFonts w:hint="eastAsia" w:ascii="宋体" w:hAnsi="宋体" w:eastAsia="宋体" w:cs="Courier New"/>
          <w:color w:val="auto"/>
          <w:szCs w:val="21"/>
        </w:rPr>
        <w:t>：</w:t>
      </w:r>
    </w:p>
    <w:p w14:paraId="5671FCFA">
      <w:pPr>
        <w:spacing w:line="312" w:lineRule="auto"/>
        <w:ind w:firstLine="420" w:firstLineChars="200"/>
        <w:rPr>
          <w:rFonts w:ascii="宋体" w:hAnsi="宋体" w:eastAsia="宋体" w:cs="Times New Roman"/>
          <w:color w:val="auto"/>
        </w:rPr>
      </w:pPr>
      <w:r>
        <w:rPr>
          <w:rFonts w:hint="eastAsia" w:ascii="宋体" w:hAnsi="宋体" w:eastAsia="宋体" w:cs="Courier New"/>
          <w:color w:val="auto"/>
          <w:szCs w:val="21"/>
        </w:rPr>
        <w:t>日期：                                   日期：</w:t>
      </w:r>
    </w:p>
    <w:p w14:paraId="51D73B17">
      <w:pPr>
        <w:snapToGrid w:val="0"/>
        <w:spacing w:line="260" w:lineRule="exact"/>
        <w:rPr>
          <w:rFonts w:ascii="宋体" w:hAnsi="宋体" w:eastAsia="宋体" w:cs="Times New Roman"/>
          <w:color w:val="auto"/>
          <w:szCs w:val="21"/>
        </w:rPr>
      </w:pPr>
    </w:p>
    <w:p w14:paraId="6753B168">
      <w:pPr>
        <w:snapToGrid w:val="0"/>
        <w:spacing w:line="260" w:lineRule="exact"/>
        <w:rPr>
          <w:rFonts w:ascii="宋体" w:hAnsi="宋体" w:eastAsia="宋体" w:cs="Times New Roman"/>
          <w:color w:val="auto"/>
          <w:szCs w:val="21"/>
        </w:rPr>
      </w:pPr>
    </w:p>
    <w:p w14:paraId="31ECDE1A">
      <w:pPr>
        <w:snapToGrid w:val="0"/>
        <w:spacing w:line="260" w:lineRule="exact"/>
        <w:rPr>
          <w:rFonts w:ascii="宋体" w:hAnsi="宋体" w:eastAsia="宋体" w:cs="Times New Roman"/>
          <w:color w:val="auto"/>
          <w:szCs w:val="21"/>
        </w:rPr>
      </w:pPr>
    </w:p>
    <w:p w14:paraId="70D7F4D3">
      <w:pPr>
        <w:snapToGrid w:val="0"/>
        <w:spacing w:line="260" w:lineRule="exact"/>
        <w:rPr>
          <w:rFonts w:ascii="宋体" w:hAnsi="宋体" w:eastAsia="宋体" w:cs="Times New Roman"/>
          <w:color w:val="auto"/>
          <w:szCs w:val="21"/>
        </w:rPr>
      </w:pPr>
    </w:p>
    <w:p w14:paraId="01BBAAF6">
      <w:pPr>
        <w:snapToGrid w:val="0"/>
        <w:spacing w:line="260" w:lineRule="exact"/>
        <w:rPr>
          <w:rFonts w:ascii="宋体" w:hAnsi="宋体" w:eastAsia="宋体" w:cs="Times New Roman"/>
          <w:color w:val="auto"/>
          <w:szCs w:val="21"/>
        </w:rPr>
      </w:pPr>
    </w:p>
    <w:p w14:paraId="3319FE66">
      <w:pPr>
        <w:snapToGrid w:val="0"/>
        <w:spacing w:line="260" w:lineRule="exact"/>
        <w:rPr>
          <w:rFonts w:ascii="宋体" w:hAnsi="宋体" w:eastAsia="宋体" w:cs="Times New Roman"/>
          <w:color w:val="auto"/>
          <w:szCs w:val="21"/>
        </w:rPr>
      </w:pPr>
    </w:p>
    <w:p w14:paraId="0EA01860">
      <w:pPr>
        <w:snapToGrid w:val="0"/>
        <w:spacing w:line="260" w:lineRule="exact"/>
        <w:rPr>
          <w:rFonts w:ascii="宋体" w:hAnsi="宋体" w:eastAsia="宋体" w:cs="Times New Roman"/>
          <w:color w:val="auto"/>
          <w:szCs w:val="21"/>
        </w:rPr>
      </w:pPr>
    </w:p>
    <w:p w14:paraId="24EC8DEC">
      <w:pPr>
        <w:snapToGrid w:val="0"/>
        <w:spacing w:line="260" w:lineRule="exact"/>
        <w:rPr>
          <w:rFonts w:ascii="宋体" w:hAnsi="宋体" w:eastAsia="宋体" w:cs="Times New Roman"/>
          <w:color w:val="auto"/>
          <w:szCs w:val="21"/>
        </w:rPr>
      </w:pPr>
    </w:p>
    <w:p w14:paraId="39A78AA7">
      <w:pPr>
        <w:snapToGrid w:val="0"/>
        <w:spacing w:line="260" w:lineRule="exact"/>
        <w:rPr>
          <w:rFonts w:ascii="宋体" w:hAnsi="宋体" w:eastAsia="宋体" w:cs="Times New Roman"/>
          <w:color w:val="auto"/>
          <w:szCs w:val="21"/>
        </w:rPr>
      </w:pPr>
    </w:p>
    <w:p w14:paraId="1556EB61">
      <w:pPr>
        <w:snapToGrid w:val="0"/>
        <w:spacing w:line="260" w:lineRule="exact"/>
        <w:rPr>
          <w:rFonts w:ascii="宋体" w:hAnsi="宋体" w:eastAsia="宋体" w:cs="Times New Roman"/>
          <w:color w:val="auto"/>
          <w:szCs w:val="21"/>
        </w:rPr>
      </w:pPr>
      <w:r>
        <w:rPr>
          <w:rFonts w:ascii="宋体" w:hAnsi="宋体" w:eastAsia="宋体" w:cs="Times New Roman"/>
          <w:color w:val="auto"/>
          <w:szCs w:val="21"/>
        </w:rPr>
        <w:t>信贷政策</w:t>
      </w:r>
    </w:p>
    <w:p w14:paraId="7A2C392E">
      <w:pPr>
        <w:spacing w:line="260" w:lineRule="exact"/>
        <w:ind w:firstLine="420" w:firstLineChars="200"/>
        <w:rPr>
          <w:rFonts w:ascii="宋体" w:hAnsi="宋体" w:eastAsia="宋体" w:cs="Times New Roman"/>
          <w:color w:val="auto"/>
          <w:szCs w:val="21"/>
        </w:rPr>
      </w:pPr>
      <w:r>
        <w:rPr>
          <w:rFonts w:ascii="宋体" w:hAnsi="宋体" w:eastAsia="宋体" w:cs="Times New Roman"/>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537B6782">
      <w:pPr>
        <w:spacing w:line="240" w:lineRule="exact"/>
        <w:contextualSpacing/>
        <w:rPr>
          <w:rFonts w:ascii="宋体" w:hAnsi="宋体" w:eastAsia="宋体" w:cs="Times New Roman"/>
          <w:color w:val="auto"/>
          <w:sz w:val="24"/>
          <w:szCs w:val="20"/>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4492F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0397F78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舟山市政府采购信用融资合作银行</w:t>
            </w:r>
          </w:p>
        </w:tc>
      </w:tr>
      <w:tr w14:paraId="66F8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35F48FD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银行名称</w:t>
            </w:r>
          </w:p>
        </w:tc>
        <w:tc>
          <w:tcPr>
            <w:tcW w:w="3975" w:type="dxa"/>
            <w:vAlign w:val="center"/>
          </w:tcPr>
          <w:p w14:paraId="62E8B295">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各银行介绍的产品特点</w:t>
            </w:r>
          </w:p>
        </w:tc>
        <w:tc>
          <w:tcPr>
            <w:tcW w:w="2220" w:type="dxa"/>
            <w:vAlign w:val="center"/>
          </w:tcPr>
          <w:p w14:paraId="12C21336">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经办人</w:t>
            </w:r>
          </w:p>
        </w:tc>
        <w:tc>
          <w:tcPr>
            <w:tcW w:w="1908" w:type="dxa"/>
            <w:vAlign w:val="center"/>
          </w:tcPr>
          <w:p w14:paraId="60C891E9">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联系方式</w:t>
            </w:r>
          </w:p>
        </w:tc>
      </w:tr>
      <w:tr w14:paraId="3D06F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7173DD3F">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中国工商银行股份有限公司舟山分行</w:t>
            </w:r>
          </w:p>
        </w:tc>
        <w:tc>
          <w:tcPr>
            <w:tcW w:w="3975" w:type="dxa"/>
          </w:tcPr>
          <w:p w14:paraId="6AA18061">
            <w:pPr>
              <w:numPr>
                <w:ilvl w:val="0"/>
                <w:numId w:val="10"/>
              </w:numPr>
              <w:spacing w:line="240" w:lineRule="exact"/>
              <w:contextualSpacing/>
              <w:rPr>
                <w:rFonts w:ascii="宋体" w:hAnsi="宋体" w:eastAsia="宋体" w:cs="仿宋_GB2312"/>
                <w:color w:val="auto"/>
                <w:szCs w:val="21"/>
              </w:rPr>
            </w:pPr>
            <w:r>
              <w:rPr>
                <w:rFonts w:hint="eastAsia" w:ascii="宋体" w:hAnsi="宋体" w:eastAsia="宋体" w:cs="仿宋_GB2312"/>
                <w:color w:val="auto"/>
                <w:szCs w:val="21"/>
              </w:rPr>
              <w:t>融资额度高，融资金额最高可至订单金额70%，线上申请，随借随还。2.融资利率低，最低可至当期LPR利率。</w:t>
            </w:r>
          </w:p>
          <w:p w14:paraId="2077EBF5">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3.担保方式灵活，以政府采购合同进行融资，无需另外抵押。</w:t>
            </w:r>
          </w:p>
        </w:tc>
        <w:tc>
          <w:tcPr>
            <w:tcW w:w="2220" w:type="dxa"/>
            <w:vAlign w:val="center"/>
          </w:tcPr>
          <w:p w14:paraId="701CE61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柳超颖</w:t>
            </w:r>
          </w:p>
        </w:tc>
        <w:tc>
          <w:tcPr>
            <w:tcW w:w="1908" w:type="dxa"/>
            <w:vAlign w:val="center"/>
          </w:tcPr>
          <w:p w14:paraId="755AD7A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0580-2166242, 15858076468</w:t>
            </w:r>
          </w:p>
        </w:tc>
      </w:tr>
      <w:tr w14:paraId="0AD3C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41C81C9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中国建设银行股份有限公司舟山分行</w:t>
            </w:r>
          </w:p>
        </w:tc>
        <w:tc>
          <w:tcPr>
            <w:tcW w:w="3975" w:type="dxa"/>
          </w:tcPr>
          <w:p w14:paraId="2D64E30B">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快速便捷：全流程线上操作，通过浙江省政府采购网数据审核信用额度，建行供应链平台快速放款。</w:t>
            </w:r>
          </w:p>
          <w:p w14:paraId="14504E4A">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申请额度高：单笔融资额度最高可达政府采购合同金额的90%，单户额度最高可达3000万。</w:t>
            </w:r>
          </w:p>
          <w:p w14:paraId="59671522">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无需额外抵押：以浙江省政府采购网备案公示的政府采购合同进行融资，无需额外抵押担保。</w:t>
            </w:r>
          </w:p>
          <w:p w14:paraId="7FBEB377">
            <w:pPr>
              <w:numPr>
                <w:ilvl w:val="0"/>
                <w:numId w:val="11"/>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利率优惠：给予流动资金贷款最优惠利率。</w:t>
            </w:r>
          </w:p>
        </w:tc>
        <w:tc>
          <w:tcPr>
            <w:tcW w:w="2220" w:type="dxa"/>
            <w:vAlign w:val="center"/>
          </w:tcPr>
          <w:p w14:paraId="38A309B0">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普陀片区：蔡妮妮</w:t>
            </w:r>
          </w:p>
          <w:p w14:paraId="08AA981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定海片区：杨莹</w:t>
            </w:r>
          </w:p>
          <w:p w14:paraId="79D445E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自贸区片区：方晓</w:t>
            </w:r>
          </w:p>
        </w:tc>
        <w:tc>
          <w:tcPr>
            <w:tcW w:w="1908" w:type="dxa"/>
            <w:vAlign w:val="center"/>
          </w:tcPr>
          <w:p w14:paraId="3CA8549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普陀片区：13957201791</w:t>
            </w:r>
          </w:p>
          <w:p w14:paraId="52E59166">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定海片区：13655803997</w:t>
            </w:r>
          </w:p>
          <w:p w14:paraId="06B27FBA">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自贸区片区：13587086324</w:t>
            </w:r>
          </w:p>
        </w:tc>
      </w:tr>
      <w:tr w14:paraId="770F9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1D40C0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杭州银行股份有限公司舟山市分行</w:t>
            </w:r>
          </w:p>
        </w:tc>
        <w:tc>
          <w:tcPr>
            <w:tcW w:w="3975" w:type="dxa"/>
          </w:tcPr>
          <w:p w14:paraId="729C2B86">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05AF8A0A">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方经理</w:t>
            </w:r>
          </w:p>
        </w:tc>
        <w:tc>
          <w:tcPr>
            <w:tcW w:w="1908" w:type="dxa"/>
            <w:vAlign w:val="center"/>
          </w:tcPr>
          <w:p w14:paraId="3FA3C20F">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0580-2185201，18205800451</w:t>
            </w:r>
          </w:p>
        </w:tc>
      </w:tr>
      <w:tr w14:paraId="6896E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9C6397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招商银行股份有限公司浙江自贸试验区舟山分行</w:t>
            </w:r>
          </w:p>
        </w:tc>
        <w:tc>
          <w:tcPr>
            <w:tcW w:w="3975" w:type="dxa"/>
          </w:tcPr>
          <w:p w14:paraId="2B197980">
            <w:pPr>
              <w:spacing w:line="240" w:lineRule="exact"/>
              <w:rPr>
                <w:rFonts w:ascii="宋体" w:hAnsi="宋体" w:eastAsia="宋体" w:cs="Times New Roman"/>
                <w:color w:val="auto"/>
                <w:szCs w:val="21"/>
              </w:rPr>
            </w:pPr>
            <w:r>
              <w:rPr>
                <w:rFonts w:hint="eastAsia" w:ascii="宋体" w:hAnsi="宋体" w:eastAsia="宋体" w:cs="仿宋_GB2312"/>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2E32267">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李玲</w:t>
            </w:r>
          </w:p>
        </w:tc>
        <w:tc>
          <w:tcPr>
            <w:tcW w:w="1908" w:type="dxa"/>
            <w:vAlign w:val="center"/>
          </w:tcPr>
          <w:p w14:paraId="1A194826">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0580-2061710，13957227971</w:t>
            </w:r>
          </w:p>
        </w:tc>
      </w:tr>
      <w:tr w14:paraId="206BA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4BEFDC2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温州银行股份有限公司舟山市分行</w:t>
            </w:r>
          </w:p>
        </w:tc>
        <w:tc>
          <w:tcPr>
            <w:tcW w:w="3975" w:type="dxa"/>
          </w:tcPr>
          <w:p w14:paraId="27A6C6F0">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单户授信敞口最高不超过1000万元，且最高额度核定一般不超过借款人（含实际控制人控制的其他经营实体）最近13个月合计有效中标合同金额的70%。</w:t>
            </w:r>
          </w:p>
          <w:p w14:paraId="109B4DD1">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E0E771B">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借款人中标采购人自行采购项目并向我行发起授信申请的，单笔业务授信敞口不超500万元，且不超过借款人中标通知书承载的中标金额或本次申请授信提供的采购合同的80%。</w:t>
            </w:r>
          </w:p>
          <w:p w14:paraId="395F3704">
            <w:pPr>
              <w:numPr>
                <w:ilvl w:val="0"/>
                <w:numId w:val="12"/>
              </w:num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符合我行采购人资质的，且负债率不超75%，配合应收账款质押登记确认的，并可出具确认函，单笔借款额度可按不超过采购合同的90%办理。</w:t>
            </w:r>
          </w:p>
        </w:tc>
        <w:tc>
          <w:tcPr>
            <w:tcW w:w="2220" w:type="dxa"/>
            <w:vAlign w:val="center"/>
          </w:tcPr>
          <w:p w14:paraId="488BEEA0">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郑贤栋</w:t>
            </w:r>
          </w:p>
        </w:tc>
        <w:tc>
          <w:tcPr>
            <w:tcW w:w="1908" w:type="dxa"/>
            <w:vAlign w:val="center"/>
          </w:tcPr>
          <w:p w14:paraId="224D7C0F">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058—8866086</w:t>
            </w:r>
          </w:p>
        </w:tc>
      </w:tr>
      <w:tr w14:paraId="7852D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18AE384">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交通银行股份有限公司舟山分行</w:t>
            </w:r>
          </w:p>
        </w:tc>
        <w:tc>
          <w:tcPr>
            <w:tcW w:w="3975" w:type="dxa"/>
          </w:tcPr>
          <w:p w14:paraId="7334B638">
            <w:pPr>
              <w:spacing w:line="240" w:lineRule="exact"/>
              <w:contextualSpacing/>
              <w:rPr>
                <w:rFonts w:ascii="宋体" w:hAnsi="宋体" w:eastAsia="宋体" w:cs="Times New Roman"/>
                <w:color w:val="auto"/>
                <w:szCs w:val="21"/>
              </w:rPr>
            </w:pPr>
            <w:r>
              <w:rPr>
                <w:rFonts w:hint="eastAsia" w:ascii="宋体" w:hAnsi="宋体" w:eastAsia="宋体" w:cs="仿宋_GB2312"/>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color w:val="auto"/>
                <w:szCs w:val="21"/>
              </w:rPr>
              <w:t>PR</w:t>
            </w:r>
            <w:r>
              <w:rPr>
                <w:rFonts w:ascii="宋体" w:hAnsi="宋体" w:eastAsia="宋体" w:cs="Times New Roman"/>
                <w:color w:val="auto"/>
                <w:szCs w:val="21"/>
              </w:rPr>
              <w:t>。</w:t>
            </w:r>
          </w:p>
        </w:tc>
        <w:tc>
          <w:tcPr>
            <w:tcW w:w="2220" w:type="dxa"/>
            <w:vAlign w:val="center"/>
          </w:tcPr>
          <w:p w14:paraId="340FE91D">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赵争艳</w:t>
            </w:r>
          </w:p>
        </w:tc>
        <w:tc>
          <w:tcPr>
            <w:tcW w:w="1908" w:type="dxa"/>
            <w:vAlign w:val="center"/>
          </w:tcPr>
          <w:p w14:paraId="5CD3B49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0580-2260728</w:t>
            </w:r>
          </w:p>
          <w:p w14:paraId="5AA5203E">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13758007280</w:t>
            </w:r>
          </w:p>
        </w:tc>
      </w:tr>
      <w:tr w14:paraId="49B27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6261D9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中信银行股份有限公司舟山分行</w:t>
            </w:r>
          </w:p>
        </w:tc>
        <w:tc>
          <w:tcPr>
            <w:tcW w:w="3975" w:type="dxa"/>
          </w:tcPr>
          <w:p w14:paraId="21C18B52">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7BFDEC33">
            <w:pPr>
              <w:spacing w:line="240" w:lineRule="exact"/>
              <w:contextualSpacing/>
              <w:jc w:val="center"/>
              <w:rPr>
                <w:rFonts w:ascii="宋体" w:hAnsi="宋体" w:eastAsia="宋体" w:cs="Times New Roman"/>
                <w:color w:val="auto"/>
                <w:szCs w:val="21"/>
              </w:rPr>
            </w:pPr>
            <w:r>
              <w:rPr>
                <w:rFonts w:ascii="宋体" w:hAnsi="宋体" w:eastAsia="宋体" w:cs="Times New Roman"/>
                <w:color w:val="auto"/>
                <w:szCs w:val="21"/>
              </w:rPr>
              <w:t>黄丽</w:t>
            </w:r>
          </w:p>
        </w:tc>
        <w:tc>
          <w:tcPr>
            <w:tcW w:w="1908" w:type="dxa"/>
            <w:vAlign w:val="center"/>
          </w:tcPr>
          <w:p w14:paraId="5FA89262">
            <w:pPr>
              <w:spacing w:line="240" w:lineRule="exact"/>
              <w:contextualSpacing/>
              <w:rPr>
                <w:rFonts w:ascii="宋体" w:hAnsi="宋体" w:eastAsia="宋体" w:cs="Times New Roman"/>
                <w:color w:val="auto"/>
                <w:szCs w:val="21"/>
              </w:rPr>
            </w:pPr>
            <w:r>
              <w:rPr>
                <w:rFonts w:ascii="宋体" w:hAnsi="宋体" w:eastAsia="宋体" w:cs="Times New Roman"/>
                <w:color w:val="auto"/>
                <w:szCs w:val="21"/>
              </w:rPr>
              <w:t>13905808032</w:t>
            </w:r>
          </w:p>
        </w:tc>
      </w:tr>
      <w:tr w14:paraId="3E0A8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0DB5A65">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泰隆银行舟山市分行</w:t>
            </w:r>
          </w:p>
        </w:tc>
        <w:tc>
          <w:tcPr>
            <w:tcW w:w="3975" w:type="dxa"/>
          </w:tcPr>
          <w:p w14:paraId="2721A120">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0721DDC">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胡亢宇</w:t>
            </w:r>
          </w:p>
        </w:tc>
        <w:tc>
          <w:tcPr>
            <w:tcW w:w="1908" w:type="dxa"/>
            <w:vAlign w:val="center"/>
          </w:tcPr>
          <w:p w14:paraId="4734034C">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17605868703</w:t>
            </w:r>
          </w:p>
        </w:tc>
      </w:tr>
      <w:tr w14:paraId="7F473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75DD75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中国农业银行股份有限公司舟山分行</w:t>
            </w:r>
          </w:p>
        </w:tc>
        <w:tc>
          <w:tcPr>
            <w:tcW w:w="3975" w:type="dxa"/>
          </w:tcPr>
          <w:p w14:paraId="744C3FB7">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50D5D126">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苏华瞻</w:t>
            </w:r>
          </w:p>
        </w:tc>
        <w:tc>
          <w:tcPr>
            <w:tcW w:w="1908" w:type="dxa"/>
            <w:vAlign w:val="center"/>
          </w:tcPr>
          <w:p w14:paraId="406792A2">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13967228926</w:t>
            </w:r>
          </w:p>
        </w:tc>
      </w:tr>
      <w:tr w14:paraId="2CBCE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4704FF1">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中国邮政储蓄银行股份有限公司舟山市分行</w:t>
            </w:r>
          </w:p>
        </w:tc>
        <w:tc>
          <w:tcPr>
            <w:tcW w:w="3975" w:type="dxa"/>
          </w:tcPr>
          <w:p w14:paraId="107EBCA1">
            <w:pPr>
              <w:tabs>
                <w:tab w:val="left" w:pos="0"/>
              </w:tabs>
              <w:spacing w:line="240" w:lineRule="exact"/>
              <w:rPr>
                <w:rFonts w:ascii="宋体" w:hAnsi="宋体" w:eastAsia="宋体" w:cs="Times New Roman"/>
                <w:color w:val="auto"/>
                <w:szCs w:val="21"/>
              </w:rPr>
            </w:pPr>
            <w:r>
              <w:rPr>
                <w:rFonts w:hint="eastAsia" w:ascii="宋体" w:hAnsi="宋体" w:eastAsia="宋体" w:cs="Times New Roman"/>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47CF0A73">
            <w:pPr>
              <w:spacing w:line="240" w:lineRule="exact"/>
              <w:contextualSpacing/>
              <w:jc w:val="center"/>
              <w:rPr>
                <w:rFonts w:ascii="宋体" w:hAnsi="宋体" w:eastAsia="宋体" w:cs="Times New Roman"/>
                <w:color w:val="auto"/>
                <w:szCs w:val="21"/>
              </w:rPr>
            </w:pPr>
            <w:r>
              <w:rPr>
                <w:rFonts w:hint="eastAsia" w:ascii="宋体" w:hAnsi="宋体" w:eastAsia="宋体" w:cs="Times New Roman"/>
                <w:color w:val="auto"/>
                <w:szCs w:val="21"/>
              </w:rPr>
              <w:t>蒋志燕</w:t>
            </w:r>
          </w:p>
        </w:tc>
        <w:tc>
          <w:tcPr>
            <w:tcW w:w="1908" w:type="dxa"/>
            <w:vAlign w:val="center"/>
          </w:tcPr>
          <w:p w14:paraId="0E25D43D">
            <w:pPr>
              <w:spacing w:line="240" w:lineRule="exact"/>
              <w:contextualSpacing/>
              <w:rPr>
                <w:rFonts w:ascii="宋体" w:hAnsi="宋体" w:eastAsia="宋体" w:cs="Times New Roman"/>
                <w:color w:val="auto"/>
                <w:szCs w:val="21"/>
              </w:rPr>
            </w:pPr>
            <w:r>
              <w:rPr>
                <w:rFonts w:hint="eastAsia" w:ascii="宋体" w:hAnsi="宋体" w:eastAsia="宋体" w:cs="Times New Roman"/>
                <w:color w:val="auto"/>
                <w:szCs w:val="21"/>
              </w:rPr>
              <w:t>13732527321</w:t>
            </w:r>
          </w:p>
        </w:tc>
      </w:tr>
    </w:tbl>
    <w:p w14:paraId="38EE63D8">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2.一般步骤</w:t>
      </w:r>
    </w:p>
    <w:p w14:paraId="2C0BCB37">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（1）供应商先与银行对接，办理融资前期手续；</w:t>
      </w:r>
    </w:p>
    <w:p w14:paraId="5291BF44">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（2）供应商中标后，凭中标通知书等材料，向相关合作银行发出融资申请；</w:t>
      </w:r>
    </w:p>
    <w:p w14:paraId="5A8F189B">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（3）银行、供应商线</w:t>
      </w:r>
      <w:r>
        <w:rPr>
          <w:rFonts w:hint="eastAsia" w:ascii="宋体" w:hAnsi="宋体" w:eastAsia="宋体" w:cs="Times New Roman"/>
          <w:color w:val="auto"/>
          <w:szCs w:val="21"/>
        </w:rPr>
        <w:t>上</w:t>
      </w:r>
      <w:r>
        <w:rPr>
          <w:rFonts w:ascii="宋体" w:hAnsi="宋体" w:eastAsia="宋体" w:cs="Times New Roman"/>
          <w:color w:val="auto"/>
          <w:szCs w:val="21"/>
        </w:rPr>
        <w:t>办理审批、放贷事宜。</w:t>
      </w:r>
    </w:p>
    <w:p w14:paraId="3E22D385">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3.注意事项</w:t>
      </w:r>
    </w:p>
    <w:p w14:paraId="14D0129F">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（1）</w:t>
      </w:r>
      <w:r>
        <w:rPr>
          <w:rFonts w:hint="eastAsia" w:ascii="宋体" w:hAnsi="宋体" w:eastAsia="宋体" w:cs="Times New Roman"/>
          <w:color w:val="auto"/>
          <w:szCs w:val="21"/>
        </w:rPr>
        <w:t>中标人</w:t>
      </w:r>
      <w:r>
        <w:rPr>
          <w:rFonts w:ascii="宋体" w:hAnsi="宋体" w:eastAsia="宋体" w:cs="Times New Roman"/>
          <w:color w:val="auto"/>
          <w:szCs w:val="21"/>
        </w:rPr>
        <w:t>需确保政府采购合同的收款账户与融资银行开户账户一致。</w:t>
      </w:r>
    </w:p>
    <w:p w14:paraId="3480D79C">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（2）用于政府采购信用融资的政府采购合同，应当包含如下条款：“第条：政府采购合同贷款</w:t>
      </w:r>
    </w:p>
    <w:p w14:paraId="58D86138">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本合同同时用于乙方向银行（金融机构）申请政府采购信用贷款。</w:t>
      </w:r>
    </w:p>
    <w:p w14:paraId="74DCB176">
      <w:pPr>
        <w:spacing w:line="260" w:lineRule="exact"/>
        <w:ind w:firstLine="555"/>
        <w:rPr>
          <w:rFonts w:ascii="宋体" w:hAnsi="宋体" w:eastAsia="宋体" w:cs="Times New Roman"/>
          <w:color w:val="auto"/>
          <w:szCs w:val="21"/>
        </w:rPr>
      </w:pPr>
      <w:r>
        <w:rPr>
          <w:rFonts w:ascii="宋体" w:hAnsi="宋体" w:eastAsia="宋体" w:cs="Times New Roman"/>
          <w:color w:val="auto"/>
          <w:szCs w:val="21"/>
        </w:rPr>
        <w:t>本合同一经签订，原则上不得更改乙方收款账户信息。确须更改的，乙方应取得原合同收款账户开户银行书面同意，否则修改后的合同不予备案，采购资金不予支付。”</w:t>
      </w:r>
    </w:p>
    <w:p w14:paraId="37807350">
      <w:pPr>
        <w:spacing w:line="260" w:lineRule="exact"/>
        <w:ind w:firstLine="555"/>
        <w:rPr>
          <w:rFonts w:ascii="宋体" w:hAnsi="宋体" w:eastAsia="宋体" w:cs="Times New Roman"/>
          <w:color w:val="auto"/>
          <w:szCs w:val="21"/>
        </w:rPr>
      </w:pPr>
    </w:p>
    <w:p w14:paraId="529AAF1C">
      <w:pPr>
        <w:tabs>
          <w:tab w:val="left" w:pos="2472"/>
        </w:tabs>
        <w:snapToGrid w:val="0"/>
        <w:spacing w:before="120" w:line="312" w:lineRule="auto"/>
        <w:ind w:right="-87"/>
        <w:rPr>
          <w:rFonts w:ascii="Times New Roman" w:hAnsi="Times New Roman" w:eastAsia="黑体" w:cs="Times New Roman"/>
          <w:color w:val="auto"/>
          <w:sz w:val="30"/>
        </w:rPr>
      </w:pPr>
    </w:p>
    <w:p w14:paraId="0B6A119C">
      <w:pPr>
        <w:tabs>
          <w:tab w:val="left" w:pos="2472"/>
        </w:tabs>
        <w:snapToGrid w:val="0"/>
        <w:spacing w:before="120" w:line="312" w:lineRule="auto"/>
        <w:ind w:right="-87"/>
        <w:jc w:val="center"/>
        <w:rPr>
          <w:rFonts w:ascii="Times New Roman" w:hAnsi="Times New Roman" w:eastAsia="黑体" w:cs="Times New Roman"/>
          <w:color w:val="auto"/>
          <w:sz w:val="30"/>
        </w:rPr>
      </w:pPr>
    </w:p>
    <w:p w14:paraId="3A421BEB">
      <w:pPr>
        <w:tabs>
          <w:tab w:val="left" w:pos="2472"/>
        </w:tabs>
        <w:snapToGrid w:val="0"/>
        <w:spacing w:before="120" w:line="312"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第六章　投标文件格式</w:t>
      </w:r>
    </w:p>
    <w:p w14:paraId="5F5009F0">
      <w:pPr>
        <w:tabs>
          <w:tab w:val="left" w:pos="2472"/>
        </w:tabs>
        <w:snapToGrid w:val="0"/>
        <w:spacing w:before="120" w:line="312" w:lineRule="auto"/>
        <w:ind w:right="-87"/>
        <w:jc w:val="center"/>
        <w:rPr>
          <w:rFonts w:ascii="Times New Roman" w:hAnsi="Times New Roman" w:eastAsia="黑体" w:cs="Times New Roman"/>
          <w:color w:val="auto"/>
          <w:sz w:val="30"/>
        </w:rPr>
      </w:pPr>
    </w:p>
    <w:p w14:paraId="738AE7D0">
      <w:pPr>
        <w:snapToGrid w:val="0"/>
        <w:spacing w:line="360" w:lineRule="auto"/>
        <w:ind w:right="-85"/>
        <w:rPr>
          <w:rFonts w:ascii="Times New Roman" w:hAnsi="Times New Roman" w:eastAsia="宋体" w:cs="Times New Roman"/>
          <w:color w:val="auto"/>
          <w:sz w:val="24"/>
        </w:rPr>
      </w:pPr>
    </w:p>
    <w:p w14:paraId="53F1462E">
      <w:pPr>
        <w:snapToGrid w:val="0"/>
        <w:spacing w:line="360" w:lineRule="auto"/>
        <w:ind w:right="-85"/>
        <w:rPr>
          <w:rFonts w:ascii="Times New Roman" w:hAnsi="Times New Roman" w:eastAsia="宋体" w:cs="Times New Roman"/>
          <w:color w:val="auto"/>
          <w:sz w:val="24"/>
        </w:rPr>
      </w:pPr>
    </w:p>
    <w:p w14:paraId="211598C3">
      <w:pPr>
        <w:snapToGrid w:val="0"/>
        <w:spacing w:line="360" w:lineRule="auto"/>
        <w:ind w:right="-85"/>
        <w:rPr>
          <w:rFonts w:ascii="Times New Roman" w:hAnsi="Times New Roman" w:eastAsia="宋体" w:cs="Times New Roman"/>
          <w:color w:val="auto"/>
          <w:sz w:val="24"/>
        </w:rPr>
      </w:pPr>
      <w:r>
        <w:rPr>
          <w:rFonts w:hint="eastAsia" w:ascii="Times New Roman" w:hAnsi="Times New Roman" w:eastAsia="宋体" w:cs="Times New Roman"/>
          <w:color w:val="auto"/>
          <w:sz w:val="24"/>
        </w:rPr>
        <w:t>一、</w:t>
      </w:r>
      <w:r>
        <w:rPr>
          <w:rFonts w:hint="eastAsia" w:ascii="Times New Roman" w:hAnsi="Times New Roman" w:eastAsia="宋体" w:cs="Times New Roman"/>
          <w:b/>
          <w:color w:val="auto"/>
          <w:sz w:val="24"/>
        </w:rPr>
        <w:t>备份文件包装封面（格式供参考）</w:t>
      </w:r>
      <w:r>
        <w:rPr>
          <w:rFonts w:hint="eastAsia" w:ascii="Times New Roman" w:hAnsi="Times New Roman" w:eastAsia="宋体" w:cs="Times New Roman"/>
          <w:color w:val="auto"/>
          <w:sz w:val="24"/>
        </w:rPr>
        <w:t>：</w:t>
      </w:r>
    </w:p>
    <w:p w14:paraId="08C6E95B">
      <w:pPr>
        <w:snapToGrid w:val="0"/>
        <w:spacing w:line="360" w:lineRule="auto"/>
        <w:ind w:right="-85"/>
        <w:jc w:val="center"/>
        <w:rPr>
          <w:rFonts w:ascii="Times New Roman" w:hAnsi="Times New Roman" w:eastAsia="宋体" w:cs="Times New Roman"/>
          <w:color w:val="auto"/>
          <w:sz w:val="24"/>
        </w:rPr>
      </w:pPr>
    </w:p>
    <w:p w14:paraId="3E6C39E6">
      <w:pPr>
        <w:snapToGrid w:val="0"/>
        <w:spacing w:line="360" w:lineRule="auto"/>
        <w:ind w:right="-85"/>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投标文件</w:t>
      </w:r>
    </w:p>
    <w:p w14:paraId="70460490">
      <w:pPr>
        <w:snapToGrid w:val="0"/>
        <w:spacing w:line="360" w:lineRule="auto"/>
        <w:ind w:right="-85"/>
        <w:rPr>
          <w:rFonts w:ascii="Times New Roman" w:hAnsi="Times New Roman" w:eastAsia="宋体" w:cs="Times New Roman"/>
          <w:color w:val="auto"/>
          <w:sz w:val="24"/>
        </w:rPr>
      </w:pPr>
    </w:p>
    <w:p w14:paraId="3DF9D628">
      <w:pPr>
        <w:snapToGrid w:val="0"/>
        <w:spacing w:line="360" w:lineRule="auto"/>
        <w:ind w:right="-85" w:firstLine="1124" w:firstLineChars="40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项目名称：</w:t>
      </w:r>
    </w:p>
    <w:p w14:paraId="69E210B1">
      <w:pPr>
        <w:snapToGrid w:val="0"/>
        <w:spacing w:line="360" w:lineRule="auto"/>
        <w:ind w:right="-85" w:firstLine="1113" w:firstLineChars="39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项目编号：</w:t>
      </w:r>
    </w:p>
    <w:p w14:paraId="259845FE">
      <w:pPr>
        <w:snapToGrid w:val="0"/>
        <w:spacing w:line="360" w:lineRule="auto"/>
        <w:ind w:right="-85" w:firstLine="1169" w:firstLineChars="416"/>
        <w:rPr>
          <w:rFonts w:ascii="Times New Roman" w:hAnsi="Times New Roman" w:eastAsia="宋体" w:cs="Times New Roman"/>
          <w:b/>
          <w:color w:val="auto"/>
          <w:sz w:val="28"/>
        </w:rPr>
      </w:pPr>
      <w:r>
        <w:rPr>
          <w:rFonts w:hint="eastAsia" w:ascii="Times New Roman" w:hAnsi="Times New Roman" w:eastAsia="宋体" w:cs="Times New Roman"/>
          <w:b/>
          <w:color w:val="auto"/>
          <w:sz w:val="28"/>
        </w:rPr>
        <w:t>投标人名称：</w:t>
      </w:r>
      <w:r>
        <w:rPr>
          <w:rFonts w:hint="eastAsia" w:ascii="Times New Roman" w:hAnsi="Times New Roman" w:eastAsia="宋体" w:cs="Times New Roman"/>
          <w:b/>
          <w:color w:val="auto"/>
          <w:sz w:val="28"/>
          <w:u w:val="single"/>
        </w:rPr>
        <w:t>（</w:t>
      </w:r>
      <w:r>
        <w:rPr>
          <w:rFonts w:hint="eastAsia" w:ascii="Times New Roman" w:hAnsi="Times New Roman" w:eastAsia="宋体" w:cs="Times New Roman"/>
          <w:b/>
          <w:color w:val="auto"/>
          <w:sz w:val="28"/>
        </w:rPr>
        <w:t>加盖公章）</w:t>
      </w:r>
    </w:p>
    <w:p w14:paraId="18E1EEE7">
      <w:pPr>
        <w:snapToGrid w:val="0"/>
        <w:spacing w:line="360" w:lineRule="auto"/>
        <w:ind w:right="-85" w:firstLine="1169" w:firstLineChars="41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投标人地址：</w:t>
      </w:r>
    </w:p>
    <w:p w14:paraId="2AC9203F">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投标联系人：电话</w:t>
      </w:r>
    </w:p>
    <w:p w14:paraId="49D4C59E">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启封时间：</w:t>
      </w:r>
      <w:r>
        <w:rPr>
          <w:rFonts w:hint="eastAsia" w:ascii="Times New Roman" w:hAnsi="Times New Roman" w:eastAsia="宋体" w:cs="Times New Roman"/>
          <w:b/>
          <w:color w:val="auto"/>
          <w:sz w:val="28"/>
          <w:u w:val="single"/>
        </w:rPr>
        <w:t>在</w:t>
      </w:r>
      <w:r>
        <w:rPr>
          <w:rFonts w:ascii="Times New Roman" w:hAnsi="Times New Roman" w:eastAsia="宋体" w:cs="Times New Roman"/>
          <w:b/>
          <w:color w:val="auto"/>
          <w:sz w:val="28"/>
          <w:u w:val="single"/>
        </w:rPr>
        <w:t>20</w:t>
      </w:r>
      <w:r>
        <w:rPr>
          <w:rFonts w:hint="eastAsia" w:ascii="Times New Roman" w:hAnsi="Times New Roman" w:eastAsia="宋体" w:cs="Times New Roman"/>
          <w:b/>
          <w:color w:val="auto"/>
          <w:sz w:val="28"/>
          <w:u w:val="single"/>
        </w:rPr>
        <w:t>年月日时分之前不得启封</w:t>
      </w:r>
    </w:p>
    <w:p w14:paraId="37EF779A">
      <w:pPr>
        <w:snapToGrid w:val="0"/>
        <w:spacing w:line="360" w:lineRule="auto"/>
        <w:ind w:right="-85" w:firstLine="4080" w:firstLineChars="1700"/>
        <w:rPr>
          <w:rFonts w:ascii="Times New Roman" w:hAnsi="Times New Roman" w:eastAsia="宋体" w:cs="Times New Roman"/>
          <w:color w:val="auto"/>
          <w:sz w:val="24"/>
        </w:rPr>
      </w:pPr>
    </w:p>
    <w:p w14:paraId="165C576A">
      <w:pPr>
        <w:snapToGrid w:val="0"/>
        <w:spacing w:line="360" w:lineRule="auto"/>
        <w:ind w:right="-85" w:firstLine="645"/>
        <w:jc w:val="center"/>
        <w:rPr>
          <w:rFonts w:ascii="Times New Roman" w:hAnsi="Times New Roman" w:eastAsia="宋体" w:cs="Times New Roman"/>
          <w:color w:val="auto"/>
          <w:sz w:val="24"/>
        </w:rPr>
      </w:pPr>
      <w:r>
        <w:rPr>
          <w:rFonts w:hint="eastAsia" w:ascii="Times New Roman" w:hAnsi="Times New Roman" w:eastAsia="宋体" w:cs="Times New Roman"/>
          <w:color w:val="auto"/>
          <w:sz w:val="24"/>
        </w:rPr>
        <w:t>年月日</w:t>
      </w:r>
    </w:p>
    <w:p w14:paraId="6FC76F9B">
      <w:pPr>
        <w:pStyle w:val="25"/>
        <w:rPr>
          <w:color w:val="auto"/>
        </w:rPr>
      </w:pPr>
    </w:p>
    <w:p w14:paraId="6BC4B5E5">
      <w:pPr>
        <w:pStyle w:val="58"/>
        <w:ind w:firstLine="210"/>
        <w:rPr>
          <w:color w:val="auto"/>
        </w:rPr>
      </w:pPr>
    </w:p>
    <w:p w14:paraId="42575CD4">
      <w:pPr>
        <w:rPr>
          <w:color w:val="auto"/>
        </w:rPr>
      </w:pPr>
    </w:p>
    <w:p w14:paraId="1F19F916">
      <w:pPr>
        <w:pStyle w:val="58"/>
        <w:ind w:firstLine="210"/>
        <w:rPr>
          <w:color w:val="auto"/>
        </w:rPr>
      </w:pPr>
    </w:p>
    <w:p w14:paraId="4A520535">
      <w:pPr>
        <w:rPr>
          <w:color w:val="auto"/>
        </w:rPr>
      </w:pPr>
    </w:p>
    <w:p w14:paraId="37ABF064">
      <w:pPr>
        <w:pStyle w:val="58"/>
        <w:ind w:firstLine="210"/>
        <w:rPr>
          <w:color w:val="auto"/>
        </w:rPr>
      </w:pPr>
    </w:p>
    <w:p w14:paraId="56DABD9B"/>
    <w:p w14:paraId="6B2C9A90">
      <w:pPr>
        <w:pStyle w:val="58"/>
        <w:ind w:firstLine="210"/>
      </w:pPr>
    </w:p>
    <w:p w14:paraId="0A3EA28F"/>
    <w:p w14:paraId="5BEF0F5E">
      <w:pPr>
        <w:pStyle w:val="58"/>
        <w:ind w:firstLine="210"/>
      </w:pPr>
    </w:p>
    <w:p w14:paraId="283F3623"/>
    <w:p w14:paraId="0951F364">
      <w:pPr>
        <w:pStyle w:val="58"/>
        <w:ind w:firstLine="210"/>
      </w:pPr>
    </w:p>
    <w:p w14:paraId="3DA0246D"/>
    <w:p w14:paraId="0646BA8D">
      <w:pPr>
        <w:pStyle w:val="58"/>
        <w:ind w:firstLine="210"/>
      </w:pPr>
    </w:p>
    <w:p w14:paraId="0C53D4D2"/>
    <w:p w14:paraId="2F7417B8">
      <w:pPr>
        <w:pStyle w:val="58"/>
        <w:ind w:firstLine="210"/>
      </w:pPr>
    </w:p>
    <w:p w14:paraId="646ECBDF">
      <w:pPr>
        <w:snapToGrid w:val="0"/>
        <w:spacing w:before="120" w:beforeLines="50" w:line="312" w:lineRule="auto"/>
        <w:ind w:right="-341"/>
        <w:rPr>
          <w:rFonts w:ascii="Times New Roman" w:hAnsi="Times New Roman" w:eastAsia="宋体" w:cs="Times New Roman"/>
          <w:b/>
          <w:sz w:val="28"/>
          <w:szCs w:val="28"/>
        </w:rPr>
      </w:pPr>
      <w:r>
        <w:rPr>
          <w:rFonts w:ascii="Times New Roman" w:hAnsi="Times New Roman" w:eastAsia="宋体" w:cs="Times New Roman"/>
          <w:b/>
          <w:sz w:val="28"/>
          <w:szCs w:val="28"/>
        </w:rPr>
        <w:t>二</w:t>
      </w:r>
      <w:r>
        <w:rPr>
          <w:rFonts w:hint="eastAsia" w:ascii="Times New Roman" w:hAnsi="Times New Roman" w:eastAsia="宋体" w:cs="Times New Roman"/>
          <w:b/>
          <w:sz w:val="28"/>
          <w:szCs w:val="28"/>
        </w:rPr>
        <w:t>、</w:t>
      </w:r>
    </w:p>
    <w:p w14:paraId="6EC1A5F9">
      <w:pPr>
        <w:snapToGrid w:val="0"/>
        <w:spacing w:before="120" w:beforeLines="50" w:line="312" w:lineRule="auto"/>
        <w:ind w:right="-341" w:firstLine="3678" w:firstLineChars="1145"/>
        <w:rPr>
          <w:rFonts w:ascii="Times New Roman" w:hAnsi="Times New Roman" w:eastAsia="宋体" w:cs="Times New Roman"/>
          <w:b/>
          <w:sz w:val="32"/>
        </w:rPr>
      </w:pPr>
      <w:r>
        <w:rPr>
          <w:rFonts w:ascii="Times New Roman" w:hAnsi="Times New Roman" w:eastAsia="宋体" w:cs="Times New Roman"/>
          <w:b/>
          <w:sz w:val="32"/>
        </w:rPr>
        <w:t>开标一览表</w:t>
      </w:r>
    </w:p>
    <w:p w14:paraId="43E57302">
      <w:pPr>
        <w:spacing w:line="360" w:lineRule="auto"/>
        <w:rPr>
          <w:rFonts w:ascii="Times New Roman" w:hAnsi="Times New Roman" w:eastAsia="宋体" w:cs="Times New Roman"/>
          <w:b/>
          <w:sz w:val="24"/>
          <w:szCs w:val="24"/>
        </w:rPr>
      </w:pPr>
    </w:p>
    <w:p w14:paraId="5CABBE10">
      <w:pPr>
        <w:snapToGrid w:val="0"/>
        <w:spacing w:before="50" w:after="50"/>
        <w:rPr>
          <w:rFonts w:ascii="Times New Roman" w:hAnsi="Times New Roman" w:eastAsia="宋体" w:cs="Times New Roman"/>
        </w:rPr>
      </w:pPr>
      <w:r>
        <w:rPr>
          <w:rFonts w:ascii="Times New Roman" w:hAnsi="Times New Roman" w:eastAsia="宋体" w:cs="Times New Roman"/>
        </w:rPr>
        <w:t>项目名称：</w:t>
      </w:r>
    </w:p>
    <w:p w14:paraId="61A5525A">
      <w:pPr>
        <w:snapToGrid w:val="0"/>
        <w:spacing w:before="50" w:after="50"/>
        <w:rPr>
          <w:rFonts w:ascii="Times New Roman" w:hAnsi="Times New Roman" w:eastAsia="宋体" w:cs="Times New Roman"/>
        </w:rPr>
      </w:pPr>
      <w:r>
        <w:rPr>
          <w:rFonts w:ascii="Times New Roman" w:hAnsi="Times New Roman" w:eastAsia="宋体" w:cs="Times New Roman"/>
        </w:rPr>
        <w:t>项目编号：</w:t>
      </w:r>
    </w:p>
    <w:p w14:paraId="64DA3D8E">
      <w:pPr>
        <w:snapToGrid w:val="0"/>
        <w:spacing w:before="50" w:after="50"/>
        <w:rPr>
          <w:rFonts w:ascii="Times New Roman" w:hAnsi="Times New Roman" w:eastAsia="宋体" w:cs="Times New Roman"/>
        </w:rPr>
      </w:pPr>
      <w:r>
        <w:rPr>
          <w:rFonts w:hint="eastAsia" w:ascii="Times New Roman" w:hAnsi="Times New Roman" w:eastAsia="宋体" w:cs="Times New Roman"/>
        </w:rPr>
        <w:t>标项：</w:t>
      </w:r>
    </w:p>
    <w:p w14:paraId="4AC76FF3">
      <w:pPr>
        <w:spacing w:line="360" w:lineRule="auto"/>
        <w:jc w:val="center"/>
        <w:rPr>
          <w:rFonts w:ascii="宋体" w:hAnsi="Times New Roman" w:eastAsia="宋体" w:cs="Times New Roman"/>
          <w:b/>
          <w:bCs/>
          <w:sz w:val="24"/>
          <w:u w:val="single"/>
        </w:rPr>
      </w:pPr>
      <w:r>
        <w:rPr>
          <w:rFonts w:ascii="Times New Roman" w:hAnsi="Times New Roman" w:eastAsia="宋体" w:cs="Times New Roman"/>
        </w:rPr>
        <w:t xml:space="preserve">                                                     </w:t>
      </w:r>
      <w:r>
        <w:rPr>
          <w:rFonts w:ascii="Times New Roman" w:hAnsi="Times New Roman" w:eastAsia="宋体" w:cs="Times New Roman"/>
          <w:szCs w:val="21"/>
        </w:rPr>
        <w:t xml:space="preserve">单位：元  </w:t>
      </w:r>
    </w:p>
    <w:tbl>
      <w:tblPr>
        <w:tblStyle w:val="60"/>
        <w:tblW w:w="9498" w:type="dxa"/>
        <w:tblInd w:w="-17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2411"/>
        <w:gridCol w:w="5103"/>
        <w:gridCol w:w="1984"/>
      </w:tblGrid>
      <w:tr w14:paraId="2288FC14">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10" w:hRule="exact"/>
        </w:trPr>
        <w:tc>
          <w:tcPr>
            <w:tcW w:w="2411" w:type="dxa"/>
            <w:vAlign w:val="center"/>
          </w:tcPr>
          <w:p w14:paraId="6B1AF11B">
            <w:pPr>
              <w:jc w:val="center"/>
              <w:rPr>
                <w:rFonts w:ascii="宋体" w:hAnsi="宋体" w:eastAsia="黑体" w:cs="Times New Roman"/>
                <w:szCs w:val="21"/>
              </w:rPr>
            </w:pPr>
            <w:r>
              <w:rPr>
                <w:rFonts w:hint="eastAsia" w:ascii="宋体" w:hAnsi="宋体" w:eastAsia="黑体" w:cs="Times New Roman"/>
                <w:szCs w:val="21"/>
              </w:rPr>
              <w:t>种苗品种</w:t>
            </w:r>
          </w:p>
        </w:tc>
        <w:tc>
          <w:tcPr>
            <w:tcW w:w="5103" w:type="dxa"/>
            <w:tcBorders>
              <w:right w:val="single" w:color="auto" w:sz="4" w:space="0"/>
            </w:tcBorders>
            <w:vAlign w:val="center"/>
          </w:tcPr>
          <w:p w14:paraId="37FBA70F">
            <w:pPr>
              <w:jc w:val="center"/>
              <w:rPr>
                <w:rFonts w:ascii="宋体" w:hAnsi="宋体" w:eastAsia="黑体" w:cs="Times New Roman"/>
                <w:szCs w:val="21"/>
              </w:rPr>
            </w:pPr>
            <w:r>
              <w:rPr>
                <w:rFonts w:hint="eastAsia" w:ascii="宋体" w:hAnsi="宋体" w:eastAsia="黑体" w:cs="Times New Roman"/>
                <w:szCs w:val="21"/>
              </w:rPr>
              <w:t>种苗价格（元</w:t>
            </w:r>
            <w:r>
              <w:rPr>
                <w:rFonts w:ascii="宋体" w:hAnsi="宋体" w:eastAsia="黑体" w:cs="Times New Roman"/>
                <w:szCs w:val="21"/>
              </w:rPr>
              <w:t>/</w:t>
            </w:r>
            <w:r>
              <w:rPr>
                <w:rFonts w:hint="eastAsia" w:ascii="宋体" w:hAnsi="宋体" w:eastAsia="黑体" w:cs="Times New Roman"/>
                <w:szCs w:val="21"/>
              </w:rPr>
              <w:t>尾、只、</w:t>
            </w:r>
            <w:r>
              <w:rPr>
                <w:rFonts w:hint="eastAsia" w:ascii="宋体" w:hAnsi="宋体" w:eastAsia="黑体" w:cs="Times New Roman"/>
                <w:b/>
                <w:bCs/>
                <w:szCs w:val="21"/>
              </w:rPr>
              <w:t>粒</w:t>
            </w:r>
            <w:r>
              <w:rPr>
                <w:rFonts w:hint="eastAsia" w:ascii="宋体" w:hAnsi="宋体" w:eastAsia="黑体" w:cs="Times New Roman"/>
                <w:szCs w:val="21"/>
              </w:rPr>
              <w:t>）</w:t>
            </w:r>
          </w:p>
        </w:tc>
        <w:tc>
          <w:tcPr>
            <w:tcW w:w="1984" w:type="dxa"/>
            <w:vAlign w:val="center"/>
          </w:tcPr>
          <w:p w14:paraId="5588FAC8">
            <w:pPr>
              <w:jc w:val="center"/>
              <w:rPr>
                <w:rFonts w:ascii="宋体" w:hAnsi="宋体" w:eastAsia="黑体" w:cs="Times New Roman"/>
                <w:szCs w:val="21"/>
              </w:rPr>
            </w:pPr>
            <w:r>
              <w:rPr>
                <w:rFonts w:hint="eastAsia" w:ascii="宋体" w:hAnsi="宋体" w:eastAsia="黑体" w:cs="Times New Roman"/>
                <w:szCs w:val="21"/>
              </w:rPr>
              <w:t>备注</w:t>
            </w:r>
          </w:p>
        </w:tc>
      </w:tr>
      <w:tr w14:paraId="6673A50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82" w:hRule="exact"/>
        </w:trPr>
        <w:tc>
          <w:tcPr>
            <w:tcW w:w="2411" w:type="dxa"/>
          </w:tcPr>
          <w:p w14:paraId="1982E282">
            <w:pPr>
              <w:rPr>
                <w:rFonts w:ascii="宋体" w:hAnsi="宋体" w:eastAsia="黑体" w:cs="Times New Roman"/>
                <w:szCs w:val="21"/>
              </w:rPr>
            </w:pPr>
          </w:p>
        </w:tc>
        <w:tc>
          <w:tcPr>
            <w:tcW w:w="5103" w:type="dxa"/>
            <w:tcBorders>
              <w:right w:val="single" w:color="auto" w:sz="4" w:space="0"/>
            </w:tcBorders>
          </w:tcPr>
          <w:p w14:paraId="58461034">
            <w:pPr>
              <w:rPr>
                <w:rFonts w:ascii="宋体" w:hAnsi="宋体" w:eastAsia="黑体" w:cs="Times New Roman"/>
                <w:szCs w:val="21"/>
              </w:rPr>
            </w:pPr>
          </w:p>
        </w:tc>
        <w:tc>
          <w:tcPr>
            <w:tcW w:w="1984" w:type="dxa"/>
          </w:tcPr>
          <w:p w14:paraId="56804607">
            <w:pPr>
              <w:rPr>
                <w:rFonts w:ascii="宋体" w:hAnsi="宋体" w:eastAsia="黑体" w:cs="Times New Roman"/>
                <w:szCs w:val="21"/>
              </w:rPr>
            </w:pPr>
          </w:p>
        </w:tc>
      </w:tr>
    </w:tbl>
    <w:p w14:paraId="11CFC9D6">
      <w:pPr>
        <w:shd w:val="clear" w:color="auto" w:fill="FFFFFF"/>
        <w:adjustRightInd w:val="0"/>
        <w:snapToGrid w:val="0"/>
        <w:spacing w:line="360" w:lineRule="auto"/>
        <w:ind w:firstLine="420" w:firstLineChars="200"/>
        <w:rPr>
          <w:rFonts w:ascii="Times New Roman" w:hAnsi="宋体" w:eastAsia="宋体" w:cs="Times New Roman"/>
          <w:szCs w:val="21"/>
        </w:rPr>
      </w:pPr>
    </w:p>
    <w:p w14:paraId="7DD7FF97">
      <w:pPr>
        <w:shd w:val="clear" w:color="auto" w:fill="FFFFFF"/>
        <w:adjustRightInd w:val="0"/>
        <w:snapToGrid w:val="0"/>
        <w:spacing w:line="360" w:lineRule="auto"/>
        <w:ind w:firstLine="420" w:firstLineChars="200"/>
        <w:rPr>
          <w:rFonts w:ascii="Times New Roman" w:hAnsi="宋体" w:eastAsia="宋体" w:cs="Times New Roman"/>
          <w:szCs w:val="21"/>
        </w:rPr>
      </w:pPr>
      <w:r>
        <w:rPr>
          <w:rFonts w:ascii="Times New Roman" w:hAnsi="宋体" w:eastAsia="宋体" w:cs="Times New Roman"/>
          <w:szCs w:val="21"/>
        </w:rPr>
        <w:t>1</w:t>
      </w:r>
      <w:r>
        <w:rPr>
          <w:rFonts w:hint="eastAsia" w:ascii="Times New Roman" w:hAnsi="宋体" w:eastAsia="宋体" w:cs="Times New Roman"/>
          <w:szCs w:val="21"/>
        </w:rPr>
        <w:t>.投标报价应包括完成本项目的以下（但不限于以下）费用如：种苗费、材料费、设备费（陆上和海上）、人工费、差旅费、检测费、运输费、装卸费、资料费、燃油费、通讯费、规费、保管、保险、税金、招标代理服务费等所发生的全部费用。除采购内容变更允许调整费用外，其余费用一律不作调整。任何有选择性的报价将不予接受，只允许有一个报价。</w:t>
      </w:r>
    </w:p>
    <w:p w14:paraId="0087BFCD">
      <w:pPr>
        <w:spacing w:line="360" w:lineRule="auto"/>
        <w:ind w:firstLine="420" w:firstLineChars="200"/>
        <w:rPr>
          <w:rFonts w:ascii="Times New Roman" w:hAnsi="宋体" w:eastAsia="宋体" w:cs="Times New Roman"/>
          <w:szCs w:val="21"/>
        </w:rPr>
      </w:pPr>
      <w:r>
        <w:rPr>
          <w:rFonts w:hint="eastAsia" w:ascii="Times New Roman" w:hAnsi="宋体" w:eastAsia="宋体" w:cs="Times New Roman"/>
          <w:szCs w:val="21"/>
        </w:rPr>
        <w:t>2.报价中含放流种苗检验检测费。</w:t>
      </w:r>
    </w:p>
    <w:p w14:paraId="3BD5C4F4">
      <w:pPr>
        <w:spacing w:after="120"/>
        <w:ind w:firstLine="105" w:firstLineChars="50"/>
        <w:rPr>
          <w:rFonts w:ascii="Times New Roman" w:hAnsi="Calibri" w:eastAsia="宋体" w:cs="Times New Roman"/>
          <w:kern w:val="0"/>
        </w:rPr>
      </w:pPr>
    </w:p>
    <w:p w14:paraId="2C88E242">
      <w:pPr>
        <w:spacing w:after="120"/>
        <w:ind w:firstLine="105" w:firstLineChars="50"/>
        <w:rPr>
          <w:rFonts w:ascii="Times New Roman" w:hAnsi="Calibri" w:eastAsia="宋体" w:cs="Times New Roman"/>
          <w:kern w:val="0"/>
        </w:rPr>
      </w:pPr>
    </w:p>
    <w:p w14:paraId="129E3E55">
      <w:pPr>
        <w:spacing w:after="120"/>
        <w:ind w:firstLine="105" w:firstLineChars="50"/>
        <w:rPr>
          <w:rFonts w:ascii="Times New Roman" w:hAnsi="Calibri" w:eastAsia="宋体" w:cs="Times New Roman"/>
          <w:kern w:val="0"/>
        </w:rPr>
      </w:pPr>
    </w:p>
    <w:p w14:paraId="4573F50A">
      <w:pPr>
        <w:spacing w:after="120"/>
        <w:ind w:firstLine="105" w:firstLineChars="50"/>
        <w:rPr>
          <w:rFonts w:ascii="Times New Roman" w:hAnsi="Times New Roman" w:eastAsia="宋体" w:cs="Times New Roman"/>
        </w:rPr>
      </w:pPr>
      <w:r>
        <w:rPr>
          <w:rFonts w:ascii="Times New Roman" w:hAnsi="Calibri" w:eastAsia="宋体" w:cs="Times New Roman"/>
          <w:kern w:val="0"/>
        </w:rPr>
        <w:t>投标人名称（盖章）：                日期：   年   月    日</w:t>
      </w:r>
    </w:p>
    <w:p w14:paraId="3F9F2AC2">
      <w:pPr>
        <w:rPr>
          <w:rFonts w:ascii="Times New Roman" w:hAnsi="Times New Roman" w:eastAsia="宋体" w:cs="Times New Roman"/>
        </w:rPr>
      </w:pPr>
    </w:p>
    <w:p w14:paraId="54602B4B">
      <w:pPr>
        <w:spacing w:after="120"/>
        <w:rPr>
          <w:rFonts w:ascii="Times New Roman" w:hAnsi="Times New Roman" w:eastAsia="宋体" w:cs="Times New Roman"/>
          <w:kern w:val="0"/>
          <w:sz w:val="28"/>
        </w:rPr>
      </w:pPr>
    </w:p>
    <w:p w14:paraId="2DBC7151">
      <w:pPr>
        <w:spacing w:after="120"/>
        <w:rPr>
          <w:rFonts w:ascii="Times New Roman" w:hAnsi="Times New Roman" w:eastAsia="宋体" w:cs="Times New Roman"/>
          <w:kern w:val="0"/>
          <w:sz w:val="28"/>
        </w:rPr>
      </w:pPr>
    </w:p>
    <w:p w14:paraId="1DD104F5">
      <w:pPr>
        <w:spacing w:after="120"/>
        <w:rPr>
          <w:rFonts w:ascii="Times New Roman" w:hAnsi="Times New Roman" w:eastAsia="宋体" w:cs="Times New Roman"/>
          <w:kern w:val="0"/>
          <w:sz w:val="28"/>
        </w:rPr>
      </w:pPr>
    </w:p>
    <w:p w14:paraId="45EB4A5C">
      <w:pPr>
        <w:spacing w:after="120"/>
        <w:rPr>
          <w:rFonts w:ascii="Times New Roman" w:hAnsi="Times New Roman" w:eastAsia="宋体" w:cs="Times New Roman"/>
          <w:kern w:val="0"/>
          <w:sz w:val="28"/>
        </w:rPr>
      </w:pPr>
    </w:p>
    <w:p w14:paraId="6333344D">
      <w:pPr>
        <w:spacing w:after="120"/>
        <w:rPr>
          <w:rFonts w:ascii="Times New Roman" w:hAnsi="Times New Roman" w:eastAsia="宋体" w:cs="Times New Roman"/>
          <w:kern w:val="0"/>
          <w:sz w:val="28"/>
        </w:rPr>
      </w:pPr>
    </w:p>
    <w:p w14:paraId="42CB5173">
      <w:pPr>
        <w:spacing w:after="120"/>
        <w:rPr>
          <w:rFonts w:ascii="Times New Roman" w:hAnsi="Times New Roman" w:eastAsia="宋体" w:cs="Times New Roman"/>
          <w:kern w:val="0"/>
          <w:sz w:val="28"/>
        </w:rPr>
      </w:pPr>
    </w:p>
    <w:p w14:paraId="396AD4DA">
      <w:pPr>
        <w:spacing w:after="120"/>
        <w:rPr>
          <w:rFonts w:ascii="Times New Roman" w:hAnsi="Times New Roman" w:eastAsia="宋体" w:cs="Times New Roman"/>
          <w:kern w:val="0"/>
          <w:sz w:val="28"/>
        </w:rPr>
      </w:pPr>
    </w:p>
    <w:p w14:paraId="29C4A1E5">
      <w:pPr>
        <w:spacing w:after="120"/>
        <w:rPr>
          <w:rFonts w:ascii="Times New Roman" w:hAnsi="Times New Roman" w:eastAsia="宋体" w:cs="Times New Roman"/>
          <w:kern w:val="0"/>
          <w:sz w:val="28"/>
        </w:rPr>
      </w:pPr>
    </w:p>
    <w:p w14:paraId="08C1539F">
      <w:pPr>
        <w:spacing w:after="120"/>
        <w:rPr>
          <w:rFonts w:ascii="Times New Roman" w:hAnsi="Times New Roman" w:eastAsia="宋体" w:cs="Times New Roman"/>
          <w:kern w:val="0"/>
          <w:sz w:val="28"/>
        </w:rPr>
      </w:pPr>
    </w:p>
    <w:p w14:paraId="14DC855E">
      <w:pPr>
        <w:spacing w:after="120"/>
        <w:rPr>
          <w:rFonts w:ascii="Times New Roman" w:hAnsi="Times New Roman" w:eastAsia="宋体" w:cs="Times New Roman"/>
          <w:kern w:val="0"/>
          <w:sz w:val="28"/>
        </w:rPr>
      </w:pPr>
    </w:p>
    <w:p w14:paraId="2356BBFA">
      <w:pPr>
        <w:spacing w:after="120"/>
        <w:rPr>
          <w:rFonts w:ascii="Times New Roman" w:hAnsi="Times New Roman" w:eastAsia="宋体" w:cs="Times New Roman"/>
          <w:kern w:val="0"/>
          <w:sz w:val="28"/>
        </w:rPr>
      </w:pPr>
    </w:p>
    <w:p w14:paraId="39557EB8">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7B2136DA">
      <w:pPr>
        <w:snapToGrid w:val="0"/>
        <w:spacing w:line="312" w:lineRule="auto"/>
        <w:ind w:right="-341"/>
        <w:rPr>
          <w:rFonts w:ascii="Times New Roman" w:hAnsi="Times New Roman" w:eastAsia="宋体" w:cs="Times New Roman"/>
        </w:rPr>
      </w:pPr>
    </w:p>
    <w:p w14:paraId="7129514E">
      <w:pPr>
        <w:snapToGrid w:val="0"/>
        <w:spacing w:line="312" w:lineRule="auto"/>
        <w:ind w:right="-341"/>
        <w:rPr>
          <w:rFonts w:ascii="Times New Roman" w:hAnsi="Times New Roman" w:eastAsia="宋体" w:cs="Times New Roman"/>
        </w:rPr>
      </w:pPr>
      <w:r>
        <w:rPr>
          <w:rFonts w:ascii="Times New Roman" w:hAnsi="Times New Roman" w:eastAsia="宋体" w:cs="Times New Roman"/>
        </w:rPr>
        <w:t>致：_</w:t>
      </w:r>
      <w:r>
        <w:rPr>
          <w:rFonts w:ascii="Times New Roman" w:hAnsi="Times New Roman" w:eastAsia="宋体" w:cs="Times New Roman"/>
          <w:u w:val="single"/>
        </w:rPr>
        <w:t>深圳市国信招标有限公司</w:t>
      </w:r>
      <w:r>
        <w:rPr>
          <w:rFonts w:ascii="Times New Roman" w:hAnsi="Times New Roman" w:eastAsia="宋体" w:cs="Times New Roman"/>
        </w:rPr>
        <w:t>_：</w:t>
      </w:r>
    </w:p>
    <w:p w14:paraId="2C9F78DE">
      <w:pPr>
        <w:snapToGrid w:val="0"/>
        <w:spacing w:line="312" w:lineRule="auto"/>
        <w:ind w:right="-341" w:firstLine="480"/>
        <w:rPr>
          <w:rFonts w:ascii="Times New Roman" w:hAnsi="Times New Roman" w:eastAsia="宋体" w:cs="Times New Roman"/>
          <w:spacing w:val="-4"/>
          <w:kern w:val="0"/>
          <w:szCs w:val="21"/>
        </w:rPr>
      </w:pPr>
      <w:r>
        <w:rPr>
          <w:rFonts w:ascii="Times New Roman" w:hAnsi="Times New Roman" w:eastAsia="宋体" w:cs="Times New Roman"/>
        </w:rPr>
        <w:t>根据贵方为</w:t>
      </w:r>
      <w:r>
        <w:rPr>
          <w:rFonts w:hint="eastAsia" w:ascii="Times New Roman" w:hAnsi="Times New Roman" w:eastAsia="宋体" w:cs="Times New Roman"/>
          <w:u w:val="single"/>
        </w:rPr>
        <w:t xml:space="preserve">           </w:t>
      </w:r>
      <w:r>
        <w:rPr>
          <w:rFonts w:ascii="Times New Roman" w:hAnsi="Times New Roman" w:eastAsia="宋体" w:cs="Times New Roman"/>
        </w:rPr>
        <w:t>项目的招标公告（项目编号：____</w:t>
      </w:r>
      <w:r>
        <w:rPr>
          <w:rFonts w:ascii="Times New Roman" w:hAnsi="Times New Roman" w:eastAsia="宋体" w:cs="Times New Roman"/>
          <w:u w:val="single"/>
        </w:rPr>
        <w:t>_     _</w:t>
      </w:r>
      <w:r>
        <w:rPr>
          <w:rFonts w:ascii="Times New Roman" w:hAnsi="Times New Roman" w:eastAsia="宋体" w:cs="Times New Roman"/>
        </w:rPr>
        <w:t>_）</w:t>
      </w:r>
      <w:r>
        <w:rPr>
          <w:rFonts w:hint="eastAsia" w:ascii="Times New Roman" w:hAnsi="Times New Roman" w:eastAsia="宋体" w:cs="Times New Roman"/>
          <w:lang w:eastAsia="zh-CN"/>
        </w:rPr>
        <w:t>，</w:t>
      </w:r>
      <w:r>
        <w:rPr>
          <w:rFonts w:ascii="Times New Roman" w:hAnsi="Times New Roman" w:eastAsia="宋体" w:cs="Times New Roman"/>
          <w:spacing w:val="-4"/>
          <w:kern w:val="0"/>
          <w:szCs w:val="21"/>
        </w:rPr>
        <w:t>同意如下：</w:t>
      </w:r>
    </w:p>
    <w:p w14:paraId="3B81C870">
      <w:pPr>
        <w:widowControl/>
        <w:spacing w:line="360" w:lineRule="auto"/>
        <w:ind w:right="-341" w:firstLine="387" w:firstLineChars="192"/>
        <w:rPr>
          <w:rFonts w:ascii="Times New Roman" w:hAnsi="Times New Roman" w:eastAsia="宋体" w:cs="Times New Roman"/>
          <w:spacing w:val="-4"/>
          <w:kern w:val="0"/>
          <w:szCs w:val="21"/>
        </w:rPr>
      </w:pPr>
      <w:r>
        <w:rPr>
          <w:rFonts w:ascii="Times New Roman" w:hAnsi="Times New Roman" w:eastAsia="宋体" w:cs="Times New Roman"/>
          <w:spacing w:val="-4"/>
          <w:kern w:val="0"/>
          <w:szCs w:val="21"/>
        </w:rPr>
        <w:t>1</w:t>
      </w:r>
      <w:r>
        <w:rPr>
          <w:rFonts w:hint="eastAsia" w:ascii="Times New Roman" w:hAnsi="Times New Roman" w:eastAsia="宋体" w:cs="Times New Roman"/>
          <w:spacing w:val="-4"/>
          <w:kern w:val="0"/>
          <w:szCs w:val="21"/>
        </w:rPr>
        <w:t>.</w:t>
      </w:r>
      <w:r>
        <w:rPr>
          <w:rFonts w:ascii="Times New Roman" w:hAnsi="Times New Roman" w:eastAsia="宋体" w:cs="Times New Roman"/>
          <w:spacing w:val="-4"/>
          <w:kern w:val="0"/>
          <w:szCs w:val="21"/>
        </w:rPr>
        <w:t>我方已详细审查了采购文件的全部内容及其相关补充文件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，并完全清晰理解全部内容及相关的补充文件</w:t>
      </w:r>
      <w:r>
        <w:rPr>
          <w:rFonts w:ascii="Times New Roman" w:hAnsi="Times New Roman" w:eastAsia="宋体" w:cs="Times New Roman"/>
          <w:b/>
          <w:spacing w:val="-4"/>
          <w:kern w:val="0"/>
          <w:szCs w:val="21"/>
        </w:rPr>
        <w:t>（如有）</w:t>
      </w:r>
      <w:r>
        <w:rPr>
          <w:rFonts w:ascii="Times New Roman" w:hAnsi="Times New Roman" w:eastAsia="宋体" w:cs="Times New Roman"/>
          <w:spacing w:val="-4"/>
          <w:kern w:val="0"/>
          <w:szCs w:val="21"/>
        </w:rPr>
        <w:t>，不存在任何误解之处，同意放弃提出异议和质疑的权利。</w:t>
      </w:r>
    </w:p>
    <w:p w14:paraId="4526DB55">
      <w:pPr>
        <w:snapToGrid w:val="0"/>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2</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我方遵守《中华人民共和国政府采购法》及相关法律法规的规定。同意采购文件中所提到的无效标条款，并服从有关开标现场的会议纪律。否则，同意被废除投标资格。</w:t>
      </w:r>
    </w:p>
    <w:p w14:paraId="74F07CF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3</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我方所提供的一次性投标产品报价均具充分的合理性和准确性，保证不存在低于成本的恶意报价行为，同时清楚理解到报价最低并非意味着必定获得合同授予资格。</w:t>
      </w:r>
    </w:p>
    <w:p w14:paraId="6C082CCB">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4</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投标有效期为自开标之日起9</w:t>
      </w:r>
      <w:r>
        <w:rPr>
          <w:rFonts w:ascii="Times New Roman" w:hAnsi="Times New Roman" w:eastAsia="宋体" w:cs="Times New Roman"/>
          <w:spacing w:val="-4"/>
          <w:szCs w:val="21"/>
          <w:u w:val="single"/>
        </w:rPr>
        <w:t>0</w:t>
      </w:r>
      <w:r>
        <w:rPr>
          <w:rFonts w:ascii="Times New Roman" w:hAnsi="Times New Roman" w:eastAsia="宋体" w:cs="Times New Roman"/>
          <w:spacing w:val="-4"/>
          <w:szCs w:val="21"/>
        </w:rPr>
        <w:t>天内，如在投标有效期内撤回投标，我方同意被废除投标资格。</w:t>
      </w:r>
    </w:p>
    <w:p w14:paraId="244CCA6A">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5</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w:t>
      </w:r>
      <w:r>
        <w:rPr>
          <w:rFonts w:ascii="Times New Roman" w:hAnsi="Times New Roman" w:eastAsia="宋体" w:cs="Times New Roman"/>
          <w:szCs w:val="21"/>
        </w:rPr>
        <w:t>参加政府采购活动前3年内在经营活动中没有重大违法记录和依法缴纳了税收</w:t>
      </w:r>
      <w:r>
        <w:rPr>
          <w:rFonts w:ascii="Times New Roman" w:hAnsi="Times New Roman" w:eastAsia="宋体" w:cs="Times New Roman"/>
          <w:spacing w:val="-4"/>
          <w:szCs w:val="21"/>
        </w:rPr>
        <w:t>（投标截止时间进行计算）。</w:t>
      </w:r>
    </w:p>
    <w:p w14:paraId="0707E53B">
      <w:pPr>
        <w:spacing w:line="360" w:lineRule="auto"/>
        <w:ind w:right="-341" w:firstLine="404" w:firstLineChars="200"/>
        <w:rPr>
          <w:rFonts w:ascii="Times New Roman" w:hAnsi="Times New Roman" w:eastAsia="宋体" w:cs="Times New Roman"/>
          <w:szCs w:val="21"/>
        </w:rPr>
      </w:pPr>
      <w:r>
        <w:rPr>
          <w:rFonts w:ascii="Times New Roman" w:hAnsi="Times New Roman" w:eastAsia="宋体" w:cs="Times New Roman"/>
          <w:spacing w:val="-4"/>
          <w:szCs w:val="21"/>
        </w:rPr>
        <w:t>6</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我方承诺具备本项目</w:t>
      </w:r>
      <w:r>
        <w:rPr>
          <w:rFonts w:ascii="Times New Roman" w:hAnsi="Times New Roman" w:eastAsia="宋体" w:cs="Times New Roman"/>
          <w:szCs w:val="21"/>
        </w:rPr>
        <w:t>履行合同所必需的设备和专业技术能力</w:t>
      </w:r>
    </w:p>
    <w:p w14:paraId="46983E09">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7</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7B548243">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8</w:t>
      </w:r>
      <w:r>
        <w:rPr>
          <w:rFonts w:hint="eastAsia" w:ascii="Times New Roman" w:hAnsi="Times New Roman" w:eastAsia="宋体" w:cs="Times New Roman"/>
          <w:spacing w:val="-4"/>
          <w:szCs w:val="21"/>
        </w:rPr>
        <w:t>.</w:t>
      </w:r>
      <w:r>
        <w:rPr>
          <w:rFonts w:ascii="Times New Roman" w:hAnsi="Times New Roman" w:eastAsia="宋体" w:cs="Times New Roman"/>
          <w:spacing w:val="-4"/>
          <w:szCs w:val="21"/>
        </w:rPr>
        <w:t>我方承诺至开标之日止，未被“信用中国”（www.creditchina.gov.cn）、中国政府采购网（www.ccgp.gov.cn）列入失信被执行人、重大税收违法案件当事人名单、政府采购严重违法失信行为记录名单。</w:t>
      </w:r>
    </w:p>
    <w:p w14:paraId="2D365DE3">
      <w:pPr>
        <w:snapToGrid w:val="0"/>
        <w:spacing w:line="360" w:lineRule="auto"/>
        <w:ind w:right="-341" w:firstLine="420" w:firstLineChars="200"/>
        <w:rPr>
          <w:rFonts w:ascii="Times New Roman" w:hAnsi="Times New Roman" w:eastAsia="宋体" w:cs="Times New Roman"/>
        </w:rPr>
      </w:pPr>
      <w:r>
        <w:rPr>
          <w:rFonts w:ascii="Times New Roman" w:hAnsi="Times New Roman" w:eastAsia="宋体" w:cs="Times New Roman"/>
        </w:rPr>
        <w:t>9</w:t>
      </w:r>
      <w:r>
        <w:rPr>
          <w:rFonts w:hint="eastAsia" w:ascii="Times New Roman" w:hAnsi="Times New Roman" w:eastAsia="宋体" w:cs="Times New Roman"/>
        </w:rPr>
        <w:t>.</w:t>
      </w:r>
      <w:r>
        <w:rPr>
          <w:rFonts w:ascii="Times New Roman" w:hAnsi="Times New Roman" w:eastAsia="宋体" w:cs="Times New Roman"/>
        </w:rPr>
        <w:t>与本投标有关的一切正式往来信函请寄：</w:t>
      </w:r>
    </w:p>
    <w:p w14:paraId="756BD6AD">
      <w:pPr>
        <w:snapToGrid w:val="0"/>
        <w:spacing w:line="312" w:lineRule="auto"/>
        <w:ind w:right="-341"/>
        <w:rPr>
          <w:rFonts w:ascii="Times New Roman" w:hAnsi="Times New Roman" w:eastAsia="宋体" w:cs="Times New Roman"/>
        </w:rPr>
      </w:pPr>
      <w:r>
        <w:rPr>
          <w:rFonts w:ascii="Times New Roman" w:hAnsi="Times New Roman" w:eastAsia="宋体" w:cs="Times New Roman"/>
        </w:rPr>
        <w:t>地址：__________</w:t>
      </w:r>
      <w:r>
        <w:rPr>
          <w:rFonts w:ascii="Times New Roman" w:hAnsi="Times New Roman" w:eastAsia="宋体" w:cs="Times New Roman"/>
          <w:u w:val="single"/>
        </w:rPr>
        <w:t xml:space="preserve">        _</w:t>
      </w:r>
      <w:r>
        <w:rPr>
          <w:rFonts w:ascii="Times New Roman" w:hAnsi="Times New Roman" w:eastAsia="宋体" w:cs="Times New Roman"/>
        </w:rPr>
        <w:t>____邮编：__________   电话：______________</w:t>
      </w:r>
    </w:p>
    <w:p w14:paraId="03BD58A9">
      <w:pPr>
        <w:snapToGrid w:val="0"/>
        <w:spacing w:line="312" w:lineRule="auto"/>
        <w:ind w:right="-341"/>
        <w:rPr>
          <w:rFonts w:ascii="Times New Roman" w:hAnsi="Times New Roman" w:eastAsia="宋体" w:cs="Times New Roman"/>
        </w:rPr>
      </w:pPr>
      <w:r>
        <w:rPr>
          <w:rFonts w:ascii="Times New Roman" w:hAnsi="Times New Roman" w:eastAsia="宋体" w:cs="Times New Roman"/>
        </w:rPr>
        <w:t>传真：______________投标人代表姓名 ___________  职务：_____________</w:t>
      </w:r>
    </w:p>
    <w:p w14:paraId="1A076043">
      <w:pPr>
        <w:snapToGrid w:val="0"/>
        <w:spacing w:line="312" w:lineRule="auto"/>
        <w:ind w:right="-341"/>
        <w:rPr>
          <w:rFonts w:ascii="Times New Roman" w:hAnsi="Times New Roman" w:eastAsia="宋体" w:cs="Times New Roman"/>
        </w:rPr>
      </w:pPr>
      <w:r>
        <w:rPr>
          <w:rFonts w:ascii="Times New Roman" w:hAnsi="Times New Roman" w:eastAsia="宋体" w:cs="Times New Roman"/>
        </w:rPr>
        <w:t>投标人名称(公章):___________________</w:t>
      </w:r>
    </w:p>
    <w:p w14:paraId="0C536165">
      <w:pPr>
        <w:snapToGrid w:val="0"/>
        <w:spacing w:line="312" w:lineRule="auto"/>
        <w:ind w:right="-341"/>
        <w:rPr>
          <w:rFonts w:ascii="Times New Roman" w:hAnsi="Times New Roman" w:eastAsia="宋体" w:cs="Times New Roman"/>
        </w:rPr>
      </w:pPr>
      <w:r>
        <w:rPr>
          <w:rFonts w:ascii="Times New Roman" w:hAnsi="Times New Roman" w:eastAsia="宋体" w:cs="Times New Roman"/>
        </w:rPr>
        <w:t>开户银行：银行</w:t>
      </w:r>
      <w:r>
        <w:rPr>
          <w:rFonts w:hint="eastAsia" w:ascii="Times New Roman" w:hAnsi="Times New Roman" w:eastAsia="宋体" w:cs="Times New Roman"/>
          <w:lang w:eastAsia="zh-CN"/>
        </w:rPr>
        <w:t>账号</w:t>
      </w:r>
      <w:r>
        <w:rPr>
          <w:rFonts w:ascii="Times New Roman" w:hAnsi="Times New Roman" w:eastAsia="宋体" w:cs="Times New Roman"/>
        </w:rPr>
        <w:t>：</w:t>
      </w:r>
    </w:p>
    <w:p w14:paraId="5824E2C1">
      <w:pPr>
        <w:snapToGrid w:val="0"/>
        <w:ind w:right="-341"/>
        <w:rPr>
          <w:rFonts w:ascii="Times New Roman" w:hAnsi="Times New Roman" w:eastAsia="宋体" w:cs="Times New Roman"/>
        </w:rPr>
      </w:pPr>
    </w:p>
    <w:p w14:paraId="23824997">
      <w:pPr>
        <w:snapToGrid w:val="0"/>
        <w:spacing w:before="120" w:line="312" w:lineRule="auto"/>
        <w:ind w:right="-341" w:firstLine="2940" w:firstLineChars="1400"/>
        <w:rPr>
          <w:rFonts w:ascii="Times New Roman" w:hAnsi="Times New Roman" w:eastAsia="宋体" w:cs="Times New Roman"/>
        </w:rPr>
      </w:pPr>
      <w:r>
        <w:rPr>
          <w:rFonts w:ascii="Times New Roman" w:hAnsi="Times New Roman" w:eastAsia="宋体" w:cs="Times New Roman"/>
        </w:rPr>
        <w:t>日期:_____年___月___日</w:t>
      </w:r>
    </w:p>
    <w:p w14:paraId="28638E06">
      <w:pPr>
        <w:snapToGrid w:val="0"/>
        <w:spacing w:line="312" w:lineRule="auto"/>
        <w:ind w:right="-341"/>
        <w:jc w:val="left"/>
        <w:rPr>
          <w:rFonts w:ascii="Times New Roman" w:hAnsi="Times New Roman" w:eastAsia="宋体" w:cs="Times New Roman"/>
          <w:b/>
          <w:sz w:val="24"/>
        </w:rPr>
      </w:pPr>
      <w:r>
        <w:rPr>
          <w:rFonts w:ascii="Times New Roman" w:hAnsi="Times New Roman" w:eastAsia="宋体" w:cs="Times New Roman"/>
        </w:rPr>
        <w:br w:type="page"/>
      </w:r>
    </w:p>
    <w:p w14:paraId="1C894A80">
      <w:pPr>
        <w:snapToGrid w:val="0"/>
        <w:spacing w:before="120" w:beforeLines="50" w:after="50"/>
        <w:jc w:val="center"/>
        <w:rPr>
          <w:rFonts w:ascii="宋体" w:hAnsi="宋体" w:eastAsia="宋体" w:cs="宋体"/>
          <w:b/>
          <w:sz w:val="32"/>
          <w:szCs w:val="32"/>
        </w:rPr>
      </w:pPr>
      <w:r>
        <w:rPr>
          <w:rFonts w:hint="eastAsia" w:ascii="宋体" w:hAnsi="宋体" w:eastAsia="宋体" w:cs="宋体"/>
          <w:b/>
          <w:sz w:val="32"/>
          <w:szCs w:val="32"/>
        </w:rPr>
        <w:t>四、声明函</w:t>
      </w:r>
    </w:p>
    <w:p w14:paraId="6D58E48A">
      <w:pPr>
        <w:snapToGrid w:val="0"/>
        <w:spacing w:before="120" w:beforeLines="50" w:after="50" w:line="360" w:lineRule="auto"/>
        <w:rPr>
          <w:szCs w:val="21"/>
        </w:rPr>
      </w:pPr>
    </w:p>
    <w:p w14:paraId="3B85C1D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ascii="Times New Roman" w:hAnsi="Times New Roman" w:eastAsia="宋体" w:cs="Times New Roman"/>
          <w:spacing w:val="-4"/>
          <w:szCs w:val="21"/>
          <w:u w:val="single"/>
        </w:rPr>
        <w:t>_深圳市国信招标有限公司_</w:t>
      </w:r>
      <w:r>
        <w:rPr>
          <w:rFonts w:ascii="Times New Roman" w:hAnsi="Times New Roman" w:eastAsia="宋体" w:cs="Times New Roman"/>
          <w:spacing w:val="-4"/>
          <w:szCs w:val="21"/>
        </w:rPr>
        <w:t>：</w:t>
      </w:r>
    </w:p>
    <w:p w14:paraId="6E1A00A6">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4E41D52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730B899">
      <w:pPr>
        <w:spacing w:line="360" w:lineRule="auto"/>
        <w:ind w:right="-341" w:firstLine="404" w:firstLineChars="200"/>
        <w:rPr>
          <w:rFonts w:ascii="Times New Roman" w:hAnsi="Times New Roman" w:eastAsia="宋体" w:cs="Times New Roman"/>
          <w:spacing w:val="-4"/>
          <w:szCs w:val="21"/>
        </w:rPr>
      </w:pPr>
    </w:p>
    <w:p w14:paraId="33A773F2">
      <w:pPr>
        <w:spacing w:line="360" w:lineRule="auto"/>
        <w:ind w:right="-341" w:firstLine="404" w:firstLineChars="200"/>
        <w:rPr>
          <w:rFonts w:ascii="Times New Roman" w:hAnsi="Times New Roman" w:eastAsia="宋体" w:cs="Times New Roman"/>
          <w:spacing w:val="-4"/>
          <w:szCs w:val="21"/>
        </w:rPr>
      </w:pPr>
    </w:p>
    <w:p w14:paraId="7038A6A7">
      <w:pPr>
        <w:spacing w:line="360" w:lineRule="auto"/>
        <w:ind w:right="-341" w:firstLine="404" w:firstLineChars="200"/>
        <w:rPr>
          <w:rFonts w:ascii="Times New Roman" w:hAnsi="Times New Roman" w:eastAsia="宋体" w:cs="Times New Roman"/>
          <w:spacing w:val="-4"/>
          <w:szCs w:val="21"/>
        </w:rPr>
      </w:pPr>
    </w:p>
    <w:p w14:paraId="547EDC92">
      <w:pPr>
        <w:spacing w:line="360" w:lineRule="auto"/>
        <w:ind w:right="-341" w:firstLine="404" w:firstLineChars="200"/>
        <w:rPr>
          <w:rFonts w:ascii="Times New Roman" w:hAnsi="Times New Roman" w:eastAsia="宋体" w:cs="Times New Roman"/>
          <w:spacing w:val="-4"/>
          <w:szCs w:val="21"/>
        </w:rPr>
      </w:pPr>
    </w:p>
    <w:p w14:paraId="3DA5D748">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w:t>
      </w:r>
    </w:p>
    <w:p w14:paraId="1CDB914E">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日期：</w:t>
      </w:r>
    </w:p>
    <w:p w14:paraId="6AA6214F">
      <w:pPr>
        <w:spacing w:line="360" w:lineRule="auto"/>
        <w:ind w:right="-341" w:firstLine="404" w:firstLineChars="200"/>
        <w:rPr>
          <w:rFonts w:ascii="Times New Roman" w:hAnsi="Times New Roman" w:eastAsia="宋体" w:cs="Times New Roman"/>
          <w:spacing w:val="-4"/>
          <w:szCs w:val="21"/>
        </w:rPr>
      </w:pPr>
    </w:p>
    <w:p w14:paraId="0FF70285">
      <w:pPr>
        <w:spacing w:line="360" w:lineRule="auto"/>
        <w:ind w:right="-341" w:firstLine="404" w:firstLineChars="200"/>
        <w:rPr>
          <w:rFonts w:ascii="Times New Roman" w:hAnsi="Times New Roman" w:eastAsia="宋体" w:cs="Times New Roman"/>
          <w:spacing w:val="-4"/>
          <w:szCs w:val="21"/>
        </w:rPr>
      </w:pPr>
    </w:p>
    <w:p w14:paraId="269FA59D">
      <w:pPr>
        <w:spacing w:line="360" w:lineRule="auto"/>
        <w:ind w:right="-341" w:firstLine="404" w:firstLineChars="200"/>
        <w:rPr>
          <w:rFonts w:ascii="Times New Roman" w:hAnsi="Times New Roman" w:eastAsia="宋体" w:cs="Times New Roman"/>
          <w:spacing w:val="-4"/>
          <w:szCs w:val="21"/>
        </w:rPr>
      </w:pPr>
    </w:p>
    <w:p w14:paraId="3E8ECEAE">
      <w:pPr>
        <w:spacing w:line="360" w:lineRule="auto"/>
        <w:ind w:right="-341" w:firstLine="404" w:firstLineChars="200"/>
        <w:rPr>
          <w:rFonts w:ascii="Times New Roman" w:hAnsi="Times New Roman" w:eastAsia="宋体" w:cs="Times New Roman"/>
          <w:spacing w:val="-4"/>
          <w:szCs w:val="21"/>
        </w:rPr>
      </w:pPr>
    </w:p>
    <w:p w14:paraId="2229C9BD">
      <w:pPr>
        <w:spacing w:line="360" w:lineRule="auto"/>
        <w:ind w:right="-341" w:firstLine="404" w:firstLineChars="200"/>
        <w:rPr>
          <w:rFonts w:ascii="Times New Roman" w:hAnsi="Times New Roman" w:eastAsia="宋体" w:cs="Times New Roman"/>
          <w:spacing w:val="-4"/>
          <w:szCs w:val="21"/>
        </w:rPr>
      </w:pPr>
    </w:p>
    <w:p w14:paraId="212A3525">
      <w:pPr>
        <w:spacing w:line="360" w:lineRule="auto"/>
        <w:ind w:right="-341" w:firstLine="404" w:firstLineChars="200"/>
        <w:rPr>
          <w:rFonts w:ascii="Times New Roman" w:hAnsi="Times New Roman" w:eastAsia="宋体" w:cs="Times New Roman"/>
          <w:spacing w:val="-4"/>
          <w:szCs w:val="21"/>
        </w:rPr>
      </w:pPr>
    </w:p>
    <w:p w14:paraId="75956605">
      <w:pPr>
        <w:spacing w:line="360" w:lineRule="auto"/>
        <w:ind w:right="-341" w:firstLine="404" w:firstLineChars="200"/>
        <w:rPr>
          <w:rFonts w:ascii="Times New Roman" w:hAnsi="Times New Roman" w:eastAsia="宋体" w:cs="Times New Roman"/>
          <w:spacing w:val="-4"/>
          <w:szCs w:val="21"/>
        </w:rPr>
      </w:pPr>
    </w:p>
    <w:p w14:paraId="2A9C0366">
      <w:pPr>
        <w:spacing w:line="360" w:lineRule="auto"/>
        <w:ind w:right="-341" w:firstLine="404" w:firstLineChars="200"/>
        <w:rPr>
          <w:rFonts w:ascii="Times New Roman" w:hAnsi="Times New Roman" w:eastAsia="宋体" w:cs="Times New Roman"/>
          <w:spacing w:val="-4"/>
          <w:szCs w:val="21"/>
        </w:rPr>
      </w:pPr>
    </w:p>
    <w:p w14:paraId="50765931">
      <w:pPr>
        <w:snapToGrid w:val="0"/>
        <w:spacing w:line="312" w:lineRule="auto"/>
        <w:jc w:val="left"/>
        <w:rPr>
          <w:b/>
          <w:sz w:val="32"/>
        </w:rPr>
      </w:pPr>
    </w:p>
    <w:p w14:paraId="4995BC96">
      <w:pPr>
        <w:snapToGrid w:val="0"/>
        <w:spacing w:line="312" w:lineRule="auto"/>
        <w:jc w:val="left"/>
        <w:rPr>
          <w:b/>
          <w:sz w:val="32"/>
        </w:rPr>
      </w:pPr>
    </w:p>
    <w:p w14:paraId="0EE1CBBE">
      <w:pPr>
        <w:snapToGrid w:val="0"/>
        <w:spacing w:line="312" w:lineRule="auto"/>
        <w:jc w:val="left"/>
        <w:rPr>
          <w:b/>
          <w:sz w:val="32"/>
        </w:rPr>
      </w:pPr>
    </w:p>
    <w:p w14:paraId="02E4BCB6">
      <w:pPr>
        <w:snapToGrid w:val="0"/>
        <w:spacing w:line="312" w:lineRule="auto"/>
        <w:jc w:val="left"/>
        <w:rPr>
          <w:b/>
          <w:sz w:val="32"/>
        </w:rPr>
      </w:pPr>
    </w:p>
    <w:p w14:paraId="0F6AAD79">
      <w:pPr>
        <w:snapToGrid w:val="0"/>
        <w:spacing w:line="312" w:lineRule="auto"/>
        <w:jc w:val="left"/>
        <w:rPr>
          <w:b/>
          <w:sz w:val="24"/>
        </w:rPr>
      </w:pPr>
    </w:p>
    <w:p w14:paraId="22D19E49">
      <w:pPr>
        <w:pStyle w:val="58"/>
        <w:ind w:firstLine="241"/>
        <w:rPr>
          <w:b/>
          <w:sz w:val="24"/>
        </w:rPr>
      </w:pPr>
    </w:p>
    <w:p w14:paraId="18120EB2">
      <w:pPr>
        <w:rPr>
          <w:b/>
          <w:sz w:val="24"/>
        </w:rPr>
      </w:pPr>
    </w:p>
    <w:p w14:paraId="32D28C90">
      <w:pPr>
        <w:pStyle w:val="58"/>
        <w:ind w:firstLine="241"/>
        <w:rPr>
          <w:b/>
          <w:sz w:val="24"/>
        </w:rPr>
      </w:pPr>
    </w:p>
    <w:p w14:paraId="748B37D5">
      <w:pPr>
        <w:rPr>
          <w:b/>
          <w:sz w:val="24"/>
        </w:rPr>
      </w:pPr>
    </w:p>
    <w:p w14:paraId="3D73BF6B">
      <w:pPr>
        <w:pStyle w:val="58"/>
        <w:ind w:firstLine="210"/>
      </w:pPr>
    </w:p>
    <w:p w14:paraId="0D1E721E">
      <w:pPr>
        <w:jc w:val="center"/>
        <w:rPr>
          <w:b/>
          <w:spacing w:val="20"/>
          <w:sz w:val="28"/>
        </w:rPr>
      </w:pPr>
    </w:p>
    <w:p w14:paraId="3801482F">
      <w:pPr>
        <w:jc w:val="center"/>
        <w:rPr>
          <w:rFonts w:ascii="宋体" w:hAnsi="宋体" w:eastAsia="宋体" w:cs="宋体"/>
          <w:sz w:val="32"/>
          <w:szCs w:val="32"/>
        </w:rPr>
      </w:pPr>
      <w:r>
        <w:rPr>
          <w:rFonts w:hint="eastAsia" w:ascii="宋体" w:hAnsi="宋体" w:eastAsia="宋体" w:cs="宋体"/>
          <w:b/>
          <w:spacing w:val="20"/>
          <w:sz w:val="32"/>
          <w:szCs w:val="32"/>
        </w:rPr>
        <w:t>五、</w:t>
      </w:r>
      <w:r>
        <w:rPr>
          <w:rFonts w:hint="eastAsia" w:ascii="宋体" w:hAnsi="宋体" w:eastAsia="宋体" w:cs="宋体"/>
          <w:b/>
          <w:bCs/>
          <w:sz w:val="32"/>
          <w:szCs w:val="32"/>
        </w:rPr>
        <w:t>廉政承诺书</w:t>
      </w:r>
    </w:p>
    <w:p w14:paraId="2BE3CD6C">
      <w:pPr>
        <w:rPr>
          <w:b/>
          <w:bCs/>
          <w:sz w:val="28"/>
          <w:szCs w:val="28"/>
        </w:rPr>
      </w:pPr>
    </w:p>
    <w:p w14:paraId="34E72C8B">
      <w:pPr>
        <w:rPr>
          <w:rFonts w:ascii="宋体" w:hAnsi="宋体" w:eastAsia="宋体" w:cs="宋体"/>
          <w:b/>
          <w:bCs/>
          <w:szCs w:val="21"/>
        </w:rPr>
      </w:pPr>
      <w:r>
        <w:rPr>
          <w:rFonts w:hint="eastAsia" w:ascii="宋体" w:hAnsi="宋体" w:eastAsia="宋体" w:cs="宋体"/>
          <w:b/>
          <w:bCs/>
          <w:szCs w:val="21"/>
        </w:rPr>
        <w:t>致：</w:t>
      </w:r>
      <w:r>
        <w:rPr>
          <w:rFonts w:hint="eastAsia" w:ascii="宋体" w:hAnsi="宋体" w:eastAsia="宋体" w:cs="宋体"/>
          <w:b/>
          <w:bCs/>
          <w:szCs w:val="21"/>
          <w:u w:val="single"/>
        </w:rPr>
        <w:t xml:space="preserve"> </w:t>
      </w:r>
      <w:r>
        <w:rPr>
          <w:rFonts w:ascii="宋体" w:hAnsi="宋体" w:eastAsia="宋体" w:cs="宋体"/>
          <w:b/>
          <w:bCs/>
          <w:szCs w:val="21"/>
          <w:u w:val="single"/>
        </w:rPr>
        <w:t xml:space="preserve"> </w:t>
      </w:r>
      <w:r>
        <w:rPr>
          <w:rFonts w:hint="eastAsia" w:ascii="宋体" w:hAnsi="宋体" w:eastAsia="宋体" w:cs="宋体"/>
          <w:b/>
          <w:bCs/>
          <w:szCs w:val="21"/>
          <w:u w:val="single"/>
        </w:rPr>
        <w:t xml:space="preserve">                     （采购人）</w:t>
      </w:r>
      <w:r>
        <w:rPr>
          <w:rFonts w:hint="eastAsia" w:ascii="宋体" w:hAnsi="宋体" w:eastAsia="宋体" w:cs="宋体"/>
          <w:b/>
          <w:bCs/>
          <w:szCs w:val="21"/>
        </w:rPr>
        <w:t>：</w:t>
      </w:r>
    </w:p>
    <w:p w14:paraId="5553C823">
      <w:pPr>
        <w:spacing w:line="360" w:lineRule="auto"/>
        <w:ind w:firstLine="420" w:firstLineChars="200"/>
        <w:rPr>
          <w:rFonts w:ascii="宋体" w:hAnsi="宋体" w:eastAsia="宋体" w:cs="宋体"/>
          <w:szCs w:val="21"/>
        </w:rPr>
      </w:pPr>
    </w:p>
    <w:p w14:paraId="4A3F7DCB">
      <w:pPr>
        <w:spacing w:line="360" w:lineRule="auto"/>
        <w:ind w:firstLine="420" w:firstLineChars="200"/>
        <w:rPr>
          <w:rFonts w:ascii="宋体" w:hAnsi="宋体" w:eastAsia="宋体" w:cs="宋体"/>
          <w:szCs w:val="21"/>
        </w:rPr>
      </w:pPr>
      <w:r>
        <w:rPr>
          <w:rFonts w:hint="eastAsia" w:ascii="宋体" w:hAnsi="宋体" w:eastAsia="宋体" w:cs="宋体"/>
          <w:szCs w:val="21"/>
        </w:rPr>
        <w:t>我单位响应你单位项目招标要求参加投标，在这次投标过程中和中标后，我们将严格遵守国家法律法规要求，并郑重承诺:</w:t>
      </w:r>
    </w:p>
    <w:p w14:paraId="298AE223">
      <w:pPr>
        <w:spacing w:line="360" w:lineRule="auto"/>
        <w:ind w:firstLine="420" w:firstLineChars="200"/>
        <w:rPr>
          <w:rFonts w:ascii="宋体" w:hAnsi="宋体" w:eastAsia="宋体" w:cs="宋体"/>
          <w:szCs w:val="21"/>
        </w:rPr>
      </w:pPr>
      <w:r>
        <w:rPr>
          <w:rFonts w:hint="eastAsia" w:ascii="宋体" w:hAnsi="宋体" w:eastAsia="宋体" w:cs="宋体"/>
          <w:szCs w:val="21"/>
        </w:rPr>
        <w:t>一、不向项目有关人员及部门赠送礼金礼物、有价证券、回扣以及中介费、介绍费、咨询费等好处费。</w:t>
      </w:r>
    </w:p>
    <w:p w14:paraId="29657927">
      <w:pPr>
        <w:spacing w:line="360" w:lineRule="auto"/>
        <w:ind w:firstLine="420" w:firstLineChars="200"/>
        <w:rPr>
          <w:rFonts w:ascii="宋体" w:hAnsi="宋体" w:eastAsia="宋体" w:cs="宋体"/>
          <w:szCs w:val="21"/>
        </w:rPr>
      </w:pPr>
      <w:r>
        <w:rPr>
          <w:rFonts w:hint="eastAsia" w:ascii="宋体" w:hAnsi="宋体" w:eastAsia="宋体" w:cs="宋体"/>
          <w:szCs w:val="21"/>
        </w:rPr>
        <w:t>二、不为项目有关人员及部门报销应由你方单位或个人支付的费用;</w:t>
      </w:r>
    </w:p>
    <w:p w14:paraId="4F1AA052">
      <w:pPr>
        <w:spacing w:line="360" w:lineRule="auto"/>
        <w:ind w:firstLine="420" w:firstLineChars="200"/>
        <w:rPr>
          <w:rFonts w:ascii="宋体" w:hAnsi="宋体" w:eastAsia="宋体" w:cs="宋体"/>
          <w:szCs w:val="21"/>
        </w:rPr>
      </w:pPr>
      <w:r>
        <w:rPr>
          <w:rFonts w:hint="eastAsia" w:ascii="宋体" w:hAnsi="宋体" w:eastAsia="宋体" w:cs="宋体"/>
          <w:szCs w:val="21"/>
        </w:rPr>
        <w:t>三、不向项目有关人员及部门提供有可能影响公正的宴请和健身娱乐等活动;</w:t>
      </w:r>
    </w:p>
    <w:p w14:paraId="2DC38FA0">
      <w:pPr>
        <w:spacing w:line="360" w:lineRule="auto"/>
        <w:ind w:firstLine="420" w:firstLineChars="200"/>
        <w:rPr>
          <w:rFonts w:ascii="宋体" w:hAnsi="宋体" w:eastAsia="宋体" w:cs="宋体"/>
          <w:szCs w:val="21"/>
        </w:rPr>
      </w:pPr>
      <w:r>
        <w:rPr>
          <w:rFonts w:hint="eastAsia" w:ascii="宋体" w:hAnsi="宋体" w:eastAsia="宋体" w:cs="宋体"/>
          <w:szCs w:val="21"/>
        </w:rPr>
        <w:t>四、不为项目有关人员及部门出国(境)、旅游等提供方便；</w:t>
      </w:r>
    </w:p>
    <w:p w14:paraId="0EA95A84">
      <w:pPr>
        <w:spacing w:line="360" w:lineRule="auto"/>
        <w:ind w:firstLine="420" w:firstLineChars="200"/>
        <w:rPr>
          <w:rFonts w:ascii="宋体" w:hAnsi="宋体" w:eastAsia="宋体" w:cs="宋体"/>
          <w:szCs w:val="21"/>
        </w:rPr>
      </w:pPr>
      <w:r>
        <w:rPr>
          <w:rFonts w:hint="eastAsia" w:ascii="宋体" w:hAnsi="宋体" w:eastAsia="宋体" w:cs="宋体"/>
          <w:szCs w:val="21"/>
        </w:rPr>
        <w:t>五、不为项目有关人员个人装修住房、婚丧嫁娶、配偶子女工作安排等提供好处;</w:t>
      </w:r>
    </w:p>
    <w:p w14:paraId="609139C2">
      <w:pPr>
        <w:spacing w:line="360" w:lineRule="auto"/>
        <w:ind w:firstLine="420" w:firstLineChars="200"/>
        <w:rPr>
          <w:rFonts w:ascii="宋体" w:hAnsi="宋体" w:eastAsia="宋体" w:cs="宋体"/>
          <w:szCs w:val="21"/>
        </w:rPr>
      </w:pPr>
      <w:r>
        <w:rPr>
          <w:rFonts w:hint="eastAsia" w:ascii="宋体" w:hAnsi="宋体" w:eastAsia="宋体" w:cs="宋体"/>
          <w:szCs w:val="21"/>
        </w:rPr>
        <w:t>六、严格遵守政府采购法、民法典等法律，诚实守信，合法经营，坚决抵制各种违法违纪行为。</w:t>
      </w:r>
    </w:p>
    <w:p w14:paraId="1319E2EA">
      <w:pPr>
        <w:spacing w:line="360" w:lineRule="auto"/>
        <w:ind w:firstLine="420" w:firstLineChars="200"/>
        <w:rPr>
          <w:rFonts w:ascii="宋体" w:hAnsi="宋体" w:eastAsia="宋体" w:cs="宋体"/>
          <w:szCs w:val="21"/>
        </w:rPr>
      </w:pPr>
      <w:r>
        <w:rPr>
          <w:rFonts w:hint="eastAsia" w:ascii="宋体" w:hAnsi="宋体" w:eastAsia="宋体" w:cs="宋体"/>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4F1A86DB">
      <w:pPr>
        <w:rPr>
          <w:rFonts w:ascii="宋体" w:hAnsi="宋体" w:eastAsia="宋体" w:cs="宋体"/>
          <w:szCs w:val="21"/>
        </w:rPr>
      </w:pPr>
    </w:p>
    <w:p w14:paraId="3C65B974">
      <w:pPr>
        <w:rPr>
          <w:rFonts w:ascii="宋体" w:hAnsi="宋体" w:eastAsia="宋体" w:cs="宋体"/>
          <w:szCs w:val="21"/>
        </w:rPr>
      </w:pPr>
    </w:p>
    <w:p w14:paraId="55799A1E">
      <w:pPr>
        <w:rPr>
          <w:rFonts w:ascii="宋体" w:hAnsi="宋体" w:eastAsia="宋体" w:cs="宋体"/>
          <w:szCs w:val="21"/>
        </w:rPr>
      </w:pPr>
      <w:r>
        <w:rPr>
          <w:rFonts w:hint="eastAsia" w:ascii="宋体" w:hAnsi="宋体" w:eastAsia="宋体" w:cs="宋体"/>
          <w:szCs w:val="21"/>
        </w:rPr>
        <w:t>投标人:(盖章)</w:t>
      </w:r>
    </w:p>
    <w:p w14:paraId="3F9ADB90">
      <w:pPr>
        <w:rPr>
          <w:rFonts w:ascii="宋体" w:hAnsi="宋体" w:eastAsia="宋体" w:cs="宋体"/>
          <w:szCs w:val="21"/>
        </w:rPr>
      </w:pPr>
    </w:p>
    <w:p w14:paraId="2861B307">
      <w:pPr>
        <w:rPr>
          <w:rFonts w:ascii="宋体" w:hAnsi="宋体" w:eastAsia="宋体" w:cs="宋体"/>
          <w:szCs w:val="21"/>
        </w:rPr>
      </w:pPr>
    </w:p>
    <w:p w14:paraId="7295FF9C">
      <w:pPr>
        <w:rPr>
          <w:rFonts w:ascii="宋体" w:hAnsi="宋体" w:eastAsia="宋体" w:cs="宋体"/>
          <w:szCs w:val="21"/>
        </w:rPr>
      </w:pPr>
    </w:p>
    <w:p w14:paraId="30D46223">
      <w:pPr>
        <w:rPr>
          <w:rFonts w:ascii="宋体" w:hAnsi="宋体" w:eastAsia="宋体" w:cs="宋体"/>
          <w:szCs w:val="21"/>
        </w:rPr>
      </w:pPr>
    </w:p>
    <w:p w14:paraId="00951C30">
      <w:pPr>
        <w:rPr>
          <w:rFonts w:ascii="宋体" w:hAnsi="宋体" w:eastAsia="宋体" w:cs="宋体"/>
          <w:szCs w:val="21"/>
        </w:rPr>
      </w:pPr>
    </w:p>
    <w:p w14:paraId="1328A50C">
      <w:pPr>
        <w:rPr>
          <w:rFonts w:ascii="宋体" w:hAnsi="宋体" w:eastAsia="宋体" w:cs="宋体"/>
          <w:szCs w:val="21"/>
        </w:rPr>
      </w:pPr>
      <w:r>
        <w:rPr>
          <w:rFonts w:hint="eastAsia" w:ascii="宋体" w:hAnsi="宋体" w:eastAsia="宋体" w:cs="宋体"/>
          <w:szCs w:val="21"/>
        </w:rPr>
        <w:t>日期:    年月日</w:t>
      </w:r>
    </w:p>
    <w:p w14:paraId="3198188C">
      <w:pPr>
        <w:snapToGrid w:val="0"/>
        <w:spacing w:before="50" w:line="312" w:lineRule="auto"/>
        <w:jc w:val="left"/>
        <w:rPr>
          <w:rFonts w:ascii="宋体" w:hAnsi="宋体" w:eastAsia="宋体" w:cs="宋体"/>
          <w:b/>
          <w:spacing w:val="20"/>
          <w:szCs w:val="21"/>
        </w:rPr>
      </w:pPr>
    </w:p>
    <w:p w14:paraId="297AFF68">
      <w:pPr>
        <w:snapToGrid w:val="0"/>
        <w:spacing w:before="50" w:line="312" w:lineRule="auto"/>
        <w:jc w:val="left"/>
        <w:rPr>
          <w:b/>
          <w:spacing w:val="20"/>
          <w:szCs w:val="21"/>
        </w:rPr>
      </w:pPr>
    </w:p>
    <w:p w14:paraId="7C9D628E">
      <w:pPr>
        <w:snapToGrid w:val="0"/>
        <w:spacing w:before="50" w:line="312" w:lineRule="auto"/>
        <w:jc w:val="center"/>
        <w:rPr>
          <w:b/>
          <w:sz w:val="24"/>
        </w:rPr>
      </w:pPr>
    </w:p>
    <w:p w14:paraId="496B4384">
      <w:pPr>
        <w:snapToGrid w:val="0"/>
        <w:spacing w:before="50" w:line="312" w:lineRule="auto"/>
        <w:jc w:val="center"/>
        <w:rPr>
          <w:b/>
          <w:sz w:val="24"/>
        </w:rPr>
      </w:pPr>
    </w:p>
    <w:p w14:paraId="298002DA">
      <w:pPr>
        <w:snapToGrid w:val="0"/>
        <w:spacing w:before="50" w:line="312" w:lineRule="auto"/>
        <w:jc w:val="center"/>
        <w:rPr>
          <w:b/>
          <w:sz w:val="24"/>
        </w:rPr>
      </w:pPr>
    </w:p>
    <w:p w14:paraId="2E3666DB">
      <w:pPr>
        <w:snapToGrid w:val="0"/>
        <w:spacing w:before="50" w:line="312" w:lineRule="auto"/>
        <w:jc w:val="center"/>
        <w:rPr>
          <w:b/>
          <w:sz w:val="24"/>
        </w:rPr>
      </w:pPr>
    </w:p>
    <w:p w14:paraId="5B014DEE">
      <w:pPr>
        <w:snapToGrid w:val="0"/>
        <w:spacing w:before="120" w:line="312" w:lineRule="auto"/>
        <w:ind w:right="-341"/>
        <w:rPr>
          <w:b/>
          <w:sz w:val="32"/>
        </w:rPr>
      </w:pPr>
    </w:p>
    <w:p w14:paraId="32470293">
      <w:pPr>
        <w:pStyle w:val="58"/>
        <w:ind w:firstLine="321"/>
        <w:rPr>
          <w:b/>
          <w:sz w:val="32"/>
        </w:rPr>
      </w:pPr>
    </w:p>
    <w:p w14:paraId="3E8165AF">
      <w:pPr>
        <w:rPr>
          <w:b/>
          <w:sz w:val="32"/>
        </w:rPr>
      </w:pPr>
    </w:p>
    <w:p w14:paraId="5AB562C6">
      <w:pPr>
        <w:pStyle w:val="58"/>
        <w:ind w:firstLine="210"/>
      </w:pPr>
    </w:p>
    <w:p w14:paraId="57FA78F6">
      <w:pPr>
        <w:snapToGrid w:val="0"/>
        <w:spacing w:before="120" w:line="312" w:lineRule="auto"/>
        <w:ind w:right="-341"/>
        <w:rPr>
          <w:rFonts w:ascii="宋体" w:hAnsi="宋体" w:eastAsia="宋体" w:cs="宋体"/>
          <w:b/>
          <w:sz w:val="32"/>
          <w:szCs w:val="32"/>
        </w:rPr>
      </w:pPr>
      <w:r>
        <w:rPr>
          <w:rFonts w:hint="eastAsia" w:ascii="宋体" w:hAnsi="宋体" w:eastAsia="宋体" w:cs="宋体"/>
          <w:b/>
          <w:sz w:val="32"/>
          <w:szCs w:val="32"/>
        </w:rPr>
        <w:t>六、</w:t>
      </w:r>
    </w:p>
    <w:p w14:paraId="353DF492">
      <w:pPr>
        <w:autoSpaceDE w:val="0"/>
        <w:autoSpaceDN w:val="0"/>
        <w:adjustRightInd w:val="0"/>
        <w:ind w:right="-341"/>
        <w:jc w:val="left"/>
        <w:rPr>
          <w:rFonts w:ascii="宋体" w:hAnsi="宋体" w:eastAsia="宋体" w:cs="宋体"/>
          <w:kern w:val="0"/>
          <w:sz w:val="32"/>
          <w:szCs w:val="32"/>
        </w:rPr>
      </w:pPr>
    </w:p>
    <w:p w14:paraId="7B83CC92">
      <w:pPr>
        <w:jc w:val="center"/>
        <w:rPr>
          <w:rFonts w:ascii="宋体" w:hAnsi="宋体" w:eastAsia="宋体" w:cs="宋体"/>
          <w:b/>
          <w:sz w:val="32"/>
          <w:szCs w:val="32"/>
        </w:rPr>
      </w:pPr>
      <w:r>
        <w:rPr>
          <w:rFonts w:hint="eastAsia" w:ascii="宋体" w:hAnsi="宋体" w:eastAsia="宋体" w:cs="宋体"/>
          <w:b/>
          <w:sz w:val="32"/>
          <w:szCs w:val="32"/>
        </w:rPr>
        <w:t>中小企业声明函（货物）</w:t>
      </w:r>
    </w:p>
    <w:p w14:paraId="1790A0A0">
      <w:pPr>
        <w:ind w:firstLine="420" w:firstLineChars="200"/>
      </w:pPr>
    </w:p>
    <w:p w14:paraId="07D9BAE5">
      <w:pPr>
        <w:spacing w:line="360" w:lineRule="auto"/>
        <w:ind w:firstLine="420" w:firstLineChars="200"/>
        <w:rPr>
          <w:szCs w:val="21"/>
        </w:rPr>
      </w:pPr>
    </w:p>
    <w:p w14:paraId="41C718AF">
      <w:pPr>
        <w:spacing w:line="360" w:lineRule="auto"/>
        <w:ind w:firstLine="420" w:firstLineChars="200"/>
        <w:rPr>
          <w:rFonts w:ascii="宋体" w:hAnsi="宋体" w:eastAsia="宋体" w:cs="宋体"/>
          <w:szCs w:val="21"/>
        </w:rPr>
      </w:pPr>
      <w:r>
        <w:rPr>
          <w:rFonts w:hint="eastAsia" w:ascii="宋体" w:hAnsi="宋体" w:eastAsia="宋体" w:cs="宋体"/>
          <w:szCs w:val="21"/>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58B3A2AC">
      <w:pPr>
        <w:spacing w:line="360" w:lineRule="auto"/>
        <w:ind w:firstLine="420" w:firstLineChars="200"/>
        <w:rPr>
          <w:rFonts w:ascii="宋体" w:hAnsi="宋体" w:eastAsia="宋体" w:cs="宋体"/>
          <w:szCs w:val="21"/>
        </w:rPr>
      </w:pPr>
      <w:r>
        <w:rPr>
          <w:rFonts w:hint="eastAsia" w:ascii="宋体" w:hAnsi="宋体" w:eastAsia="宋体" w:cs="宋体"/>
          <w:szCs w:val="21"/>
        </w:rPr>
        <w:t>1. （标的名称），属于（采购文件中明确的所属行业）行业；制造商为（企业名称），从业人员人，营业收入为万元，资产总额为万元属于（中型企业、小型企业、微型企业）；</w:t>
      </w:r>
    </w:p>
    <w:p w14:paraId="109670EE">
      <w:pPr>
        <w:spacing w:line="360" w:lineRule="auto"/>
        <w:ind w:firstLine="420" w:firstLineChars="200"/>
        <w:rPr>
          <w:rFonts w:ascii="宋体" w:hAnsi="宋体" w:eastAsia="宋体" w:cs="宋体"/>
          <w:szCs w:val="21"/>
        </w:rPr>
      </w:pPr>
      <w:r>
        <w:rPr>
          <w:rFonts w:hint="eastAsia" w:ascii="宋体" w:hAnsi="宋体" w:eastAsia="宋体" w:cs="宋体"/>
          <w:szCs w:val="21"/>
        </w:rPr>
        <w:t>2. （标的名称），属于（采购文件中明确的所属行业）行业；制造商为（企业名称），从业人员人，营业收入为万元，资产总额为万元，属于（中型企业、小型企业、微型企业）；</w:t>
      </w:r>
    </w:p>
    <w:p w14:paraId="3F30D66E">
      <w:pPr>
        <w:spacing w:line="360" w:lineRule="auto"/>
        <w:rPr>
          <w:rFonts w:ascii="宋体" w:hAnsi="宋体" w:eastAsia="宋体" w:cs="宋体"/>
          <w:szCs w:val="21"/>
        </w:rPr>
      </w:pPr>
      <w:r>
        <w:rPr>
          <w:rFonts w:hint="eastAsia" w:ascii="宋体" w:hAnsi="宋体" w:eastAsia="宋体" w:cs="宋体"/>
          <w:szCs w:val="21"/>
        </w:rPr>
        <w:t>……</w:t>
      </w:r>
    </w:p>
    <w:p w14:paraId="3444E3E2">
      <w:pPr>
        <w:spacing w:line="360" w:lineRule="auto"/>
        <w:ind w:firstLine="735" w:firstLineChars="350"/>
        <w:rPr>
          <w:rFonts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17799AB3">
      <w:pPr>
        <w:spacing w:line="360" w:lineRule="auto"/>
        <w:ind w:firstLine="420" w:firstLineChars="200"/>
        <w:rPr>
          <w:rFonts w:ascii="宋体" w:hAnsi="宋体" w:eastAsia="宋体" w:cs="宋体"/>
          <w:szCs w:val="21"/>
        </w:rPr>
      </w:pPr>
      <w:r>
        <w:rPr>
          <w:rFonts w:hint="eastAsia" w:ascii="宋体" w:hAnsi="宋体" w:eastAsia="宋体" w:cs="宋体"/>
          <w:szCs w:val="21"/>
        </w:rPr>
        <w:t>本企业对上述声明内容的真实性负责。如有虚假，将依法承担相应责任。</w:t>
      </w:r>
    </w:p>
    <w:p w14:paraId="6E94CDAC">
      <w:pPr>
        <w:spacing w:line="360" w:lineRule="auto"/>
        <w:rPr>
          <w:rFonts w:ascii="宋体" w:hAnsi="宋体" w:eastAsia="宋体" w:cs="宋体"/>
          <w:szCs w:val="21"/>
        </w:rPr>
      </w:pPr>
    </w:p>
    <w:p w14:paraId="0DE2F26E">
      <w:pPr>
        <w:spacing w:line="360" w:lineRule="auto"/>
        <w:rPr>
          <w:rFonts w:ascii="宋体" w:hAnsi="宋体" w:eastAsia="宋体" w:cs="宋体"/>
          <w:szCs w:val="21"/>
        </w:rPr>
      </w:pPr>
    </w:p>
    <w:p w14:paraId="5F505DF7">
      <w:pPr>
        <w:spacing w:line="360" w:lineRule="auto"/>
        <w:ind w:firstLine="630" w:firstLineChars="300"/>
        <w:rPr>
          <w:rFonts w:ascii="宋体" w:hAnsi="宋体" w:eastAsia="宋体" w:cs="宋体"/>
          <w:szCs w:val="21"/>
        </w:rPr>
      </w:pPr>
      <w:r>
        <w:rPr>
          <w:rFonts w:hint="eastAsia" w:ascii="宋体" w:hAnsi="宋体" w:eastAsia="宋体" w:cs="宋体"/>
          <w:szCs w:val="21"/>
        </w:rPr>
        <w:t>企业名称（盖章）：</w:t>
      </w:r>
    </w:p>
    <w:p w14:paraId="50C48452">
      <w:pPr>
        <w:spacing w:line="360" w:lineRule="auto"/>
        <w:ind w:firstLine="630" w:firstLineChars="300"/>
        <w:rPr>
          <w:rFonts w:ascii="宋体" w:hAnsi="宋体" w:eastAsia="宋体" w:cs="宋体"/>
          <w:szCs w:val="21"/>
        </w:rPr>
      </w:pPr>
      <w:r>
        <w:rPr>
          <w:rFonts w:hint="eastAsia" w:ascii="宋体" w:hAnsi="宋体" w:eastAsia="宋体" w:cs="宋体"/>
          <w:szCs w:val="21"/>
        </w:rPr>
        <w:t>日期：</w:t>
      </w:r>
    </w:p>
    <w:p w14:paraId="06C8827F">
      <w:pPr>
        <w:snapToGrid w:val="0"/>
        <w:spacing w:line="360" w:lineRule="auto"/>
        <w:ind w:right="-341"/>
        <w:rPr>
          <w:rFonts w:ascii="宋体" w:hAnsi="宋体" w:eastAsia="宋体" w:cs="宋体"/>
          <w:szCs w:val="21"/>
        </w:rPr>
        <w:sectPr>
          <w:pgSz w:w="11906" w:h="16838"/>
          <w:pgMar w:top="1304" w:right="1531" w:bottom="1304" w:left="1531" w:header="1304" w:footer="1304" w:gutter="0"/>
          <w:cols w:space="720" w:num="1"/>
        </w:sectPr>
      </w:pPr>
    </w:p>
    <w:p w14:paraId="5CEB1890">
      <w:pPr>
        <w:snapToGrid w:val="0"/>
        <w:spacing w:before="50" w:after="156" w:afterLines="50"/>
        <w:jc w:val="left"/>
        <w:rPr>
          <w:rFonts w:ascii="Times New Roman" w:hAnsi="Times New Roman" w:eastAsia="宋体" w:cs="Times New Roman"/>
          <w:b/>
          <w:sz w:val="24"/>
        </w:rPr>
      </w:pPr>
    </w:p>
    <w:p w14:paraId="47153655">
      <w:pPr>
        <w:spacing w:line="360" w:lineRule="auto"/>
        <w:ind w:firstLine="3132" w:firstLineChars="1300"/>
        <w:rPr>
          <w:rFonts w:ascii="Times New Roman" w:hAnsi="Times New Roman" w:eastAsia="宋体" w:cs="Times New Roman"/>
          <w:b/>
          <w:sz w:val="24"/>
          <w:szCs w:val="24"/>
        </w:rPr>
      </w:pPr>
      <w:r>
        <w:rPr>
          <w:rFonts w:ascii="Times New Roman" w:hAnsi="Times New Roman" w:eastAsia="宋体" w:cs="Times New Roman"/>
          <w:b/>
          <w:sz w:val="24"/>
          <w:szCs w:val="24"/>
        </w:rPr>
        <w:t>监狱企业声明函</w:t>
      </w:r>
    </w:p>
    <w:p w14:paraId="2F7E99F5">
      <w:pPr>
        <w:spacing w:line="360" w:lineRule="auto"/>
        <w:ind w:firstLine="2640" w:firstLineChars="1100"/>
        <w:rPr>
          <w:rFonts w:ascii="Times New Roman" w:hAnsi="Times New Roman" w:eastAsia="宋体" w:cs="Times New Roman"/>
          <w:sz w:val="24"/>
          <w:szCs w:val="24"/>
        </w:rPr>
      </w:pPr>
      <w:r>
        <w:rPr>
          <w:rFonts w:ascii="Times New Roman" w:hAnsi="Times New Roman" w:eastAsia="宋体" w:cs="Times New Roman"/>
          <w:sz w:val="24"/>
          <w:szCs w:val="24"/>
        </w:rPr>
        <w:t>【非监狱企业不用提供】</w:t>
      </w:r>
    </w:p>
    <w:p w14:paraId="3DA8F71A">
      <w:pPr>
        <w:spacing w:line="360" w:lineRule="auto"/>
        <w:ind w:firstLine="480"/>
        <w:rPr>
          <w:rFonts w:ascii="Times New Roman" w:hAnsi="Times New Roman" w:eastAsia="宋体" w:cs="Times New Roman"/>
          <w:szCs w:val="21"/>
        </w:rPr>
      </w:pPr>
    </w:p>
    <w:p w14:paraId="3FE9EF44">
      <w:pPr>
        <w:spacing w:line="360" w:lineRule="auto"/>
        <w:ind w:firstLine="525" w:firstLineChars="250"/>
        <w:rPr>
          <w:rFonts w:ascii="Times New Roman" w:hAnsi="Times New Roman" w:eastAsia="宋体" w:cs="Times New Roman"/>
          <w:szCs w:val="21"/>
        </w:rPr>
      </w:pPr>
      <w:r>
        <w:rPr>
          <w:rFonts w:ascii="Times New Roman" w:hAnsi="Times New Roman" w:eastAsia="宋体" w:cs="Times New Roman"/>
          <w:szCs w:val="21"/>
        </w:rPr>
        <w:t>监狱企业参加政府采购活动时，应当提供由省级以上监狱管理本企业郑重声明，根据《关于政府采购支持监狱企业发展有关问题的通知》（财库[2014]68号）的规定，本企业为监狱企业。</w:t>
      </w:r>
    </w:p>
    <w:p w14:paraId="6AEC8817">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根据上述标准，我企业属于监狱企业的理由为：。</w:t>
      </w:r>
    </w:p>
    <w:p w14:paraId="1F755BA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本企业为参加（项目名称：）（项目编号：）采购活动提供本企业的产品。</w:t>
      </w:r>
    </w:p>
    <w:p w14:paraId="7EA52A59">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本企业对上述声明的真实性负责。如有虚假，将依法承担相应责任。</w:t>
      </w:r>
    </w:p>
    <w:p w14:paraId="34ECF5D3">
      <w:pPr>
        <w:spacing w:line="360" w:lineRule="auto"/>
        <w:ind w:firstLine="480"/>
        <w:rPr>
          <w:rFonts w:ascii="Times New Roman" w:hAnsi="Times New Roman" w:eastAsia="宋体" w:cs="Times New Roman"/>
          <w:szCs w:val="21"/>
        </w:rPr>
      </w:pPr>
    </w:p>
    <w:p w14:paraId="48C9BE83">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投标人名称（盖章）：</w:t>
      </w:r>
    </w:p>
    <w:p w14:paraId="1F45EF7A">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日期：年月日</w:t>
      </w:r>
    </w:p>
    <w:p w14:paraId="5CF9E079">
      <w:pPr>
        <w:spacing w:line="360" w:lineRule="auto"/>
        <w:ind w:firstLine="480"/>
        <w:rPr>
          <w:rFonts w:ascii="Times New Roman" w:hAnsi="Times New Roman" w:eastAsia="宋体" w:cs="Times New Roman"/>
          <w:szCs w:val="21"/>
        </w:rPr>
      </w:pPr>
    </w:p>
    <w:p w14:paraId="74D7D8CA">
      <w:pPr>
        <w:spacing w:line="360" w:lineRule="auto"/>
        <w:ind w:firstLine="480"/>
        <w:rPr>
          <w:rFonts w:ascii="Times New Roman" w:hAnsi="Times New Roman" w:eastAsia="宋体" w:cs="Times New Roman"/>
          <w:szCs w:val="21"/>
        </w:rPr>
      </w:pPr>
    </w:p>
    <w:p w14:paraId="4DFF05BB">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投标人为监狱企业的提供此函。</w:t>
      </w:r>
    </w:p>
    <w:p w14:paraId="766CAC14">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局、戒毒管理局（含新疆生产建设兵团）出具的属于监狱企业的证明文件。</w:t>
      </w:r>
    </w:p>
    <w:p w14:paraId="02757D67">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4004519">
      <w:pPr>
        <w:spacing w:line="360" w:lineRule="auto"/>
        <w:ind w:firstLine="480"/>
        <w:rPr>
          <w:rFonts w:ascii="Times New Roman" w:hAnsi="Times New Roman" w:eastAsia="宋体" w:cs="Times New Roman"/>
          <w:szCs w:val="21"/>
        </w:rPr>
      </w:pPr>
    </w:p>
    <w:p w14:paraId="5CA2566C">
      <w:pPr>
        <w:spacing w:line="360" w:lineRule="auto"/>
        <w:ind w:firstLine="480"/>
        <w:rPr>
          <w:rFonts w:ascii="Times New Roman" w:hAnsi="Times New Roman" w:eastAsia="宋体" w:cs="Times New Roman"/>
          <w:szCs w:val="21"/>
        </w:rPr>
      </w:pPr>
    </w:p>
    <w:p w14:paraId="3A945F94">
      <w:pPr>
        <w:spacing w:line="360" w:lineRule="auto"/>
        <w:ind w:firstLine="480"/>
        <w:rPr>
          <w:rFonts w:ascii="Times New Roman" w:hAnsi="Times New Roman" w:eastAsia="宋体" w:cs="Times New Roman"/>
          <w:szCs w:val="21"/>
        </w:rPr>
      </w:pPr>
    </w:p>
    <w:p w14:paraId="365D2D8E">
      <w:pPr>
        <w:spacing w:line="360" w:lineRule="auto"/>
        <w:ind w:firstLine="480"/>
        <w:rPr>
          <w:rFonts w:ascii="Times New Roman" w:hAnsi="Times New Roman" w:eastAsia="宋体" w:cs="Times New Roman"/>
          <w:szCs w:val="21"/>
        </w:rPr>
      </w:pPr>
    </w:p>
    <w:p w14:paraId="5EFA63D9">
      <w:pPr>
        <w:spacing w:line="360" w:lineRule="auto"/>
        <w:ind w:firstLine="480"/>
        <w:rPr>
          <w:rFonts w:ascii="Times New Roman" w:hAnsi="Times New Roman" w:eastAsia="宋体" w:cs="Times New Roman"/>
          <w:szCs w:val="21"/>
        </w:rPr>
      </w:pPr>
    </w:p>
    <w:p w14:paraId="6078EBB7">
      <w:pPr>
        <w:spacing w:line="360" w:lineRule="auto"/>
        <w:ind w:firstLine="480"/>
        <w:rPr>
          <w:rFonts w:ascii="Times New Roman" w:hAnsi="Times New Roman" w:eastAsia="宋体" w:cs="Times New Roman"/>
          <w:szCs w:val="21"/>
        </w:rPr>
      </w:pPr>
    </w:p>
    <w:p w14:paraId="66472EFE">
      <w:pPr>
        <w:spacing w:line="360" w:lineRule="auto"/>
        <w:ind w:firstLine="480"/>
        <w:rPr>
          <w:rFonts w:ascii="Times New Roman" w:hAnsi="Times New Roman" w:eastAsia="宋体" w:cs="Times New Roman"/>
          <w:szCs w:val="21"/>
        </w:rPr>
      </w:pPr>
    </w:p>
    <w:p w14:paraId="3B5F5174">
      <w:pPr>
        <w:spacing w:line="360" w:lineRule="auto"/>
        <w:ind w:firstLine="480"/>
        <w:rPr>
          <w:rFonts w:ascii="Times New Roman" w:hAnsi="Times New Roman" w:eastAsia="宋体" w:cs="Times New Roman"/>
          <w:szCs w:val="21"/>
        </w:rPr>
      </w:pPr>
    </w:p>
    <w:p w14:paraId="4DE0527B">
      <w:pPr>
        <w:spacing w:line="360" w:lineRule="auto"/>
        <w:rPr>
          <w:rFonts w:ascii="Times New Roman" w:hAnsi="Times New Roman" w:eastAsia="宋体" w:cs="Times New Roman"/>
          <w:b/>
          <w:sz w:val="24"/>
          <w:szCs w:val="24"/>
        </w:rPr>
      </w:pPr>
    </w:p>
    <w:p w14:paraId="61F412EE">
      <w:pPr>
        <w:spacing w:line="360" w:lineRule="auto"/>
        <w:jc w:val="center"/>
        <w:rPr>
          <w:rFonts w:ascii="Times New Roman" w:hAnsi="Times New Roman" w:eastAsia="宋体" w:cs="Times New Roman"/>
          <w:b/>
          <w:sz w:val="24"/>
          <w:szCs w:val="24"/>
        </w:rPr>
      </w:pPr>
      <w:r>
        <w:rPr>
          <w:rFonts w:ascii="Times New Roman" w:hAnsi="Times New Roman" w:eastAsia="宋体" w:cs="Times New Roman"/>
          <w:b/>
          <w:sz w:val="24"/>
          <w:szCs w:val="24"/>
        </w:rPr>
        <w:t>残疾人福利性单位声明函</w:t>
      </w:r>
    </w:p>
    <w:p w14:paraId="1F186438">
      <w:pPr>
        <w:spacing w:line="360" w:lineRule="auto"/>
        <w:ind w:firstLine="2835" w:firstLineChars="1350"/>
        <w:rPr>
          <w:rFonts w:ascii="Times New Roman" w:hAnsi="Times New Roman" w:eastAsia="宋体" w:cs="Times New Roman"/>
          <w:szCs w:val="21"/>
        </w:rPr>
      </w:pPr>
      <w:r>
        <w:rPr>
          <w:rFonts w:ascii="Times New Roman" w:hAnsi="Times New Roman" w:eastAsia="宋体" w:cs="Times New Roman"/>
          <w:szCs w:val="21"/>
        </w:rPr>
        <w:t>【非残疾人福利性单位不用提供】</w:t>
      </w:r>
    </w:p>
    <w:p w14:paraId="0287A4EE">
      <w:pPr>
        <w:spacing w:line="360" w:lineRule="auto"/>
        <w:rPr>
          <w:rFonts w:ascii="Times New Roman" w:hAnsi="Times New Roman" w:eastAsia="宋体" w:cs="Times New Roman"/>
          <w:szCs w:val="21"/>
        </w:rPr>
      </w:pPr>
    </w:p>
    <w:p w14:paraId="6ED1B823">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2EA01941">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本单位对上述声明的真实性负责。如有虚假，将依法承担相应责任。</w:t>
      </w:r>
    </w:p>
    <w:p w14:paraId="1C84DBA5">
      <w:pPr>
        <w:spacing w:line="360" w:lineRule="auto"/>
        <w:rPr>
          <w:rFonts w:ascii="Times New Roman" w:hAnsi="Times New Roman" w:eastAsia="宋体" w:cs="Times New Roman"/>
          <w:szCs w:val="21"/>
        </w:rPr>
      </w:pPr>
    </w:p>
    <w:p w14:paraId="78175EB5">
      <w:pPr>
        <w:spacing w:line="360" w:lineRule="auto"/>
        <w:rPr>
          <w:rFonts w:ascii="Times New Roman" w:hAnsi="Times New Roman" w:eastAsia="宋体" w:cs="Times New Roman"/>
          <w:szCs w:val="21"/>
        </w:rPr>
      </w:pPr>
    </w:p>
    <w:p w14:paraId="41A1C33F">
      <w:pPr>
        <w:spacing w:line="360" w:lineRule="auto"/>
        <w:rPr>
          <w:rFonts w:ascii="Times New Roman" w:hAnsi="Times New Roman" w:eastAsia="宋体" w:cs="Times New Roman"/>
          <w:szCs w:val="21"/>
        </w:rPr>
      </w:pPr>
      <w:r>
        <w:rPr>
          <w:rFonts w:ascii="Times New Roman" w:hAnsi="Times New Roman" w:eastAsia="宋体" w:cs="Times New Roman"/>
          <w:szCs w:val="21"/>
        </w:rPr>
        <w:t>投标人名称（盖章）：</w:t>
      </w:r>
    </w:p>
    <w:p w14:paraId="2C5D3682">
      <w:pPr>
        <w:spacing w:line="360" w:lineRule="auto"/>
        <w:rPr>
          <w:rFonts w:ascii="Times New Roman" w:hAnsi="Times New Roman" w:eastAsia="宋体" w:cs="Times New Roman"/>
          <w:szCs w:val="21"/>
        </w:rPr>
      </w:pPr>
      <w:r>
        <w:rPr>
          <w:rFonts w:ascii="Times New Roman" w:hAnsi="Times New Roman" w:eastAsia="宋体" w:cs="Times New Roman"/>
          <w:szCs w:val="21"/>
        </w:rPr>
        <w:t>日期：年月日</w:t>
      </w:r>
    </w:p>
    <w:p w14:paraId="55070D81">
      <w:pPr>
        <w:spacing w:line="360" w:lineRule="auto"/>
        <w:ind w:firstLine="480"/>
        <w:rPr>
          <w:rFonts w:ascii="Times New Roman" w:hAnsi="Times New Roman" w:eastAsia="宋体" w:cs="Times New Roman"/>
          <w:szCs w:val="21"/>
        </w:rPr>
      </w:pPr>
      <w:r>
        <w:rPr>
          <w:rFonts w:ascii="Times New Roman" w:hAnsi="Times New Roman" w:eastAsia="宋体" w:cs="Times New Roman"/>
          <w:szCs w:val="21"/>
        </w:rPr>
        <w:t>说明：投标人为残疾人福利性单位的提供此函。</w:t>
      </w:r>
    </w:p>
    <w:p w14:paraId="2E391062">
      <w:pPr>
        <w:snapToGrid w:val="0"/>
        <w:spacing w:line="360" w:lineRule="auto"/>
        <w:ind w:right="-341"/>
        <w:rPr>
          <w:rFonts w:ascii="Times New Roman" w:hAnsi="Times New Roman" w:eastAsia="宋体" w:cs="Times New Roman"/>
        </w:rPr>
      </w:pPr>
    </w:p>
    <w:p w14:paraId="35FF3DFE">
      <w:pPr>
        <w:snapToGrid w:val="0"/>
        <w:spacing w:line="360" w:lineRule="auto"/>
        <w:ind w:right="-341"/>
        <w:rPr>
          <w:rFonts w:ascii="Times New Roman" w:hAnsi="Times New Roman" w:eastAsia="宋体" w:cs="Times New Roman"/>
        </w:rPr>
      </w:pPr>
    </w:p>
    <w:p w14:paraId="7A0346EF">
      <w:pPr>
        <w:snapToGrid w:val="0"/>
        <w:spacing w:line="360" w:lineRule="auto"/>
        <w:ind w:right="-341"/>
        <w:rPr>
          <w:rFonts w:ascii="Times New Roman" w:hAnsi="Times New Roman" w:eastAsia="宋体" w:cs="Times New Roman"/>
        </w:rPr>
      </w:pPr>
    </w:p>
    <w:p w14:paraId="0A1AD815">
      <w:pPr>
        <w:snapToGrid w:val="0"/>
        <w:spacing w:line="360" w:lineRule="auto"/>
        <w:ind w:right="-341"/>
        <w:rPr>
          <w:rFonts w:ascii="Times New Roman" w:hAnsi="Times New Roman" w:eastAsia="宋体" w:cs="Times New Roman"/>
        </w:rPr>
      </w:pPr>
    </w:p>
    <w:p w14:paraId="77B3653A">
      <w:pPr>
        <w:snapToGrid w:val="0"/>
        <w:spacing w:line="312" w:lineRule="auto"/>
        <w:ind w:right="-341"/>
        <w:rPr>
          <w:rFonts w:ascii="Times New Roman" w:hAnsi="Times New Roman" w:eastAsia="宋体" w:cs="Times New Roman"/>
          <w:b/>
        </w:rPr>
      </w:pPr>
    </w:p>
    <w:p w14:paraId="0F17FCB7">
      <w:pPr>
        <w:snapToGrid w:val="0"/>
        <w:spacing w:line="312" w:lineRule="auto"/>
        <w:ind w:right="-341"/>
        <w:rPr>
          <w:rFonts w:ascii="Times New Roman" w:hAnsi="Times New Roman" w:eastAsia="宋体" w:cs="Times New Roman"/>
          <w:b/>
        </w:rPr>
      </w:pPr>
    </w:p>
    <w:p w14:paraId="5801790A">
      <w:pPr>
        <w:snapToGrid w:val="0"/>
        <w:spacing w:line="312" w:lineRule="auto"/>
        <w:ind w:right="-341"/>
        <w:rPr>
          <w:rFonts w:ascii="Times New Roman" w:hAnsi="Times New Roman" w:eastAsia="宋体" w:cs="Times New Roman"/>
          <w:b/>
        </w:rPr>
      </w:pPr>
    </w:p>
    <w:p w14:paraId="682C0A55">
      <w:pPr>
        <w:snapToGrid w:val="0"/>
        <w:spacing w:line="312" w:lineRule="auto"/>
        <w:ind w:right="-341"/>
        <w:rPr>
          <w:rFonts w:ascii="Times New Roman" w:hAnsi="Times New Roman" w:eastAsia="宋体" w:cs="Times New Roman"/>
          <w:b/>
        </w:rPr>
      </w:pPr>
    </w:p>
    <w:p w14:paraId="650169F0">
      <w:pPr>
        <w:snapToGrid w:val="0"/>
        <w:spacing w:line="312" w:lineRule="auto"/>
        <w:ind w:right="-341"/>
        <w:rPr>
          <w:rFonts w:ascii="Times New Roman" w:hAnsi="Times New Roman" w:eastAsia="宋体" w:cs="Times New Roman"/>
          <w:b/>
        </w:rPr>
      </w:pPr>
    </w:p>
    <w:p w14:paraId="08A46E4C">
      <w:pPr>
        <w:snapToGrid w:val="0"/>
        <w:spacing w:line="312" w:lineRule="auto"/>
        <w:ind w:right="-341"/>
        <w:rPr>
          <w:rFonts w:ascii="Times New Roman" w:hAnsi="Times New Roman" w:eastAsia="宋体" w:cs="Times New Roman"/>
          <w:b/>
        </w:rPr>
      </w:pPr>
    </w:p>
    <w:p w14:paraId="206F27FE">
      <w:pPr>
        <w:snapToGrid w:val="0"/>
        <w:spacing w:line="312" w:lineRule="auto"/>
        <w:ind w:right="-341"/>
        <w:rPr>
          <w:rFonts w:ascii="Times New Roman" w:hAnsi="Times New Roman" w:eastAsia="宋体" w:cs="Times New Roman"/>
          <w:b/>
        </w:rPr>
      </w:pPr>
    </w:p>
    <w:p w14:paraId="3A991515">
      <w:pPr>
        <w:snapToGrid w:val="0"/>
        <w:spacing w:before="50" w:line="312" w:lineRule="auto"/>
        <w:rPr>
          <w:rFonts w:ascii="Times New Roman" w:hAnsi="Times New Roman" w:eastAsia="宋体" w:cs="Times New Roman"/>
          <w:b/>
          <w:sz w:val="24"/>
        </w:rPr>
      </w:pPr>
    </w:p>
    <w:p w14:paraId="662499ED">
      <w:pPr>
        <w:snapToGrid w:val="0"/>
        <w:spacing w:before="50" w:line="312" w:lineRule="auto"/>
        <w:rPr>
          <w:rFonts w:ascii="Times New Roman" w:hAnsi="Times New Roman" w:eastAsia="宋体" w:cs="Times New Roman"/>
          <w:b/>
          <w:sz w:val="24"/>
        </w:rPr>
      </w:pPr>
    </w:p>
    <w:p w14:paraId="2C150EC1">
      <w:pPr>
        <w:snapToGrid w:val="0"/>
        <w:spacing w:before="50" w:line="312" w:lineRule="auto"/>
        <w:rPr>
          <w:rFonts w:ascii="Times New Roman" w:hAnsi="Times New Roman" w:eastAsia="宋体" w:cs="Times New Roman"/>
          <w:b/>
          <w:sz w:val="24"/>
        </w:rPr>
      </w:pPr>
    </w:p>
    <w:p w14:paraId="1EE42E59">
      <w:pPr>
        <w:snapToGrid w:val="0"/>
        <w:spacing w:before="50" w:line="312" w:lineRule="auto"/>
        <w:rPr>
          <w:rFonts w:ascii="Times New Roman" w:hAnsi="Times New Roman" w:eastAsia="宋体" w:cs="Times New Roman"/>
          <w:b/>
          <w:sz w:val="24"/>
        </w:rPr>
      </w:pPr>
    </w:p>
    <w:p w14:paraId="78DC12AC">
      <w:pPr>
        <w:snapToGrid w:val="0"/>
        <w:spacing w:before="50" w:line="312" w:lineRule="auto"/>
        <w:rPr>
          <w:rFonts w:ascii="Times New Roman" w:hAnsi="Times New Roman" w:eastAsia="宋体" w:cs="Times New Roman"/>
          <w:b/>
          <w:sz w:val="24"/>
        </w:rPr>
      </w:pPr>
    </w:p>
    <w:p w14:paraId="08A75CE2">
      <w:pPr>
        <w:snapToGrid w:val="0"/>
        <w:spacing w:before="50" w:line="312" w:lineRule="auto"/>
        <w:rPr>
          <w:rFonts w:ascii="Times New Roman" w:hAnsi="Times New Roman" w:eastAsia="宋体" w:cs="Times New Roman"/>
          <w:b/>
          <w:sz w:val="24"/>
        </w:rPr>
      </w:pPr>
    </w:p>
    <w:p w14:paraId="0176E638">
      <w:pPr>
        <w:snapToGrid w:val="0"/>
        <w:spacing w:before="50" w:line="312" w:lineRule="auto"/>
        <w:rPr>
          <w:rFonts w:ascii="Times New Roman" w:hAnsi="Times New Roman" w:eastAsia="宋体" w:cs="Times New Roman"/>
          <w:b/>
          <w:sz w:val="24"/>
        </w:rPr>
      </w:pPr>
    </w:p>
    <w:p w14:paraId="5C14138C">
      <w:pPr>
        <w:pStyle w:val="58"/>
        <w:ind w:firstLine="210"/>
      </w:pPr>
    </w:p>
    <w:p w14:paraId="0F721712">
      <w:pPr>
        <w:snapToGrid w:val="0"/>
        <w:spacing w:before="50" w:line="312" w:lineRule="auto"/>
        <w:rPr>
          <w:rFonts w:ascii="Times New Roman" w:hAnsi="Times New Roman" w:eastAsia="宋体" w:cs="Times New Roman"/>
          <w:b/>
          <w:sz w:val="24"/>
        </w:rPr>
      </w:pPr>
    </w:p>
    <w:p w14:paraId="3659E925">
      <w:pPr>
        <w:snapToGrid w:val="0"/>
        <w:spacing w:before="50" w:line="312" w:lineRule="auto"/>
        <w:rPr>
          <w:rFonts w:ascii="Times New Roman" w:hAnsi="Times New Roman" w:eastAsia="宋体" w:cs="Times New Roman"/>
          <w:b/>
          <w:sz w:val="24"/>
        </w:rPr>
      </w:pPr>
      <w:r>
        <w:rPr>
          <w:rFonts w:hint="eastAsia" w:ascii="Times New Roman" w:hAnsi="Times New Roman" w:eastAsia="宋体" w:cs="Times New Roman"/>
          <w:b/>
          <w:sz w:val="24"/>
        </w:rPr>
        <w:t xml:space="preserve">七、             </w:t>
      </w:r>
    </w:p>
    <w:p w14:paraId="0C56F6BC">
      <w:pPr>
        <w:snapToGrid w:val="0"/>
        <w:spacing w:before="50" w:line="312" w:lineRule="auto"/>
        <w:jc w:val="center"/>
        <w:rPr>
          <w:rFonts w:ascii="Times New Roman" w:hAnsi="Times New Roman" w:eastAsia="宋体" w:cs="Times New Roman"/>
          <w:b/>
          <w:sz w:val="24"/>
        </w:rPr>
      </w:pPr>
      <w:r>
        <w:rPr>
          <w:rFonts w:hint="eastAsia" w:ascii="宋体" w:hAnsi="宋体" w:eastAsia="宋体" w:cs="Times New Roman"/>
          <w:b/>
          <w:sz w:val="24"/>
          <w:szCs w:val="24"/>
        </w:rPr>
        <w:t>关于投标单位资质情况的说明（适用各标项）</w:t>
      </w:r>
    </w:p>
    <w:p w14:paraId="67DD2884">
      <w:pPr>
        <w:spacing w:line="360" w:lineRule="auto"/>
        <w:rPr>
          <w:rFonts w:ascii="宋体" w:hAnsi="宋体" w:eastAsia="宋体" w:cs="Times New Roman"/>
          <w:b/>
          <w:szCs w:val="21"/>
        </w:rPr>
      </w:pPr>
    </w:p>
    <w:p w14:paraId="5B372F73">
      <w:pPr>
        <w:spacing w:line="288" w:lineRule="auto"/>
        <w:rPr>
          <w:rFonts w:ascii="宋体" w:hAnsi="宋体" w:eastAsia="宋体" w:cs="Times New Roman"/>
          <w:b/>
          <w:szCs w:val="21"/>
        </w:rPr>
      </w:pPr>
      <w:r>
        <w:rPr>
          <w:rFonts w:hint="eastAsia" w:ascii="宋体" w:hAnsi="宋体" w:eastAsia="宋体" w:cs="Times New Roman"/>
          <w:b/>
          <w:szCs w:val="21"/>
        </w:rPr>
        <w:t>一、投标方的基本情况</w:t>
      </w:r>
    </w:p>
    <w:p w14:paraId="2442F914">
      <w:pPr>
        <w:spacing w:line="288" w:lineRule="auto"/>
        <w:rPr>
          <w:rFonts w:ascii="宋体" w:hAnsi="宋体" w:eastAsia="宋体" w:cs="Times New Roman"/>
          <w:szCs w:val="21"/>
        </w:rPr>
      </w:pPr>
      <w:r>
        <w:rPr>
          <w:rFonts w:hint="eastAsia" w:ascii="宋体" w:hAnsi="宋体" w:eastAsia="宋体" w:cs="Times New Roman"/>
          <w:szCs w:val="21"/>
        </w:rPr>
        <w:t xml:space="preserve">投标方名称：      </w:t>
      </w:r>
    </w:p>
    <w:p w14:paraId="33331EB7">
      <w:pPr>
        <w:spacing w:line="288" w:lineRule="auto"/>
        <w:rPr>
          <w:rFonts w:ascii="宋体" w:hAnsi="宋体" w:eastAsia="宋体" w:cs="Times New Roman"/>
          <w:szCs w:val="21"/>
        </w:rPr>
      </w:pPr>
      <w:r>
        <w:rPr>
          <w:rFonts w:hint="eastAsia" w:ascii="宋体" w:hAnsi="宋体" w:eastAsia="宋体" w:cs="Times New Roman"/>
          <w:szCs w:val="21"/>
        </w:rPr>
        <w:t>资质等级：           （国家级、省级、地市级、县级）</w:t>
      </w:r>
    </w:p>
    <w:p w14:paraId="6854B241">
      <w:pPr>
        <w:spacing w:line="288" w:lineRule="auto"/>
        <w:rPr>
          <w:rFonts w:ascii="宋体" w:hAnsi="宋体" w:eastAsia="宋体" w:cs="Times New Roman"/>
          <w:szCs w:val="21"/>
        </w:rPr>
      </w:pPr>
      <w:r>
        <w:rPr>
          <w:rFonts w:hint="eastAsia" w:ascii="宋体" w:hAnsi="宋体" w:eastAsia="宋体" w:cs="Times New Roman"/>
          <w:szCs w:val="21"/>
        </w:rPr>
        <w:t>公司总部地址：</w:t>
      </w:r>
    </w:p>
    <w:p w14:paraId="688A64E2">
      <w:pPr>
        <w:spacing w:line="288" w:lineRule="auto"/>
        <w:rPr>
          <w:rFonts w:ascii="宋体" w:hAnsi="宋体" w:eastAsia="宋体" w:cs="Times New Roman"/>
          <w:szCs w:val="21"/>
        </w:rPr>
      </w:pPr>
      <w:r>
        <w:rPr>
          <w:rFonts w:hint="eastAsia" w:ascii="宋体" w:hAnsi="宋体" w:eastAsia="宋体" w:cs="Times New Roman"/>
          <w:szCs w:val="21"/>
        </w:rPr>
        <w:t>传真/电话：                       邮编：</w:t>
      </w:r>
    </w:p>
    <w:p w14:paraId="5358D9C1">
      <w:pPr>
        <w:spacing w:line="288" w:lineRule="auto"/>
        <w:rPr>
          <w:rFonts w:ascii="宋体" w:hAnsi="宋体" w:eastAsia="宋体" w:cs="Times New Roman"/>
          <w:szCs w:val="21"/>
        </w:rPr>
      </w:pPr>
      <w:r>
        <w:rPr>
          <w:rFonts w:hint="eastAsia" w:ascii="宋体" w:hAnsi="宋体" w:eastAsia="宋体" w:cs="Times New Roman"/>
          <w:szCs w:val="21"/>
        </w:rPr>
        <w:t>成立日期或注册日期：</w:t>
      </w:r>
    </w:p>
    <w:p w14:paraId="40C8FEEB">
      <w:pPr>
        <w:spacing w:line="288" w:lineRule="auto"/>
        <w:rPr>
          <w:rFonts w:ascii="宋体" w:hAnsi="宋体" w:eastAsia="宋体" w:cs="Times New Roman"/>
          <w:szCs w:val="21"/>
        </w:rPr>
      </w:pPr>
      <w:r>
        <w:rPr>
          <w:rFonts w:hint="eastAsia" w:ascii="宋体" w:hAnsi="宋体" w:eastAsia="宋体" w:cs="Times New Roman"/>
          <w:szCs w:val="21"/>
        </w:rPr>
        <w:t>实收资本：</w:t>
      </w:r>
    </w:p>
    <w:p w14:paraId="645235F5">
      <w:pPr>
        <w:spacing w:line="288" w:lineRule="auto"/>
        <w:rPr>
          <w:rFonts w:ascii="宋体" w:hAnsi="宋体" w:eastAsia="宋体" w:cs="Times New Roman"/>
          <w:szCs w:val="21"/>
        </w:rPr>
      </w:pPr>
      <w:r>
        <w:rPr>
          <w:rFonts w:hint="eastAsia" w:ascii="宋体" w:hAnsi="宋体" w:eastAsia="宋体" w:cs="Times New Roman"/>
          <w:szCs w:val="21"/>
        </w:rPr>
        <w:t>最近资产平衡表：（至上年12月底）</w:t>
      </w:r>
    </w:p>
    <w:p w14:paraId="345245E5">
      <w:pPr>
        <w:spacing w:line="288" w:lineRule="auto"/>
        <w:rPr>
          <w:rFonts w:ascii="宋体" w:hAnsi="宋体" w:eastAsia="宋体" w:cs="Times New Roman"/>
          <w:szCs w:val="21"/>
        </w:rPr>
      </w:pPr>
      <w:r>
        <w:rPr>
          <w:rFonts w:hint="eastAsia" w:ascii="宋体" w:hAnsi="宋体" w:eastAsia="宋体" w:cs="Times New Roman"/>
          <w:szCs w:val="21"/>
        </w:rPr>
        <w:t>种苗生产基地地址：</w:t>
      </w:r>
    </w:p>
    <w:p w14:paraId="78C1BBC1">
      <w:pPr>
        <w:spacing w:line="288" w:lineRule="auto"/>
        <w:rPr>
          <w:rFonts w:ascii="宋体" w:hAnsi="宋体" w:eastAsia="宋体" w:cs="Times New Roman"/>
          <w:szCs w:val="21"/>
        </w:rPr>
      </w:pPr>
      <w:r>
        <w:rPr>
          <w:rFonts w:hint="eastAsia" w:ascii="宋体" w:hAnsi="宋体" w:eastAsia="宋体" w:cs="Times New Roman"/>
          <w:szCs w:val="21"/>
        </w:rPr>
        <w:t>技术人员情况：</w:t>
      </w:r>
    </w:p>
    <w:p w14:paraId="45F3E328">
      <w:pPr>
        <w:spacing w:line="288" w:lineRule="auto"/>
        <w:rPr>
          <w:rFonts w:ascii="宋体" w:hAnsi="宋体" w:eastAsia="宋体" w:cs="Times New Roman"/>
          <w:szCs w:val="21"/>
        </w:rPr>
      </w:pPr>
      <w:r>
        <w:rPr>
          <w:rFonts w:hint="eastAsia" w:ascii="宋体" w:hAnsi="宋体" w:eastAsia="宋体" w:cs="Times New Roman"/>
          <w:szCs w:val="21"/>
        </w:rPr>
        <w:t>技术人员       人，其中：</w:t>
      </w:r>
    </w:p>
    <w:p w14:paraId="6ED40DA9">
      <w:pPr>
        <w:spacing w:line="288" w:lineRule="auto"/>
        <w:rPr>
          <w:rFonts w:ascii="宋体" w:hAnsi="宋体" w:eastAsia="宋体" w:cs="Times New Roman"/>
          <w:szCs w:val="21"/>
        </w:rPr>
      </w:pPr>
      <w:r>
        <w:rPr>
          <w:rFonts w:hint="eastAsia" w:ascii="宋体" w:hAnsi="宋体" w:eastAsia="宋体" w:cs="Times New Roman"/>
          <w:szCs w:val="21"/>
        </w:rPr>
        <w:t>正高级        人；副高级        人；</w:t>
      </w:r>
    </w:p>
    <w:p w14:paraId="1B5D7BAE">
      <w:pPr>
        <w:spacing w:line="288" w:lineRule="auto"/>
        <w:rPr>
          <w:rFonts w:ascii="宋体" w:hAnsi="宋体" w:eastAsia="宋体" w:cs="Times New Roman"/>
          <w:szCs w:val="21"/>
        </w:rPr>
      </w:pPr>
      <w:r>
        <w:rPr>
          <w:rFonts w:hint="eastAsia" w:ascii="宋体" w:hAnsi="宋体" w:eastAsia="宋体" w:cs="Times New Roman"/>
          <w:szCs w:val="21"/>
        </w:rPr>
        <w:t>中级        人；有证书的技术工        人。</w:t>
      </w:r>
    </w:p>
    <w:p w14:paraId="1BA97B46">
      <w:pPr>
        <w:spacing w:line="288" w:lineRule="auto"/>
        <w:rPr>
          <w:rFonts w:ascii="宋体" w:hAnsi="宋体" w:eastAsia="宋体" w:cs="Times New Roman"/>
          <w:szCs w:val="21"/>
        </w:rPr>
      </w:pPr>
      <w:r>
        <w:rPr>
          <w:rFonts w:hint="eastAsia" w:ascii="宋体" w:hAnsi="宋体" w:eastAsia="宋体" w:cs="Times New Roman"/>
          <w:szCs w:val="21"/>
        </w:rPr>
        <w:t>职工（雇员）总人数：        人。</w:t>
      </w:r>
    </w:p>
    <w:p w14:paraId="29724F2C">
      <w:pPr>
        <w:rPr>
          <w:rFonts w:ascii="宋体" w:hAnsi="宋体" w:eastAsia="宋体" w:cs="Times New Roman"/>
          <w:szCs w:val="21"/>
        </w:rPr>
      </w:pPr>
    </w:p>
    <w:p w14:paraId="58318878">
      <w:pPr>
        <w:spacing w:line="360" w:lineRule="auto"/>
        <w:rPr>
          <w:rFonts w:ascii="宋体" w:hAnsi="宋体" w:eastAsia="宋体" w:cs="Times New Roman"/>
          <w:b/>
          <w:szCs w:val="21"/>
        </w:rPr>
      </w:pPr>
      <w:r>
        <w:rPr>
          <w:rFonts w:hint="eastAsia" w:ascii="宋体" w:hAnsi="宋体" w:eastAsia="宋体" w:cs="Times New Roman"/>
          <w:b/>
          <w:szCs w:val="21"/>
        </w:rPr>
        <w:t>二、投标单位种苗生产能力基本情况</w:t>
      </w:r>
    </w:p>
    <w:p w14:paraId="09395B97">
      <w:pPr>
        <w:spacing w:line="360" w:lineRule="auto"/>
        <w:rPr>
          <w:rFonts w:ascii="宋体" w:hAnsi="宋体" w:eastAsia="宋体" w:cs="Times New Roman"/>
          <w:szCs w:val="21"/>
        </w:rPr>
      </w:pPr>
      <w:r>
        <w:rPr>
          <w:rFonts w:hint="eastAsia" w:ascii="宋体" w:hAnsi="宋体" w:eastAsia="宋体" w:cs="Times New Roman"/>
          <w:szCs w:val="21"/>
        </w:rPr>
        <w:t>1.生产种苗规模：</w:t>
      </w:r>
    </w:p>
    <w:p w14:paraId="2D5B17D1">
      <w:pPr>
        <w:spacing w:line="360" w:lineRule="auto"/>
        <w:rPr>
          <w:rFonts w:ascii="宋体" w:hAnsi="宋体" w:eastAsia="宋体" w:cs="Times New Roman"/>
          <w:szCs w:val="21"/>
        </w:rPr>
      </w:pPr>
      <w:r>
        <w:rPr>
          <w:rFonts w:hint="eastAsia" w:ascii="宋体" w:hAnsi="宋体" w:eastAsia="宋体" w:cs="Times New Roman"/>
          <w:szCs w:val="21"/>
        </w:rPr>
        <w:t>2.主要种苗生产能力：（可另附页）</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4"/>
        <w:gridCol w:w="3007"/>
        <w:gridCol w:w="3558"/>
      </w:tblGrid>
      <w:tr w14:paraId="09025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964" w:type="dxa"/>
          </w:tcPr>
          <w:p w14:paraId="03B292DF">
            <w:pPr>
              <w:spacing w:line="360" w:lineRule="auto"/>
              <w:rPr>
                <w:rFonts w:ascii="宋体" w:hAnsi="宋体" w:eastAsia="宋体" w:cs="Times New Roman"/>
                <w:szCs w:val="21"/>
              </w:rPr>
            </w:pPr>
            <w:r>
              <w:rPr>
                <w:rFonts w:hint="eastAsia" w:ascii="宋体" w:hAnsi="宋体" w:eastAsia="宋体" w:cs="Times New Roman"/>
                <w:szCs w:val="21"/>
              </w:rPr>
              <w:t>种苗名称</w:t>
            </w:r>
          </w:p>
        </w:tc>
        <w:tc>
          <w:tcPr>
            <w:tcW w:w="3007" w:type="dxa"/>
          </w:tcPr>
          <w:p w14:paraId="2E690086">
            <w:pPr>
              <w:spacing w:line="360" w:lineRule="auto"/>
              <w:rPr>
                <w:rFonts w:ascii="宋体" w:hAnsi="宋体" w:eastAsia="宋体" w:cs="Times New Roman"/>
                <w:szCs w:val="21"/>
              </w:rPr>
            </w:pPr>
            <w:r>
              <w:rPr>
                <w:rFonts w:hint="eastAsia" w:ascii="宋体" w:hAnsi="宋体" w:eastAsia="宋体" w:cs="Times New Roman"/>
                <w:szCs w:val="21"/>
              </w:rPr>
              <w:t>年生产能力（万尾）</w:t>
            </w:r>
          </w:p>
        </w:tc>
        <w:tc>
          <w:tcPr>
            <w:tcW w:w="3558" w:type="dxa"/>
          </w:tcPr>
          <w:p w14:paraId="1CAB9B49">
            <w:pPr>
              <w:spacing w:line="360" w:lineRule="auto"/>
              <w:rPr>
                <w:rFonts w:ascii="宋体" w:hAnsi="宋体" w:eastAsia="宋体" w:cs="Times New Roman"/>
                <w:szCs w:val="21"/>
              </w:rPr>
            </w:pPr>
            <w:r>
              <w:rPr>
                <w:rFonts w:hint="eastAsia" w:ascii="宋体" w:hAnsi="宋体" w:eastAsia="宋体" w:cs="Times New Roman"/>
                <w:szCs w:val="21"/>
              </w:rPr>
              <w:t>备  注</w:t>
            </w:r>
          </w:p>
        </w:tc>
      </w:tr>
      <w:tr w14:paraId="39D63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964" w:type="dxa"/>
          </w:tcPr>
          <w:p w14:paraId="56389F4D">
            <w:pPr>
              <w:spacing w:line="360" w:lineRule="auto"/>
              <w:rPr>
                <w:rFonts w:ascii="宋体" w:hAnsi="宋体" w:eastAsia="宋体" w:cs="Times New Roman"/>
                <w:szCs w:val="21"/>
              </w:rPr>
            </w:pPr>
          </w:p>
        </w:tc>
        <w:tc>
          <w:tcPr>
            <w:tcW w:w="3007" w:type="dxa"/>
          </w:tcPr>
          <w:p w14:paraId="666ABFFC">
            <w:pPr>
              <w:spacing w:line="360" w:lineRule="auto"/>
              <w:rPr>
                <w:rFonts w:ascii="宋体" w:hAnsi="宋体" w:eastAsia="宋体" w:cs="Times New Roman"/>
                <w:szCs w:val="21"/>
              </w:rPr>
            </w:pPr>
          </w:p>
        </w:tc>
        <w:tc>
          <w:tcPr>
            <w:tcW w:w="3558" w:type="dxa"/>
          </w:tcPr>
          <w:p w14:paraId="3FAD5E62">
            <w:pPr>
              <w:spacing w:line="360" w:lineRule="auto"/>
              <w:rPr>
                <w:rFonts w:ascii="宋体" w:hAnsi="宋体" w:eastAsia="宋体" w:cs="Times New Roman"/>
                <w:szCs w:val="21"/>
              </w:rPr>
            </w:pPr>
          </w:p>
        </w:tc>
      </w:tr>
      <w:tr w14:paraId="2BC69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964" w:type="dxa"/>
          </w:tcPr>
          <w:p w14:paraId="49120680">
            <w:pPr>
              <w:spacing w:line="360" w:lineRule="auto"/>
              <w:rPr>
                <w:rFonts w:ascii="宋体" w:hAnsi="宋体" w:eastAsia="宋体" w:cs="Times New Roman"/>
                <w:szCs w:val="21"/>
              </w:rPr>
            </w:pPr>
          </w:p>
        </w:tc>
        <w:tc>
          <w:tcPr>
            <w:tcW w:w="3007" w:type="dxa"/>
          </w:tcPr>
          <w:p w14:paraId="54E0ADED">
            <w:pPr>
              <w:spacing w:line="360" w:lineRule="auto"/>
              <w:rPr>
                <w:rFonts w:ascii="宋体" w:hAnsi="宋体" w:eastAsia="宋体" w:cs="Times New Roman"/>
                <w:szCs w:val="21"/>
              </w:rPr>
            </w:pPr>
          </w:p>
        </w:tc>
        <w:tc>
          <w:tcPr>
            <w:tcW w:w="3558" w:type="dxa"/>
          </w:tcPr>
          <w:p w14:paraId="76884924">
            <w:pPr>
              <w:spacing w:line="360" w:lineRule="auto"/>
              <w:rPr>
                <w:rFonts w:ascii="宋体" w:hAnsi="宋体" w:eastAsia="宋体" w:cs="Times New Roman"/>
                <w:szCs w:val="21"/>
              </w:rPr>
            </w:pPr>
          </w:p>
        </w:tc>
      </w:tr>
      <w:tr w14:paraId="45970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64" w:type="dxa"/>
          </w:tcPr>
          <w:p w14:paraId="2A22CE2D">
            <w:pPr>
              <w:spacing w:line="360" w:lineRule="auto"/>
              <w:rPr>
                <w:rFonts w:ascii="宋体" w:hAnsi="宋体" w:eastAsia="宋体" w:cs="Times New Roman"/>
                <w:szCs w:val="21"/>
              </w:rPr>
            </w:pPr>
          </w:p>
        </w:tc>
        <w:tc>
          <w:tcPr>
            <w:tcW w:w="3007" w:type="dxa"/>
          </w:tcPr>
          <w:p w14:paraId="5889D6B5">
            <w:pPr>
              <w:spacing w:line="360" w:lineRule="auto"/>
              <w:rPr>
                <w:rFonts w:ascii="宋体" w:hAnsi="宋体" w:eastAsia="宋体" w:cs="Times New Roman"/>
                <w:szCs w:val="21"/>
              </w:rPr>
            </w:pPr>
          </w:p>
        </w:tc>
        <w:tc>
          <w:tcPr>
            <w:tcW w:w="3558" w:type="dxa"/>
          </w:tcPr>
          <w:p w14:paraId="3649A859">
            <w:pPr>
              <w:spacing w:line="360" w:lineRule="auto"/>
              <w:rPr>
                <w:rFonts w:ascii="宋体" w:hAnsi="宋体" w:eastAsia="宋体" w:cs="Times New Roman"/>
                <w:szCs w:val="21"/>
              </w:rPr>
            </w:pPr>
          </w:p>
        </w:tc>
      </w:tr>
    </w:tbl>
    <w:p w14:paraId="4F919475">
      <w:pPr>
        <w:spacing w:line="360" w:lineRule="auto"/>
        <w:rPr>
          <w:rFonts w:ascii="宋体" w:hAnsi="宋体" w:eastAsia="宋体" w:cs="Times New Roman"/>
          <w:szCs w:val="21"/>
        </w:rPr>
      </w:pPr>
      <w:r>
        <w:rPr>
          <w:rFonts w:hint="eastAsia" w:ascii="宋体" w:hAnsi="宋体" w:eastAsia="宋体" w:cs="Times New Roman"/>
          <w:szCs w:val="21"/>
        </w:rPr>
        <w:t>3.运输能力：（是否自备运输工具或定点合作运输单位）</w:t>
      </w:r>
    </w:p>
    <w:p w14:paraId="22E37536">
      <w:pPr>
        <w:spacing w:line="360" w:lineRule="auto"/>
        <w:rPr>
          <w:rFonts w:ascii="宋体" w:hAnsi="宋体" w:eastAsia="宋体" w:cs="Times New Roman"/>
          <w:szCs w:val="21"/>
        </w:rPr>
      </w:pPr>
      <w:r>
        <w:rPr>
          <w:rFonts w:hint="eastAsia" w:ascii="宋体" w:hAnsi="宋体" w:eastAsia="宋体" w:cs="Times New Roman"/>
          <w:szCs w:val="21"/>
        </w:rPr>
        <w:t>4.其他情况：</w:t>
      </w:r>
    </w:p>
    <w:p w14:paraId="5DBD3AFC">
      <w:pPr>
        <w:spacing w:line="360" w:lineRule="auto"/>
        <w:rPr>
          <w:rFonts w:ascii="宋体" w:hAnsi="宋体" w:eastAsia="宋体" w:cs="Times New Roman"/>
          <w:szCs w:val="21"/>
        </w:rPr>
      </w:pPr>
      <w:r>
        <w:rPr>
          <w:rFonts w:hint="eastAsia" w:ascii="宋体" w:hAnsi="宋体" w:eastAsia="宋体" w:cs="Times New Roman"/>
          <w:szCs w:val="21"/>
        </w:rPr>
        <w:t>兹声明提供的全部现有的资料和数据是真实、准确的，我方同意根据招标方的要求出示文件予以证实。</w:t>
      </w:r>
    </w:p>
    <w:p w14:paraId="5978A898">
      <w:pPr>
        <w:spacing w:line="360" w:lineRule="auto"/>
        <w:rPr>
          <w:rFonts w:ascii="宋体" w:hAnsi="宋体" w:eastAsia="宋体" w:cs="Times New Roman"/>
          <w:szCs w:val="21"/>
        </w:rPr>
      </w:pPr>
      <w:r>
        <w:rPr>
          <w:rFonts w:hint="eastAsia" w:ascii="宋体" w:hAnsi="宋体" w:eastAsia="宋体" w:cs="Times New Roman"/>
          <w:szCs w:val="21"/>
        </w:rPr>
        <w:t>投标人名称：                （加盖公章）</w:t>
      </w:r>
    </w:p>
    <w:p w14:paraId="564922EB">
      <w:pPr>
        <w:spacing w:line="360" w:lineRule="auto"/>
        <w:rPr>
          <w:rFonts w:ascii="宋体" w:hAnsi="宋体" w:eastAsia="宋体" w:cs="Times New Roman"/>
          <w:szCs w:val="21"/>
        </w:rPr>
      </w:pPr>
      <w:r>
        <w:rPr>
          <w:rFonts w:hint="eastAsia" w:ascii="宋体" w:hAnsi="宋体" w:eastAsia="宋体" w:cs="Times New Roman"/>
          <w:szCs w:val="21"/>
        </w:rPr>
        <w:t xml:space="preserve"> </w:t>
      </w:r>
    </w:p>
    <w:p w14:paraId="1D012B51">
      <w:pPr>
        <w:spacing w:line="360" w:lineRule="auto"/>
        <w:rPr>
          <w:rFonts w:ascii="宋体" w:hAnsi="宋体" w:eastAsia="宋体" w:cs="Times New Roman"/>
          <w:szCs w:val="21"/>
        </w:rPr>
      </w:pPr>
      <w:r>
        <w:rPr>
          <w:rFonts w:hint="eastAsia" w:ascii="宋体" w:hAnsi="宋体" w:eastAsia="宋体" w:cs="Times New Roman"/>
          <w:szCs w:val="21"/>
        </w:rPr>
        <w:t>日期：    年   月   日</w:t>
      </w:r>
    </w:p>
    <w:p w14:paraId="3ED156FB">
      <w:pPr>
        <w:spacing w:line="360" w:lineRule="auto"/>
        <w:rPr>
          <w:rFonts w:ascii="宋体" w:hAnsi="Times New Roman" w:eastAsia="宋体" w:cs="Times New Roman"/>
          <w:b/>
          <w:szCs w:val="21"/>
        </w:rPr>
      </w:pPr>
    </w:p>
    <w:p w14:paraId="199E0F58">
      <w:pPr>
        <w:spacing w:line="360" w:lineRule="auto"/>
        <w:rPr>
          <w:rFonts w:ascii="宋体" w:hAnsi="宋体" w:eastAsia="宋体" w:cs="Times New Roman"/>
          <w:b/>
          <w:sz w:val="24"/>
          <w:szCs w:val="24"/>
        </w:rPr>
      </w:pPr>
      <w:r>
        <w:rPr>
          <w:rFonts w:hint="eastAsia" w:ascii="宋体" w:hAnsi="宋体" w:eastAsia="宋体" w:cs="Times New Roman"/>
          <w:b/>
          <w:sz w:val="24"/>
          <w:szCs w:val="24"/>
        </w:rPr>
        <w:t>八、</w:t>
      </w:r>
    </w:p>
    <w:p w14:paraId="576CA1F6">
      <w:pPr>
        <w:spacing w:line="360" w:lineRule="auto"/>
        <w:ind w:firstLine="2597" w:firstLineChars="1078"/>
        <w:rPr>
          <w:rFonts w:ascii="宋体" w:hAnsi="Times New Roman" w:eastAsia="宋体" w:cs="Times New Roman"/>
          <w:b/>
          <w:sz w:val="24"/>
          <w:szCs w:val="24"/>
        </w:rPr>
      </w:pPr>
      <w:r>
        <w:rPr>
          <w:rFonts w:hint="eastAsia" w:ascii="宋体" w:hAnsi="宋体" w:eastAsia="宋体" w:cs="Times New Roman"/>
          <w:b/>
          <w:sz w:val="24"/>
          <w:szCs w:val="24"/>
        </w:rPr>
        <w:t>投标人技术力量等（适用各标项）</w:t>
      </w:r>
    </w:p>
    <w:p w14:paraId="220D5F75">
      <w:pPr>
        <w:spacing w:line="360" w:lineRule="auto"/>
        <w:ind w:firstLine="411" w:firstLineChars="196"/>
        <w:rPr>
          <w:rFonts w:ascii="宋体" w:hAnsi="宋体" w:eastAsia="宋体" w:cs="Times New Roman"/>
          <w:szCs w:val="21"/>
        </w:rPr>
      </w:pPr>
    </w:p>
    <w:p w14:paraId="2C0E8FEA">
      <w:pPr>
        <w:spacing w:line="360" w:lineRule="auto"/>
        <w:ind w:firstLine="411" w:firstLineChars="196"/>
        <w:rPr>
          <w:rFonts w:ascii="宋体" w:hAnsi="Times New Roman" w:eastAsia="宋体" w:cs="Times New Roman"/>
          <w:szCs w:val="21"/>
        </w:rPr>
      </w:pPr>
      <w:r>
        <w:rPr>
          <w:rFonts w:hint="eastAsia" w:ascii="宋体" w:hAnsi="宋体" w:eastAsia="宋体" w:cs="Times New Roman"/>
          <w:szCs w:val="21"/>
        </w:rPr>
        <w:t>投标人技术力量、实施种苗生产技术标准情况、管理水平、企业规模、是否为原种场、良种场或试验基地（提供相关证明文件）等（自行编写）；</w:t>
      </w:r>
    </w:p>
    <w:p w14:paraId="05DC6E5D">
      <w:pPr>
        <w:spacing w:line="360" w:lineRule="auto"/>
        <w:rPr>
          <w:rFonts w:ascii="宋体" w:hAnsi="Times New Roman" w:eastAsia="宋体" w:cs="Times New Roman"/>
          <w:szCs w:val="21"/>
        </w:rPr>
      </w:pPr>
    </w:p>
    <w:p w14:paraId="7F07D8F9">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投标人育苗能力、种质来源、育苗水体大小、本种类亲本数量及实际年生产本种类种苗数量、可实际承担放流任务数量等（自行编写）；</w:t>
      </w:r>
    </w:p>
    <w:p w14:paraId="75C07CE9">
      <w:pPr>
        <w:spacing w:line="360" w:lineRule="auto"/>
        <w:rPr>
          <w:rFonts w:ascii="宋体" w:hAnsi="Times New Roman" w:eastAsia="宋体" w:cs="Times New Roman"/>
          <w:szCs w:val="21"/>
        </w:rPr>
      </w:pPr>
    </w:p>
    <w:p w14:paraId="59251F30">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投标人企业信誉（成功案例、近两年是否有滥用药物等不良记录）（自行编写）；</w:t>
      </w:r>
    </w:p>
    <w:p w14:paraId="1E64EEA2">
      <w:pPr>
        <w:spacing w:line="360" w:lineRule="auto"/>
        <w:rPr>
          <w:rFonts w:ascii="宋体" w:hAnsi="Times New Roman" w:eastAsia="宋体" w:cs="Times New Roman"/>
          <w:szCs w:val="21"/>
        </w:rPr>
      </w:pPr>
    </w:p>
    <w:p w14:paraId="0C1EF79B">
      <w:pPr>
        <w:spacing w:line="360" w:lineRule="auto"/>
        <w:rPr>
          <w:rFonts w:ascii="宋体" w:hAnsi="Times New Roman" w:eastAsia="宋体" w:cs="Times New Roman"/>
          <w:szCs w:val="21"/>
        </w:rPr>
      </w:pPr>
    </w:p>
    <w:p w14:paraId="7705F457">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2564E25D">
      <w:pPr>
        <w:spacing w:line="360" w:lineRule="auto"/>
        <w:rPr>
          <w:rFonts w:ascii="宋体" w:hAnsi="Times New Roman" w:eastAsia="宋体" w:cs="Times New Roman"/>
          <w:szCs w:val="21"/>
        </w:rPr>
      </w:pPr>
      <w:r>
        <w:rPr>
          <w:rFonts w:hint="eastAsia" w:ascii="宋体" w:hAnsi="宋体" w:eastAsia="宋体" w:cs="Times New Roman"/>
          <w:szCs w:val="21"/>
        </w:rPr>
        <w:t xml:space="preserve"> </w:t>
      </w:r>
    </w:p>
    <w:p w14:paraId="7AA6FF3C">
      <w:pPr>
        <w:spacing w:line="360" w:lineRule="auto"/>
        <w:rPr>
          <w:rFonts w:ascii="宋体" w:hAnsi="Times New Roman" w:eastAsia="宋体" w:cs="Times New Roman"/>
          <w:szCs w:val="21"/>
        </w:rPr>
      </w:pPr>
      <w:r>
        <w:rPr>
          <w:rFonts w:hint="eastAsia" w:ascii="宋体" w:hAnsi="宋体" w:eastAsia="宋体" w:cs="Times New Roman"/>
          <w:szCs w:val="21"/>
        </w:rPr>
        <w:t>日期：    年   月    日</w:t>
      </w:r>
    </w:p>
    <w:p w14:paraId="4D374D19">
      <w:pPr>
        <w:spacing w:line="360" w:lineRule="auto"/>
        <w:rPr>
          <w:rFonts w:ascii="宋体" w:hAnsi="Times New Roman" w:eastAsia="宋体" w:cs="Times New Roman"/>
          <w:szCs w:val="21"/>
        </w:rPr>
      </w:pPr>
    </w:p>
    <w:p w14:paraId="352BE065">
      <w:pPr>
        <w:spacing w:line="360" w:lineRule="auto"/>
        <w:rPr>
          <w:rFonts w:ascii="宋体" w:hAnsi="Times New Roman" w:eastAsia="宋体" w:cs="Times New Roman"/>
          <w:szCs w:val="21"/>
        </w:rPr>
      </w:pPr>
    </w:p>
    <w:p w14:paraId="1744DB74">
      <w:pPr>
        <w:spacing w:line="360" w:lineRule="auto"/>
        <w:rPr>
          <w:rFonts w:ascii="宋体" w:hAnsi="Times New Roman" w:eastAsia="宋体" w:cs="Times New Roman"/>
          <w:szCs w:val="21"/>
        </w:rPr>
      </w:pPr>
    </w:p>
    <w:p w14:paraId="3B31FC0B">
      <w:pPr>
        <w:spacing w:line="360" w:lineRule="auto"/>
        <w:rPr>
          <w:rFonts w:ascii="宋体" w:hAnsi="Times New Roman" w:eastAsia="宋体" w:cs="Times New Roman"/>
          <w:szCs w:val="21"/>
        </w:rPr>
      </w:pPr>
    </w:p>
    <w:p w14:paraId="158FF2B3">
      <w:pPr>
        <w:spacing w:line="360" w:lineRule="auto"/>
        <w:rPr>
          <w:rFonts w:ascii="宋体" w:hAnsi="Times New Roman" w:eastAsia="宋体" w:cs="Times New Roman"/>
          <w:szCs w:val="21"/>
        </w:rPr>
      </w:pPr>
    </w:p>
    <w:p w14:paraId="6ED540BB">
      <w:pPr>
        <w:spacing w:line="360" w:lineRule="auto"/>
        <w:rPr>
          <w:rFonts w:ascii="宋体" w:hAnsi="Times New Roman" w:eastAsia="宋体" w:cs="Times New Roman"/>
          <w:szCs w:val="21"/>
        </w:rPr>
      </w:pPr>
    </w:p>
    <w:p w14:paraId="3EA2CBBE">
      <w:pPr>
        <w:spacing w:line="360" w:lineRule="auto"/>
        <w:rPr>
          <w:rFonts w:ascii="宋体" w:hAnsi="Times New Roman" w:eastAsia="宋体" w:cs="Times New Roman"/>
          <w:szCs w:val="21"/>
        </w:rPr>
      </w:pPr>
    </w:p>
    <w:p w14:paraId="33780B5D">
      <w:pPr>
        <w:spacing w:line="360" w:lineRule="auto"/>
        <w:rPr>
          <w:rFonts w:ascii="宋体" w:hAnsi="Times New Roman" w:eastAsia="宋体" w:cs="Times New Roman"/>
          <w:szCs w:val="21"/>
        </w:rPr>
      </w:pPr>
    </w:p>
    <w:p w14:paraId="20860AD4">
      <w:pPr>
        <w:spacing w:line="360" w:lineRule="auto"/>
        <w:rPr>
          <w:rFonts w:ascii="宋体" w:hAnsi="Times New Roman" w:eastAsia="宋体" w:cs="Times New Roman"/>
          <w:szCs w:val="21"/>
        </w:rPr>
      </w:pPr>
    </w:p>
    <w:p w14:paraId="2A5FF560">
      <w:pPr>
        <w:spacing w:line="360" w:lineRule="auto"/>
        <w:rPr>
          <w:rFonts w:ascii="宋体" w:hAnsi="Times New Roman" w:eastAsia="宋体" w:cs="Times New Roman"/>
          <w:szCs w:val="21"/>
        </w:rPr>
      </w:pPr>
    </w:p>
    <w:p w14:paraId="38C5AB4C">
      <w:pPr>
        <w:spacing w:line="360" w:lineRule="auto"/>
        <w:rPr>
          <w:rFonts w:ascii="宋体" w:hAnsi="Times New Roman" w:eastAsia="宋体" w:cs="Times New Roman"/>
          <w:szCs w:val="21"/>
        </w:rPr>
      </w:pPr>
    </w:p>
    <w:p w14:paraId="3E74531C">
      <w:pPr>
        <w:spacing w:line="360" w:lineRule="auto"/>
        <w:rPr>
          <w:rFonts w:ascii="宋体" w:hAnsi="Times New Roman" w:eastAsia="宋体" w:cs="Times New Roman"/>
          <w:szCs w:val="21"/>
        </w:rPr>
      </w:pPr>
    </w:p>
    <w:p w14:paraId="0E801C2F">
      <w:pPr>
        <w:spacing w:line="360" w:lineRule="auto"/>
        <w:rPr>
          <w:rFonts w:ascii="宋体" w:hAnsi="宋体" w:eastAsia="宋体" w:cs="Times New Roman"/>
          <w:b/>
          <w:szCs w:val="21"/>
        </w:rPr>
      </w:pPr>
    </w:p>
    <w:p w14:paraId="1AFC38BB">
      <w:pPr>
        <w:spacing w:line="360" w:lineRule="auto"/>
        <w:rPr>
          <w:rFonts w:ascii="宋体" w:hAnsi="宋体" w:eastAsia="宋体" w:cs="Times New Roman"/>
          <w:b/>
          <w:szCs w:val="21"/>
        </w:rPr>
      </w:pPr>
    </w:p>
    <w:p w14:paraId="27E91035">
      <w:pPr>
        <w:spacing w:line="360" w:lineRule="auto"/>
        <w:rPr>
          <w:rFonts w:ascii="宋体" w:hAnsi="宋体" w:eastAsia="宋体" w:cs="Times New Roman"/>
          <w:b/>
          <w:sz w:val="24"/>
          <w:szCs w:val="24"/>
        </w:rPr>
      </w:pPr>
      <w:r>
        <w:rPr>
          <w:rFonts w:hint="eastAsia" w:ascii="宋体" w:hAnsi="宋体" w:eastAsia="宋体" w:cs="Times New Roman"/>
          <w:b/>
          <w:sz w:val="24"/>
          <w:szCs w:val="24"/>
        </w:rPr>
        <w:t xml:space="preserve">九、 </w:t>
      </w:r>
    </w:p>
    <w:p w14:paraId="3ECAE810">
      <w:pPr>
        <w:spacing w:line="360" w:lineRule="auto"/>
        <w:ind w:firstLine="2474" w:firstLineChars="1027"/>
        <w:rPr>
          <w:rFonts w:ascii="宋体" w:hAnsi="Times New Roman" w:eastAsia="宋体" w:cs="Times New Roman"/>
          <w:sz w:val="24"/>
          <w:szCs w:val="24"/>
        </w:rPr>
      </w:pPr>
      <w:r>
        <w:rPr>
          <w:rFonts w:hint="eastAsia" w:ascii="宋体" w:hAnsi="宋体" w:eastAsia="宋体" w:cs="Times New Roman"/>
          <w:b/>
          <w:sz w:val="24"/>
          <w:szCs w:val="24"/>
        </w:rPr>
        <w:t>投标人运输距离等（适用各标项）</w:t>
      </w:r>
    </w:p>
    <w:p w14:paraId="4B35AFCF">
      <w:pPr>
        <w:spacing w:line="360" w:lineRule="auto"/>
        <w:rPr>
          <w:rFonts w:ascii="宋体" w:hAnsi="宋体" w:eastAsia="宋体" w:cs="Times New Roman"/>
          <w:szCs w:val="21"/>
        </w:rPr>
      </w:pPr>
    </w:p>
    <w:p w14:paraId="5623B0D3">
      <w:pPr>
        <w:spacing w:line="360" w:lineRule="auto"/>
        <w:rPr>
          <w:rFonts w:ascii="宋体" w:hAnsi="宋体" w:eastAsia="宋体" w:cs="Times New Roman"/>
          <w:szCs w:val="21"/>
        </w:rPr>
      </w:pPr>
    </w:p>
    <w:p w14:paraId="2AAF22D9">
      <w:pPr>
        <w:spacing w:line="360" w:lineRule="auto"/>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.投标人运输距离、运输方式等（自行编写）；</w:t>
      </w:r>
    </w:p>
    <w:p w14:paraId="0850E20B">
      <w:pPr>
        <w:spacing w:line="360" w:lineRule="auto"/>
        <w:rPr>
          <w:rFonts w:ascii="宋体" w:hAnsi="Times New Roman" w:eastAsia="宋体" w:cs="Times New Roman"/>
          <w:szCs w:val="21"/>
        </w:rPr>
      </w:pPr>
    </w:p>
    <w:p w14:paraId="113F1BEB">
      <w:pPr>
        <w:spacing w:line="360" w:lineRule="auto"/>
        <w:rPr>
          <w:rFonts w:ascii="宋体" w:hAnsi="Times New Roman" w:eastAsia="宋体" w:cs="Times New Roman"/>
          <w:szCs w:val="21"/>
        </w:rPr>
      </w:pPr>
    </w:p>
    <w:p w14:paraId="47F04003">
      <w:pPr>
        <w:spacing w:line="360" w:lineRule="auto"/>
        <w:rPr>
          <w:rFonts w:ascii="宋体" w:hAnsi="Times New Roman" w:eastAsia="宋体" w:cs="Times New Roman"/>
          <w:szCs w:val="21"/>
        </w:rPr>
      </w:pPr>
    </w:p>
    <w:p w14:paraId="597043E7">
      <w:pPr>
        <w:spacing w:line="360" w:lineRule="auto"/>
        <w:rPr>
          <w:rFonts w:ascii="宋体" w:hAnsi="Times New Roman" w:eastAsia="宋体" w:cs="Times New Roman"/>
          <w:szCs w:val="21"/>
        </w:rPr>
      </w:pPr>
    </w:p>
    <w:p w14:paraId="4726FDD6">
      <w:pPr>
        <w:spacing w:line="360" w:lineRule="auto"/>
        <w:rPr>
          <w:rFonts w:ascii="宋体" w:hAnsi="Times New Roman" w:eastAsia="宋体" w:cs="Times New Roman"/>
          <w:szCs w:val="21"/>
        </w:rPr>
      </w:pPr>
    </w:p>
    <w:p w14:paraId="5CE3AF0D">
      <w:pPr>
        <w:spacing w:line="360" w:lineRule="auto"/>
        <w:rPr>
          <w:rFonts w:ascii="宋体" w:hAnsi="Times New Roman" w:eastAsia="宋体" w:cs="Times New Roman"/>
          <w:szCs w:val="21"/>
        </w:rPr>
      </w:pPr>
    </w:p>
    <w:p w14:paraId="0BED9766">
      <w:pPr>
        <w:spacing w:line="360" w:lineRule="auto"/>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.运输时间（自行编写）；</w:t>
      </w:r>
    </w:p>
    <w:p w14:paraId="1ACEA8C8">
      <w:pPr>
        <w:spacing w:line="360" w:lineRule="auto"/>
        <w:rPr>
          <w:rFonts w:ascii="宋体" w:hAnsi="Times New Roman" w:eastAsia="宋体" w:cs="Times New Roman"/>
          <w:szCs w:val="21"/>
        </w:rPr>
      </w:pPr>
    </w:p>
    <w:p w14:paraId="1CE96455">
      <w:pPr>
        <w:spacing w:line="360" w:lineRule="auto"/>
        <w:rPr>
          <w:rFonts w:ascii="宋体" w:hAnsi="Times New Roman" w:eastAsia="宋体" w:cs="Times New Roman"/>
          <w:szCs w:val="21"/>
        </w:rPr>
      </w:pPr>
    </w:p>
    <w:p w14:paraId="43EF0437">
      <w:pPr>
        <w:spacing w:line="360" w:lineRule="auto"/>
        <w:rPr>
          <w:rFonts w:ascii="宋体" w:hAnsi="Times New Roman" w:eastAsia="宋体" w:cs="Times New Roman"/>
          <w:szCs w:val="21"/>
        </w:rPr>
      </w:pPr>
    </w:p>
    <w:p w14:paraId="4FDB0FD3">
      <w:pPr>
        <w:spacing w:line="360" w:lineRule="auto"/>
        <w:rPr>
          <w:rFonts w:ascii="宋体" w:hAnsi="Times New Roman" w:eastAsia="宋体" w:cs="Times New Roman"/>
          <w:szCs w:val="21"/>
        </w:rPr>
      </w:pPr>
    </w:p>
    <w:p w14:paraId="3CA64B99">
      <w:pPr>
        <w:spacing w:line="360" w:lineRule="auto"/>
        <w:rPr>
          <w:rFonts w:ascii="宋体" w:hAnsi="Times New Roman" w:eastAsia="宋体" w:cs="Times New Roman"/>
          <w:szCs w:val="21"/>
        </w:rPr>
      </w:pPr>
      <w:r>
        <w:rPr>
          <w:rFonts w:hint="eastAsia" w:ascii="宋体" w:hAnsi="宋体" w:eastAsia="宋体" w:cs="Times New Roman"/>
          <w:szCs w:val="21"/>
        </w:rPr>
        <w:t>投标人名称：（加盖公章）</w:t>
      </w:r>
    </w:p>
    <w:p w14:paraId="14316CBC">
      <w:pPr>
        <w:spacing w:line="360" w:lineRule="auto"/>
        <w:rPr>
          <w:rFonts w:ascii="宋体" w:hAnsi="Times New Roman" w:eastAsia="宋体" w:cs="Times New Roman"/>
          <w:szCs w:val="21"/>
        </w:rPr>
      </w:pPr>
      <w:r>
        <w:rPr>
          <w:rFonts w:hint="eastAsia" w:ascii="宋体" w:hAnsi="宋体" w:eastAsia="宋体" w:cs="Times New Roman"/>
          <w:szCs w:val="21"/>
        </w:rPr>
        <w:t xml:space="preserve"> </w:t>
      </w:r>
    </w:p>
    <w:p w14:paraId="74F76621">
      <w:pPr>
        <w:spacing w:line="360" w:lineRule="auto"/>
        <w:rPr>
          <w:rFonts w:ascii="宋体" w:hAnsi="Times New Roman" w:eastAsia="宋体" w:cs="Times New Roman"/>
          <w:szCs w:val="21"/>
        </w:rPr>
      </w:pPr>
      <w:r>
        <w:rPr>
          <w:rFonts w:hint="eastAsia" w:ascii="宋体" w:hAnsi="宋体" w:eastAsia="宋体" w:cs="Times New Roman"/>
          <w:szCs w:val="21"/>
        </w:rPr>
        <w:t>日期：年   月   日</w:t>
      </w:r>
    </w:p>
    <w:p w14:paraId="15538CA1">
      <w:pPr>
        <w:spacing w:line="360" w:lineRule="auto"/>
        <w:rPr>
          <w:rFonts w:ascii="宋体" w:hAnsi="Times New Roman" w:eastAsia="宋体" w:cs="Times New Roman"/>
          <w:szCs w:val="21"/>
        </w:rPr>
      </w:pPr>
    </w:p>
    <w:p w14:paraId="3F8CF5A8">
      <w:pPr>
        <w:spacing w:line="520" w:lineRule="exact"/>
        <w:rPr>
          <w:rFonts w:ascii="宋体" w:hAnsi="Times New Roman" w:eastAsia="宋体" w:cs="Times New Roman"/>
          <w:b/>
          <w:spacing w:val="20"/>
          <w:sz w:val="24"/>
          <w:szCs w:val="24"/>
        </w:rPr>
      </w:pPr>
    </w:p>
    <w:p w14:paraId="58752EC8">
      <w:pPr>
        <w:spacing w:line="520" w:lineRule="exact"/>
        <w:rPr>
          <w:rFonts w:ascii="宋体" w:hAnsi="Times New Roman" w:eastAsia="宋体" w:cs="Times New Roman"/>
          <w:b/>
          <w:spacing w:val="20"/>
          <w:sz w:val="24"/>
          <w:szCs w:val="24"/>
        </w:rPr>
      </w:pPr>
    </w:p>
    <w:p w14:paraId="54375674">
      <w:pPr>
        <w:spacing w:line="520" w:lineRule="exact"/>
        <w:rPr>
          <w:rFonts w:ascii="宋体" w:hAnsi="Times New Roman" w:eastAsia="宋体" w:cs="Times New Roman"/>
          <w:b/>
          <w:spacing w:val="20"/>
          <w:sz w:val="24"/>
          <w:szCs w:val="24"/>
        </w:rPr>
      </w:pPr>
    </w:p>
    <w:p w14:paraId="36277B0C">
      <w:pPr>
        <w:spacing w:line="520" w:lineRule="exact"/>
        <w:rPr>
          <w:rFonts w:ascii="宋体" w:hAnsi="Times New Roman" w:eastAsia="宋体" w:cs="Times New Roman"/>
          <w:b/>
          <w:spacing w:val="20"/>
          <w:sz w:val="24"/>
          <w:szCs w:val="24"/>
        </w:rPr>
      </w:pPr>
    </w:p>
    <w:p w14:paraId="1A7292AB">
      <w:pPr>
        <w:spacing w:line="520" w:lineRule="exact"/>
        <w:rPr>
          <w:rFonts w:ascii="宋体" w:hAnsi="Times New Roman" w:eastAsia="宋体" w:cs="Times New Roman"/>
          <w:b/>
          <w:spacing w:val="20"/>
          <w:sz w:val="24"/>
          <w:szCs w:val="24"/>
        </w:rPr>
      </w:pPr>
    </w:p>
    <w:p w14:paraId="7A5CC207">
      <w:pPr>
        <w:spacing w:line="520" w:lineRule="exact"/>
        <w:rPr>
          <w:rFonts w:ascii="宋体" w:hAnsi="Times New Roman" w:eastAsia="宋体" w:cs="Times New Roman"/>
          <w:b/>
          <w:spacing w:val="20"/>
          <w:sz w:val="24"/>
          <w:szCs w:val="24"/>
        </w:rPr>
      </w:pPr>
    </w:p>
    <w:p w14:paraId="69B93F05">
      <w:pPr>
        <w:spacing w:line="520" w:lineRule="exact"/>
        <w:rPr>
          <w:rFonts w:ascii="宋体" w:hAnsi="Times New Roman" w:eastAsia="宋体" w:cs="Times New Roman"/>
          <w:b/>
          <w:spacing w:val="20"/>
          <w:sz w:val="24"/>
          <w:szCs w:val="24"/>
        </w:rPr>
      </w:pPr>
    </w:p>
    <w:p w14:paraId="54C6CA68">
      <w:pPr>
        <w:spacing w:line="520" w:lineRule="exact"/>
        <w:rPr>
          <w:rFonts w:ascii="宋体" w:hAnsi="宋体" w:eastAsia="宋体" w:cs="Times New Roman"/>
          <w:b/>
          <w:spacing w:val="20"/>
          <w:sz w:val="24"/>
          <w:szCs w:val="24"/>
        </w:rPr>
      </w:pPr>
    </w:p>
    <w:p w14:paraId="3AA207FA">
      <w:pPr>
        <w:spacing w:line="520" w:lineRule="exact"/>
        <w:rPr>
          <w:rFonts w:ascii="宋体" w:hAnsi="宋体" w:eastAsia="宋体" w:cs="Times New Roman"/>
          <w:b/>
          <w:spacing w:val="20"/>
          <w:sz w:val="24"/>
          <w:szCs w:val="24"/>
        </w:rPr>
      </w:pPr>
      <w:r>
        <w:rPr>
          <w:rFonts w:hint="eastAsia" w:ascii="宋体" w:hAnsi="宋体" w:eastAsia="宋体" w:cs="Times New Roman"/>
          <w:b/>
          <w:spacing w:val="20"/>
          <w:sz w:val="24"/>
          <w:szCs w:val="24"/>
        </w:rPr>
        <w:t>十、</w:t>
      </w:r>
    </w:p>
    <w:p w14:paraId="048D53DA">
      <w:pPr>
        <w:spacing w:line="520" w:lineRule="exact"/>
        <w:ind w:firstLine="1770" w:firstLineChars="630"/>
        <w:rPr>
          <w:rFonts w:ascii="宋体" w:hAnsi="宋体" w:eastAsia="宋体" w:cs="Times New Roman"/>
          <w:szCs w:val="21"/>
        </w:rPr>
      </w:pPr>
      <w:r>
        <w:rPr>
          <w:rFonts w:hint="eastAsia" w:ascii="宋体" w:hAnsi="宋体" w:eastAsia="宋体" w:cs="Times New Roman"/>
          <w:b/>
          <w:spacing w:val="20"/>
          <w:sz w:val="24"/>
          <w:szCs w:val="24"/>
        </w:rPr>
        <w:t>关于投标种苗及相关事项的声明</w:t>
      </w:r>
      <w:r>
        <w:rPr>
          <w:rFonts w:hint="eastAsia" w:ascii="宋体" w:hAnsi="宋体" w:eastAsia="宋体" w:cs="Times New Roman"/>
          <w:b/>
          <w:sz w:val="24"/>
          <w:szCs w:val="24"/>
        </w:rPr>
        <w:t>（适用各标项）</w:t>
      </w:r>
    </w:p>
    <w:p w14:paraId="2140098D">
      <w:pPr>
        <w:spacing w:line="360" w:lineRule="auto"/>
        <w:ind w:firstLine="420" w:firstLineChars="200"/>
        <w:rPr>
          <w:rFonts w:ascii="宋体" w:hAnsi="Times New Roman" w:eastAsia="宋体" w:cs="Times New Roman"/>
          <w:szCs w:val="21"/>
        </w:rPr>
      </w:pPr>
      <w:r>
        <w:rPr>
          <w:rFonts w:hint="eastAsia" w:ascii="宋体" w:hAnsi="宋体" w:eastAsia="宋体" w:cs="Times New Roman"/>
          <w:szCs w:val="21"/>
        </w:rPr>
        <w:t>根据</w:t>
      </w:r>
      <w:r>
        <w:rPr>
          <w:rFonts w:hint="eastAsia" w:ascii="宋体" w:hAnsi="宋体" w:eastAsia="宋体" w:cs="Times New Roman"/>
          <w:szCs w:val="21"/>
          <w:lang w:eastAsia="zh-CN"/>
        </w:rPr>
        <w:t>舟山市海洋经济发展局</w:t>
      </w:r>
      <w:r>
        <w:rPr>
          <w:rFonts w:hint="eastAsia" w:ascii="宋体" w:hAnsi="宋体" w:eastAsia="宋体" w:cs="Times New Roman"/>
          <w:szCs w:val="21"/>
        </w:rPr>
        <w:t>《</w:t>
      </w:r>
      <w:r>
        <w:rPr>
          <w:rFonts w:hint="eastAsia" w:ascii="宋体" w:hAnsi="宋体" w:eastAsia="宋体" w:cs="Times New Roman"/>
          <w:szCs w:val="21"/>
          <w:lang w:eastAsia="zh-CN"/>
        </w:rPr>
        <w:t xml:space="preserve">2025年舟山市（本级）海洋水生生物增殖放流 </w:t>
      </w:r>
      <w:r>
        <w:rPr>
          <w:rFonts w:hint="eastAsia" w:ascii="宋体" w:hAnsi="宋体" w:eastAsia="宋体" w:cs="Times New Roman"/>
          <w:szCs w:val="21"/>
        </w:rPr>
        <w:t>》要求，以及本单位实际生产能力，现就有关事项声明如下：</w:t>
      </w:r>
    </w:p>
    <w:p w14:paraId="5F167F9F">
      <w:pPr>
        <w:spacing w:line="360" w:lineRule="auto"/>
        <w:ind w:firstLine="413" w:firstLineChars="196"/>
        <w:rPr>
          <w:rFonts w:ascii="宋体" w:hAnsi="Times New Roman" w:eastAsia="宋体" w:cs="Times New Roman"/>
          <w:b/>
          <w:szCs w:val="21"/>
        </w:rPr>
      </w:pPr>
      <w:r>
        <w:rPr>
          <w:rFonts w:hint="eastAsia" w:ascii="宋体" w:hAnsi="宋体" w:eastAsia="宋体" w:cs="Times New Roman"/>
          <w:b/>
          <w:szCs w:val="21"/>
        </w:rPr>
        <w:t>一、投标种苗标的：</w:t>
      </w:r>
    </w:p>
    <w:tbl>
      <w:tblPr>
        <w:tblStyle w:val="60"/>
        <w:tblW w:w="0" w:type="auto"/>
        <w:tblInd w:w="93" w:type="dxa"/>
        <w:tblLayout w:type="fixed"/>
        <w:tblCellMar>
          <w:top w:w="0" w:type="dxa"/>
          <w:left w:w="108" w:type="dxa"/>
          <w:bottom w:w="0" w:type="dxa"/>
          <w:right w:w="108" w:type="dxa"/>
        </w:tblCellMar>
      </w:tblPr>
      <w:tblGrid>
        <w:gridCol w:w="1900"/>
        <w:gridCol w:w="2280"/>
        <w:gridCol w:w="2140"/>
        <w:gridCol w:w="2140"/>
      </w:tblGrid>
      <w:tr w14:paraId="00452548">
        <w:tblPrEx>
          <w:tblCellMar>
            <w:top w:w="0" w:type="dxa"/>
            <w:left w:w="108" w:type="dxa"/>
            <w:bottom w:w="0" w:type="dxa"/>
            <w:right w:w="108" w:type="dxa"/>
          </w:tblCellMar>
        </w:tblPrEx>
        <w:trPr>
          <w:trHeight w:val="375" w:hRule="atLeast"/>
        </w:trPr>
        <w:tc>
          <w:tcPr>
            <w:tcW w:w="1900" w:type="dxa"/>
            <w:tcBorders>
              <w:top w:val="single" w:color="auto" w:sz="4" w:space="0"/>
              <w:left w:val="single" w:color="auto" w:sz="4" w:space="0"/>
              <w:bottom w:val="single" w:color="auto" w:sz="4" w:space="0"/>
              <w:right w:val="single" w:color="auto" w:sz="4" w:space="0"/>
            </w:tcBorders>
          </w:tcPr>
          <w:p w14:paraId="4948F70F">
            <w:pPr>
              <w:rPr>
                <w:rFonts w:ascii="宋体" w:hAnsi="Times New Roman" w:eastAsia="宋体" w:cs="Times New Roman"/>
                <w:szCs w:val="21"/>
              </w:rPr>
            </w:pPr>
            <w:r>
              <w:rPr>
                <w:rFonts w:hint="eastAsia" w:ascii="宋体" w:hAnsi="宋体" w:eastAsia="宋体" w:cs="Times New Roman"/>
                <w:szCs w:val="21"/>
              </w:rPr>
              <w:t>　</w:t>
            </w:r>
          </w:p>
        </w:tc>
        <w:tc>
          <w:tcPr>
            <w:tcW w:w="2280" w:type="dxa"/>
            <w:tcBorders>
              <w:top w:val="single" w:color="auto" w:sz="4" w:space="0"/>
              <w:left w:val="nil"/>
              <w:bottom w:val="single" w:color="auto" w:sz="4" w:space="0"/>
              <w:right w:val="single" w:color="auto" w:sz="4" w:space="0"/>
            </w:tcBorders>
          </w:tcPr>
          <w:p w14:paraId="75FDCADF">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474BECFE">
            <w:pPr>
              <w:rPr>
                <w:rFonts w:ascii="宋体" w:hAnsi="Times New Roman" w:eastAsia="宋体" w:cs="Times New Roman"/>
                <w:szCs w:val="21"/>
              </w:rPr>
            </w:pPr>
          </w:p>
        </w:tc>
        <w:tc>
          <w:tcPr>
            <w:tcW w:w="2140" w:type="dxa"/>
            <w:tcBorders>
              <w:top w:val="single" w:color="auto" w:sz="4" w:space="0"/>
              <w:left w:val="nil"/>
              <w:bottom w:val="single" w:color="auto" w:sz="4" w:space="0"/>
              <w:right w:val="single" w:color="auto" w:sz="4" w:space="0"/>
            </w:tcBorders>
          </w:tcPr>
          <w:p w14:paraId="5A0F20BA">
            <w:pPr>
              <w:rPr>
                <w:rFonts w:ascii="宋体" w:hAnsi="Times New Roman" w:eastAsia="宋体" w:cs="Times New Roman"/>
                <w:szCs w:val="21"/>
              </w:rPr>
            </w:pPr>
            <w:r>
              <w:rPr>
                <w:rFonts w:hint="eastAsia" w:ascii="宋体" w:hAnsi="宋体" w:eastAsia="宋体" w:cs="Times New Roman"/>
                <w:szCs w:val="21"/>
              </w:rPr>
              <w:t>……</w:t>
            </w:r>
          </w:p>
        </w:tc>
      </w:tr>
      <w:tr w14:paraId="00FDF411">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116AA4D2">
            <w:pPr>
              <w:rPr>
                <w:rFonts w:ascii="宋体" w:hAnsi="Times New Roman" w:eastAsia="宋体" w:cs="Times New Roman"/>
                <w:szCs w:val="21"/>
              </w:rPr>
            </w:pPr>
            <w:r>
              <w:rPr>
                <w:rFonts w:hint="eastAsia" w:ascii="宋体" w:hAnsi="宋体" w:eastAsia="宋体" w:cs="Times New Roman"/>
                <w:szCs w:val="21"/>
              </w:rPr>
              <w:t>种苗名称</w:t>
            </w:r>
          </w:p>
        </w:tc>
        <w:tc>
          <w:tcPr>
            <w:tcW w:w="2280" w:type="dxa"/>
            <w:tcBorders>
              <w:top w:val="nil"/>
              <w:left w:val="nil"/>
              <w:bottom w:val="single" w:color="auto" w:sz="4" w:space="0"/>
              <w:right w:val="single" w:color="auto" w:sz="4" w:space="0"/>
            </w:tcBorders>
          </w:tcPr>
          <w:p w14:paraId="591ADBEA">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57345C53">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D2F05B7">
            <w:pPr>
              <w:rPr>
                <w:rFonts w:ascii="宋体" w:hAnsi="Times New Roman" w:eastAsia="宋体" w:cs="Times New Roman"/>
                <w:szCs w:val="21"/>
              </w:rPr>
            </w:pPr>
            <w:r>
              <w:rPr>
                <w:rFonts w:hint="eastAsia" w:ascii="宋体" w:hAnsi="宋体" w:eastAsia="宋体" w:cs="Times New Roman"/>
                <w:szCs w:val="21"/>
              </w:rPr>
              <w:t>　</w:t>
            </w:r>
          </w:p>
        </w:tc>
      </w:tr>
      <w:tr w14:paraId="0C8B420F">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9CFAE7A">
            <w:pPr>
              <w:rPr>
                <w:rFonts w:ascii="宋体" w:hAnsi="Times New Roman" w:eastAsia="宋体" w:cs="Times New Roman"/>
                <w:szCs w:val="21"/>
              </w:rPr>
            </w:pPr>
            <w:r>
              <w:rPr>
                <w:rFonts w:hint="eastAsia" w:ascii="宋体" w:hAnsi="宋体" w:eastAsia="宋体" w:cs="Times New Roman"/>
                <w:szCs w:val="21"/>
              </w:rPr>
              <w:t>种苗规格</w:t>
            </w:r>
          </w:p>
        </w:tc>
        <w:tc>
          <w:tcPr>
            <w:tcW w:w="2280" w:type="dxa"/>
            <w:tcBorders>
              <w:top w:val="nil"/>
              <w:left w:val="nil"/>
              <w:bottom w:val="single" w:color="auto" w:sz="4" w:space="0"/>
              <w:right w:val="single" w:color="auto" w:sz="4" w:space="0"/>
            </w:tcBorders>
          </w:tcPr>
          <w:p w14:paraId="4E48D3F9">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6F186F0A">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3D2040B7">
            <w:pPr>
              <w:rPr>
                <w:rFonts w:ascii="宋体" w:hAnsi="Times New Roman" w:eastAsia="宋体" w:cs="Times New Roman"/>
                <w:szCs w:val="21"/>
              </w:rPr>
            </w:pPr>
          </w:p>
        </w:tc>
      </w:tr>
      <w:tr w14:paraId="3E56F0C1">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1B4FCAD0">
            <w:pPr>
              <w:rPr>
                <w:rFonts w:ascii="宋体" w:hAnsi="Times New Roman" w:eastAsia="宋体" w:cs="Times New Roman"/>
                <w:szCs w:val="21"/>
              </w:rPr>
            </w:pPr>
            <w:r>
              <w:rPr>
                <w:rFonts w:hint="eastAsia" w:ascii="宋体" w:hAnsi="宋体" w:eastAsia="宋体" w:cs="Times New Roman"/>
                <w:szCs w:val="21"/>
              </w:rPr>
              <w:t>种苗数量</w:t>
            </w:r>
          </w:p>
        </w:tc>
        <w:tc>
          <w:tcPr>
            <w:tcW w:w="2280" w:type="dxa"/>
            <w:tcBorders>
              <w:top w:val="nil"/>
              <w:left w:val="nil"/>
              <w:bottom w:val="single" w:color="auto" w:sz="4" w:space="0"/>
              <w:right w:val="single" w:color="auto" w:sz="4" w:space="0"/>
            </w:tcBorders>
          </w:tcPr>
          <w:p w14:paraId="2A3B63E3">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18DA9FB6">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E9508FF">
            <w:pPr>
              <w:rPr>
                <w:rFonts w:ascii="宋体" w:hAnsi="Times New Roman" w:eastAsia="宋体" w:cs="Times New Roman"/>
                <w:szCs w:val="21"/>
              </w:rPr>
            </w:pPr>
          </w:p>
        </w:tc>
      </w:tr>
      <w:tr w14:paraId="3EC738A0">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615DDFF">
            <w:pPr>
              <w:rPr>
                <w:rFonts w:ascii="宋体" w:hAnsi="Times New Roman" w:eastAsia="宋体" w:cs="Times New Roman"/>
                <w:szCs w:val="21"/>
              </w:rPr>
            </w:pPr>
            <w:r>
              <w:rPr>
                <w:rFonts w:hint="eastAsia" w:ascii="宋体" w:hAnsi="宋体" w:eastAsia="宋体" w:cs="Times New Roman"/>
                <w:szCs w:val="21"/>
              </w:rPr>
              <w:t>拟放流次数</w:t>
            </w:r>
          </w:p>
        </w:tc>
        <w:tc>
          <w:tcPr>
            <w:tcW w:w="2280" w:type="dxa"/>
            <w:tcBorders>
              <w:top w:val="nil"/>
              <w:left w:val="nil"/>
              <w:bottom w:val="single" w:color="auto" w:sz="4" w:space="0"/>
              <w:right w:val="single" w:color="auto" w:sz="4" w:space="0"/>
            </w:tcBorders>
          </w:tcPr>
          <w:p w14:paraId="189242E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F1C3CC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8929628">
            <w:pPr>
              <w:rPr>
                <w:rFonts w:ascii="宋体" w:hAnsi="Times New Roman" w:eastAsia="宋体" w:cs="Times New Roman"/>
                <w:szCs w:val="21"/>
              </w:rPr>
            </w:pPr>
            <w:r>
              <w:rPr>
                <w:rFonts w:hint="eastAsia" w:ascii="宋体" w:hAnsi="宋体" w:eastAsia="宋体" w:cs="Times New Roman"/>
                <w:szCs w:val="21"/>
              </w:rPr>
              <w:t>　</w:t>
            </w:r>
          </w:p>
        </w:tc>
      </w:tr>
      <w:tr w14:paraId="12355BDE">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1EC174F6">
            <w:pPr>
              <w:rPr>
                <w:rFonts w:ascii="宋体" w:hAnsi="Times New Roman" w:eastAsia="宋体" w:cs="Times New Roman"/>
                <w:szCs w:val="21"/>
              </w:rPr>
            </w:pPr>
            <w:r>
              <w:rPr>
                <w:rFonts w:hint="eastAsia" w:ascii="宋体" w:hAnsi="宋体" w:eastAsia="宋体" w:cs="Times New Roman"/>
                <w:szCs w:val="21"/>
              </w:rPr>
              <w:t>放流时间</w:t>
            </w:r>
          </w:p>
        </w:tc>
        <w:tc>
          <w:tcPr>
            <w:tcW w:w="2280" w:type="dxa"/>
            <w:tcBorders>
              <w:top w:val="nil"/>
              <w:left w:val="nil"/>
              <w:bottom w:val="single" w:color="auto" w:sz="4" w:space="0"/>
              <w:right w:val="single" w:color="auto" w:sz="4" w:space="0"/>
            </w:tcBorders>
          </w:tcPr>
          <w:p w14:paraId="13AFF748">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13F593E">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8EB7F14">
            <w:pPr>
              <w:rPr>
                <w:rFonts w:ascii="宋体" w:hAnsi="Times New Roman" w:eastAsia="宋体" w:cs="Times New Roman"/>
                <w:szCs w:val="21"/>
              </w:rPr>
            </w:pPr>
            <w:r>
              <w:rPr>
                <w:rFonts w:hint="eastAsia" w:ascii="宋体" w:hAnsi="宋体" w:eastAsia="宋体" w:cs="Times New Roman"/>
                <w:szCs w:val="21"/>
              </w:rPr>
              <w:t>　</w:t>
            </w:r>
          </w:p>
        </w:tc>
      </w:tr>
      <w:tr w14:paraId="72333D3C">
        <w:tblPrEx>
          <w:tblCellMar>
            <w:top w:w="0" w:type="dxa"/>
            <w:left w:w="108" w:type="dxa"/>
            <w:bottom w:w="0" w:type="dxa"/>
            <w:right w:w="108" w:type="dxa"/>
          </w:tblCellMar>
        </w:tblPrEx>
        <w:trPr>
          <w:trHeight w:val="343" w:hRule="atLeast"/>
        </w:trPr>
        <w:tc>
          <w:tcPr>
            <w:tcW w:w="1900" w:type="dxa"/>
            <w:tcBorders>
              <w:top w:val="nil"/>
              <w:left w:val="single" w:color="auto" w:sz="4" w:space="0"/>
              <w:bottom w:val="single" w:color="auto" w:sz="4" w:space="0"/>
              <w:right w:val="single" w:color="auto" w:sz="4" w:space="0"/>
            </w:tcBorders>
          </w:tcPr>
          <w:p w14:paraId="1F2ADBE5">
            <w:pPr>
              <w:rPr>
                <w:rFonts w:ascii="宋体" w:hAnsi="Times New Roman" w:eastAsia="宋体" w:cs="Times New Roman"/>
                <w:szCs w:val="21"/>
              </w:rPr>
            </w:pPr>
            <w:r>
              <w:rPr>
                <w:rFonts w:hint="eastAsia" w:ascii="宋体" w:hAnsi="宋体" w:eastAsia="宋体" w:cs="Times New Roman"/>
                <w:szCs w:val="21"/>
              </w:rPr>
              <w:t>种苗所在地</w:t>
            </w:r>
          </w:p>
        </w:tc>
        <w:tc>
          <w:tcPr>
            <w:tcW w:w="2280" w:type="dxa"/>
            <w:tcBorders>
              <w:top w:val="nil"/>
              <w:left w:val="nil"/>
              <w:bottom w:val="single" w:color="auto" w:sz="4" w:space="0"/>
              <w:right w:val="single" w:color="auto" w:sz="4" w:space="0"/>
            </w:tcBorders>
          </w:tcPr>
          <w:p w14:paraId="16F5CF9F">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1D668E07">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B7265A7">
            <w:pPr>
              <w:rPr>
                <w:rFonts w:ascii="宋体" w:hAnsi="Times New Roman" w:eastAsia="宋体" w:cs="Times New Roman"/>
                <w:szCs w:val="21"/>
              </w:rPr>
            </w:pPr>
            <w:r>
              <w:rPr>
                <w:rFonts w:hint="eastAsia" w:ascii="宋体" w:hAnsi="宋体" w:eastAsia="宋体" w:cs="Times New Roman"/>
                <w:szCs w:val="21"/>
              </w:rPr>
              <w:t>　</w:t>
            </w:r>
          </w:p>
        </w:tc>
      </w:tr>
      <w:tr w14:paraId="7829DA4B">
        <w:tblPrEx>
          <w:tblCellMar>
            <w:top w:w="0" w:type="dxa"/>
            <w:left w:w="108" w:type="dxa"/>
            <w:bottom w:w="0" w:type="dxa"/>
            <w:right w:w="108" w:type="dxa"/>
          </w:tblCellMar>
        </w:tblPrEx>
        <w:trPr>
          <w:trHeight w:val="375" w:hRule="atLeast"/>
        </w:trPr>
        <w:tc>
          <w:tcPr>
            <w:tcW w:w="1900" w:type="dxa"/>
            <w:tcBorders>
              <w:top w:val="nil"/>
              <w:left w:val="single" w:color="auto" w:sz="4" w:space="0"/>
              <w:bottom w:val="single" w:color="auto" w:sz="4" w:space="0"/>
              <w:right w:val="single" w:color="auto" w:sz="4" w:space="0"/>
            </w:tcBorders>
          </w:tcPr>
          <w:p w14:paraId="74EC3AAF">
            <w:pPr>
              <w:rPr>
                <w:rFonts w:ascii="宋体" w:hAnsi="Times New Roman" w:eastAsia="宋体" w:cs="Times New Roman"/>
                <w:szCs w:val="21"/>
              </w:rPr>
            </w:pPr>
            <w:r>
              <w:rPr>
                <w:rFonts w:hint="eastAsia" w:ascii="宋体" w:hAnsi="宋体" w:eastAsia="宋体" w:cs="Times New Roman"/>
                <w:szCs w:val="21"/>
              </w:rPr>
              <w:t>放流海域</w:t>
            </w:r>
          </w:p>
        </w:tc>
        <w:tc>
          <w:tcPr>
            <w:tcW w:w="2280" w:type="dxa"/>
            <w:tcBorders>
              <w:top w:val="nil"/>
              <w:left w:val="nil"/>
              <w:bottom w:val="single" w:color="auto" w:sz="4" w:space="0"/>
              <w:right w:val="single" w:color="auto" w:sz="4" w:space="0"/>
            </w:tcBorders>
          </w:tcPr>
          <w:p w14:paraId="48F9C777">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053BD9C4">
            <w:pPr>
              <w:rPr>
                <w:rFonts w:ascii="宋体" w:hAnsi="Times New Roman" w:eastAsia="宋体" w:cs="Times New Roman"/>
                <w:szCs w:val="21"/>
              </w:rPr>
            </w:pPr>
          </w:p>
        </w:tc>
        <w:tc>
          <w:tcPr>
            <w:tcW w:w="2140" w:type="dxa"/>
            <w:tcBorders>
              <w:top w:val="nil"/>
              <w:left w:val="nil"/>
              <w:bottom w:val="single" w:color="auto" w:sz="4" w:space="0"/>
              <w:right w:val="single" w:color="auto" w:sz="4" w:space="0"/>
            </w:tcBorders>
          </w:tcPr>
          <w:p w14:paraId="469DCA60">
            <w:pPr>
              <w:rPr>
                <w:rFonts w:ascii="宋体" w:hAnsi="Times New Roman" w:eastAsia="宋体" w:cs="Times New Roman"/>
                <w:szCs w:val="21"/>
              </w:rPr>
            </w:pPr>
          </w:p>
        </w:tc>
      </w:tr>
      <w:tr w14:paraId="7AEB3487">
        <w:tblPrEx>
          <w:tblCellMar>
            <w:top w:w="0" w:type="dxa"/>
            <w:left w:w="108" w:type="dxa"/>
            <w:bottom w:w="0" w:type="dxa"/>
            <w:right w:w="108" w:type="dxa"/>
          </w:tblCellMar>
        </w:tblPrEx>
        <w:trPr>
          <w:trHeight w:val="90" w:hRule="atLeast"/>
        </w:trPr>
        <w:tc>
          <w:tcPr>
            <w:tcW w:w="1900" w:type="dxa"/>
            <w:tcBorders>
              <w:top w:val="nil"/>
              <w:left w:val="single" w:color="auto" w:sz="4" w:space="0"/>
              <w:bottom w:val="single" w:color="auto" w:sz="4" w:space="0"/>
              <w:right w:val="single" w:color="auto" w:sz="4" w:space="0"/>
            </w:tcBorders>
          </w:tcPr>
          <w:p w14:paraId="15849B4F">
            <w:pPr>
              <w:rPr>
                <w:rFonts w:ascii="宋体" w:hAnsi="Times New Roman" w:eastAsia="宋体" w:cs="Times New Roman"/>
                <w:szCs w:val="21"/>
              </w:rPr>
            </w:pPr>
            <w:r>
              <w:rPr>
                <w:rFonts w:hint="eastAsia" w:ascii="宋体" w:hAnsi="宋体" w:eastAsia="宋体" w:cs="Times New Roman"/>
                <w:szCs w:val="21"/>
              </w:rPr>
              <w:t>运输方式</w:t>
            </w:r>
          </w:p>
        </w:tc>
        <w:tc>
          <w:tcPr>
            <w:tcW w:w="2280" w:type="dxa"/>
            <w:tcBorders>
              <w:top w:val="nil"/>
              <w:left w:val="nil"/>
              <w:bottom w:val="single" w:color="auto" w:sz="4" w:space="0"/>
              <w:right w:val="single" w:color="auto" w:sz="4" w:space="0"/>
            </w:tcBorders>
          </w:tcPr>
          <w:p w14:paraId="33E3DAC2">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7CBFA4D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tcPr>
          <w:p w14:paraId="04111AFF">
            <w:pPr>
              <w:rPr>
                <w:rFonts w:ascii="宋体" w:hAnsi="Times New Roman" w:eastAsia="宋体" w:cs="Times New Roman"/>
                <w:szCs w:val="21"/>
              </w:rPr>
            </w:pPr>
            <w:r>
              <w:rPr>
                <w:rFonts w:hint="eastAsia" w:ascii="宋体" w:hAnsi="宋体" w:eastAsia="宋体" w:cs="Times New Roman"/>
                <w:szCs w:val="21"/>
              </w:rPr>
              <w:t>　</w:t>
            </w:r>
          </w:p>
        </w:tc>
      </w:tr>
      <w:tr w14:paraId="6F1CFC71">
        <w:tblPrEx>
          <w:tblCellMar>
            <w:top w:w="0" w:type="dxa"/>
            <w:left w:w="108" w:type="dxa"/>
            <w:bottom w:w="0" w:type="dxa"/>
            <w:right w:w="108" w:type="dxa"/>
          </w:tblCellMar>
        </w:tblPrEx>
        <w:trPr>
          <w:trHeight w:val="120" w:hRule="atLeast"/>
        </w:trPr>
        <w:tc>
          <w:tcPr>
            <w:tcW w:w="1900" w:type="dxa"/>
            <w:tcBorders>
              <w:top w:val="nil"/>
              <w:left w:val="single" w:color="auto" w:sz="4" w:space="0"/>
              <w:bottom w:val="single" w:color="auto" w:sz="4" w:space="0"/>
              <w:right w:val="single" w:color="auto" w:sz="4" w:space="0"/>
            </w:tcBorders>
            <w:vAlign w:val="center"/>
          </w:tcPr>
          <w:p w14:paraId="21BF6685">
            <w:pPr>
              <w:rPr>
                <w:rFonts w:ascii="宋体" w:hAnsi="Times New Roman" w:eastAsia="宋体" w:cs="Times New Roman"/>
                <w:szCs w:val="21"/>
              </w:rPr>
            </w:pPr>
            <w:r>
              <w:rPr>
                <w:rFonts w:hint="eastAsia" w:ascii="宋体" w:hAnsi="宋体" w:eastAsia="宋体" w:cs="Times New Roman"/>
                <w:szCs w:val="21"/>
              </w:rPr>
              <w:t>备注</w:t>
            </w:r>
          </w:p>
        </w:tc>
        <w:tc>
          <w:tcPr>
            <w:tcW w:w="2280" w:type="dxa"/>
            <w:tcBorders>
              <w:top w:val="nil"/>
              <w:left w:val="nil"/>
              <w:bottom w:val="single" w:color="auto" w:sz="4" w:space="0"/>
              <w:right w:val="single" w:color="auto" w:sz="4" w:space="0"/>
            </w:tcBorders>
            <w:vAlign w:val="center"/>
          </w:tcPr>
          <w:p w14:paraId="364AE206">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5D301351">
            <w:pPr>
              <w:rPr>
                <w:rFonts w:ascii="宋体" w:hAnsi="Times New Roman" w:eastAsia="宋体" w:cs="Times New Roman"/>
                <w:szCs w:val="21"/>
              </w:rPr>
            </w:pPr>
            <w:r>
              <w:rPr>
                <w:rFonts w:hint="eastAsia" w:ascii="宋体" w:hAnsi="宋体" w:eastAsia="宋体" w:cs="Times New Roman"/>
                <w:szCs w:val="21"/>
              </w:rPr>
              <w:t>　</w:t>
            </w:r>
          </w:p>
        </w:tc>
        <w:tc>
          <w:tcPr>
            <w:tcW w:w="2140" w:type="dxa"/>
            <w:tcBorders>
              <w:top w:val="nil"/>
              <w:left w:val="nil"/>
              <w:bottom w:val="single" w:color="auto" w:sz="4" w:space="0"/>
              <w:right w:val="single" w:color="auto" w:sz="4" w:space="0"/>
            </w:tcBorders>
            <w:vAlign w:val="center"/>
          </w:tcPr>
          <w:p w14:paraId="70662C7F">
            <w:pPr>
              <w:rPr>
                <w:rFonts w:ascii="宋体" w:hAnsi="Times New Roman" w:eastAsia="宋体" w:cs="Times New Roman"/>
                <w:szCs w:val="21"/>
              </w:rPr>
            </w:pPr>
            <w:r>
              <w:rPr>
                <w:rFonts w:hint="eastAsia" w:ascii="宋体" w:hAnsi="宋体" w:eastAsia="宋体" w:cs="Times New Roman"/>
                <w:szCs w:val="21"/>
              </w:rPr>
              <w:t>　</w:t>
            </w:r>
          </w:p>
        </w:tc>
      </w:tr>
    </w:tbl>
    <w:p w14:paraId="7E385D33">
      <w:pPr>
        <w:spacing w:line="360" w:lineRule="auto"/>
        <w:ind w:firstLine="211" w:firstLineChars="100"/>
        <w:rPr>
          <w:rFonts w:ascii="宋体" w:hAnsi="Times New Roman" w:eastAsia="宋体" w:cs="Times New Roman"/>
          <w:b/>
          <w:szCs w:val="21"/>
        </w:rPr>
      </w:pPr>
      <w:r>
        <w:rPr>
          <w:rFonts w:hint="eastAsia" w:ascii="宋体" w:hAnsi="宋体" w:eastAsia="宋体" w:cs="Times New Roman"/>
          <w:b/>
          <w:szCs w:val="21"/>
        </w:rPr>
        <w:t>二、</w:t>
      </w:r>
      <w:r>
        <w:rPr>
          <w:rFonts w:hint="eastAsia" w:ascii="宋体" w:hAnsi="宋体" w:eastAsia="宋体" w:cs="Times New Roman"/>
          <w:szCs w:val="21"/>
        </w:rPr>
        <w:t>若投标被接受，希望尽快以合同方式规范各自的权利、义务。以下两种情况视为流标：</w:t>
      </w:r>
    </w:p>
    <w:p w14:paraId="11CCE5BE">
      <w:pPr>
        <w:spacing w:line="360" w:lineRule="auto"/>
        <w:ind w:firstLine="420" w:firstLineChars="200"/>
        <w:rPr>
          <w:rFonts w:ascii="宋体" w:hAnsi="Times New Roman" w:eastAsia="宋体" w:cs="Times New Roman"/>
          <w:szCs w:val="21"/>
        </w:rPr>
      </w:pPr>
      <w:r>
        <w:rPr>
          <w:rFonts w:ascii="宋体" w:hAnsi="宋体" w:eastAsia="宋体" w:cs="Times New Roman"/>
          <w:szCs w:val="21"/>
        </w:rPr>
        <w:t>1</w:t>
      </w:r>
      <w:r>
        <w:rPr>
          <w:rFonts w:hint="eastAsia" w:ascii="宋体" w:hAnsi="宋体" w:eastAsia="宋体" w:cs="Times New Roman"/>
          <w:szCs w:val="21"/>
        </w:rPr>
        <w:t>.投标人无法满足采购人提出的相关种质、技术等要求；</w:t>
      </w:r>
    </w:p>
    <w:p w14:paraId="7291AE02">
      <w:pPr>
        <w:spacing w:line="360" w:lineRule="auto"/>
        <w:ind w:firstLine="420" w:firstLineChars="200"/>
        <w:rPr>
          <w:rFonts w:ascii="宋体" w:hAnsi="Times New Roman" w:eastAsia="宋体" w:cs="Times New Roman"/>
          <w:szCs w:val="21"/>
        </w:rPr>
      </w:pPr>
      <w:r>
        <w:rPr>
          <w:rFonts w:ascii="宋体" w:hAnsi="宋体" w:eastAsia="宋体" w:cs="Times New Roman"/>
          <w:szCs w:val="21"/>
        </w:rPr>
        <w:t>2</w:t>
      </w:r>
      <w:r>
        <w:rPr>
          <w:rFonts w:hint="eastAsia" w:ascii="宋体" w:hAnsi="宋体" w:eastAsia="宋体" w:cs="Times New Roman"/>
          <w:szCs w:val="21"/>
        </w:rPr>
        <w:t>.所投标价高出最高限价或低于成本价的。</w:t>
      </w:r>
    </w:p>
    <w:p w14:paraId="0E8D9F22">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三、</w:t>
      </w:r>
      <w:r>
        <w:rPr>
          <w:rFonts w:hint="eastAsia" w:ascii="宋体" w:hAnsi="宋体" w:eastAsia="宋体" w:cs="Times New Roman"/>
          <w:szCs w:val="21"/>
        </w:rPr>
        <w:t>我方将提供采购人所需的有关本次招标的其它资料。</w:t>
      </w:r>
    </w:p>
    <w:p w14:paraId="671602A7">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四、</w:t>
      </w:r>
      <w:r>
        <w:rPr>
          <w:rFonts w:hint="eastAsia" w:ascii="宋体" w:hAnsi="宋体" w:eastAsia="宋体" w:cs="Times New Roman"/>
          <w:szCs w:val="21"/>
        </w:rPr>
        <w:t>我方理解采购人并无责任必须接受报价的相关投标要求，同时也不偿付我方在投标中发生的一切费用。</w:t>
      </w:r>
    </w:p>
    <w:p w14:paraId="1B0D47E0">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五</w:t>
      </w:r>
      <w:r>
        <w:rPr>
          <w:rFonts w:hint="eastAsia" w:ascii="宋体" w:hAnsi="宋体" w:eastAsia="宋体" w:cs="Times New Roman"/>
          <w:szCs w:val="21"/>
        </w:rPr>
        <w:t>、我方将严格按照合同要求，做好每批次放流种苗全程培育、投饵、用药等记录，并提交原始材料用于放流种苗的前期验收和放流验收。</w:t>
      </w:r>
    </w:p>
    <w:p w14:paraId="54301DB6">
      <w:pPr>
        <w:spacing w:line="360" w:lineRule="auto"/>
        <w:ind w:firstLine="211" w:firstLineChars="100"/>
        <w:rPr>
          <w:rFonts w:ascii="宋体" w:hAnsi="Times New Roman" w:eastAsia="宋体" w:cs="Times New Roman"/>
          <w:szCs w:val="21"/>
        </w:rPr>
      </w:pPr>
      <w:r>
        <w:rPr>
          <w:rFonts w:hint="eastAsia" w:ascii="宋体" w:hAnsi="宋体" w:eastAsia="宋体" w:cs="Times New Roman"/>
          <w:b/>
          <w:szCs w:val="21"/>
        </w:rPr>
        <w:t>六、</w:t>
      </w:r>
      <w:r>
        <w:rPr>
          <w:rFonts w:hint="eastAsia" w:ascii="宋体" w:hAnsi="宋体" w:eastAsia="宋体" w:cs="Times New Roman"/>
          <w:szCs w:val="21"/>
        </w:rPr>
        <w:t>我方将严格按照合同要求</w:t>
      </w:r>
      <w:r>
        <w:rPr>
          <w:rFonts w:ascii="宋体" w:hAnsi="Times New Roman" w:eastAsia="宋体" w:cs="Times New Roman"/>
          <w:szCs w:val="21"/>
        </w:rPr>
        <w:t>,</w:t>
      </w:r>
      <w:r>
        <w:rPr>
          <w:rFonts w:hint="eastAsia" w:ascii="宋体" w:hAnsi="宋体" w:eastAsia="宋体" w:cs="Times New Roman"/>
          <w:szCs w:val="21"/>
        </w:rPr>
        <w:t>在以下放流种类所表示的种苗培育阶段内提前告知和接受放流种苗的前期验收</w:t>
      </w:r>
      <w:r>
        <w:rPr>
          <w:rFonts w:ascii="宋体" w:hAnsi="Times New Roman" w:eastAsia="宋体" w:cs="Times New Roman"/>
          <w:szCs w:val="21"/>
        </w:rPr>
        <w:t>,</w:t>
      </w:r>
      <w:r>
        <w:rPr>
          <w:rFonts w:hint="eastAsia" w:ascii="宋体" w:hAnsi="宋体" w:eastAsia="宋体" w:cs="Times New Roman"/>
          <w:szCs w:val="21"/>
        </w:rPr>
        <w:t>并对验收结果予以确认。因我方原因造成待放流种苗未经前期验收和确认的</w:t>
      </w:r>
      <w:r>
        <w:rPr>
          <w:rFonts w:ascii="宋体" w:hAnsi="Times New Roman" w:eastAsia="宋体" w:cs="Times New Roman"/>
          <w:szCs w:val="21"/>
        </w:rPr>
        <w:t>,</w:t>
      </w:r>
      <w:r>
        <w:rPr>
          <w:rFonts w:hint="eastAsia" w:ascii="宋体" w:hAnsi="宋体" w:eastAsia="宋体" w:cs="Times New Roman"/>
          <w:szCs w:val="21"/>
        </w:rPr>
        <w:t>愿放弃该批次种苗的放流。</w:t>
      </w:r>
    </w:p>
    <w:p w14:paraId="2CF3E862">
      <w:pPr>
        <w:spacing w:line="360" w:lineRule="auto"/>
        <w:ind w:firstLine="211" w:firstLineChars="100"/>
        <w:rPr>
          <w:rFonts w:ascii="宋体" w:hAnsi="宋体" w:eastAsia="宋体" w:cs="Times New Roman"/>
          <w:szCs w:val="21"/>
        </w:rPr>
      </w:pPr>
      <w:r>
        <w:rPr>
          <w:rFonts w:hint="eastAsia" w:ascii="宋体" w:hAnsi="宋体" w:eastAsia="宋体" w:cs="Times New Roman"/>
          <w:b/>
          <w:szCs w:val="21"/>
        </w:rPr>
        <w:t>七</w:t>
      </w:r>
      <w:r>
        <w:rPr>
          <w:rFonts w:hint="eastAsia" w:ascii="宋体" w:hAnsi="宋体" w:eastAsia="宋体" w:cs="Times New Roman"/>
          <w:szCs w:val="21"/>
        </w:rPr>
        <w:t>、中标后相关事项，请按下列地址和通讯号码联系：</w:t>
      </w:r>
    </w:p>
    <w:p w14:paraId="5AF7D4F5">
      <w:pPr>
        <w:rPr>
          <w:rFonts w:ascii="宋体" w:hAnsi="宋体" w:eastAsia="宋体" w:cs="Times New Roman"/>
          <w:szCs w:val="21"/>
        </w:rPr>
      </w:pPr>
      <w:r>
        <w:rPr>
          <w:rFonts w:hint="eastAsia" w:ascii="宋体" w:hAnsi="宋体" w:eastAsia="宋体" w:cs="Times New Roman"/>
          <w:szCs w:val="21"/>
        </w:rPr>
        <w:t>地址：</w:t>
      </w:r>
    </w:p>
    <w:p w14:paraId="75136536">
      <w:pPr>
        <w:rPr>
          <w:rFonts w:ascii="宋体" w:hAnsi="宋体" w:eastAsia="宋体" w:cs="Times New Roman"/>
          <w:szCs w:val="21"/>
        </w:rPr>
      </w:pPr>
      <w:r>
        <w:rPr>
          <w:rFonts w:ascii="宋体" w:hAnsi="宋体" w:eastAsia="宋体" w:cs="Times New Roman"/>
          <w:szCs w:val="21"/>
        </w:rPr>
        <w:t xml:space="preserve">邮政编码：   </w:t>
      </w:r>
    </w:p>
    <w:p w14:paraId="09467FCF">
      <w:pPr>
        <w:rPr>
          <w:rFonts w:ascii="宋体" w:hAnsi="宋体" w:eastAsia="宋体" w:cs="Times New Roman"/>
          <w:szCs w:val="21"/>
        </w:rPr>
      </w:pPr>
      <w:r>
        <w:rPr>
          <w:rFonts w:ascii="宋体" w:hAnsi="宋体" w:eastAsia="宋体" w:cs="Times New Roman"/>
          <w:szCs w:val="21"/>
        </w:rPr>
        <w:t xml:space="preserve">具体联系人： </w:t>
      </w:r>
    </w:p>
    <w:p w14:paraId="54E4910C">
      <w:pPr>
        <w:rPr>
          <w:rFonts w:ascii="宋体" w:hAnsi="宋体" w:eastAsia="宋体" w:cs="Times New Roman"/>
          <w:szCs w:val="21"/>
        </w:rPr>
      </w:pPr>
      <w:r>
        <w:rPr>
          <w:rFonts w:ascii="宋体" w:hAnsi="宋体" w:eastAsia="宋体" w:cs="Times New Roman"/>
          <w:szCs w:val="21"/>
        </w:rPr>
        <w:t xml:space="preserve">电话：（区号）             （手机）         传真：（区号）             </w:t>
      </w:r>
    </w:p>
    <w:p w14:paraId="73BF6049">
      <w:pPr>
        <w:rPr>
          <w:rFonts w:ascii="宋体" w:hAnsi="宋体" w:eastAsia="宋体" w:cs="Times New Roman"/>
          <w:szCs w:val="21"/>
          <w:u w:val="single"/>
        </w:rPr>
      </w:pPr>
      <w:r>
        <w:rPr>
          <w:rFonts w:hint="eastAsia" w:ascii="宋体" w:hAnsi="宋体" w:eastAsia="宋体" w:cs="Times New Roman"/>
          <w:szCs w:val="21"/>
        </w:rPr>
        <w:t>投标人名称：（加盖公章）</w:t>
      </w:r>
    </w:p>
    <w:p w14:paraId="51E2952D">
      <w:pPr>
        <w:rPr>
          <w:rFonts w:ascii="宋体" w:hAnsi="宋体" w:eastAsia="宋体" w:cs="Times New Roman"/>
          <w:szCs w:val="21"/>
        </w:rPr>
      </w:pPr>
      <w:r>
        <w:rPr>
          <w:rFonts w:hint="eastAsia" w:ascii="宋体" w:hAnsi="宋体" w:eastAsia="宋体" w:cs="Times New Roman"/>
          <w:spacing w:val="-4"/>
          <w:szCs w:val="21"/>
        </w:rPr>
        <w:t xml:space="preserve"> </w:t>
      </w:r>
    </w:p>
    <w:p w14:paraId="03AA261D">
      <w:pPr>
        <w:rPr>
          <w:rFonts w:ascii="Times New Roman" w:hAnsi="Times New Roman" w:eastAsia="宋体" w:cs="Times New Roman"/>
        </w:rPr>
      </w:pPr>
      <w:r>
        <w:rPr>
          <w:rFonts w:hint="eastAsia" w:ascii="宋体" w:hAnsi="宋体" w:eastAsia="宋体" w:cs="Times New Roman"/>
          <w:spacing w:val="20"/>
          <w:szCs w:val="21"/>
        </w:rPr>
        <w:t>日期：年月日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微软雅黑"/>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4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56ED8">
    <w:pPr>
      <w:pStyle w:val="40"/>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58420" cy="139700"/>
              <wp:effectExtent l="0" t="0" r="0" b="381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14:paraId="09E7D8F5">
                          <w:pPr>
                            <w:pStyle w:val="40"/>
                          </w:pPr>
                          <w:r>
                            <w:fldChar w:fldCharType="begin"/>
                          </w:r>
                          <w:r>
                            <w:instrText xml:space="preserve"> PAGE  \* MERGEFORMAT </w:instrText>
                          </w:r>
                          <w:r>
                            <w:fldChar w:fldCharType="separate"/>
                          </w:r>
                          <w:r>
                            <w:t>3</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KV+TKoJAgAAAQQAAA4AAABkcnMvZTJvRG9jLnhtbK1TzY7TMBC+I/EO&#10;lu80bflboqarZasipIVFWngA13Eai9hjjd0m5QHgDfbEhTvP1efYsZOUZbnsgYs1tsfffN8348V5&#10;Zxq2V+g12ILPJlPOlJVQarst+JfP62dnnPkgbCkasKrgB+X5+fLpk0XrcjWHGppSISMQ6/PWFbwO&#10;weVZ5mWtjPATcMrSZQVoRKAtbrMSRUvopsnm0+mrrAUsHYJU3tPpqr/kAyI+BhCqSku1ArkzyoYe&#10;FVUjAknytXaeLxPbqlIyXFeVV4E1BSelIa1UhOJNXLPlQuRbFK7WcqAgHkPhgSYjtKWiJ6iVCILt&#10;UP8DZbRE8FCFiQST9UKSI6RiNn3gzU0tnEpayGrvTqb7/wcrP+4/IdNlweecWWGo4cfbH8efv4+/&#10;vrN5tKd1PqesG0d5oXsLHQ1NkurdFcivnlm4rIXdqgtEaGslSqI3iy+ze097HB9BNu0HKKmO2AVI&#10;QF2FJnpHbjBCp9YcTq1RXWCSDl+evZjThaSb2fM3r6epc5nIx7cOfXinwLAYFByp8Qlb7K98iFxE&#10;PqbEUhbWumlS8xv71wElxpPEPdLtiYdu0w1ebKA8kAqEfpboJ1FQA37jrKU5Krilb8NZ896SD3Hk&#10;xgDHYDMGwkp6WPDAWR9ehn40dw71tibc0ekL8mqtk5Boas9hYEmTkfQNUxxH7/4+Zf35ucs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1u5d9AAAAACAQAADwAAAAAAAAABACAAAAAiAAAAZHJzL2Rv&#10;d25yZXYueG1sUEsBAhQAFAAAAAgAh07iQKV+TKoJAgAAAQQAAA4AAAAAAAAAAQAgAAAAHwEAAGRy&#10;cy9lMm9Eb2MueG1sUEsFBgAAAAAGAAYAWQEAAJoFAAAAAA==&#10;">
              <v:fill on="f" focussize="0,0"/>
              <v:stroke on="f"/>
              <v:imagedata o:title=""/>
              <o:lock v:ext="edit" aspectratio="f"/>
              <v:textbox inset="0mm,0mm,0mm,0mm" style="mso-fit-shape-to-text:t;">
                <w:txbxContent>
                  <w:p w14:paraId="09E7D8F5">
                    <w:pPr>
                      <w:pStyle w:val="40"/>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04749">
    <w:pPr>
      <w:pStyle w:val="4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6"/>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26"/>
      <w:lvlText w:val=""/>
      <w:lvlJc w:val="left"/>
      <w:pPr>
        <w:tabs>
          <w:tab w:val="left" w:pos="360"/>
        </w:tabs>
        <w:ind w:left="360" w:hanging="360"/>
      </w:pPr>
      <w:rPr>
        <w:rFonts w:hint="default" w:ascii="Wingdings" w:hAnsi="Wingdings"/>
      </w:rPr>
    </w:lvl>
  </w:abstractNum>
  <w:abstractNum w:abstractNumId="2">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3">
    <w:nsid w:val="00000009"/>
    <w:multiLevelType w:val="multilevel"/>
    <w:tmpl w:val="00000009"/>
    <w:lvl w:ilvl="0" w:tentative="0">
      <w:start w:val="1"/>
      <w:numFmt w:val="japaneseCounting"/>
      <w:pStyle w:val="402"/>
      <w:suff w:val="nothing"/>
      <w:lvlText w:val="%1、"/>
      <w:lvlJc w:val="left"/>
      <w:pPr>
        <w:ind w:left="0" w:firstLine="0"/>
      </w:pPr>
      <w:rPr>
        <w:rFonts w:hint="eastAsia" w:ascii="宋体" w:eastAsia="宋体"/>
        <w:b/>
        <w:i w:val="0"/>
        <w:sz w:val="28"/>
      </w:rPr>
    </w:lvl>
    <w:lvl w:ilvl="1" w:tentative="0">
      <w:start w:val="1"/>
      <w:numFmt w:val="japaneseCounting"/>
      <w:pStyle w:val="400"/>
      <w:suff w:val="nothing"/>
      <w:lvlText w:val="（%2）"/>
      <w:lvlJc w:val="left"/>
      <w:pPr>
        <w:ind w:left="0" w:firstLine="0"/>
      </w:pPr>
      <w:rPr>
        <w:rFonts w:hint="eastAsia" w:ascii="宋体" w:eastAsia="宋体"/>
        <w:b/>
        <w:i w:val="0"/>
        <w:sz w:val="24"/>
      </w:rPr>
    </w:lvl>
    <w:lvl w:ilvl="2" w:tentative="0">
      <w:start w:val="1"/>
      <w:numFmt w:val="decimal"/>
      <w:pStyle w:val="398"/>
      <w:lvlText w:val="%1.%2.%3"/>
      <w:lvlJc w:val="left"/>
      <w:pPr>
        <w:ind w:left="0" w:firstLine="0"/>
      </w:pPr>
      <w:rPr>
        <w:rFonts w:hint="eastAsia" w:ascii="宋体" w:eastAsia="宋体"/>
        <w:b/>
        <w:i w:val="0"/>
        <w:sz w:val="24"/>
      </w:rPr>
    </w:lvl>
    <w:lvl w:ilvl="3" w:tentative="0">
      <w:start w:val="1"/>
      <w:numFmt w:val="decimal"/>
      <w:pStyle w:val="397"/>
      <w:lvlText w:val="%1.%2.%3.%4"/>
      <w:lvlJc w:val="left"/>
      <w:pPr>
        <w:ind w:left="0" w:firstLine="0"/>
      </w:pPr>
      <w:rPr>
        <w:rFonts w:hint="eastAsia" w:ascii="宋体" w:eastAsia="宋体"/>
        <w:b/>
        <w:i w:val="0"/>
        <w:sz w:val="21"/>
      </w:rPr>
    </w:lvl>
    <w:lvl w:ilvl="4" w:tentative="0">
      <w:start w:val="1"/>
      <w:numFmt w:val="lowerLetter"/>
      <w:pStyle w:val="706"/>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0000000A"/>
    <w:multiLevelType w:val="multilevel"/>
    <w:tmpl w:val="0000000A"/>
    <w:lvl w:ilvl="0" w:tentative="0">
      <w:start w:val="1"/>
      <w:numFmt w:val="decimal"/>
      <w:pStyle w:val="374"/>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0"/>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AADC6A9"/>
    <w:multiLevelType w:val="singleLevel"/>
    <w:tmpl w:val="0AADC6A9"/>
    <w:lvl w:ilvl="0" w:tentative="0">
      <w:start w:val="2"/>
      <w:numFmt w:val="chineseCounting"/>
      <w:suff w:val="space"/>
      <w:lvlText w:val="第%1章"/>
      <w:lvlJc w:val="left"/>
      <w:rPr>
        <w:rFonts w:hint="eastAsia"/>
      </w:r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2811445A"/>
    <w:multiLevelType w:val="multilevel"/>
    <w:tmpl w:val="2811445A"/>
    <w:lvl w:ilvl="0" w:tentative="0">
      <w:start w:val="1"/>
      <w:numFmt w:val="decimalEnclosedCircle"/>
      <w:pStyle w:val="142"/>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lvlOverride w:ilvl="0">
      <w:startOverride w:val="1"/>
    </w:lvlOverride>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9"/>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ZDNiNjc4N2Y5YzJiNWY0NjQxMTBmZmRlYWU5ZTMifQ=="/>
  </w:docVars>
  <w:rsids>
    <w:rsidRoot w:val="00276BF3"/>
    <w:rsid w:val="00001909"/>
    <w:rsid w:val="00043047"/>
    <w:rsid w:val="000529E9"/>
    <w:rsid w:val="00062C66"/>
    <w:rsid w:val="00072BCE"/>
    <w:rsid w:val="000832CC"/>
    <w:rsid w:val="000932ED"/>
    <w:rsid w:val="00096AEF"/>
    <w:rsid w:val="000C2AB4"/>
    <w:rsid w:val="000D0BE4"/>
    <w:rsid w:val="000F6008"/>
    <w:rsid w:val="001049C5"/>
    <w:rsid w:val="001118FC"/>
    <w:rsid w:val="0012203B"/>
    <w:rsid w:val="001256CF"/>
    <w:rsid w:val="001673E5"/>
    <w:rsid w:val="00171CB6"/>
    <w:rsid w:val="001B758D"/>
    <w:rsid w:val="001E5A25"/>
    <w:rsid w:val="001F13CF"/>
    <w:rsid w:val="001F7F7E"/>
    <w:rsid w:val="002139E0"/>
    <w:rsid w:val="00231C23"/>
    <w:rsid w:val="0027055C"/>
    <w:rsid w:val="00276BF3"/>
    <w:rsid w:val="00283C8D"/>
    <w:rsid w:val="00285F07"/>
    <w:rsid w:val="002954F9"/>
    <w:rsid w:val="002A1EF7"/>
    <w:rsid w:val="002B1B72"/>
    <w:rsid w:val="002C5E9E"/>
    <w:rsid w:val="002C6E39"/>
    <w:rsid w:val="003031F5"/>
    <w:rsid w:val="003165C7"/>
    <w:rsid w:val="00331809"/>
    <w:rsid w:val="003339C0"/>
    <w:rsid w:val="003364EC"/>
    <w:rsid w:val="00345217"/>
    <w:rsid w:val="00361E3A"/>
    <w:rsid w:val="003765FB"/>
    <w:rsid w:val="003A2212"/>
    <w:rsid w:val="003D338C"/>
    <w:rsid w:val="004064C3"/>
    <w:rsid w:val="00413687"/>
    <w:rsid w:val="004152E2"/>
    <w:rsid w:val="00424B7D"/>
    <w:rsid w:val="00430EF1"/>
    <w:rsid w:val="004478F1"/>
    <w:rsid w:val="00462E61"/>
    <w:rsid w:val="00464A22"/>
    <w:rsid w:val="00475182"/>
    <w:rsid w:val="00481FEA"/>
    <w:rsid w:val="004876FB"/>
    <w:rsid w:val="0049430C"/>
    <w:rsid w:val="004958C9"/>
    <w:rsid w:val="004C12A7"/>
    <w:rsid w:val="004C1369"/>
    <w:rsid w:val="004C43DD"/>
    <w:rsid w:val="004E7BBE"/>
    <w:rsid w:val="004F0332"/>
    <w:rsid w:val="0056278B"/>
    <w:rsid w:val="00567B86"/>
    <w:rsid w:val="005763CC"/>
    <w:rsid w:val="005A3595"/>
    <w:rsid w:val="005D0B62"/>
    <w:rsid w:val="00603EDC"/>
    <w:rsid w:val="00627F70"/>
    <w:rsid w:val="00633123"/>
    <w:rsid w:val="0064445F"/>
    <w:rsid w:val="00653F94"/>
    <w:rsid w:val="00661A5F"/>
    <w:rsid w:val="00672702"/>
    <w:rsid w:val="006811B5"/>
    <w:rsid w:val="0068484F"/>
    <w:rsid w:val="00701385"/>
    <w:rsid w:val="00702AD0"/>
    <w:rsid w:val="0071386E"/>
    <w:rsid w:val="00716BC3"/>
    <w:rsid w:val="00733E90"/>
    <w:rsid w:val="00741ABF"/>
    <w:rsid w:val="00747C1E"/>
    <w:rsid w:val="0079072B"/>
    <w:rsid w:val="00792BD8"/>
    <w:rsid w:val="007E3A5A"/>
    <w:rsid w:val="007E6A58"/>
    <w:rsid w:val="007F0C69"/>
    <w:rsid w:val="007F144B"/>
    <w:rsid w:val="00804D7C"/>
    <w:rsid w:val="00812E74"/>
    <w:rsid w:val="0084208B"/>
    <w:rsid w:val="00861344"/>
    <w:rsid w:val="008703AE"/>
    <w:rsid w:val="008711BB"/>
    <w:rsid w:val="008837B8"/>
    <w:rsid w:val="008A69E6"/>
    <w:rsid w:val="008B3A5F"/>
    <w:rsid w:val="008C4BF6"/>
    <w:rsid w:val="008D1D00"/>
    <w:rsid w:val="00944CE9"/>
    <w:rsid w:val="00951DAB"/>
    <w:rsid w:val="009614D5"/>
    <w:rsid w:val="0096550A"/>
    <w:rsid w:val="009A0329"/>
    <w:rsid w:val="009B5C7D"/>
    <w:rsid w:val="009B7F29"/>
    <w:rsid w:val="009C0F94"/>
    <w:rsid w:val="009C7E5F"/>
    <w:rsid w:val="009D3A4F"/>
    <w:rsid w:val="009F0B92"/>
    <w:rsid w:val="00A06BF5"/>
    <w:rsid w:val="00A2421E"/>
    <w:rsid w:val="00A501E4"/>
    <w:rsid w:val="00A546BF"/>
    <w:rsid w:val="00A65269"/>
    <w:rsid w:val="00A67D80"/>
    <w:rsid w:val="00A8194D"/>
    <w:rsid w:val="00A87727"/>
    <w:rsid w:val="00A920C1"/>
    <w:rsid w:val="00AB5343"/>
    <w:rsid w:val="00AB6559"/>
    <w:rsid w:val="00AF087D"/>
    <w:rsid w:val="00B07A47"/>
    <w:rsid w:val="00B56AD7"/>
    <w:rsid w:val="00B61DA0"/>
    <w:rsid w:val="00B64070"/>
    <w:rsid w:val="00B654B5"/>
    <w:rsid w:val="00B86CE6"/>
    <w:rsid w:val="00B92BE4"/>
    <w:rsid w:val="00BB5AA3"/>
    <w:rsid w:val="00BC1791"/>
    <w:rsid w:val="00BC1B8D"/>
    <w:rsid w:val="00BC1D8B"/>
    <w:rsid w:val="00BD757C"/>
    <w:rsid w:val="00BE46DE"/>
    <w:rsid w:val="00C212A7"/>
    <w:rsid w:val="00C36465"/>
    <w:rsid w:val="00C4349A"/>
    <w:rsid w:val="00C43B4B"/>
    <w:rsid w:val="00C46335"/>
    <w:rsid w:val="00C464D3"/>
    <w:rsid w:val="00C551D4"/>
    <w:rsid w:val="00C65E41"/>
    <w:rsid w:val="00CA1E96"/>
    <w:rsid w:val="00CD3DC6"/>
    <w:rsid w:val="00CF309C"/>
    <w:rsid w:val="00D10085"/>
    <w:rsid w:val="00D11A56"/>
    <w:rsid w:val="00D23242"/>
    <w:rsid w:val="00D26FCE"/>
    <w:rsid w:val="00D600FE"/>
    <w:rsid w:val="00D60AB8"/>
    <w:rsid w:val="00D84EE4"/>
    <w:rsid w:val="00D85B60"/>
    <w:rsid w:val="00D87611"/>
    <w:rsid w:val="00DB79D0"/>
    <w:rsid w:val="00DD0465"/>
    <w:rsid w:val="00DD214F"/>
    <w:rsid w:val="00E12EE4"/>
    <w:rsid w:val="00E25A73"/>
    <w:rsid w:val="00E263D2"/>
    <w:rsid w:val="00E32638"/>
    <w:rsid w:val="00E541E4"/>
    <w:rsid w:val="00E6532C"/>
    <w:rsid w:val="00E70344"/>
    <w:rsid w:val="00E77C5D"/>
    <w:rsid w:val="00E94FD5"/>
    <w:rsid w:val="00EB29EF"/>
    <w:rsid w:val="00EB7776"/>
    <w:rsid w:val="00EC22AC"/>
    <w:rsid w:val="00ED20C5"/>
    <w:rsid w:val="00ED7AAE"/>
    <w:rsid w:val="00F10B70"/>
    <w:rsid w:val="00F35975"/>
    <w:rsid w:val="00F41F22"/>
    <w:rsid w:val="00F94E39"/>
    <w:rsid w:val="00FA5506"/>
    <w:rsid w:val="00FB1413"/>
    <w:rsid w:val="00FC3563"/>
    <w:rsid w:val="00FE2EDE"/>
    <w:rsid w:val="00FF5CDD"/>
    <w:rsid w:val="013B37D7"/>
    <w:rsid w:val="01693D70"/>
    <w:rsid w:val="01762172"/>
    <w:rsid w:val="01A85D51"/>
    <w:rsid w:val="01C71CB0"/>
    <w:rsid w:val="01EE0B37"/>
    <w:rsid w:val="01F122AD"/>
    <w:rsid w:val="01F62035"/>
    <w:rsid w:val="021F6ED0"/>
    <w:rsid w:val="022A6766"/>
    <w:rsid w:val="022F73A2"/>
    <w:rsid w:val="026C46FD"/>
    <w:rsid w:val="02A62291"/>
    <w:rsid w:val="02C552B4"/>
    <w:rsid w:val="03602F97"/>
    <w:rsid w:val="03B62950"/>
    <w:rsid w:val="03F4380B"/>
    <w:rsid w:val="04475814"/>
    <w:rsid w:val="04525DA3"/>
    <w:rsid w:val="04A86F85"/>
    <w:rsid w:val="04AF38FD"/>
    <w:rsid w:val="052E181F"/>
    <w:rsid w:val="053E392E"/>
    <w:rsid w:val="054D194C"/>
    <w:rsid w:val="057228FE"/>
    <w:rsid w:val="05921FB2"/>
    <w:rsid w:val="05FC39A4"/>
    <w:rsid w:val="06846D8D"/>
    <w:rsid w:val="06F8001C"/>
    <w:rsid w:val="06FB3B03"/>
    <w:rsid w:val="073D0C76"/>
    <w:rsid w:val="077A4BE5"/>
    <w:rsid w:val="07A1410D"/>
    <w:rsid w:val="07A64C4C"/>
    <w:rsid w:val="07E12AFC"/>
    <w:rsid w:val="07F4255A"/>
    <w:rsid w:val="07FA3C26"/>
    <w:rsid w:val="0849203C"/>
    <w:rsid w:val="084A36DA"/>
    <w:rsid w:val="084E78AD"/>
    <w:rsid w:val="088F199B"/>
    <w:rsid w:val="08D15B8E"/>
    <w:rsid w:val="08E77E2A"/>
    <w:rsid w:val="08F02CB9"/>
    <w:rsid w:val="08F865C0"/>
    <w:rsid w:val="09306D58"/>
    <w:rsid w:val="095600DF"/>
    <w:rsid w:val="095813E4"/>
    <w:rsid w:val="09B96D4E"/>
    <w:rsid w:val="09BF0765"/>
    <w:rsid w:val="0A036B3E"/>
    <w:rsid w:val="0A0976D6"/>
    <w:rsid w:val="0A0A5BB3"/>
    <w:rsid w:val="0A200B7B"/>
    <w:rsid w:val="0A5B41C5"/>
    <w:rsid w:val="0A98523E"/>
    <w:rsid w:val="0AB679E1"/>
    <w:rsid w:val="0AC27C6A"/>
    <w:rsid w:val="0BA34770"/>
    <w:rsid w:val="0BC33EB3"/>
    <w:rsid w:val="0C1661EF"/>
    <w:rsid w:val="0CE638C1"/>
    <w:rsid w:val="0D1E7807"/>
    <w:rsid w:val="0DC611E4"/>
    <w:rsid w:val="0DC679A9"/>
    <w:rsid w:val="0DFF25E8"/>
    <w:rsid w:val="0E6A6868"/>
    <w:rsid w:val="0E883192"/>
    <w:rsid w:val="0F072534"/>
    <w:rsid w:val="0F136F00"/>
    <w:rsid w:val="0F2A401B"/>
    <w:rsid w:val="0FBA10DE"/>
    <w:rsid w:val="0FDF4796"/>
    <w:rsid w:val="0FF24D67"/>
    <w:rsid w:val="0FFD5F61"/>
    <w:rsid w:val="10BC5375"/>
    <w:rsid w:val="10C203FB"/>
    <w:rsid w:val="10F83057"/>
    <w:rsid w:val="1134315E"/>
    <w:rsid w:val="1199094B"/>
    <w:rsid w:val="11C24C0D"/>
    <w:rsid w:val="120627E3"/>
    <w:rsid w:val="12642623"/>
    <w:rsid w:val="12EF726C"/>
    <w:rsid w:val="13025F11"/>
    <w:rsid w:val="13610122"/>
    <w:rsid w:val="1370716F"/>
    <w:rsid w:val="13BE9BB9"/>
    <w:rsid w:val="14060DE1"/>
    <w:rsid w:val="14551282"/>
    <w:rsid w:val="14C75E31"/>
    <w:rsid w:val="14CC7B6B"/>
    <w:rsid w:val="14FD54CA"/>
    <w:rsid w:val="15165CA2"/>
    <w:rsid w:val="152D20F4"/>
    <w:rsid w:val="1555138F"/>
    <w:rsid w:val="1565124C"/>
    <w:rsid w:val="15842235"/>
    <w:rsid w:val="15853F88"/>
    <w:rsid w:val="159A3523"/>
    <w:rsid w:val="15ED3F4E"/>
    <w:rsid w:val="16196B4E"/>
    <w:rsid w:val="16654D46"/>
    <w:rsid w:val="16B57320"/>
    <w:rsid w:val="16DA4A0E"/>
    <w:rsid w:val="17C46B8A"/>
    <w:rsid w:val="17FDC41B"/>
    <w:rsid w:val="1813218C"/>
    <w:rsid w:val="1830625E"/>
    <w:rsid w:val="18552337"/>
    <w:rsid w:val="1912250D"/>
    <w:rsid w:val="191D13C0"/>
    <w:rsid w:val="191E6BCD"/>
    <w:rsid w:val="19472589"/>
    <w:rsid w:val="194C6A11"/>
    <w:rsid w:val="19E07E8B"/>
    <w:rsid w:val="19FE07AD"/>
    <w:rsid w:val="1A3F6023"/>
    <w:rsid w:val="1A7E1D67"/>
    <w:rsid w:val="1A952EBF"/>
    <w:rsid w:val="1AAE7F59"/>
    <w:rsid w:val="1AC87DF6"/>
    <w:rsid w:val="1AE532AF"/>
    <w:rsid w:val="1AFB72AE"/>
    <w:rsid w:val="1B81532C"/>
    <w:rsid w:val="1BC534F8"/>
    <w:rsid w:val="1BDD20AF"/>
    <w:rsid w:val="1BE51C24"/>
    <w:rsid w:val="1BE85FD5"/>
    <w:rsid w:val="1C4B6E6A"/>
    <w:rsid w:val="1C7C20CC"/>
    <w:rsid w:val="1C8832E6"/>
    <w:rsid w:val="1C8F3637"/>
    <w:rsid w:val="1CC16350"/>
    <w:rsid w:val="1CED0B4A"/>
    <w:rsid w:val="1D0D65B3"/>
    <w:rsid w:val="1D0E6B73"/>
    <w:rsid w:val="1D15F42A"/>
    <w:rsid w:val="1D3151EA"/>
    <w:rsid w:val="1D3F66C7"/>
    <w:rsid w:val="1EC52D7D"/>
    <w:rsid w:val="1F525822"/>
    <w:rsid w:val="1F597889"/>
    <w:rsid w:val="1F9FA9C4"/>
    <w:rsid w:val="1FD652E4"/>
    <w:rsid w:val="205970B4"/>
    <w:rsid w:val="207F5A82"/>
    <w:rsid w:val="210E5779"/>
    <w:rsid w:val="214C24C2"/>
    <w:rsid w:val="21D45668"/>
    <w:rsid w:val="21E7182E"/>
    <w:rsid w:val="220B525B"/>
    <w:rsid w:val="223D47BB"/>
    <w:rsid w:val="22E22D4A"/>
    <w:rsid w:val="22F73BE9"/>
    <w:rsid w:val="23757D3B"/>
    <w:rsid w:val="239F449A"/>
    <w:rsid w:val="239F6B5C"/>
    <w:rsid w:val="240412CD"/>
    <w:rsid w:val="240B134B"/>
    <w:rsid w:val="24DE69D9"/>
    <w:rsid w:val="24E52C95"/>
    <w:rsid w:val="25357D1C"/>
    <w:rsid w:val="254C7172"/>
    <w:rsid w:val="255928EB"/>
    <w:rsid w:val="255D293A"/>
    <w:rsid w:val="257346E0"/>
    <w:rsid w:val="25AC7DAE"/>
    <w:rsid w:val="25CA011E"/>
    <w:rsid w:val="26356F09"/>
    <w:rsid w:val="2668592C"/>
    <w:rsid w:val="26F121F0"/>
    <w:rsid w:val="26F83ECA"/>
    <w:rsid w:val="273477E1"/>
    <w:rsid w:val="27A33318"/>
    <w:rsid w:val="27ED000E"/>
    <w:rsid w:val="280C74C5"/>
    <w:rsid w:val="28A03AF9"/>
    <w:rsid w:val="28F43F3F"/>
    <w:rsid w:val="28F9286B"/>
    <w:rsid w:val="29084248"/>
    <w:rsid w:val="294361DC"/>
    <w:rsid w:val="29DF0E57"/>
    <w:rsid w:val="2A103412"/>
    <w:rsid w:val="2A475AEA"/>
    <w:rsid w:val="2A72028B"/>
    <w:rsid w:val="2A9C442F"/>
    <w:rsid w:val="2ACA74EC"/>
    <w:rsid w:val="2B136138"/>
    <w:rsid w:val="2B2F386A"/>
    <w:rsid w:val="2B340414"/>
    <w:rsid w:val="2B5D7E0A"/>
    <w:rsid w:val="2BA02E46"/>
    <w:rsid w:val="2BF83D4F"/>
    <w:rsid w:val="2C1B47E9"/>
    <w:rsid w:val="2C344011"/>
    <w:rsid w:val="2C772424"/>
    <w:rsid w:val="2CA156F3"/>
    <w:rsid w:val="2D636E4D"/>
    <w:rsid w:val="2DCD49FD"/>
    <w:rsid w:val="2DE7EB9F"/>
    <w:rsid w:val="2DF6F328"/>
    <w:rsid w:val="2E1F020D"/>
    <w:rsid w:val="2E2270BF"/>
    <w:rsid w:val="2E9D013C"/>
    <w:rsid w:val="2ED15F5E"/>
    <w:rsid w:val="2ED3590C"/>
    <w:rsid w:val="2ED56B63"/>
    <w:rsid w:val="2EDF2CF6"/>
    <w:rsid w:val="2F3B32FA"/>
    <w:rsid w:val="2F662C47"/>
    <w:rsid w:val="2F725125"/>
    <w:rsid w:val="2F7964B4"/>
    <w:rsid w:val="2FB76FDC"/>
    <w:rsid w:val="2FBD0FF1"/>
    <w:rsid w:val="2FF76CD5"/>
    <w:rsid w:val="2FFBF0BC"/>
    <w:rsid w:val="30216B85"/>
    <w:rsid w:val="30736240"/>
    <w:rsid w:val="30CF7E4F"/>
    <w:rsid w:val="30FF3436"/>
    <w:rsid w:val="31025E73"/>
    <w:rsid w:val="31102E48"/>
    <w:rsid w:val="314B3E80"/>
    <w:rsid w:val="31A26763"/>
    <w:rsid w:val="31D73965"/>
    <w:rsid w:val="32195012"/>
    <w:rsid w:val="32285C55"/>
    <w:rsid w:val="322A6968"/>
    <w:rsid w:val="3297F56D"/>
    <w:rsid w:val="329D324D"/>
    <w:rsid w:val="32BF4B25"/>
    <w:rsid w:val="32C37159"/>
    <w:rsid w:val="32DA5865"/>
    <w:rsid w:val="33300D42"/>
    <w:rsid w:val="336C0197"/>
    <w:rsid w:val="339616AF"/>
    <w:rsid w:val="34373437"/>
    <w:rsid w:val="344D6A7D"/>
    <w:rsid w:val="34C21D26"/>
    <w:rsid w:val="34D0301A"/>
    <w:rsid w:val="34D64903"/>
    <w:rsid w:val="34FD7B87"/>
    <w:rsid w:val="355317BE"/>
    <w:rsid w:val="35622C71"/>
    <w:rsid w:val="35CC29F6"/>
    <w:rsid w:val="35D5415D"/>
    <w:rsid w:val="36251011"/>
    <w:rsid w:val="3632560E"/>
    <w:rsid w:val="367F71EF"/>
    <w:rsid w:val="369938DF"/>
    <w:rsid w:val="36D1697E"/>
    <w:rsid w:val="37044CAB"/>
    <w:rsid w:val="372F1B4E"/>
    <w:rsid w:val="378821CC"/>
    <w:rsid w:val="37B3452D"/>
    <w:rsid w:val="37B79D2B"/>
    <w:rsid w:val="37D56B99"/>
    <w:rsid w:val="37FB617A"/>
    <w:rsid w:val="382D0783"/>
    <w:rsid w:val="383D3652"/>
    <w:rsid w:val="38AE740E"/>
    <w:rsid w:val="38B93DC5"/>
    <w:rsid w:val="38E76B84"/>
    <w:rsid w:val="38FA68B7"/>
    <w:rsid w:val="394F0285"/>
    <w:rsid w:val="39F63CEA"/>
    <w:rsid w:val="3A3E1F9C"/>
    <w:rsid w:val="3ADD00EB"/>
    <w:rsid w:val="3B364AD1"/>
    <w:rsid w:val="3B653AFE"/>
    <w:rsid w:val="3BD85BD5"/>
    <w:rsid w:val="3BFA1DF4"/>
    <w:rsid w:val="3C372CFC"/>
    <w:rsid w:val="3C7721BF"/>
    <w:rsid w:val="3CCD1DA9"/>
    <w:rsid w:val="3D147027"/>
    <w:rsid w:val="3D3F4E19"/>
    <w:rsid w:val="3D5B4EAA"/>
    <w:rsid w:val="3D7338D9"/>
    <w:rsid w:val="3D8F067A"/>
    <w:rsid w:val="3DA24BB0"/>
    <w:rsid w:val="3DAB794E"/>
    <w:rsid w:val="3DCFD675"/>
    <w:rsid w:val="3DDF1F81"/>
    <w:rsid w:val="3E1C6396"/>
    <w:rsid w:val="3E2E70EF"/>
    <w:rsid w:val="3E324F97"/>
    <w:rsid w:val="3E3E1A84"/>
    <w:rsid w:val="3E5E7173"/>
    <w:rsid w:val="3E8E0DB8"/>
    <w:rsid w:val="3EBE0F77"/>
    <w:rsid w:val="3EC722BE"/>
    <w:rsid w:val="3EFED8A8"/>
    <w:rsid w:val="3F147FA7"/>
    <w:rsid w:val="3F314E39"/>
    <w:rsid w:val="3F5D116F"/>
    <w:rsid w:val="3F6FC61D"/>
    <w:rsid w:val="3FAF04C4"/>
    <w:rsid w:val="3FBE5436"/>
    <w:rsid w:val="3FF3CAEC"/>
    <w:rsid w:val="3FFFF19F"/>
    <w:rsid w:val="406B1E48"/>
    <w:rsid w:val="411918A4"/>
    <w:rsid w:val="41417FB7"/>
    <w:rsid w:val="41934623"/>
    <w:rsid w:val="419D4283"/>
    <w:rsid w:val="41AF1136"/>
    <w:rsid w:val="41CA1EAB"/>
    <w:rsid w:val="41F4274F"/>
    <w:rsid w:val="420339DD"/>
    <w:rsid w:val="420D21C8"/>
    <w:rsid w:val="423A41C8"/>
    <w:rsid w:val="424D3B68"/>
    <w:rsid w:val="425F0874"/>
    <w:rsid w:val="42857B53"/>
    <w:rsid w:val="42AB79EA"/>
    <w:rsid w:val="42FA2450"/>
    <w:rsid w:val="4395089F"/>
    <w:rsid w:val="43A8628C"/>
    <w:rsid w:val="43C755E8"/>
    <w:rsid w:val="44A8676D"/>
    <w:rsid w:val="44C2210F"/>
    <w:rsid w:val="45011D41"/>
    <w:rsid w:val="454702B7"/>
    <w:rsid w:val="455F50A9"/>
    <w:rsid w:val="46054EFF"/>
    <w:rsid w:val="460B79E3"/>
    <w:rsid w:val="46113492"/>
    <w:rsid w:val="463333B8"/>
    <w:rsid w:val="46DC3AA0"/>
    <w:rsid w:val="46F1479A"/>
    <w:rsid w:val="46FD6304"/>
    <w:rsid w:val="472674C8"/>
    <w:rsid w:val="472F2356"/>
    <w:rsid w:val="473513C9"/>
    <w:rsid w:val="474E4E09"/>
    <w:rsid w:val="47A8312D"/>
    <w:rsid w:val="48033D20"/>
    <w:rsid w:val="48305E1A"/>
    <w:rsid w:val="486C49B0"/>
    <w:rsid w:val="48A65332"/>
    <w:rsid w:val="48B102D4"/>
    <w:rsid w:val="49234E8C"/>
    <w:rsid w:val="493801AD"/>
    <w:rsid w:val="49614097"/>
    <w:rsid w:val="49646232"/>
    <w:rsid w:val="497E15BE"/>
    <w:rsid w:val="49896CB2"/>
    <w:rsid w:val="498B1A71"/>
    <w:rsid w:val="498B5309"/>
    <w:rsid w:val="49A21DA1"/>
    <w:rsid w:val="49C91C9A"/>
    <w:rsid w:val="49CC4853"/>
    <w:rsid w:val="49DF0C57"/>
    <w:rsid w:val="4A633B90"/>
    <w:rsid w:val="4AA01CFD"/>
    <w:rsid w:val="4B226DD3"/>
    <w:rsid w:val="4B8169C4"/>
    <w:rsid w:val="4BFA71B5"/>
    <w:rsid w:val="4C436F62"/>
    <w:rsid w:val="4C4719BC"/>
    <w:rsid w:val="4C7F5B38"/>
    <w:rsid w:val="4C8248BD"/>
    <w:rsid w:val="4C927F2F"/>
    <w:rsid w:val="4C995F8F"/>
    <w:rsid w:val="4CB80446"/>
    <w:rsid w:val="4CDE6D29"/>
    <w:rsid w:val="4CFE7C69"/>
    <w:rsid w:val="4DDFDB34"/>
    <w:rsid w:val="4E257040"/>
    <w:rsid w:val="4EBA6128"/>
    <w:rsid w:val="4EEA6215"/>
    <w:rsid w:val="4EFD498B"/>
    <w:rsid w:val="4F45079D"/>
    <w:rsid w:val="4F451D9C"/>
    <w:rsid w:val="4F493920"/>
    <w:rsid w:val="4F5D4A66"/>
    <w:rsid w:val="4FB21727"/>
    <w:rsid w:val="4FB271AA"/>
    <w:rsid w:val="4FBF2665"/>
    <w:rsid w:val="4FC7336D"/>
    <w:rsid w:val="4FEA0889"/>
    <w:rsid w:val="4FEED003"/>
    <w:rsid w:val="50113E8E"/>
    <w:rsid w:val="50231A83"/>
    <w:rsid w:val="50A53BED"/>
    <w:rsid w:val="50AF18DD"/>
    <w:rsid w:val="50D06F2B"/>
    <w:rsid w:val="51206DA9"/>
    <w:rsid w:val="514E7348"/>
    <w:rsid w:val="518D60D8"/>
    <w:rsid w:val="52003687"/>
    <w:rsid w:val="52096D27"/>
    <w:rsid w:val="522401F4"/>
    <w:rsid w:val="52650568"/>
    <w:rsid w:val="53313A9A"/>
    <w:rsid w:val="535B4456"/>
    <w:rsid w:val="53C75190"/>
    <w:rsid w:val="53CC6EFE"/>
    <w:rsid w:val="53DCDC81"/>
    <w:rsid w:val="54321702"/>
    <w:rsid w:val="544E6960"/>
    <w:rsid w:val="545220E4"/>
    <w:rsid w:val="548A223D"/>
    <w:rsid w:val="54AB12DF"/>
    <w:rsid w:val="54B51E36"/>
    <w:rsid w:val="54C85664"/>
    <w:rsid w:val="54CA2679"/>
    <w:rsid w:val="54CA318A"/>
    <w:rsid w:val="55054CC7"/>
    <w:rsid w:val="55976B1C"/>
    <w:rsid w:val="55B13E0D"/>
    <w:rsid w:val="55E2480B"/>
    <w:rsid w:val="55F93865"/>
    <w:rsid w:val="56177F93"/>
    <w:rsid w:val="565E0EBF"/>
    <w:rsid w:val="56680EAC"/>
    <w:rsid w:val="56E4691C"/>
    <w:rsid w:val="57464C52"/>
    <w:rsid w:val="57483C27"/>
    <w:rsid w:val="574A1DC1"/>
    <w:rsid w:val="577F481A"/>
    <w:rsid w:val="579F2B50"/>
    <w:rsid w:val="57BECB18"/>
    <w:rsid w:val="57BF35F0"/>
    <w:rsid w:val="57DBE81D"/>
    <w:rsid w:val="57EF3FFD"/>
    <w:rsid w:val="587C0C3F"/>
    <w:rsid w:val="58967865"/>
    <w:rsid w:val="58F20F01"/>
    <w:rsid w:val="595F7C29"/>
    <w:rsid w:val="597701F1"/>
    <w:rsid w:val="599D34E8"/>
    <w:rsid w:val="59C271C9"/>
    <w:rsid w:val="59F2173A"/>
    <w:rsid w:val="5A2570B4"/>
    <w:rsid w:val="5A5F26D4"/>
    <w:rsid w:val="5A6B3AB0"/>
    <w:rsid w:val="5AA06E1B"/>
    <w:rsid w:val="5AE33153"/>
    <w:rsid w:val="5B16597E"/>
    <w:rsid w:val="5B435774"/>
    <w:rsid w:val="5B5E4889"/>
    <w:rsid w:val="5B7E2B2B"/>
    <w:rsid w:val="5BB3DA1A"/>
    <w:rsid w:val="5BCF12C3"/>
    <w:rsid w:val="5BDB6FCF"/>
    <w:rsid w:val="5BFA484F"/>
    <w:rsid w:val="5BFF442E"/>
    <w:rsid w:val="5C080FA9"/>
    <w:rsid w:val="5C180C7F"/>
    <w:rsid w:val="5C24476D"/>
    <w:rsid w:val="5C352CCC"/>
    <w:rsid w:val="5C5504D2"/>
    <w:rsid w:val="5C882ACB"/>
    <w:rsid w:val="5C9C3617"/>
    <w:rsid w:val="5CD34356"/>
    <w:rsid w:val="5D2E2F67"/>
    <w:rsid w:val="5DA36667"/>
    <w:rsid w:val="5DAF453C"/>
    <w:rsid w:val="5DC07E1D"/>
    <w:rsid w:val="5DDE928F"/>
    <w:rsid w:val="5DE45C74"/>
    <w:rsid w:val="5DE7DCF0"/>
    <w:rsid w:val="5DF6A660"/>
    <w:rsid w:val="5E177445"/>
    <w:rsid w:val="5E3BF01E"/>
    <w:rsid w:val="5E877CA1"/>
    <w:rsid w:val="5E964F94"/>
    <w:rsid w:val="5EABF946"/>
    <w:rsid w:val="5EAC2CE3"/>
    <w:rsid w:val="5EDC08A5"/>
    <w:rsid w:val="5EE78E25"/>
    <w:rsid w:val="5EEFBD2C"/>
    <w:rsid w:val="5EEFCF83"/>
    <w:rsid w:val="5EFF0CFA"/>
    <w:rsid w:val="5F8108E9"/>
    <w:rsid w:val="5FE1750C"/>
    <w:rsid w:val="5FE33FB4"/>
    <w:rsid w:val="5FF373C6"/>
    <w:rsid w:val="5FF7A830"/>
    <w:rsid w:val="603D6DB4"/>
    <w:rsid w:val="60DD09F9"/>
    <w:rsid w:val="61327D6B"/>
    <w:rsid w:val="61790877"/>
    <w:rsid w:val="617A1B7C"/>
    <w:rsid w:val="61B009D1"/>
    <w:rsid w:val="621A4158"/>
    <w:rsid w:val="62487C4B"/>
    <w:rsid w:val="62506A02"/>
    <w:rsid w:val="63065E39"/>
    <w:rsid w:val="63AA629D"/>
    <w:rsid w:val="63E777BB"/>
    <w:rsid w:val="64785203"/>
    <w:rsid w:val="64DD15DF"/>
    <w:rsid w:val="65AD24DB"/>
    <w:rsid w:val="65BC6B1F"/>
    <w:rsid w:val="65D5369F"/>
    <w:rsid w:val="65DC302A"/>
    <w:rsid w:val="65DC45DF"/>
    <w:rsid w:val="663A78AA"/>
    <w:rsid w:val="66570776"/>
    <w:rsid w:val="66ED7560"/>
    <w:rsid w:val="673D196D"/>
    <w:rsid w:val="676705B3"/>
    <w:rsid w:val="67E747FB"/>
    <w:rsid w:val="68104F00"/>
    <w:rsid w:val="685A68BE"/>
    <w:rsid w:val="68DE1099"/>
    <w:rsid w:val="68E9DB2B"/>
    <w:rsid w:val="69A320DB"/>
    <w:rsid w:val="69DC1BD1"/>
    <w:rsid w:val="69E178BF"/>
    <w:rsid w:val="69EC15D6"/>
    <w:rsid w:val="6A184540"/>
    <w:rsid w:val="6A1D049F"/>
    <w:rsid w:val="6A462282"/>
    <w:rsid w:val="6A5D0610"/>
    <w:rsid w:val="6A8F1D63"/>
    <w:rsid w:val="6AC67AF8"/>
    <w:rsid w:val="6AC77F7F"/>
    <w:rsid w:val="6B063B99"/>
    <w:rsid w:val="6B0B19AE"/>
    <w:rsid w:val="6B6C069F"/>
    <w:rsid w:val="6B755E21"/>
    <w:rsid w:val="6BE309E6"/>
    <w:rsid w:val="6BF25C4D"/>
    <w:rsid w:val="6C027255"/>
    <w:rsid w:val="6C0841E4"/>
    <w:rsid w:val="6C4DFAA5"/>
    <w:rsid w:val="6C554EC8"/>
    <w:rsid w:val="6C65495A"/>
    <w:rsid w:val="6CB65BFE"/>
    <w:rsid w:val="6CEDC09F"/>
    <w:rsid w:val="6CF592B2"/>
    <w:rsid w:val="6D54588F"/>
    <w:rsid w:val="6D5FE277"/>
    <w:rsid w:val="6D8433BC"/>
    <w:rsid w:val="6DF727CA"/>
    <w:rsid w:val="6E2B5B19"/>
    <w:rsid w:val="6E6B164E"/>
    <w:rsid w:val="6E6B2034"/>
    <w:rsid w:val="6E8474D1"/>
    <w:rsid w:val="6E855B98"/>
    <w:rsid w:val="6E9F7E94"/>
    <w:rsid w:val="6EDD503B"/>
    <w:rsid w:val="6F046D30"/>
    <w:rsid w:val="6F4F0A46"/>
    <w:rsid w:val="6FB645D5"/>
    <w:rsid w:val="6FBE565B"/>
    <w:rsid w:val="6FC31B8F"/>
    <w:rsid w:val="6FE72280"/>
    <w:rsid w:val="6FEC447E"/>
    <w:rsid w:val="6FEE29CF"/>
    <w:rsid w:val="6FF6876A"/>
    <w:rsid w:val="6FF77322"/>
    <w:rsid w:val="6FF77F61"/>
    <w:rsid w:val="70043BDB"/>
    <w:rsid w:val="70531ED5"/>
    <w:rsid w:val="70561566"/>
    <w:rsid w:val="705D2CAC"/>
    <w:rsid w:val="7073586F"/>
    <w:rsid w:val="70C9376D"/>
    <w:rsid w:val="7104203A"/>
    <w:rsid w:val="71104F85"/>
    <w:rsid w:val="712A1F38"/>
    <w:rsid w:val="712B617B"/>
    <w:rsid w:val="71773D35"/>
    <w:rsid w:val="71DC40A5"/>
    <w:rsid w:val="72473609"/>
    <w:rsid w:val="7272748D"/>
    <w:rsid w:val="7287504E"/>
    <w:rsid w:val="72B113CE"/>
    <w:rsid w:val="72D858C1"/>
    <w:rsid w:val="731970B0"/>
    <w:rsid w:val="7367CFC6"/>
    <w:rsid w:val="73781E2A"/>
    <w:rsid w:val="73A9A0FE"/>
    <w:rsid w:val="73BF4107"/>
    <w:rsid w:val="73DA06FA"/>
    <w:rsid w:val="73DFF914"/>
    <w:rsid w:val="73FF8890"/>
    <w:rsid w:val="743313D8"/>
    <w:rsid w:val="74652E24"/>
    <w:rsid w:val="748F004B"/>
    <w:rsid w:val="74A643ED"/>
    <w:rsid w:val="74AC1BA1"/>
    <w:rsid w:val="74DD616A"/>
    <w:rsid w:val="7552606E"/>
    <w:rsid w:val="75FD3C8F"/>
    <w:rsid w:val="75FF86F4"/>
    <w:rsid w:val="760475AC"/>
    <w:rsid w:val="7663715E"/>
    <w:rsid w:val="766E0586"/>
    <w:rsid w:val="769F582D"/>
    <w:rsid w:val="76DF7600"/>
    <w:rsid w:val="76F22A3C"/>
    <w:rsid w:val="775D9B88"/>
    <w:rsid w:val="77674BFC"/>
    <w:rsid w:val="776B2153"/>
    <w:rsid w:val="779FA59F"/>
    <w:rsid w:val="77D47E28"/>
    <w:rsid w:val="77D55160"/>
    <w:rsid w:val="77DF12D9"/>
    <w:rsid w:val="77FF7F81"/>
    <w:rsid w:val="780E41D1"/>
    <w:rsid w:val="78827754"/>
    <w:rsid w:val="790B6C04"/>
    <w:rsid w:val="795760CA"/>
    <w:rsid w:val="79EA52F5"/>
    <w:rsid w:val="79F6541D"/>
    <w:rsid w:val="7A007F9E"/>
    <w:rsid w:val="7A1B7D87"/>
    <w:rsid w:val="7A8D2CAF"/>
    <w:rsid w:val="7A8F4231"/>
    <w:rsid w:val="7A8F7F06"/>
    <w:rsid w:val="7AC6289B"/>
    <w:rsid w:val="7AD93877"/>
    <w:rsid w:val="7AE623F4"/>
    <w:rsid w:val="7AEB92DC"/>
    <w:rsid w:val="7B005E1C"/>
    <w:rsid w:val="7B0979D0"/>
    <w:rsid w:val="7B2791C4"/>
    <w:rsid w:val="7B8D7658"/>
    <w:rsid w:val="7B9FB2DE"/>
    <w:rsid w:val="7BBBC392"/>
    <w:rsid w:val="7BBFBC51"/>
    <w:rsid w:val="7BCB31C0"/>
    <w:rsid w:val="7BF81ADB"/>
    <w:rsid w:val="7BFB6BC2"/>
    <w:rsid w:val="7C3051CE"/>
    <w:rsid w:val="7C7F5DFF"/>
    <w:rsid w:val="7C846973"/>
    <w:rsid w:val="7CF71F3E"/>
    <w:rsid w:val="7CFF2C14"/>
    <w:rsid w:val="7D3DE5ED"/>
    <w:rsid w:val="7D3F62B0"/>
    <w:rsid w:val="7D4BD6E4"/>
    <w:rsid w:val="7D5E7E3F"/>
    <w:rsid w:val="7D7C1468"/>
    <w:rsid w:val="7D85447B"/>
    <w:rsid w:val="7D883202"/>
    <w:rsid w:val="7D91845B"/>
    <w:rsid w:val="7DA7DCAE"/>
    <w:rsid w:val="7DCA3EE2"/>
    <w:rsid w:val="7DD7FA30"/>
    <w:rsid w:val="7DDAA6C9"/>
    <w:rsid w:val="7E1105A1"/>
    <w:rsid w:val="7E2E3B63"/>
    <w:rsid w:val="7E4E00D8"/>
    <w:rsid w:val="7E6D27C6"/>
    <w:rsid w:val="7EBF7457"/>
    <w:rsid w:val="7EBFE7D3"/>
    <w:rsid w:val="7EEF40D6"/>
    <w:rsid w:val="7EFC5B0D"/>
    <w:rsid w:val="7F033E98"/>
    <w:rsid w:val="7F1809C7"/>
    <w:rsid w:val="7F5524F8"/>
    <w:rsid w:val="7F588807"/>
    <w:rsid w:val="7F67FA15"/>
    <w:rsid w:val="7F704811"/>
    <w:rsid w:val="7F722BA9"/>
    <w:rsid w:val="7F73320A"/>
    <w:rsid w:val="7F7922D8"/>
    <w:rsid w:val="7F7E58BB"/>
    <w:rsid w:val="7F7FED93"/>
    <w:rsid w:val="7F9E374B"/>
    <w:rsid w:val="7FA773E3"/>
    <w:rsid w:val="7FB75ABF"/>
    <w:rsid w:val="7FBB019E"/>
    <w:rsid w:val="7FBF4902"/>
    <w:rsid w:val="7FDE9C03"/>
    <w:rsid w:val="7FDF7B0B"/>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DFCCD50"/>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7BD831"/>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58F42"/>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4"/>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5"/>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6"/>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7"/>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8"/>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89"/>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0"/>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1"/>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2"/>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qFormat/>
    <w:uiPriority w:val="39"/>
    <w:pPr>
      <w:ind w:left="1260"/>
      <w:jc w:val="left"/>
    </w:pPr>
    <w:rPr>
      <w:rFonts w:ascii="Calibri" w:hAnsi="Calibri" w:eastAsia="宋体" w:cs="Calibri"/>
      <w:sz w:val="18"/>
      <w:szCs w:val="18"/>
    </w:rPr>
  </w:style>
  <w:style w:type="paragraph" w:styleId="13">
    <w:name w:val="List Number 2"/>
    <w:basedOn w:val="1"/>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7"/>
    <w:link w:val="108"/>
    <w:unhideWhenUsed/>
    <w:qFormat/>
    <w:uiPriority w:val="0"/>
    <w:pPr>
      <w:ind w:firstLine="420"/>
    </w:pPr>
    <w:rPr>
      <w:rFonts w:ascii="Times New Roman" w:hAnsi="Times New Roman" w:eastAsia="宋体" w:cs="Times New Roman"/>
      <w:kern w:val="0"/>
      <w:sz w:val="20"/>
      <w:szCs w:val="20"/>
    </w:rPr>
  </w:style>
  <w:style w:type="paragraph" w:styleId="17">
    <w:name w:val="Body Text Indent"/>
    <w:basedOn w:val="1"/>
    <w:next w:val="16"/>
    <w:link w:val="110"/>
    <w:unhideWhenUsed/>
    <w:qFormat/>
    <w:uiPriority w:val="99"/>
    <w:pPr>
      <w:spacing w:line="200" w:lineRule="exact"/>
      <w:ind w:firstLine="301"/>
    </w:pPr>
    <w:rPr>
      <w:rFonts w:ascii="宋体" w:hAnsi="Courier New" w:eastAsia="宋体" w:cs="Times New Roman"/>
      <w:spacing w:val="-4"/>
      <w:kern w:val="0"/>
      <w:sz w:val="18"/>
    </w:rPr>
  </w:style>
  <w:style w:type="paragraph" w:styleId="18">
    <w:name w:val="caption"/>
    <w:basedOn w:val="1"/>
    <w:next w:val="1"/>
    <w:link w:val="109"/>
    <w:unhideWhenUsed/>
    <w:qFormat/>
    <w:uiPriority w:val="0"/>
    <w:pPr>
      <w:spacing w:before="152" w:after="160"/>
    </w:pPr>
    <w:rPr>
      <w:rFonts w:ascii="Arial" w:hAnsi="Arial" w:eastAsia="黑体" w:cs="Times New Roman"/>
      <w:kern w:val="0"/>
      <w:sz w:val="20"/>
      <w:szCs w:val="20"/>
    </w:rPr>
  </w:style>
  <w:style w:type="paragraph" w:styleId="19">
    <w:name w:val="List Bullet"/>
    <w:basedOn w:val="1"/>
    <w:unhideWhenUsed/>
    <w:qFormat/>
    <w:uiPriority w:val="0"/>
    <w:pPr>
      <w:tabs>
        <w:tab w:val="left" w:pos="360"/>
      </w:tabs>
      <w:ind w:left="360" w:hanging="360"/>
    </w:pPr>
    <w:rPr>
      <w:rFonts w:ascii="Times New Roman" w:hAnsi="Times New Roman" w:eastAsia="宋体" w:cs="Times New Roman"/>
    </w:rPr>
  </w:style>
  <w:style w:type="paragraph" w:styleId="20">
    <w:name w:val="Document Map"/>
    <w:basedOn w:val="1"/>
    <w:link w:val="93"/>
    <w:unhideWhenUsed/>
    <w:qFormat/>
    <w:uiPriority w:val="0"/>
    <w:pPr>
      <w:shd w:val="clear" w:color="auto" w:fill="000080"/>
    </w:pPr>
    <w:rPr>
      <w:rFonts w:ascii="Times New Roman" w:hAnsi="Times New Roman" w:eastAsia="宋体" w:cs="宋体"/>
    </w:rPr>
  </w:style>
  <w:style w:type="paragraph" w:styleId="21">
    <w:name w:val="annotation text"/>
    <w:basedOn w:val="1"/>
    <w:link w:val="94"/>
    <w:unhideWhenUsed/>
    <w:qFormat/>
    <w:uiPriority w:val="0"/>
    <w:pPr>
      <w:jc w:val="left"/>
    </w:pPr>
    <w:rPr>
      <w:rFonts w:ascii="Times New Roman" w:hAnsi="Times New Roman" w:eastAsia="宋体" w:cs="Times New Roman"/>
    </w:rPr>
  </w:style>
  <w:style w:type="paragraph" w:styleId="22">
    <w:name w:val="Salutation"/>
    <w:basedOn w:val="1"/>
    <w:next w:val="1"/>
    <w:link w:val="360"/>
    <w:qFormat/>
    <w:uiPriority w:val="0"/>
    <w:pPr>
      <w:widowControl/>
      <w:jc w:val="left"/>
    </w:pPr>
    <w:rPr>
      <w:rFonts w:ascii="Times New Roman" w:hAnsi="Times New Roman" w:eastAsia="宋体" w:cs="Times New Roman"/>
      <w:kern w:val="0"/>
      <w:sz w:val="20"/>
      <w:szCs w:val="24"/>
    </w:rPr>
  </w:style>
  <w:style w:type="paragraph" w:styleId="23">
    <w:name w:val="Body Text 3"/>
    <w:basedOn w:val="1"/>
    <w:link w:val="95"/>
    <w:unhideWhenUsed/>
    <w:qFormat/>
    <w:uiPriority w:val="0"/>
    <w:pPr>
      <w:snapToGrid w:val="0"/>
      <w:spacing w:before="50" w:after="50"/>
    </w:pPr>
    <w:rPr>
      <w:rFonts w:ascii="Times New Roman" w:hAnsi="宋体" w:eastAsia="Times New Roman" w:cs="Times New Roman"/>
      <w:b/>
      <w:sz w:val="24"/>
    </w:rPr>
  </w:style>
  <w:style w:type="paragraph" w:styleId="24">
    <w:name w:val="List Bullet 3"/>
    <w:basedOn w:val="1"/>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5">
    <w:name w:val="Body Text"/>
    <w:basedOn w:val="1"/>
    <w:link w:val="96"/>
    <w:unhideWhenUsed/>
    <w:qFormat/>
    <w:uiPriority w:val="1"/>
    <w:pPr>
      <w:spacing w:after="120"/>
    </w:pPr>
    <w:rPr>
      <w:rFonts w:ascii="Times New Roman" w:hAnsi="Times New Roman" w:eastAsia="宋体" w:cs="Times New Roman"/>
    </w:rPr>
  </w:style>
  <w:style w:type="paragraph" w:styleId="26">
    <w:name w:val="List Number 3"/>
    <w:basedOn w:val="1"/>
    <w:unhideWhenUsed/>
    <w:qFormat/>
    <w:uiPriority w:val="0"/>
    <w:pPr>
      <w:numPr>
        <w:ilvl w:val="0"/>
        <w:numId w:val="1"/>
      </w:numPr>
    </w:pPr>
    <w:rPr>
      <w:rFonts w:ascii="Times New Roman" w:hAnsi="Times New Roman" w:eastAsia="宋体" w:cs="Times New Roman"/>
      <w:szCs w:val="24"/>
    </w:rPr>
  </w:style>
  <w:style w:type="paragraph" w:styleId="27">
    <w:name w:val="List 2"/>
    <w:basedOn w:val="1"/>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List Bullet 2"/>
    <w:basedOn w:val="1"/>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0">
    <w:name w:val="toc 5"/>
    <w:basedOn w:val="1"/>
    <w:next w:val="1"/>
    <w:qFormat/>
    <w:uiPriority w:val="39"/>
    <w:pPr>
      <w:ind w:left="840"/>
      <w:jc w:val="left"/>
    </w:pPr>
    <w:rPr>
      <w:rFonts w:ascii="Calibri" w:hAnsi="Calibri" w:eastAsia="宋体" w:cs="Calibri"/>
      <w:sz w:val="18"/>
      <w:szCs w:val="18"/>
    </w:rPr>
  </w:style>
  <w:style w:type="paragraph" w:styleId="31">
    <w:name w:val="toc 3"/>
    <w:basedOn w:val="1"/>
    <w:next w:val="1"/>
    <w:qFormat/>
    <w:uiPriority w:val="39"/>
    <w:pPr>
      <w:ind w:left="420"/>
      <w:jc w:val="left"/>
    </w:pPr>
    <w:rPr>
      <w:rFonts w:ascii="Calibri" w:hAnsi="Calibri" w:eastAsia="宋体" w:cs="Calibri"/>
      <w:i/>
      <w:iCs/>
      <w:sz w:val="20"/>
      <w:szCs w:val="20"/>
    </w:rPr>
  </w:style>
  <w:style w:type="paragraph" w:styleId="32">
    <w:name w:val="Plain Text"/>
    <w:basedOn w:val="1"/>
    <w:link w:val="111"/>
    <w:unhideWhenUsed/>
    <w:qFormat/>
    <w:uiPriority w:val="0"/>
    <w:pPr>
      <w:spacing w:beforeLines="50" w:line="400" w:lineRule="exact"/>
    </w:pPr>
    <w:rPr>
      <w:rFonts w:ascii="宋体" w:hAnsi="Courier New" w:eastAsia="宋体" w:cs="Times New Roman"/>
      <w:sz w:val="24"/>
    </w:rPr>
  </w:style>
  <w:style w:type="paragraph" w:styleId="33">
    <w:name w:val="List Bullet 5"/>
    <w:basedOn w:val="1"/>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4">
    <w:name w:val="List Number 4"/>
    <w:basedOn w:val="1"/>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5">
    <w:name w:val="toc 8"/>
    <w:basedOn w:val="1"/>
    <w:next w:val="1"/>
    <w:qFormat/>
    <w:uiPriority w:val="39"/>
    <w:pPr>
      <w:ind w:left="1470"/>
      <w:jc w:val="left"/>
    </w:pPr>
    <w:rPr>
      <w:rFonts w:ascii="Calibri" w:hAnsi="Calibri" w:eastAsia="宋体" w:cs="Calibri"/>
      <w:sz w:val="18"/>
      <w:szCs w:val="18"/>
    </w:rPr>
  </w:style>
  <w:style w:type="paragraph" w:styleId="36">
    <w:name w:val="Date"/>
    <w:basedOn w:val="1"/>
    <w:next w:val="1"/>
    <w:link w:val="100"/>
    <w:unhideWhenUsed/>
    <w:qFormat/>
    <w:uiPriority w:val="99"/>
    <w:pPr>
      <w:ind w:left="2500" w:leftChars="2500"/>
    </w:pPr>
    <w:rPr>
      <w:rFonts w:ascii="Calibri" w:hAnsi="Calibri" w:eastAsia="楷体_GB2312" w:cs="Times New Roman"/>
      <w:kern w:val="0"/>
      <w:sz w:val="32"/>
    </w:rPr>
  </w:style>
  <w:style w:type="paragraph" w:styleId="37">
    <w:name w:val="Body Text Indent 2"/>
    <w:basedOn w:val="1"/>
    <w:link w:val="101"/>
    <w:unhideWhenUsed/>
    <w:qFormat/>
    <w:uiPriority w:val="0"/>
    <w:pPr>
      <w:snapToGrid w:val="0"/>
      <w:ind w:firstLine="542" w:firstLineChars="225"/>
    </w:pPr>
    <w:rPr>
      <w:rFonts w:ascii="仿宋_GB2312" w:hAnsi="宋体" w:eastAsia="宋体" w:cs="Times New Roman"/>
      <w:b/>
      <w:color w:val="000000"/>
      <w:kern w:val="0"/>
      <w:sz w:val="24"/>
    </w:rPr>
  </w:style>
  <w:style w:type="paragraph" w:styleId="38">
    <w:name w:val="endnote text"/>
    <w:basedOn w:val="1"/>
    <w:link w:val="361"/>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39">
    <w:name w:val="Balloon Text"/>
    <w:basedOn w:val="1"/>
    <w:link w:val="102"/>
    <w:unhideWhenUsed/>
    <w:qFormat/>
    <w:uiPriority w:val="0"/>
    <w:rPr>
      <w:rFonts w:ascii="Calibri" w:hAnsi="Calibri" w:eastAsia="宋体" w:cs="Times New Roman"/>
      <w:sz w:val="18"/>
      <w:szCs w:val="18"/>
    </w:rPr>
  </w:style>
  <w:style w:type="paragraph" w:styleId="40">
    <w:name w:val="footer"/>
    <w:basedOn w:val="1"/>
    <w:link w:val="83"/>
    <w:unhideWhenUsed/>
    <w:qFormat/>
    <w:uiPriority w:val="99"/>
    <w:pPr>
      <w:tabs>
        <w:tab w:val="center" w:pos="4153"/>
        <w:tab w:val="right" w:pos="8306"/>
      </w:tabs>
      <w:snapToGrid w:val="0"/>
      <w:jc w:val="left"/>
    </w:pPr>
    <w:rPr>
      <w:sz w:val="18"/>
      <w:szCs w:val="18"/>
    </w:rPr>
  </w:style>
  <w:style w:type="paragraph" w:styleId="41">
    <w:name w:val="header"/>
    <w:basedOn w:val="1"/>
    <w:link w:val="82"/>
    <w:unhideWhenUsed/>
    <w:qFormat/>
    <w:uiPriority w:val="99"/>
    <w:pPr>
      <w:pBdr>
        <w:bottom w:val="single" w:color="auto" w:sz="6" w:space="1"/>
      </w:pBdr>
      <w:tabs>
        <w:tab w:val="center" w:pos="4153"/>
        <w:tab w:val="right" w:pos="8306"/>
      </w:tabs>
      <w:snapToGrid w:val="0"/>
      <w:jc w:val="center"/>
    </w:pPr>
    <w:rPr>
      <w:sz w:val="18"/>
      <w:szCs w:val="18"/>
    </w:rPr>
  </w:style>
  <w:style w:type="paragraph" w:styleId="42">
    <w:name w:val="toc 1"/>
    <w:basedOn w:val="1"/>
    <w:next w:val="1"/>
    <w:link w:val="368"/>
    <w:unhideWhenUsed/>
    <w:qFormat/>
    <w:uiPriority w:val="39"/>
    <w:rPr>
      <w:rFonts w:ascii="Times New Roman" w:hAnsi="Times New Roman" w:eastAsia="宋体" w:cs="Times New Roman"/>
    </w:rPr>
  </w:style>
  <w:style w:type="paragraph" w:styleId="43">
    <w:name w:val="toc 4"/>
    <w:basedOn w:val="1"/>
    <w:next w:val="1"/>
    <w:qFormat/>
    <w:uiPriority w:val="39"/>
    <w:pPr>
      <w:ind w:left="630"/>
      <w:jc w:val="left"/>
    </w:pPr>
    <w:rPr>
      <w:rFonts w:ascii="Calibri" w:hAnsi="Calibri" w:eastAsia="宋体" w:cs="Calibri"/>
      <w:sz w:val="18"/>
      <w:szCs w:val="18"/>
    </w:rPr>
  </w:style>
  <w:style w:type="paragraph" w:styleId="44">
    <w:name w:val="Subtitle"/>
    <w:basedOn w:val="1"/>
    <w:next w:val="1"/>
    <w:link w:val="362"/>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5">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6">
    <w:name w:val="List"/>
    <w:basedOn w:val="1"/>
    <w:semiHidden/>
    <w:unhideWhenUsed/>
    <w:qFormat/>
    <w:uiPriority w:val="99"/>
    <w:pPr>
      <w:ind w:left="200" w:hanging="200" w:hangingChars="200"/>
    </w:pPr>
    <w:rPr>
      <w:rFonts w:ascii="Times New Roman" w:hAnsi="Times New Roman" w:eastAsia="宋体" w:cs="Times New Roman"/>
      <w:sz w:val="28"/>
    </w:rPr>
  </w:style>
  <w:style w:type="paragraph" w:styleId="47">
    <w:name w:val="footnote text"/>
    <w:basedOn w:val="1"/>
    <w:link w:val="363"/>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8">
    <w:name w:val="toc 6"/>
    <w:basedOn w:val="1"/>
    <w:next w:val="1"/>
    <w:qFormat/>
    <w:uiPriority w:val="39"/>
    <w:pPr>
      <w:ind w:left="1050"/>
      <w:jc w:val="left"/>
    </w:pPr>
    <w:rPr>
      <w:rFonts w:ascii="Calibri" w:hAnsi="Calibri" w:eastAsia="宋体" w:cs="Calibri"/>
      <w:sz w:val="18"/>
      <w:szCs w:val="18"/>
    </w:rPr>
  </w:style>
  <w:style w:type="paragraph" w:styleId="49">
    <w:name w:val="Body Text Indent 3"/>
    <w:basedOn w:val="1"/>
    <w:link w:val="103"/>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0">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1">
    <w:name w:val="toc 9"/>
    <w:basedOn w:val="1"/>
    <w:next w:val="1"/>
    <w:qFormat/>
    <w:uiPriority w:val="39"/>
    <w:pPr>
      <w:ind w:left="1680"/>
      <w:jc w:val="left"/>
    </w:pPr>
    <w:rPr>
      <w:rFonts w:ascii="Calibri" w:hAnsi="Calibri" w:eastAsia="宋体" w:cs="Calibri"/>
      <w:sz w:val="18"/>
      <w:szCs w:val="18"/>
    </w:rPr>
  </w:style>
  <w:style w:type="paragraph" w:styleId="52">
    <w:name w:val="Body Text 2"/>
    <w:basedOn w:val="1"/>
    <w:link w:val="104"/>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3">
    <w:name w:val="HTML Preformatted"/>
    <w:basedOn w:val="1"/>
    <w:link w:val="105"/>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4">
    <w:name w:val="Normal (Web)"/>
    <w:basedOn w:val="1"/>
    <w:link w:val="721"/>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5">
    <w:name w:val="index 1"/>
    <w:basedOn w:val="1"/>
    <w:next w:val="1"/>
    <w:unhideWhenUsed/>
    <w:qFormat/>
    <w:uiPriority w:val="0"/>
    <w:pPr>
      <w:tabs>
        <w:tab w:val="left" w:pos="900"/>
      </w:tabs>
      <w:adjustRightInd w:val="0"/>
      <w:ind w:firstLine="420" w:firstLineChars="200"/>
    </w:pPr>
    <w:rPr>
      <w:rFonts w:ascii="宋体" w:hAnsi="宋体" w:eastAsia="宋体" w:cs="Times New Roman"/>
    </w:rPr>
  </w:style>
  <w:style w:type="paragraph" w:styleId="56">
    <w:name w:val="Title"/>
    <w:basedOn w:val="1"/>
    <w:next w:val="1"/>
    <w:link w:val="364"/>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7">
    <w:name w:val="annotation subject"/>
    <w:basedOn w:val="21"/>
    <w:next w:val="21"/>
    <w:link w:val="106"/>
    <w:unhideWhenUsed/>
    <w:qFormat/>
    <w:uiPriority w:val="0"/>
    <w:rPr>
      <w:rFonts w:cs="宋体"/>
      <w:b/>
      <w:bCs/>
    </w:rPr>
  </w:style>
  <w:style w:type="paragraph" w:styleId="58">
    <w:name w:val="Body Text First Indent"/>
    <w:basedOn w:val="25"/>
    <w:next w:val="1"/>
    <w:link w:val="97"/>
    <w:unhideWhenUsed/>
    <w:qFormat/>
    <w:uiPriority w:val="0"/>
    <w:pPr>
      <w:ind w:firstLine="420" w:firstLineChars="100"/>
    </w:pPr>
    <w:rPr>
      <w:rFonts w:hAnsi="Calibri"/>
      <w:kern w:val="0"/>
    </w:rPr>
  </w:style>
  <w:style w:type="paragraph" w:styleId="59">
    <w:name w:val="Body Text First Indent 2"/>
    <w:basedOn w:val="17"/>
    <w:next w:val="25"/>
    <w:link w:val="107"/>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qFormat/>
    <w:uiPriority w:val="0"/>
    <w:rPr>
      <w:rFonts w:hint="default" w:ascii="Times New Roman" w:hAnsi="Times New Roman" w:cs="Times New Roman"/>
      <w:b/>
    </w:rPr>
  </w:style>
  <w:style w:type="character" w:styleId="71">
    <w:name w:val="page number"/>
    <w:basedOn w:val="69"/>
    <w:unhideWhenUsed/>
    <w:qFormat/>
    <w:uiPriority w:val="0"/>
    <w:rPr>
      <w:rFonts w:hint="default" w:ascii="Times New Roman" w:hAnsi="Times New Roman" w:cs="Times New Roman"/>
    </w:rPr>
  </w:style>
  <w:style w:type="character" w:styleId="72">
    <w:name w:val="FollowedHyperlink"/>
    <w:basedOn w:val="69"/>
    <w:unhideWhenUsed/>
    <w:qFormat/>
    <w:uiPriority w:val="0"/>
    <w:rPr>
      <w:rFonts w:hint="default" w:ascii="Times New Roman" w:hAnsi="Times New Roman" w:cs="Times New Roman"/>
      <w:color w:val="800080"/>
      <w:u w:val="single"/>
    </w:rPr>
  </w:style>
  <w:style w:type="character" w:styleId="73">
    <w:name w:val="Emphasis"/>
    <w:qFormat/>
    <w:uiPriority w:val="0"/>
    <w:rPr>
      <w:rFonts w:ascii="Calibri" w:hAnsi="Calibri" w:eastAsia="宋体" w:cs="Times New Roman"/>
    </w:rPr>
  </w:style>
  <w:style w:type="character" w:styleId="74">
    <w:name w:val="HTML Definition"/>
    <w:basedOn w:val="69"/>
    <w:semiHidden/>
    <w:unhideWhenUsed/>
    <w:qFormat/>
    <w:uiPriority w:val="0"/>
    <w:rPr>
      <w:rFonts w:hint="default" w:ascii="Times New Roman" w:hAnsi="Times New Roman" w:cs="Times New Roman"/>
      <w:i/>
    </w:rPr>
  </w:style>
  <w:style w:type="character" w:styleId="75">
    <w:name w:val="Hyperlink"/>
    <w:basedOn w:val="69"/>
    <w:unhideWhenUsed/>
    <w:qFormat/>
    <w:uiPriority w:val="99"/>
    <w:rPr>
      <w:rFonts w:hint="default" w:ascii="Times New Roman" w:hAnsi="Times New Roman" w:cs="Times New Roman"/>
      <w:color w:val="0000FF"/>
      <w:u w:val="single"/>
    </w:rPr>
  </w:style>
  <w:style w:type="character" w:styleId="76">
    <w:name w:val="HTML Code"/>
    <w:basedOn w:val="69"/>
    <w:semiHidden/>
    <w:unhideWhenUsed/>
    <w:qFormat/>
    <w:uiPriority w:val="0"/>
    <w:rPr>
      <w:rFonts w:hint="default" w:ascii="Marlett" w:hAnsi="Marlett" w:eastAsia="Times New Roman" w:cs="Times New Roman"/>
      <w:sz w:val="21"/>
      <w:szCs w:val="24"/>
    </w:rPr>
  </w:style>
  <w:style w:type="character" w:styleId="77">
    <w:name w:val="annotation reference"/>
    <w:basedOn w:val="69"/>
    <w:unhideWhenUsed/>
    <w:qFormat/>
    <w:uiPriority w:val="0"/>
    <w:rPr>
      <w:rFonts w:hint="default" w:ascii="Times New Roman" w:hAnsi="Times New Roman" w:cs="Times New Roman"/>
      <w:sz w:val="21"/>
    </w:rPr>
  </w:style>
  <w:style w:type="character" w:styleId="78">
    <w:name w:val="footnote reference"/>
    <w:basedOn w:val="69"/>
    <w:qFormat/>
    <w:uiPriority w:val="0"/>
    <w:rPr>
      <w:vertAlign w:val="superscript"/>
    </w:rPr>
  </w:style>
  <w:style w:type="character" w:styleId="79">
    <w:name w:val="HTML Keyboard"/>
    <w:basedOn w:val="69"/>
    <w:semiHidden/>
    <w:unhideWhenUsed/>
    <w:qFormat/>
    <w:uiPriority w:val="0"/>
    <w:rPr>
      <w:rFonts w:hint="default" w:ascii="Marlett" w:hAnsi="Marlett" w:eastAsia="Times New Roman" w:cs="Times New Roman"/>
      <w:sz w:val="21"/>
      <w:szCs w:val="24"/>
    </w:rPr>
  </w:style>
  <w:style w:type="character" w:styleId="80">
    <w:name w:val="HTML Sample"/>
    <w:basedOn w:val="69"/>
    <w:semiHidden/>
    <w:unhideWhenUsed/>
    <w:qFormat/>
    <w:uiPriority w:val="0"/>
    <w:rPr>
      <w:rFonts w:hint="default" w:ascii="Marlett" w:hAnsi="Marlett" w:eastAsia="Times New Roman" w:cs="Times New Roman"/>
      <w:sz w:val="21"/>
    </w:rPr>
  </w:style>
  <w:style w:type="paragraph" w:customStyle="1" w:styleId="81">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2">
    <w:name w:val="页眉 字符"/>
    <w:basedOn w:val="69"/>
    <w:link w:val="41"/>
    <w:qFormat/>
    <w:uiPriority w:val="99"/>
    <w:rPr>
      <w:sz w:val="18"/>
      <w:szCs w:val="18"/>
    </w:rPr>
  </w:style>
  <w:style w:type="character" w:customStyle="1" w:styleId="83">
    <w:name w:val="页脚 字符"/>
    <w:basedOn w:val="69"/>
    <w:link w:val="40"/>
    <w:qFormat/>
    <w:uiPriority w:val="99"/>
    <w:rPr>
      <w:sz w:val="18"/>
      <w:szCs w:val="18"/>
    </w:rPr>
  </w:style>
  <w:style w:type="character" w:customStyle="1" w:styleId="84">
    <w:name w:val="标题 1 字符"/>
    <w:basedOn w:val="69"/>
    <w:link w:val="2"/>
    <w:qFormat/>
    <w:uiPriority w:val="0"/>
    <w:rPr>
      <w:rFonts w:ascii="Times New Roman" w:hAnsi="Times New Roman" w:eastAsia="黑体" w:cs="Times New Roman"/>
      <w:b/>
      <w:bCs/>
      <w:kern w:val="44"/>
      <w:sz w:val="52"/>
      <w:szCs w:val="20"/>
    </w:rPr>
  </w:style>
  <w:style w:type="character" w:customStyle="1" w:styleId="85">
    <w:name w:val="标题 2 字符"/>
    <w:basedOn w:val="69"/>
    <w:link w:val="3"/>
    <w:qFormat/>
    <w:uiPriority w:val="9"/>
    <w:rPr>
      <w:rFonts w:ascii="Arial" w:hAnsi="Arial" w:eastAsia="黑体" w:cs="Times New Roman"/>
      <w:b/>
      <w:kern w:val="0"/>
      <w:sz w:val="32"/>
      <w:szCs w:val="20"/>
    </w:rPr>
  </w:style>
  <w:style w:type="character" w:customStyle="1" w:styleId="86">
    <w:name w:val="标题 3 字符"/>
    <w:basedOn w:val="69"/>
    <w:link w:val="4"/>
    <w:qFormat/>
    <w:uiPriority w:val="0"/>
    <w:rPr>
      <w:rFonts w:ascii="Times New Roman" w:hAnsi="Times New Roman" w:eastAsia="黑体" w:cs="Times New Roman"/>
      <w:b/>
      <w:bCs/>
      <w:sz w:val="36"/>
      <w:szCs w:val="36"/>
    </w:rPr>
  </w:style>
  <w:style w:type="character" w:customStyle="1" w:styleId="87">
    <w:name w:val="标题 4 字符"/>
    <w:basedOn w:val="69"/>
    <w:link w:val="5"/>
    <w:qFormat/>
    <w:uiPriority w:val="0"/>
    <w:rPr>
      <w:rFonts w:ascii="Arial" w:hAnsi="Arial" w:eastAsia="黑体" w:cs="Times New Roman"/>
      <w:b/>
      <w:bCs/>
      <w:sz w:val="30"/>
      <w:szCs w:val="28"/>
    </w:rPr>
  </w:style>
  <w:style w:type="character" w:customStyle="1" w:styleId="88">
    <w:name w:val="标题 5 字符"/>
    <w:basedOn w:val="69"/>
    <w:link w:val="6"/>
    <w:qFormat/>
    <w:uiPriority w:val="0"/>
    <w:rPr>
      <w:rFonts w:ascii="Times New Roman" w:hAnsi="Times New Roman" w:eastAsia="宋体" w:cs="Times New Roman"/>
      <w:b/>
      <w:bCs/>
      <w:sz w:val="28"/>
      <w:szCs w:val="28"/>
    </w:rPr>
  </w:style>
  <w:style w:type="character" w:customStyle="1" w:styleId="89">
    <w:name w:val="标题 6 字符"/>
    <w:basedOn w:val="69"/>
    <w:link w:val="7"/>
    <w:qFormat/>
    <w:uiPriority w:val="9"/>
    <w:rPr>
      <w:rFonts w:ascii="Arial" w:hAnsi="Arial" w:eastAsia="黑体" w:cs="Times New Roman"/>
      <w:b/>
      <w:sz w:val="24"/>
      <w:szCs w:val="24"/>
    </w:rPr>
  </w:style>
  <w:style w:type="character" w:customStyle="1" w:styleId="90">
    <w:name w:val="标题 7 字符"/>
    <w:basedOn w:val="69"/>
    <w:link w:val="8"/>
    <w:qFormat/>
    <w:uiPriority w:val="9"/>
    <w:rPr>
      <w:rFonts w:ascii="Times New Roman" w:hAnsi="Times New Roman" w:eastAsia="黑体"/>
      <w:sz w:val="24"/>
      <w:szCs w:val="21"/>
    </w:rPr>
  </w:style>
  <w:style w:type="character" w:customStyle="1" w:styleId="91">
    <w:name w:val="标题 8 字符"/>
    <w:basedOn w:val="69"/>
    <w:link w:val="9"/>
    <w:qFormat/>
    <w:uiPriority w:val="9"/>
    <w:rPr>
      <w:rFonts w:ascii="Times New Roman" w:hAnsi="Times New Roman" w:eastAsia="黑体" w:cs="Times New Roman"/>
      <w:bCs/>
      <w:sz w:val="24"/>
      <w:szCs w:val="32"/>
    </w:rPr>
  </w:style>
  <w:style w:type="character" w:customStyle="1" w:styleId="92">
    <w:name w:val="标题 9 字符"/>
    <w:basedOn w:val="69"/>
    <w:link w:val="10"/>
    <w:qFormat/>
    <w:uiPriority w:val="9"/>
    <w:rPr>
      <w:rFonts w:ascii="Times New Roman" w:hAnsi="Times New Roman" w:eastAsia="黑体"/>
      <w:sz w:val="24"/>
      <w:szCs w:val="21"/>
    </w:rPr>
  </w:style>
  <w:style w:type="character" w:customStyle="1" w:styleId="93">
    <w:name w:val="文档结构图 字符"/>
    <w:basedOn w:val="69"/>
    <w:link w:val="20"/>
    <w:qFormat/>
    <w:uiPriority w:val="0"/>
    <w:rPr>
      <w:rFonts w:ascii="Times New Roman" w:hAnsi="Times New Roman" w:eastAsia="宋体" w:cs="宋体"/>
      <w:shd w:val="clear" w:color="auto" w:fill="000080"/>
    </w:rPr>
  </w:style>
  <w:style w:type="character" w:customStyle="1" w:styleId="94">
    <w:name w:val="批注文字 字符"/>
    <w:basedOn w:val="69"/>
    <w:link w:val="21"/>
    <w:qFormat/>
    <w:uiPriority w:val="0"/>
    <w:rPr>
      <w:rFonts w:ascii="Times New Roman" w:hAnsi="Times New Roman" w:eastAsia="宋体" w:cs="Times New Roman"/>
    </w:rPr>
  </w:style>
  <w:style w:type="character" w:customStyle="1" w:styleId="95">
    <w:name w:val="正文文本 3 字符"/>
    <w:basedOn w:val="69"/>
    <w:link w:val="23"/>
    <w:qFormat/>
    <w:uiPriority w:val="0"/>
    <w:rPr>
      <w:rFonts w:ascii="Times New Roman" w:hAnsi="宋体" w:eastAsia="Times New Roman" w:cs="Times New Roman"/>
      <w:b/>
      <w:sz w:val="24"/>
    </w:rPr>
  </w:style>
  <w:style w:type="character" w:customStyle="1" w:styleId="96">
    <w:name w:val="正文文本 字符"/>
    <w:basedOn w:val="69"/>
    <w:link w:val="25"/>
    <w:qFormat/>
    <w:uiPriority w:val="1"/>
    <w:rPr>
      <w:rFonts w:ascii="Times New Roman" w:hAnsi="Times New Roman" w:eastAsia="宋体" w:cs="Times New Roman"/>
    </w:rPr>
  </w:style>
  <w:style w:type="character" w:customStyle="1" w:styleId="97">
    <w:name w:val="正文文本首行缩进 字符"/>
    <w:basedOn w:val="96"/>
    <w:link w:val="58"/>
    <w:qFormat/>
    <w:uiPriority w:val="0"/>
    <w:rPr>
      <w:rFonts w:ascii="Times New Roman" w:hAnsi="Calibri" w:eastAsia="宋体" w:cs="Times New Roman"/>
      <w:kern w:val="0"/>
    </w:rPr>
  </w:style>
  <w:style w:type="character" w:customStyle="1" w:styleId="98">
    <w:name w:val="正文文本缩进 字符"/>
    <w:basedOn w:val="69"/>
    <w:qFormat/>
    <w:uiPriority w:val="99"/>
  </w:style>
  <w:style w:type="character" w:customStyle="1" w:styleId="99">
    <w:name w:val="纯文本 字符"/>
    <w:basedOn w:val="69"/>
    <w:qFormat/>
    <w:uiPriority w:val="0"/>
    <w:rPr>
      <w:rFonts w:hAnsi="Courier New" w:cs="Courier New" w:asciiTheme="minorEastAsia"/>
    </w:rPr>
  </w:style>
  <w:style w:type="character" w:customStyle="1" w:styleId="100">
    <w:name w:val="日期 字符"/>
    <w:basedOn w:val="69"/>
    <w:link w:val="36"/>
    <w:qFormat/>
    <w:uiPriority w:val="99"/>
    <w:rPr>
      <w:rFonts w:ascii="Calibri" w:hAnsi="Calibri" w:eastAsia="楷体_GB2312" w:cs="Times New Roman"/>
      <w:kern w:val="0"/>
      <w:sz w:val="32"/>
    </w:rPr>
  </w:style>
  <w:style w:type="character" w:customStyle="1" w:styleId="101">
    <w:name w:val="正文文本缩进 2 字符"/>
    <w:basedOn w:val="69"/>
    <w:link w:val="37"/>
    <w:qFormat/>
    <w:uiPriority w:val="0"/>
    <w:rPr>
      <w:rFonts w:ascii="仿宋_GB2312" w:hAnsi="宋体" w:eastAsia="宋体" w:cs="Times New Roman"/>
      <w:b/>
      <w:color w:val="000000"/>
      <w:kern w:val="0"/>
      <w:sz w:val="24"/>
    </w:rPr>
  </w:style>
  <w:style w:type="character" w:customStyle="1" w:styleId="102">
    <w:name w:val="批注框文本 字符"/>
    <w:basedOn w:val="69"/>
    <w:link w:val="39"/>
    <w:qFormat/>
    <w:uiPriority w:val="0"/>
    <w:rPr>
      <w:rFonts w:ascii="Calibri" w:hAnsi="Calibri" w:eastAsia="宋体" w:cs="Times New Roman"/>
      <w:sz w:val="18"/>
      <w:szCs w:val="18"/>
    </w:rPr>
  </w:style>
  <w:style w:type="character" w:customStyle="1" w:styleId="103">
    <w:name w:val="正文文本缩进 3 字符"/>
    <w:basedOn w:val="69"/>
    <w:link w:val="49"/>
    <w:qFormat/>
    <w:uiPriority w:val="0"/>
    <w:rPr>
      <w:rFonts w:ascii="仿宋_GB2312" w:hAnsi="宋体" w:eastAsia="Times New Roman" w:cs="Times New Roman"/>
      <w:color w:val="000000"/>
      <w:kern w:val="0"/>
      <w:sz w:val="24"/>
    </w:rPr>
  </w:style>
  <w:style w:type="character" w:customStyle="1" w:styleId="104">
    <w:name w:val="正文文本 2 字符"/>
    <w:basedOn w:val="69"/>
    <w:link w:val="52"/>
    <w:qFormat/>
    <w:uiPriority w:val="0"/>
    <w:rPr>
      <w:rFonts w:ascii="宋体" w:hAnsi="宋体" w:eastAsia="宋体" w:cs="宋体"/>
      <w:bCs/>
    </w:rPr>
  </w:style>
  <w:style w:type="character" w:customStyle="1" w:styleId="105">
    <w:name w:val="HTML 预设格式 字符"/>
    <w:basedOn w:val="69"/>
    <w:link w:val="53"/>
    <w:qFormat/>
    <w:uiPriority w:val="0"/>
    <w:rPr>
      <w:rFonts w:ascii="Courier New" w:hAnsi="Courier New" w:eastAsia="宋体" w:cs="Times New Roman"/>
      <w:kern w:val="0"/>
      <w:sz w:val="20"/>
      <w:szCs w:val="20"/>
    </w:rPr>
  </w:style>
  <w:style w:type="character" w:customStyle="1" w:styleId="106">
    <w:name w:val="批注主题 字符"/>
    <w:basedOn w:val="94"/>
    <w:link w:val="57"/>
    <w:qFormat/>
    <w:uiPriority w:val="0"/>
    <w:rPr>
      <w:rFonts w:ascii="Times New Roman" w:hAnsi="Times New Roman" w:eastAsia="宋体" w:cs="宋体"/>
      <w:b/>
      <w:bCs/>
    </w:rPr>
  </w:style>
  <w:style w:type="character" w:customStyle="1" w:styleId="107">
    <w:name w:val="正文文本首行缩进 2 字符"/>
    <w:basedOn w:val="98"/>
    <w:link w:val="59"/>
    <w:qFormat/>
    <w:uiPriority w:val="99"/>
    <w:rPr>
      <w:rFonts w:ascii="Calibri" w:hAnsi="Calibri" w:eastAsia="宋体" w:cs="Times New Roman"/>
      <w:szCs w:val="24"/>
    </w:rPr>
  </w:style>
  <w:style w:type="character" w:customStyle="1" w:styleId="108">
    <w:name w:val="正文缩进 字符"/>
    <w:link w:val="16"/>
    <w:qFormat/>
    <w:locked/>
    <w:uiPriority w:val="0"/>
    <w:rPr>
      <w:rFonts w:ascii="Times New Roman" w:hAnsi="Times New Roman" w:eastAsia="宋体" w:cs="Times New Roman"/>
      <w:kern w:val="0"/>
      <w:sz w:val="20"/>
      <w:szCs w:val="20"/>
    </w:rPr>
  </w:style>
  <w:style w:type="character" w:customStyle="1" w:styleId="109">
    <w:name w:val="题注 字符"/>
    <w:link w:val="18"/>
    <w:semiHidden/>
    <w:qFormat/>
    <w:locked/>
    <w:uiPriority w:val="0"/>
    <w:rPr>
      <w:rFonts w:ascii="Arial" w:hAnsi="Arial" w:eastAsia="黑体" w:cs="Times New Roman"/>
      <w:kern w:val="0"/>
      <w:sz w:val="20"/>
      <w:szCs w:val="20"/>
    </w:rPr>
  </w:style>
  <w:style w:type="character" w:customStyle="1" w:styleId="110">
    <w:name w:val="正文文本缩进 字符2"/>
    <w:basedOn w:val="69"/>
    <w:link w:val="17"/>
    <w:semiHidden/>
    <w:qFormat/>
    <w:uiPriority w:val="99"/>
    <w:rPr>
      <w:rFonts w:ascii="宋体" w:hAnsi="Courier New" w:eastAsia="宋体" w:cs="Times New Roman"/>
      <w:spacing w:val="-4"/>
      <w:kern w:val="0"/>
      <w:sz w:val="18"/>
    </w:rPr>
  </w:style>
  <w:style w:type="character" w:customStyle="1" w:styleId="111">
    <w:name w:val="纯文本 字符1"/>
    <w:basedOn w:val="69"/>
    <w:link w:val="32"/>
    <w:qFormat/>
    <w:uiPriority w:val="0"/>
    <w:rPr>
      <w:rFonts w:ascii="宋体" w:hAnsi="Courier New" w:eastAsia="宋体" w:cs="Times New Roman"/>
      <w:sz w:val="24"/>
    </w:rPr>
  </w:style>
  <w:style w:type="paragraph" w:styleId="112">
    <w:name w:val="List Paragraph"/>
    <w:basedOn w:val="1"/>
    <w:qFormat/>
    <w:uiPriority w:val="34"/>
    <w:pPr>
      <w:ind w:firstLine="420" w:firstLineChars="200"/>
    </w:pPr>
  </w:style>
  <w:style w:type="paragraph" w:customStyle="1" w:styleId="113">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4">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5">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16">
    <w:name w:val="表格文字"/>
    <w:basedOn w:val="1"/>
    <w:next w:val="25"/>
    <w:qFormat/>
    <w:uiPriority w:val="0"/>
    <w:rPr>
      <w:rFonts w:ascii="Times New Roman" w:hAnsi="Times New Roman" w:eastAsia="宋体" w:cs="Times New Roman"/>
      <w:sz w:val="18"/>
      <w:szCs w:val="24"/>
    </w:rPr>
  </w:style>
  <w:style w:type="paragraph" w:customStyle="1" w:styleId="117">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8">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19">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0">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1">
    <w:name w:val="列出段落5"/>
    <w:basedOn w:val="1"/>
    <w:qFormat/>
    <w:uiPriority w:val="99"/>
    <w:pPr>
      <w:ind w:firstLine="420" w:firstLineChars="200"/>
    </w:pPr>
    <w:rPr>
      <w:rFonts w:ascii="Calibri" w:hAnsi="Calibri" w:eastAsia="等线" w:cs="Times New Roman"/>
      <w:sz w:val="24"/>
      <w:szCs w:val="24"/>
    </w:rPr>
  </w:style>
  <w:style w:type="paragraph" w:customStyle="1" w:styleId="122">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3">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4">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5">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6">
    <w:name w:val="标准有序列表（L1）"/>
    <w:basedOn w:val="16"/>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7">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8">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29">
    <w:name w:val="GW-正文 Char"/>
    <w:link w:val="130"/>
    <w:qFormat/>
    <w:locked/>
    <w:uiPriority w:val="0"/>
    <w:rPr>
      <w:rFonts w:ascii="Arial Narrow" w:hAnsi="Arial Narrow" w:eastAsia="宋体" w:cs="Times New Roman"/>
      <w:kern w:val="0"/>
      <w:sz w:val="24"/>
      <w:szCs w:val="20"/>
    </w:rPr>
  </w:style>
  <w:style w:type="paragraph" w:customStyle="1" w:styleId="130">
    <w:name w:val="GW-正文"/>
    <w:basedOn w:val="1"/>
    <w:link w:val="129"/>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1">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2">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3">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4">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35">
    <w:name w:val="默认段落字体 Para Char"/>
    <w:basedOn w:val="1"/>
    <w:qFormat/>
    <w:uiPriority w:val="0"/>
    <w:rPr>
      <w:rFonts w:ascii="Times New Roman" w:hAnsi="Times New Roman" w:eastAsia="宋体" w:cs="Times New Roman"/>
      <w:szCs w:val="20"/>
    </w:rPr>
  </w:style>
  <w:style w:type="character" w:customStyle="1" w:styleId="136">
    <w:name w:val="Char Char3"/>
    <w:link w:val="137"/>
    <w:qFormat/>
    <w:locked/>
    <w:uiPriority w:val="0"/>
    <w:rPr>
      <w:rFonts w:ascii="Calibri" w:hAnsi="Calibri" w:eastAsia="宋体" w:cs="Times New Roman"/>
      <w:kern w:val="0"/>
      <w:sz w:val="24"/>
      <w:szCs w:val="20"/>
    </w:rPr>
  </w:style>
  <w:style w:type="paragraph" w:customStyle="1" w:styleId="137">
    <w:name w:val="Char"/>
    <w:basedOn w:val="1"/>
    <w:link w:val="136"/>
    <w:qFormat/>
    <w:uiPriority w:val="0"/>
    <w:rPr>
      <w:rFonts w:ascii="Calibri" w:hAnsi="Calibri" w:eastAsia="宋体" w:cs="Times New Roman"/>
      <w:kern w:val="0"/>
      <w:sz w:val="24"/>
      <w:szCs w:val="20"/>
    </w:rPr>
  </w:style>
  <w:style w:type="paragraph" w:customStyle="1" w:styleId="138">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39">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0">
    <w:name w:val="列出段落 Char"/>
    <w:link w:val="141"/>
    <w:qFormat/>
    <w:locked/>
    <w:uiPriority w:val="0"/>
    <w:rPr>
      <w:rFonts w:ascii="Calibri" w:hAnsi="Calibri" w:eastAsia="宋体" w:cs="Times New Roman"/>
      <w:kern w:val="0"/>
      <w:sz w:val="24"/>
      <w:szCs w:val="20"/>
    </w:rPr>
  </w:style>
  <w:style w:type="paragraph" w:customStyle="1" w:styleId="141">
    <w:name w:val="列出段落1"/>
    <w:basedOn w:val="1"/>
    <w:link w:val="140"/>
    <w:qFormat/>
    <w:uiPriority w:val="0"/>
    <w:pPr>
      <w:ind w:firstLine="420" w:firstLineChars="200"/>
    </w:pPr>
    <w:rPr>
      <w:rFonts w:ascii="Calibri" w:hAnsi="Calibri" w:eastAsia="宋体" w:cs="Times New Roman"/>
      <w:kern w:val="0"/>
      <w:sz w:val="24"/>
      <w:szCs w:val="20"/>
    </w:rPr>
  </w:style>
  <w:style w:type="paragraph" w:customStyle="1" w:styleId="142">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3">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4">
    <w:name w:val="Table Paragraph"/>
    <w:basedOn w:val="1"/>
    <w:qFormat/>
    <w:uiPriority w:val="1"/>
    <w:pPr>
      <w:spacing w:before="119"/>
    </w:pPr>
    <w:rPr>
      <w:rFonts w:ascii="宋体" w:hAnsi="宋体" w:eastAsia="宋体" w:cs="宋体"/>
      <w:szCs w:val="24"/>
      <w:lang w:val="zh-CN"/>
    </w:rPr>
  </w:style>
  <w:style w:type="paragraph" w:customStyle="1" w:styleId="145">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6">
    <w:name w:val="样式2"/>
    <w:basedOn w:val="137"/>
    <w:qFormat/>
    <w:uiPriority w:val="99"/>
    <w:pPr>
      <w:tabs>
        <w:tab w:val="left" w:pos="432"/>
      </w:tabs>
      <w:spacing w:beforeLines="50"/>
      <w:ind w:left="432" w:hanging="432"/>
    </w:pPr>
    <w:rPr>
      <w:b/>
      <w:szCs w:val="21"/>
      <w:u w:val="thick"/>
    </w:rPr>
  </w:style>
  <w:style w:type="paragraph" w:customStyle="1" w:styleId="147">
    <w:name w:val="样式1"/>
    <w:basedOn w:val="137"/>
    <w:link w:val="414"/>
    <w:qFormat/>
    <w:uiPriority w:val="0"/>
    <w:pPr>
      <w:tabs>
        <w:tab w:val="left" w:pos="432"/>
      </w:tabs>
      <w:spacing w:beforeLines="50"/>
      <w:ind w:left="642" w:leftChars="100" w:right="100" w:rightChars="100" w:hanging="432"/>
      <w:jc w:val="right"/>
    </w:pPr>
    <w:rPr>
      <w:b/>
      <w:i/>
      <w:szCs w:val="21"/>
      <w:u w:val="thick"/>
    </w:rPr>
  </w:style>
  <w:style w:type="paragraph" w:customStyle="1" w:styleId="148">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正文首行缩进2字符 Char Char"/>
    <w:link w:val="150"/>
    <w:qFormat/>
    <w:locked/>
    <w:uiPriority w:val="0"/>
    <w:rPr>
      <w:rFonts w:ascii="Times New Roman" w:hAnsi="Times New Roman" w:eastAsia="宋体" w:cs="Times New Roman"/>
      <w:kern w:val="0"/>
      <w:sz w:val="24"/>
      <w:szCs w:val="20"/>
    </w:rPr>
  </w:style>
  <w:style w:type="paragraph" w:customStyle="1" w:styleId="150">
    <w:name w:val="正文首行缩进2字符"/>
    <w:basedOn w:val="1"/>
    <w:link w:val="149"/>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1">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2">
    <w:name w:val="表格内容 字符"/>
    <w:link w:val="153"/>
    <w:qFormat/>
    <w:locked/>
    <w:uiPriority w:val="0"/>
    <w:rPr>
      <w:rFonts w:ascii="仿宋" w:hAnsi="仿宋" w:eastAsia="仿宋" w:cs="Times New Roman"/>
      <w:kern w:val="0"/>
      <w:sz w:val="24"/>
    </w:rPr>
  </w:style>
  <w:style w:type="paragraph" w:customStyle="1" w:styleId="153">
    <w:name w:val="表格内容"/>
    <w:next w:val="150"/>
    <w:link w:val="152"/>
    <w:qFormat/>
    <w:uiPriority w:val="0"/>
    <w:pPr>
      <w:jc w:val="center"/>
    </w:pPr>
    <w:rPr>
      <w:rFonts w:ascii="仿宋" w:hAnsi="仿宋" w:eastAsia="仿宋" w:cs="Times New Roman"/>
      <w:sz w:val="24"/>
      <w:szCs w:val="22"/>
      <w:lang w:val="en-US" w:eastAsia="zh-CN" w:bidi="ar-SA"/>
    </w:rPr>
  </w:style>
  <w:style w:type="paragraph" w:customStyle="1" w:styleId="154">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5">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6">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7">
    <w:name w:val="文档正文"/>
    <w:basedOn w:val="1"/>
    <w:qFormat/>
    <w:uiPriority w:val="0"/>
    <w:rPr>
      <w:rFonts w:ascii="宋体" w:hAnsi="宋体" w:eastAsia="宋体" w:cs="Arial"/>
      <w:bCs/>
      <w:szCs w:val="21"/>
    </w:rPr>
  </w:style>
  <w:style w:type="paragraph" w:customStyle="1" w:styleId="158">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59">
    <w:name w:val="无间隔 Char"/>
    <w:link w:val="160"/>
    <w:qFormat/>
    <w:locked/>
    <w:uiPriority w:val="0"/>
    <w:rPr>
      <w:rFonts w:ascii="Calibri" w:hAnsi="Calibri" w:eastAsia="宋体" w:cs="Times New Roman"/>
      <w:kern w:val="0"/>
      <w:sz w:val="22"/>
    </w:rPr>
  </w:style>
  <w:style w:type="paragraph" w:customStyle="1" w:styleId="160">
    <w:name w:val="无间隔1"/>
    <w:link w:val="159"/>
    <w:qFormat/>
    <w:uiPriority w:val="0"/>
    <w:rPr>
      <w:rFonts w:ascii="Calibri" w:hAnsi="Calibri" w:eastAsia="宋体" w:cs="Times New Roman"/>
      <w:sz w:val="22"/>
      <w:szCs w:val="22"/>
      <w:lang w:val="en-US" w:eastAsia="zh-CN" w:bidi="ar-SA"/>
    </w:rPr>
  </w:style>
  <w:style w:type="paragraph" w:customStyle="1" w:styleId="161">
    <w:name w:val="纯文本1"/>
    <w:basedOn w:val="1"/>
    <w:link w:val="377"/>
    <w:qFormat/>
    <w:uiPriority w:val="0"/>
    <w:pPr>
      <w:spacing w:beforeLines="50" w:line="400" w:lineRule="exact"/>
    </w:pPr>
    <w:rPr>
      <w:rFonts w:ascii="宋体" w:hAnsi="Courier New" w:eastAsia="Times New Roman" w:cs="Times New Roman"/>
      <w:sz w:val="30"/>
      <w:szCs w:val="24"/>
    </w:rPr>
  </w:style>
  <w:style w:type="paragraph" w:customStyle="1" w:styleId="162">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3">
    <w:name w:val="_Style 130"/>
    <w:basedOn w:val="1"/>
    <w:next w:val="141"/>
    <w:qFormat/>
    <w:uiPriority w:val="99"/>
    <w:pPr>
      <w:ind w:firstLine="420" w:firstLineChars="200"/>
    </w:pPr>
    <w:rPr>
      <w:rFonts w:ascii="Times New Roman" w:hAnsi="Times New Roman" w:eastAsia="宋体" w:cs="Times New Roman"/>
      <w:szCs w:val="20"/>
    </w:rPr>
  </w:style>
  <w:style w:type="paragraph" w:customStyle="1" w:styleId="164">
    <w:name w:val="0正文"/>
    <w:basedOn w:val="1"/>
    <w:qFormat/>
    <w:uiPriority w:val="99"/>
    <w:pPr>
      <w:spacing w:line="560" w:lineRule="exact"/>
      <w:ind w:firstLine="200" w:firstLineChars="200"/>
    </w:pPr>
    <w:rPr>
      <w:rFonts w:ascii="Tahoma" w:hAnsi="Tahoma" w:eastAsia="宋体" w:cs="Times New Roman"/>
    </w:rPr>
  </w:style>
  <w:style w:type="paragraph" w:customStyle="1" w:styleId="165">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6">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7">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8">
    <w:name w:val="列出段落2"/>
    <w:basedOn w:val="1"/>
    <w:qFormat/>
    <w:uiPriority w:val="0"/>
    <w:pPr>
      <w:ind w:firstLine="420" w:firstLineChars="200"/>
    </w:pPr>
    <w:rPr>
      <w:rFonts w:ascii="Calibri" w:hAnsi="Calibri" w:eastAsia="宋体" w:cs="Times New Roman"/>
      <w:szCs w:val="24"/>
    </w:rPr>
  </w:style>
  <w:style w:type="paragraph" w:customStyle="1" w:styleId="169">
    <w:name w:val="正文1"/>
    <w:link w:val="516"/>
    <w:qFormat/>
    <w:uiPriority w:val="0"/>
    <w:pPr>
      <w:widowControl w:val="0"/>
      <w:jc w:val="both"/>
    </w:pPr>
    <w:rPr>
      <w:rFonts w:ascii="Calibri" w:hAnsi="Calibri" w:eastAsia="宋体" w:cs="Calibri"/>
      <w:kern w:val="2"/>
      <w:sz w:val="21"/>
      <w:szCs w:val="21"/>
      <w:lang w:val="en-US" w:eastAsia="zh-CN" w:bidi="ar-SA"/>
    </w:rPr>
  </w:style>
  <w:style w:type="paragraph" w:customStyle="1" w:styleId="170">
    <w:name w:val="WPSOffice手动目录 1"/>
    <w:qFormat/>
    <w:uiPriority w:val="0"/>
    <w:rPr>
      <w:rFonts w:ascii="Times New Roman" w:hAnsi="Times New Roman" w:eastAsia="宋体" w:cs="Times New Roman"/>
      <w:lang w:val="en-US" w:eastAsia="zh-CN" w:bidi="ar-SA"/>
    </w:rPr>
  </w:style>
  <w:style w:type="paragraph" w:customStyle="1" w:styleId="171">
    <w:name w:val="正文2"/>
    <w:basedOn w:val="1"/>
    <w:link w:val="409"/>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2">
    <w:name w:val="正文 首行缩进:  2 字符 Char Char Char"/>
    <w:link w:val="173"/>
    <w:qFormat/>
    <w:locked/>
    <w:uiPriority w:val="0"/>
    <w:rPr>
      <w:sz w:val="24"/>
    </w:rPr>
  </w:style>
  <w:style w:type="paragraph" w:customStyle="1" w:styleId="173">
    <w:name w:val="正文 首行缩进:  2 字符 Char"/>
    <w:basedOn w:val="1"/>
    <w:link w:val="172"/>
    <w:qFormat/>
    <w:uiPriority w:val="0"/>
    <w:pPr>
      <w:spacing w:line="360" w:lineRule="auto"/>
      <w:ind w:firstLine="480"/>
    </w:pPr>
    <w:rPr>
      <w:sz w:val="24"/>
    </w:rPr>
  </w:style>
  <w:style w:type="character" w:customStyle="1" w:styleId="174">
    <w:name w:val="样式 首行缩进:  0 字符 Char"/>
    <w:link w:val="175"/>
    <w:qFormat/>
    <w:locked/>
    <w:uiPriority w:val="0"/>
    <w:rPr>
      <w:rFonts w:ascii="Arial" w:hAnsi="Arial" w:eastAsia="宋体" w:cs="Times New Roman"/>
      <w:kern w:val="0"/>
      <w:sz w:val="20"/>
      <w:szCs w:val="20"/>
    </w:rPr>
  </w:style>
  <w:style w:type="paragraph" w:customStyle="1" w:styleId="175">
    <w:name w:val="样式 首行缩进:  0 字符"/>
    <w:basedOn w:val="1"/>
    <w:link w:val="174"/>
    <w:qFormat/>
    <w:uiPriority w:val="0"/>
    <w:pPr>
      <w:spacing w:line="360" w:lineRule="auto"/>
      <w:ind w:firstLine="200" w:firstLineChars="200"/>
    </w:pPr>
    <w:rPr>
      <w:rFonts w:ascii="Arial" w:hAnsi="Arial" w:eastAsia="宋体" w:cs="Times New Roman"/>
      <w:kern w:val="0"/>
      <w:sz w:val="20"/>
      <w:szCs w:val="20"/>
    </w:rPr>
  </w:style>
  <w:style w:type="paragraph" w:customStyle="1" w:styleId="176">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7">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8">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79">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0">
    <w:name w:val="标题 10"/>
    <w:basedOn w:val="3"/>
    <w:qFormat/>
    <w:uiPriority w:val="99"/>
    <w:pPr>
      <w:spacing w:before="0" w:after="0" w:line="360" w:lineRule="auto"/>
      <w:jc w:val="center"/>
    </w:pPr>
    <w:rPr>
      <w:rFonts w:ascii="Cambria" w:hAnsi="Cambria" w:eastAsia="宋体"/>
      <w:bCs/>
      <w:sz w:val="21"/>
      <w:szCs w:val="32"/>
    </w:rPr>
  </w:style>
  <w:style w:type="paragraph" w:customStyle="1" w:styleId="18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2">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3">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4">
    <w:name w:val="Char Char Char Char1"/>
    <w:basedOn w:val="1"/>
    <w:qFormat/>
    <w:uiPriority w:val="99"/>
    <w:rPr>
      <w:rFonts w:ascii="Tahoma" w:hAnsi="Tahoma" w:eastAsia="宋体" w:cs="Times New Roman"/>
      <w:sz w:val="24"/>
      <w:szCs w:val="20"/>
    </w:rPr>
  </w:style>
  <w:style w:type="paragraph" w:customStyle="1" w:styleId="185">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6">
    <w:name w:val="z-窗体顶端 Char"/>
    <w:link w:val="187"/>
    <w:qFormat/>
    <w:locked/>
    <w:uiPriority w:val="0"/>
    <w:rPr>
      <w:rFonts w:ascii="Arial" w:hAnsi="Arial" w:eastAsia="宋体" w:cs="Times New Roman"/>
      <w:vanish/>
      <w:kern w:val="0"/>
      <w:sz w:val="20"/>
      <w:szCs w:val="20"/>
    </w:rPr>
  </w:style>
  <w:style w:type="paragraph" w:customStyle="1" w:styleId="187">
    <w:name w:val="_Style 46"/>
    <w:basedOn w:val="1"/>
    <w:next w:val="1"/>
    <w:link w:val="186"/>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8">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89">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0">
    <w:name w:val="彩色列表 - 强调文字颜色 11"/>
    <w:basedOn w:val="1"/>
    <w:link w:val="527"/>
    <w:qFormat/>
    <w:uiPriority w:val="0"/>
    <w:pPr>
      <w:ind w:firstLine="420" w:firstLineChars="200"/>
    </w:pPr>
    <w:rPr>
      <w:rFonts w:ascii="Calibri" w:hAnsi="Calibri" w:eastAsia="宋体" w:cs="Times New Roman"/>
    </w:rPr>
  </w:style>
  <w:style w:type="paragraph" w:customStyle="1" w:styleId="191">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2">
    <w:name w:val="z-窗体底端 Char"/>
    <w:link w:val="193"/>
    <w:qFormat/>
    <w:locked/>
    <w:uiPriority w:val="0"/>
    <w:rPr>
      <w:rFonts w:ascii="Arial" w:hAnsi="Arial" w:eastAsia="宋体" w:cs="Times New Roman"/>
      <w:vanish/>
      <w:kern w:val="0"/>
      <w:sz w:val="20"/>
      <w:szCs w:val="20"/>
    </w:rPr>
  </w:style>
  <w:style w:type="paragraph" w:customStyle="1" w:styleId="193">
    <w:name w:val="_Style 54"/>
    <w:basedOn w:val="1"/>
    <w:next w:val="1"/>
    <w:link w:val="192"/>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4">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5">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6">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197">
    <w:name w:val="msonormal"/>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8">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99">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0">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1">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2">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4">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6">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7">
    <w:name w:val="xl111"/>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8">
    <w:name w:val="xl112"/>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09">
    <w:name w:val="xl113"/>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1">
    <w:name w:val="xl115"/>
    <w:basedOn w:val="1"/>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2">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3">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4">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6">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8">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9">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2">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3">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7">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29">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2">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4">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6">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1">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3">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5">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7">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49">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0">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1">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4">
    <w:name w:val="列表段落 字符"/>
    <w:link w:val="255"/>
    <w:qFormat/>
    <w:locked/>
    <w:uiPriority w:val="34"/>
    <w:rPr>
      <w:rFonts w:ascii="宋体" w:hAnsi="宋体" w:eastAsia="宋体" w:cs="宋体"/>
      <w:kern w:val="0"/>
      <w:sz w:val="24"/>
      <w:szCs w:val="24"/>
    </w:rPr>
  </w:style>
  <w:style w:type="paragraph" w:customStyle="1" w:styleId="255">
    <w:name w:val="列表段落1"/>
    <w:basedOn w:val="1"/>
    <w:next w:val="112"/>
    <w:link w:val="254"/>
    <w:qFormat/>
    <w:uiPriority w:val="34"/>
    <w:pPr>
      <w:widowControl/>
      <w:ind w:firstLine="420" w:firstLineChars="200"/>
      <w:jc w:val="left"/>
    </w:pPr>
    <w:rPr>
      <w:rFonts w:ascii="宋体" w:hAnsi="宋体" w:eastAsia="宋体" w:cs="宋体"/>
      <w:kern w:val="0"/>
      <w:sz w:val="24"/>
      <w:szCs w:val="24"/>
    </w:rPr>
  </w:style>
  <w:style w:type="paragraph" w:customStyle="1" w:styleId="256">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7">
    <w:name w:val="图片居中"/>
    <w:basedOn w:val="1"/>
    <w:qFormat/>
    <w:uiPriority w:val="99"/>
    <w:pPr>
      <w:keepNext/>
      <w:jc w:val="center"/>
    </w:pPr>
    <w:rPr>
      <w:rFonts w:ascii="Times New Roman" w:hAnsi="Times New Roman" w:eastAsia="宋体" w:cs="Times New Roman"/>
    </w:rPr>
  </w:style>
  <w:style w:type="paragraph" w:customStyle="1" w:styleId="258">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59">
    <w:name w:val="图片题注"/>
    <w:basedOn w:val="18"/>
    <w:qFormat/>
    <w:uiPriority w:val="99"/>
  </w:style>
  <w:style w:type="paragraph" w:customStyle="1" w:styleId="260">
    <w:name w:val="表格正文"/>
    <w:basedOn w:val="1"/>
    <w:qFormat/>
    <w:uiPriority w:val="99"/>
    <w:pPr>
      <w:widowControl/>
      <w:jc w:val="left"/>
    </w:pPr>
    <w:rPr>
      <w:rFonts w:ascii="宋体" w:hAnsi="宋体" w:eastAsia="宋体" w:cs="宋体"/>
      <w:szCs w:val="28"/>
    </w:rPr>
  </w:style>
  <w:style w:type="paragraph" w:customStyle="1" w:styleId="261">
    <w:name w:val="修订1"/>
    <w:qFormat/>
    <w:uiPriority w:val="99"/>
    <w:rPr>
      <w:rFonts w:ascii="Times New Roman" w:hAnsi="Times New Roman" w:eastAsia="宋体" w:cs="Times New Roman"/>
      <w:kern w:val="2"/>
      <w:sz w:val="21"/>
      <w:szCs w:val="22"/>
      <w:lang w:val="en-US" w:eastAsia="zh-CN" w:bidi="ar-SA"/>
    </w:rPr>
  </w:style>
  <w:style w:type="paragraph" w:customStyle="1" w:styleId="262">
    <w:name w:val="修订2"/>
    <w:qFormat/>
    <w:uiPriority w:val="99"/>
    <w:rPr>
      <w:rFonts w:ascii="Times New Roman" w:hAnsi="Times New Roman" w:eastAsia="宋体" w:cs="Times New Roman"/>
      <w:kern w:val="2"/>
      <w:sz w:val="21"/>
      <w:szCs w:val="22"/>
      <w:lang w:val="en-US" w:eastAsia="zh-CN" w:bidi="ar-SA"/>
    </w:rPr>
  </w:style>
  <w:style w:type="paragraph" w:customStyle="1" w:styleId="263">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4">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5">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6">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0">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3">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4">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6">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1">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4">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6">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8">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5">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8">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1">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4">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5">
    <w:name w:val="修订4"/>
    <w:qFormat/>
    <w:uiPriority w:val="99"/>
    <w:rPr>
      <w:rFonts w:ascii="Times New Roman" w:hAnsi="Times New Roman" w:eastAsia="宋体" w:cs="Times New Roman"/>
      <w:kern w:val="2"/>
      <w:sz w:val="21"/>
      <w:szCs w:val="22"/>
      <w:lang w:val="en-US" w:eastAsia="zh-CN" w:bidi="ar-SA"/>
    </w:rPr>
  </w:style>
  <w:style w:type="character" w:customStyle="1" w:styleId="306">
    <w:name w:val="font21"/>
    <w:basedOn w:val="69"/>
    <w:qFormat/>
    <w:uiPriority w:val="0"/>
    <w:rPr>
      <w:rFonts w:hint="eastAsia" w:ascii="等线" w:hAnsi="等线" w:eastAsia="等线" w:cs="等线"/>
      <w:color w:val="000000"/>
      <w:sz w:val="22"/>
      <w:szCs w:val="22"/>
      <w:u w:val="none"/>
    </w:rPr>
  </w:style>
  <w:style w:type="character" w:customStyle="1" w:styleId="307">
    <w:name w:val="apple-converted-space"/>
    <w:qFormat/>
    <w:uiPriority w:val="0"/>
    <w:rPr>
      <w:rFonts w:hint="default" w:ascii="Times New Roman" w:hAnsi="Times New Roman" w:cs="Times New Roman"/>
    </w:rPr>
  </w:style>
  <w:style w:type="character" w:customStyle="1" w:styleId="308">
    <w:name w:val="正文文本缩进 3 Char1"/>
    <w:basedOn w:val="69"/>
    <w:qFormat/>
    <w:uiPriority w:val="0"/>
    <w:rPr>
      <w:rFonts w:hint="default" w:ascii="Times New Roman" w:hAnsi="Times New Roman" w:eastAsia="宋体" w:cs="Times New Roman"/>
      <w:sz w:val="16"/>
      <w:szCs w:val="16"/>
    </w:rPr>
  </w:style>
  <w:style w:type="character" w:customStyle="1" w:styleId="309">
    <w:name w:val="批注文字 Char1"/>
    <w:basedOn w:val="69"/>
    <w:qFormat/>
    <w:uiPriority w:val="0"/>
    <w:rPr>
      <w:rFonts w:hint="default" w:ascii="Times New Roman" w:hAnsi="Times New Roman" w:eastAsia="宋体" w:cs="Times New Roman"/>
    </w:rPr>
  </w:style>
  <w:style w:type="character" w:customStyle="1" w:styleId="310">
    <w:name w:val="apple-tab-span"/>
    <w:qFormat/>
    <w:uiPriority w:val="0"/>
    <w:rPr>
      <w:rFonts w:hint="default" w:ascii="Times New Roman" w:hAnsi="Times New Roman" w:cs="Times New Roman"/>
    </w:rPr>
  </w:style>
  <w:style w:type="character" w:customStyle="1" w:styleId="311">
    <w:name w:val="font11"/>
    <w:basedOn w:val="69"/>
    <w:qFormat/>
    <w:uiPriority w:val="0"/>
    <w:rPr>
      <w:rFonts w:hint="default" w:ascii="Times New Roman" w:hAnsi="Times New Roman" w:cs="Times New Roman"/>
      <w:color w:val="000000"/>
      <w:sz w:val="20"/>
      <w:szCs w:val="20"/>
      <w:u w:val="none"/>
    </w:rPr>
  </w:style>
  <w:style w:type="character" w:customStyle="1" w:styleId="312">
    <w:name w:val="font31"/>
    <w:basedOn w:val="69"/>
    <w:qFormat/>
    <w:uiPriority w:val="0"/>
    <w:rPr>
      <w:rFonts w:hint="eastAsia" w:ascii="等线" w:hAnsi="等线" w:eastAsia="等线" w:cs="等线"/>
      <w:color w:val="000000"/>
      <w:sz w:val="22"/>
      <w:szCs w:val="22"/>
      <w:u w:val="none"/>
    </w:rPr>
  </w:style>
  <w:style w:type="character" w:customStyle="1" w:styleId="313">
    <w:name w:val="正文文本缩进 Char1"/>
    <w:basedOn w:val="69"/>
    <w:qFormat/>
    <w:uiPriority w:val="0"/>
    <w:rPr>
      <w:rFonts w:hint="default" w:ascii="Times New Roman" w:hAnsi="Times New Roman" w:eastAsia="宋体" w:cs="Times New Roman"/>
    </w:rPr>
  </w:style>
  <w:style w:type="character" w:customStyle="1" w:styleId="314">
    <w:name w:val="正文文本 3 Char1"/>
    <w:basedOn w:val="69"/>
    <w:qFormat/>
    <w:uiPriority w:val="0"/>
    <w:rPr>
      <w:rFonts w:hint="default" w:ascii="Times New Roman" w:hAnsi="Times New Roman" w:eastAsia="宋体" w:cs="Times New Roman"/>
      <w:sz w:val="16"/>
      <w:szCs w:val="16"/>
    </w:rPr>
  </w:style>
  <w:style w:type="character" w:customStyle="1" w:styleId="315">
    <w:name w:val="正文文本 Char1"/>
    <w:basedOn w:val="69"/>
    <w:qFormat/>
    <w:uiPriority w:val="0"/>
    <w:rPr>
      <w:rFonts w:hint="default" w:ascii="Times New Roman" w:hAnsi="Times New Roman" w:eastAsia="宋体" w:cs="Times New Roman"/>
    </w:rPr>
  </w:style>
  <w:style w:type="character" w:customStyle="1" w:styleId="316">
    <w:name w:val="font01"/>
    <w:basedOn w:val="69"/>
    <w:qFormat/>
    <w:uiPriority w:val="0"/>
    <w:rPr>
      <w:rFonts w:hint="eastAsia" w:ascii="宋体" w:hAnsi="宋体" w:eastAsia="宋体" w:cs="宋体"/>
      <w:color w:val="000000"/>
      <w:sz w:val="20"/>
      <w:szCs w:val="20"/>
      <w:u w:val="none"/>
    </w:rPr>
  </w:style>
  <w:style w:type="character" w:customStyle="1" w:styleId="317">
    <w:name w:val="纯文本 Char2"/>
    <w:basedOn w:val="69"/>
    <w:qFormat/>
    <w:uiPriority w:val="0"/>
    <w:rPr>
      <w:rFonts w:hint="eastAsia" w:ascii="宋体" w:hAnsi="Courier New" w:eastAsia="宋体" w:cs="Courier New"/>
      <w:sz w:val="21"/>
      <w:szCs w:val="21"/>
    </w:rPr>
  </w:style>
  <w:style w:type="character" w:customStyle="1" w:styleId="318">
    <w:name w:val="文档结构图 Char1"/>
    <w:basedOn w:val="69"/>
    <w:qFormat/>
    <w:uiPriority w:val="0"/>
    <w:rPr>
      <w:rFonts w:hint="eastAsia" w:ascii="宋体" w:hAnsi="Times New Roman" w:eastAsia="宋体" w:cs="Times New Roman"/>
      <w:sz w:val="18"/>
      <w:szCs w:val="18"/>
    </w:rPr>
  </w:style>
  <w:style w:type="character" w:customStyle="1" w:styleId="319">
    <w:name w:val="纯文本 Char1"/>
    <w:qFormat/>
    <w:uiPriority w:val="0"/>
    <w:rPr>
      <w:rFonts w:hint="eastAsia" w:ascii="宋体" w:hAnsi="Courier New" w:eastAsia="宋体"/>
      <w:sz w:val="21"/>
    </w:rPr>
  </w:style>
  <w:style w:type="character" w:customStyle="1" w:styleId="320">
    <w:name w:val="日期 Char1"/>
    <w:basedOn w:val="69"/>
    <w:qFormat/>
    <w:uiPriority w:val="0"/>
    <w:rPr>
      <w:rFonts w:hint="default" w:ascii="Times New Roman" w:hAnsi="Times New Roman" w:eastAsia="宋体" w:cs="Times New Roman"/>
    </w:rPr>
  </w:style>
  <w:style w:type="character" w:customStyle="1" w:styleId="321">
    <w:name w:val="正文文本缩进 2 Char1"/>
    <w:basedOn w:val="69"/>
    <w:qFormat/>
    <w:uiPriority w:val="0"/>
    <w:rPr>
      <w:rFonts w:hint="default" w:ascii="Times New Roman" w:hAnsi="Times New Roman" w:eastAsia="宋体" w:cs="Times New Roman"/>
    </w:rPr>
  </w:style>
  <w:style w:type="character" w:customStyle="1" w:styleId="322">
    <w:name w:val="批注框文本 Char1"/>
    <w:basedOn w:val="69"/>
    <w:qFormat/>
    <w:uiPriority w:val="0"/>
    <w:rPr>
      <w:rFonts w:hint="default" w:ascii="Times New Roman" w:hAnsi="Times New Roman" w:eastAsia="宋体" w:cs="Times New Roman"/>
      <w:sz w:val="18"/>
      <w:szCs w:val="18"/>
    </w:rPr>
  </w:style>
  <w:style w:type="character" w:customStyle="1" w:styleId="323">
    <w:name w:val="正文文本 2 Char1"/>
    <w:basedOn w:val="69"/>
    <w:qFormat/>
    <w:uiPriority w:val="0"/>
    <w:rPr>
      <w:rFonts w:hint="default" w:ascii="Times New Roman" w:hAnsi="Times New Roman" w:eastAsia="宋体" w:cs="Times New Roman"/>
    </w:rPr>
  </w:style>
  <w:style w:type="character" w:customStyle="1" w:styleId="324">
    <w:name w:val="大黑10.5px"/>
    <w:qFormat/>
    <w:uiPriority w:val="0"/>
    <w:rPr>
      <w:rFonts w:hint="eastAsia" w:ascii="方正大黑简体" w:eastAsia="方正大黑简体"/>
      <w:sz w:val="21"/>
    </w:rPr>
  </w:style>
  <w:style w:type="character" w:customStyle="1" w:styleId="325">
    <w:name w:val="黑简10.5px"/>
    <w:qFormat/>
    <w:uiPriority w:val="0"/>
    <w:rPr>
      <w:rFonts w:hint="eastAsia" w:ascii="方正黑体简体" w:hAnsi="方正黑体简体" w:eastAsia="方正黑体简体"/>
      <w:sz w:val="21"/>
    </w:rPr>
  </w:style>
  <w:style w:type="character" w:customStyle="1" w:styleId="326">
    <w:name w:val="jbox-icon-warning"/>
    <w:basedOn w:val="69"/>
    <w:qFormat/>
    <w:uiPriority w:val="0"/>
    <w:rPr>
      <w:rFonts w:hint="default" w:ascii="Times New Roman" w:hAnsi="Times New Roman" w:cs="Times New Roman"/>
    </w:rPr>
  </w:style>
  <w:style w:type="character" w:customStyle="1" w:styleId="327">
    <w:name w:val="hover9"/>
    <w:qFormat/>
    <w:uiPriority w:val="0"/>
    <w:rPr>
      <w:shd w:val="clear" w:color="auto" w:fill="EEEEEE"/>
    </w:rPr>
  </w:style>
  <w:style w:type="character" w:customStyle="1" w:styleId="328">
    <w:name w:val="hour_pm"/>
    <w:basedOn w:val="69"/>
    <w:qFormat/>
    <w:uiPriority w:val="0"/>
    <w:rPr>
      <w:rFonts w:hint="default" w:ascii="Times New Roman" w:hAnsi="Times New Roman" w:cs="Times New Roman"/>
    </w:rPr>
  </w:style>
  <w:style w:type="character" w:customStyle="1" w:styleId="329">
    <w:name w:val="jbox-icon-info"/>
    <w:basedOn w:val="69"/>
    <w:qFormat/>
    <w:uiPriority w:val="0"/>
    <w:rPr>
      <w:rFonts w:hint="default" w:ascii="Times New Roman" w:hAnsi="Times New Roman" w:cs="Times New Roman"/>
    </w:rPr>
  </w:style>
  <w:style w:type="character" w:customStyle="1" w:styleId="330">
    <w:name w:val="black601"/>
    <w:qFormat/>
    <w:uiPriority w:val="0"/>
    <w:rPr>
      <w:color w:val="666666"/>
    </w:rPr>
  </w:style>
  <w:style w:type="character" w:customStyle="1" w:styleId="331">
    <w:name w:val="hour_am"/>
    <w:basedOn w:val="69"/>
    <w:qFormat/>
    <w:uiPriority w:val="0"/>
    <w:rPr>
      <w:rFonts w:hint="default" w:ascii="Times New Roman" w:hAnsi="Times New Roman" w:cs="Times New Roman"/>
    </w:rPr>
  </w:style>
  <w:style w:type="character" w:customStyle="1" w:styleId="332">
    <w:name w:val="jbox-icon-error"/>
    <w:basedOn w:val="69"/>
    <w:qFormat/>
    <w:uiPriority w:val="0"/>
    <w:rPr>
      <w:rFonts w:hint="default" w:ascii="Times New Roman" w:hAnsi="Times New Roman" w:cs="Times New Roman"/>
    </w:rPr>
  </w:style>
  <w:style w:type="character" w:customStyle="1" w:styleId="333">
    <w:name w:val="jbox-icon-success"/>
    <w:basedOn w:val="69"/>
    <w:qFormat/>
    <w:uiPriority w:val="0"/>
    <w:rPr>
      <w:rFonts w:hint="default" w:ascii="Times New Roman" w:hAnsi="Times New Roman" w:cs="Times New Roman"/>
    </w:rPr>
  </w:style>
  <w:style w:type="character" w:customStyle="1" w:styleId="334">
    <w:name w:val="maywed421"/>
    <w:qFormat/>
    <w:uiPriority w:val="0"/>
    <w:rPr>
      <w:color w:val="366FB6"/>
      <w:u w:val="none"/>
    </w:rPr>
  </w:style>
  <w:style w:type="character" w:customStyle="1" w:styleId="335">
    <w:name w:val="正文文本缩进 字符1"/>
    <w:qFormat/>
    <w:uiPriority w:val="0"/>
    <w:rPr>
      <w:rFonts w:hint="eastAsia" w:ascii="宋体" w:hAnsi="Courier New" w:eastAsia="宋体"/>
      <w:spacing w:val="-4"/>
      <w:kern w:val="2"/>
      <w:sz w:val="18"/>
    </w:rPr>
  </w:style>
  <w:style w:type="character" w:customStyle="1" w:styleId="336">
    <w:name w:val="jbox-icon-question"/>
    <w:basedOn w:val="69"/>
    <w:qFormat/>
    <w:uiPriority w:val="0"/>
    <w:rPr>
      <w:rFonts w:hint="default" w:ascii="Times New Roman" w:hAnsi="Times New Roman" w:cs="Times New Roman"/>
    </w:rPr>
  </w:style>
  <w:style w:type="character" w:customStyle="1" w:styleId="337">
    <w:name w:val="jbox-icon-loading"/>
    <w:basedOn w:val="69"/>
    <w:qFormat/>
    <w:uiPriority w:val="0"/>
    <w:rPr>
      <w:rFonts w:hint="default" w:ascii="Times New Roman" w:hAnsi="Times New Roman" w:cs="Times New Roman"/>
    </w:rPr>
  </w:style>
  <w:style w:type="character" w:customStyle="1" w:styleId="338">
    <w:name w:val="标题 1 Char Char"/>
    <w:qFormat/>
    <w:uiPriority w:val="0"/>
    <w:rPr>
      <w:rFonts w:hint="eastAsia" w:ascii="宋体" w:hAnsi="宋体" w:eastAsia="宋体"/>
      <w:b/>
      <w:spacing w:val="-2"/>
      <w:sz w:val="24"/>
      <w:lang w:val="en-US" w:eastAsia="zh-CN"/>
    </w:rPr>
  </w:style>
  <w:style w:type="character" w:customStyle="1" w:styleId="339">
    <w:name w:val="jbox-icon-none"/>
    <w:qFormat/>
    <w:uiPriority w:val="0"/>
    <w:rPr>
      <w:vanish/>
    </w:rPr>
  </w:style>
  <w:style w:type="character" w:customStyle="1" w:styleId="340">
    <w:name w:val="sub_title s0"/>
    <w:basedOn w:val="69"/>
    <w:qFormat/>
    <w:uiPriority w:val="0"/>
    <w:rPr>
      <w:rFonts w:hint="default" w:ascii="Times New Roman" w:hAnsi="Times New Roman" w:cs="Times New Roman"/>
    </w:rPr>
  </w:style>
  <w:style w:type="character" w:customStyle="1" w:styleId="341">
    <w:name w:val="纯文本 字符2"/>
    <w:qFormat/>
    <w:uiPriority w:val="0"/>
    <w:rPr>
      <w:rFonts w:hint="eastAsia" w:ascii="宋体" w:hAnsi="Courier New" w:eastAsia="宋体"/>
      <w:kern w:val="2"/>
      <w:sz w:val="24"/>
    </w:rPr>
  </w:style>
  <w:style w:type="character" w:customStyle="1" w:styleId="342">
    <w:name w:val="jbox-icon"/>
    <w:basedOn w:val="69"/>
    <w:qFormat/>
    <w:uiPriority w:val="0"/>
    <w:rPr>
      <w:rFonts w:hint="default" w:ascii="Times New Roman" w:hAnsi="Times New Roman" w:cs="Times New Roman"/>
    </w:rPr>
  </w:style>
  <w:style w:type="character" w:customStyle="1" w:styleId="343">
    <w:name w:val="old"/>
    <w:qFormat/>
    <w:uiPriority w:val="0"/>
    <w:rPr>
      <w:color w:val="999999"/>
    </w:rPr>
  </w:style>
  <w:style w:type="character" w:customStyle="1" w:styleId="344">
    <w:name w:val="font41"/>
    <w:basedOn w:val="69"/>
    <w:qFormat/>
    <w:uiPriority w:val="0"/>
    <w:rPr>
      <w:rFonts w:hint="eastAsia" w:ascii="宋体" w:hAnsi="宋体" w:eastAsia="宋体" w:cs="宋体"/>
      <w:b/>
      <w:bCs/>
      <w:color w:val="000000"/>
      <w:sz w:val="24"/>
      <w:szCs w:val="24"/>
      <w:u w:val="none"/>
    </w:rPr>
  </w:style>
  <w:style w:type="character" w:customStyle="1" w:styleId="345">
    <w:name w:val="font12"/>
    <w:basedOn w:val="69"/>
    <w:qFormat/>
    <w:uiPriority w:val="0"/>
    <w:rPr>
      <w:rFonts w:hint="default" w:ascii="Times New Roman" w:hAnsi="Times New Roman" w:cs="Times New Roman"/>
      <w:color w:val="000000"/>
      <w:sz w:val="24"/>
      <w:szCs w:val="24"/>
      <w:u w:val="none"/>
    </w:rPr>
  </w:style>
  <w:style w:type="character" w:customStyle="1" w:styleId="346">
    <w:name w:val="font111"/>
    <w:basedOn w:val="69"/>
    <w:qFormat/>
    <w:uiPriority w:val="0"/>
    <w:rPr>
      <w:rFonts w:hint="eastAsia" w:ascii="宋体" w:hAnsi="宋体" w:eastAsia="宋体" w:cs="宋体"/>
      <w:color w:val="000000"/>
      <w:sz w:val="22"/>
      <w:szCs w:val="22"/>
      <w:u w:val="none"/>
    </w:rPr>
  </w:style>
  <w:style w:type="character" w:customStyle="1" w:styleId="347">
    <w:name w:val="标题 7 字符1"/>
    <w:basedOn w:val="69"/>
    <w:semiHidden/>
    <w:qFormat/>
    <w:uiPriority w:val="9"/>
    <w:rPr>
      <w:b/>
      <w:bCs/>
      <w:sz w:val="24"/>
      <w:szCs w:val="24"/>
    </w:rPr>
  </w:style>
  <w:style w:type="character" w:customStyle="1" w:styleId="348">
    <w:name w:val="标题 8 字符1"/>
    <w:basedOn w:val="69"/>
    <w:semiHidden/>
    <w:qFormat/>
    <w:uiPriority w:val="9"/>
    <w:rPr>
      <w:rFonts w:hint="default" w:ascii="Cambria" w:hAnsi="Cambria" w:eastAsia="宋体" w:cs="Times New Roman"/>
      <w:sz w:val="24"/>
      <w:szCs w:val="24"/>
    </w:rPr>
  </w:style>
  <w:style w:type="character" w:customStyle="1" w:styleId="349">
    <w:name w:val="标题 9 字符1"/>
    <w:basedOn w:val="69"/>
    <w:semiHidden/>
    <w:qFormat/>
    <w:uiPriority w:val="9"/>
    <w:rPr>
      <w:rFonts w:hint="default" w:ascii="Cambria" w:hAnsi="Cambria" w:eastAsia="宋体" w:cs="Times New Roman"/>
      <w:szCs w:val="21"/>
    </w:rPr>
  </w:style>
  <w:style w:type="table" w:customStyle="1" w:styleId="350">
    <w:name w:val="Table Normal"/>
    <w:qFormat/>
    <w:uiPriority w:val="59"/>
    <w:tblPr>
      <w:tblCellMar>
        <w:top w:w="0" w:type="dxa"/>
        <w:left w:w="108" w:type="dxa"/>
        <w:bottom w:w="0" w:type="dxa"/>
        <w:right w:w="108" w:type="dxa"/>
      </w:tblCellMar>
    </w:tblPr>
  </w:style>
  <w:style w:type="table" w:customStyle="1" w:styleId="351">
    <w:name w:val="华信表格(五号)"/>
    <w:basedOn w:val="62"/>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2">
    <w:name w:val="批注主题 Char1"/>
    <w:basedOn w:val="309"/>
    <w:qFormat/>
    <w:uiPriority w:val="0"/>
    <w:rPr>
      <w:rFonts w:hint="default" w:ascii="Times New Roman" w:hAnsi="Times New Roman" w:eastAsia="宋体" w:cs="Times New Roman"/>
      <w:b/>
      <w:bCs/>
    </w:rPr>
  </w:style>
  <w:style w:type="paragraph" w:customStyle="1" w:styleId="353">
    <w:name w:val="Body text|1"/>
    <w:basedOn w:val="1"/>
    <w:qFormat/>
    <w:uiPriority w:val="0"/>
    <w:rPr>
      <w:sz w:val="10"/>
      <w:szCs w:val="10"/>
    </w:rPr>
  </w:style>
  <w:style w:type="paragraph" w:customStyle="1" w:styleId="354">
    <w:name w:val="Picture caption|2"/>
    <w:basedOn w:val="1"/>
    <w:qFormat/>
    <w:uiPriority w:val="0"/>
    <w:rPr>
      <w:sz w:val="10"/>
      <w:szCs w:val="10"/>
      <w:lang w:val="zh-TW" w:eastAsia="zh-TW" w:bidi="zh-TW"/>
    </w:rPr>
  </w:style>
  <w:style w:type="paragraph" w:customStyle="1" w:styleId="355">
    <w:name w:val="Picture caption|1"/>
    <w:basedOn w:val="1"/>
    <w:qFormat/>
    <w:uiPriority w:val="0"/>
    <w:rPr>
      <w:rFonts w:ascii="宋体" w:hAnsi="宋体" w:eastAsia="宋体" w:cs="宋体"/>
      <w:sz w:val="9"/>
      <w:szCs w:val="9"/>
    </w:rPr>
  </w:style>
  <w:style w:type="paragraph" w:customStyle="1" w:styleId="356">
    <w:name w:val="Other|2"/>
    <w:basedOn w:val="1"/>
    <w:qFormat/>
    <w:uiPriority w:val="0"/>
    <w:rPr>
      <w:rFonts w:ascii="宋体" w:hAnsi="宋体" w:eastAsia="宋体" w:cs="宋体"/>
      <w:sz w:val="11"/>
      <w:szCs w:val="11"/>
      <w:lang w:val="zh-TW" w:eastAsia="zh-TW" w:bidi="zh-TW"/>
    </w:rPr>
  </w:style>
  <w:style w:type="paragraph" w:customStyle="1" w:styleId="357">
    <w:name w:val="Other|1"/>
    <w:basedOn w:val="1"/>
    <w:qFormat/>
    <w:uiPriority w:val="0"/>
    <w:rPr>
      <w:b/>
      <w:bCs/>
      <w:sz w:val="9"/>
      <w:szCs w:val="9"/>
      <w:lang w:val="zh-TW" w:eastAsia="zh-TW" w:bidi="zh-TW"/>
    </w:rPr>
  </w:style>
  <w:style w:type="character" w:customStyle="1" w:styleId="358">
    <w:name w:val="font51"/>
    <w:basedOn w:val="69"/>
    <w:qFormat/>
    <w:uiPriority w:val="0"/>
    <w:rPr>
      <w:rFonts w:hint="eastAsia" w:ascii="宋体" w:hAnsi="宋体" w:eastAsia="宋体" w:cs="宋体"/>
      <w:color w:val="000000"/>
      <w:sz w:val="20"/>
      <w:szCs w:val="20"/>
      <w:u w:val="none"/>
      <w:vertAlign w:val="superscript"/>
    </w:rPr>
  </w:style>
  <w:style w:type="paragraph" w:customStyle="1" w:styleId="359">
    <w:name w:val="cover"/>
    <w:link w:val="366"/>
    <w:qFormat/>
    <w:uiPriority w:val="0"/>
    <w:rPr>
      <w:rFonts w:ascii="宋体" w:hAnsi="Cambria" w:eastAsia="宋体" w:cs="宋体"/>
      <w:b/>
      <w:kern w:val="2"/>
      <w:sz w:val="52"/>
      <w:szCs w:val="22"/>
      <w:lang w:val="en-US" w:eastAsia="zh-CN" w:bidi="ar-SA"/>
    </w:rPr>
  </w:style>
  <w:style w:type="character" w:customStyle="1" w:styleId="360">
    <w:name w:val="称呼 字符"/>
    <w:basedOn w:val="69"/>
    <w:link w:val="22"/>
    <w:qFormat/>
    <w:uiPriority w:val="0"/>
    <w:rPr>
      <w:szCs w:val="24"/>
    </w:rPr>
  </w:style>
  <w:style w:type="character" w:customStyle="1" w:styleId="361">
    <w:name w:val="尾注文本 字符"/>
    <w:basedOn w:val="69"/>
    <w:link w:val="38"/>
    <w:qFormat/>
    <w:uiPriority w:val="0"/>
    <w:rPr>
      <w:sz w:val="24"/>
    </w:rPr>
  </w:style>
  <w:style w:type="character" w:customStyle="1" w:styleId="362">
    <w:name w:val="副标题 字符"/>
    <w:basedOn w:val="69"/>
    <w:link w:val="44"/>
    <w:qFormat/>
    <w:uiPriority w:val="0"/>
    <w:rPr>
      <w:rFonts w:ascii="Calibri" w:hAnsi="Calibri" w:cs="宋体"/>
      <w:b/>
      <w:bCs/>
      <w:kern w:val="28"/>
      <w:sz w:val="32"/>
      <w:szCs w:val="32"/>
    </w:rPr>
  </w:style>
  <w:style w:type="character" w:customStyle="1" w:styleId="363">
    <w:name w:val="脚注文本 字符"/>
    <w:basedOn w:val="69"/>
    <w:link w:val="47"/>
    <w:qFormat/>
    <w:uiPriority w:val="0"/>
    <w:rPr>
      <w:rFonts w:ascii="宋体" w:hAnsi="Calibri" w:cs="宋体"/>
      <w:kern w:val="2"/>
      <w:sz w:val="18"/>
      <w:szCs w:val="18"/>
    </w:rPr>
  </w:style>
  <w:style w:type="character" w:customStyle="1" w:styleId="364">
    <w:name w:val="标题 字符"/>
    <w:basedOn w:val="69"/>
    <w:link w:val="56"/>
    <w:qFormat/>
    <w:uiPriority w:val="0"/>
    <w:rPr>
      <w:rFonts w:ascii="Cambria" w:hAnsi="Cambria" w:cs="宋体"/>
      <w:b/>
      <w:bCs/>
      <w:kern w:val="2"/>
      <w:sz w:val="32"/>
      <w:szCs w:val="32"/>
    </w:rPr>
  </w:style>
  <w:style w:type="paragraph" w:customStyle="1" w:styleId="365">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6">
    <w:name w:val="cover 字符"/>
    <w:basedOn w:val="69"/>
    <w:link w:val="359"/>
    <w:qFormat/>
    <w:uiPriority w:val="0"/>
    <w:rPr>
      <w:rFonts w:ascii="宋体" w:hAnsi="Cambria" w:cs="宋体"/>
      <w:b/>
      <w:kern w:val="2"/>
      <w:sz w:val="52"/>
      <w:szCs w:val="22"/>
    </w:rPr>
  </w:style>
  <w:style w:type="paragraph" w:customStyle="1" w:styleId="367">
    <w:name w:val="index"/>
    <w:basedOn w:val="42"/>
    <w:link w:val="369"/>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8">
    <w:name w:val="TOC 1 字符"/>
    <w:basedOn w:val="69"/>
    <w:link w:val="42"/>
    <w:qFormat/>
    <w:uiPriority w:val="39"/>
    <w:rPr>
      <w:kern w:val="2"/>
      <w:sz w:val="21"/>
      <w:szCs w:val="22"/>
    </w:rPr>
  </w:style>
  <w:style w:type="character" w:customStyle="1" w:styleId="369">
    <w:name w:val="index 字符"/>
    <w:basedOn w:val="368"/>
    <w:link w:val="367"/>
    <w:qFormat/>
    <w:uiPriority w:val="0"/>
    <w:rPr>
      <w:rFonts w:hAnsi="Calibri" w:cs="宋体"/>
      <w:kern w:val="2"/>
      <w:sz w:val="21"/>
      <w:szCs w:val="32"/>
    </w:rPr>
  </w:style>
  <w:style w:type="paragraph" w:customStyle="1" w:styleId="370">
    <w:name w:val="form"/>
    <w:basedOn w:val="1"/>
    <w:link w:val="371"/>
    <w:qFormat/>
    <w:uiPriority w:val="0"/>
    <w:pPr>
      <w:wordWrap w:val="0"/>
      <w:snapToGrid w:val="0"/>
      <w:jc w:val="center"/>
    </w:pPr>
    <w:rPr>
      <w:rFonts w:ascii="宋体" w:hAnsi="Calibri" w:eastAsia="宋体" w:cs="宋体"/>
      <w:szCs w:val="21"/>
    </w:rPr>
  </w:style>
  <w:style w:type="character" w:customStyle="1" w:styleId="371">
    <w:name w:val="form 字符"/>
    <w:basedOn w:val="69"/>
    <w:link w:val="370"/>
    <w:qFormat/>
    <w:uiPriority w:val="0"/>
    <w:rPr>
      <w:rFonts w:ascii="宋体" w:hAnsi="Calibri" w:cs="宋体"/>
      <w:kern w:val="2"/>
      <w:sz w:val="21"/>
      <w:szCs w:val="21"/>
    </w:rPr>
  </w:style>
  <w:style w:type="paragraph" w:customStyle="1" w:styleId="372">
    <w:name w:val="序号列"/>
    <w:basedOn w:val="112"/>
    <w:link w:val="373"/>
    <w:qFormat/>
    <w:uiPriority w:val="0"/>
    <w:pPr>
      <w:wordWrap w:val="0"/>
      <w:spacing w:line="360" w:lineRule="auto"/>
      <w:ind w:firstLine="0" w:firstLineChars="0"/>
    </w:pPr>
    <w:rPr>
      <w:rFonts w:ascii="宋体" w:hAnsi="Calibri" w:eastAsia="宋体" w:cs="宋体"/>
    </w:rPr>
  </w:style>
  <w:style w:type="character" w:customStyle="1" w:styleId="373">
    <w:name w:val="序号列 字符"/>
    <w:basedOn w:val="254"/>
    <w:link w:val="372"/>
    <w:qFormat/>
    <w:uiPriority w:val="0"/>
    <w:rPr>
      <w:rFonts w:ascii="宋体" w:hAnsi="Calibri" w:eastAsia="宋体" w:cs="宋体"/>
      <w:kern w:val="2"/>
      <w:sz w:val="21"/>
      <w:szCs w:val="22"/>
    </w:rPr>
  </w:style>
  <w:style w:type="paragraph" w:customStyle="1" w:styleId="374">
    <w:name w:val="加粗子列表"/>
    <w:basedOn w:val="112"/>
    <w:link w:val="376"/>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5">
    <w:name w:val="子列2"/>
    <w:basedOn w:val="374"/>
    <w:link w:val="378"/>
    <w:qFormat/>
    <w:uiPriority w:val="0"/>
    <w:pPr>
      <w:numPr>
        <w:ilvl w:val="1"/>
        <w:numId w:val="0"/>
      </w:numPr>
    </w:pPr>
    <w:rPr>
      <w:b w:val="0"/>
      <w:bCs w:val="0"/>
    </w:rPr>
  </w:style>
  <w:style w:type="character" w:customStyle="1" w:styleId="376">
    <w:name w:val="加粗子列表 字符"/>
    <w:basedOn w:val="254"/>
    <w:link w:val="374"/>
    <w:qFormat/>
    <w:uiPriority w:val="0"/>
    <w:rPr>
      <w:rFonts w:ascii="宋体" w:hAnsi="Calibri" w:eastAsia="宋体" w:cs="宋体"/>
      <w:b/>
      <w:bCs/>
      <w:kern w:val="2"/>
      <w:sz w:val="21"/>
      <w:szCs w:val="22"/>
    </w:rPr>
  </w:style>
  <w:style w:type="character" w:customStyle="1" w:styleId="377">
    <w:name w:val="纯文本 Char"/>
    <w:link w:val="161"/>
    <w:qFormat/>
    <w:uiPriority w:val="0"/>
    <w:rPr>
      <w:rFonts w:ascii="宋体" w:hAnsi="Courier New" w:eastAsia="Times New Roman"/>
      <w:kern w:val="2"/>
      <w:sz w:val="30"/>
      <w:szCs w:val="24"/>
    </w:rPr>
  </w:style>
  <w:style w:type="character" w:customStyle="1" w:styleId="378">
    <w:name w:val="子列2 字符"/>
    <w:basedOn w:val="376"/>
    <w:link w:val="375"/>
    <w:qFormat/>
    <w:uiPriority w:val="0"/>
    <w:rPr>
      <w:rFonts w:ascii="宋体" w:hAnsi="Calibri" w:eastAsia="宋体" w:cs="宋体"/>
      <w:b w:val="0"/>
      <w:bCs w:val="0"/>
      <w:kern w:val="2"/>
      <w:sz w:val="21"/>
      <w:szCs w:val="22"/>
    </w:rPr>
  </w:style>
  <w:style w:type="paragraph" w:customStyle="1" w:styleId="379">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0">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1">
    <w:name w:val="纯文本2"/>
    <w:basedOn w:val="1"/>
    <w:qFormat/>
    <w:uiPriority w:val="0"/>
    <w:rPr>
      <w:rFonts w:ascii="宋体" w:hAnsi="Courier New" w:eastAsia="仿宋_GB2312" w:cs="Times New Roman"/>
      <w:sz w:val="30"/>
      <w:szCs w:val="24"/>
    </w:rPr>
  </w:style>
  <w:style w:type="paragraph" w:customStyle="1" w:styleId="382">
    <w:name w:val="Body Text Indent1"/>
    <w:basedOn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3">
    <w:name w:val="批注框文本 Char"/>
    <w:basedOn w:val="69"/>
    <w:link w:val="384"/>
    <w:qFormat/>
    <w:uiPriority w:val="0"/>
    <w:rPr>
      <w:rFonts w:ascii="Calibri" w:hAnsi="Calibri"/>
      <w:sz w:val="18"/>
      <w:szCs w:val="18"/>
    </w:rPr>
  </w:style>
  <w:style w:type="paragraph" w:customStyle="1" w:styleId="384">
    <w:name w:val="批注框文本1"/>
    <w:basedOn w:val="1"/>
    <w:link w:val="383"/>
    <w:qFormat/>
    <w:uiPriority w:val="0"/>
    <w:rPr>
      <w:rFonts w:ascii="Calibri" w:hAnsi="Calibri" w:eastAsia="宋体" w:cs="Times New Roman"/>
      <w:kern w:val="0"/>
      <w:sz w:val="18"/>
      <w:szCs w:val="18"/>
    </w:rPr>
  </w:style>
  <w:style w:type="paragraph" w:customStyle="1" w:styleId="385">
    <w:name w:val="纯文本5"/>
    <w:basedOn w:val="1"/>
    <w:qFormat/>
    <w:uiPriority w:val="0"/>
    <w:rPr>
      <w:rFonts w:ascii="宋体" w:hAnsi="Courier New" w:eastAsia="仿宋_GB2312" w:cs="Times New Roman"/>
      <w:sz w:val="30"/>
      <w:szCs w:val="24"/>
    </w:rPr>
  </w:style>
  <w:style w:type="paragraph" w:customStyle="1" w:styleId="386">
    <w:name w:val="附件格式"/>
    <w:basedOn w:val="1"/>
    <w:link w:val="387"/>
    <w:qFormat/>
    <w:uiPriority w:val="0"/>
    <w:pPr>
      <w:wordWrap w:val="0"/>
      <w:spacing w:line="360" w:lineRule="auto"/>
      <w:ind w:firstLine="200" w:firstLineChars="200"/>
    </w:pPr>
    <w:rPr>
      <w:rFonts w:ascii="宋体" w:hAnsi="Calibri" w:eastAsia="宋体" w:cs="宋体"/>
      <w:sz w:val="28"/>
    </w:rPr>
  </w:style>
  <w:style w:type="character" w:customStyle="1" w:styleId="387">
    <w:name w:val="附件格式 字符"/>
    <w:basedOn w:val="69"/>
    <w:link w:val="386"/>
    <w:qFormat/>
    <w:uiPriority w:val="0"/>
    <w:rPr>
      <w:rFonts w:ascii="宋体" w:hAnsi="Calibri" w:cs="宋体"/>
      <w:kern w:val="2"/>
      <w:sz w:val="28"/>
      <w:szCs w:val="22"/>
    </w:rPr>
  </w:style>
  <w:style w:type="paragraph" w:customStyle="1" w:styleId="388">
    <w:name w:val="大纲"/>
    <w:next w:val="1"/>
    <w:link w:val="389"/>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89">
    <w:name w:val="大纲 字符"/>
    <w:basedOn w:val="69"/>
    <w:link w:val="388"/>
    <w:qFormat/>
    <w:uiPriority w:val="0"/>
    <w:rPr>
      <w:rFonts w:ascii="宋体" w:hAnsi="Calibri" w:cs="宋体"/>
      <w:b/>
      <w:bCs/>
      <w:kern w:val="2"/>
      <w:sz w:val="24"/>
      <w:szCs w:val="22"/>
    </w:rPr>
  </w:style>
  <w:style w:type="character" w:customStyle="1" w:styleId="390">
    <w:name w:val="fontstyle01"/>
    <w:qFormat/>
    <w:uiPriority w:val="0"/>
    <w:rPr>
      <w:rFonts w:hint="eastAsia" w:ascii="宋体" w:hAnsi="宋体" w:eastAsia="宋体"/>
      <w:color w:val="000000"/>
      <w:sz w:val="44"/>
      <w:szCs w:val="44"/>
    </w:rPr>
  </w:style>
  <w:style w:type="character" w:customStyle="1" w:styleId="391">
    <w:name w:val="bookmark-item"/>
    <w:basedOn w:val="69"/>
    <w:qFormat/>
    <w:uiPriority w:val="0"/>
  </w:style>
  <w:style w:type="character" w:customStyle="1" w:styleId="392">
    <w:name w:val="Body Text Indent Char Char"/>
    <w:basedOn w:val="69"/>
    <w:link w:val="393"/>
    <w:qFormat/>
    <w:uiPriority w:val="0"/>
  </w:style>
  <w:style w:type="paragraph" w:customStyle="1" w:styleId="393">
    <w:name w:val="正文文本缩进1"/>
    <w:basedOn w:val="1"/>
    <w:link w:val="392"/>
    <w:qFormat/>
    <w:uiPriority w:val="0"/>
    <w:pPr>
      <w:spacing w:line="200" w:lineRule="exact"/>
      <w:ind w:firstLine="301"/>
    </w:pPr>
    <w:rPr>
      <w:rFonts w:ascii="Times New Roman" w:hAnsi="Times New Roman" w:eastAsia="宋体" w:cs="Times New Roman"/>
      <w:kern w:val="0"/>
      <w:sz w:val="20"/>
      <w:szCs w:val="20"/>
    </w:rPr>
  </w:style>
  <w:style w:type="paragraph" w:customStyle="1" w:styleId="394">
    <w:name w:val="段"/>
    <w:link w:val="413"/>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395">
    <w:name w:val="Placeholder Text"/>
    <w:basedOn w:val="69"/>
    <w:qFormat/>
    <w:uiPriority w:val="99"/>
    <w:rPr>
      <w:color w:val="808080"/>
    </w:rPr>
  </w:style>
  <w:style w:type="paragraph" w:customStyle="1" w:styleId="396">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397">
    <w:name w:val="4需求"/>
    <w:next w:val="1"/>
    <w:link w:val="399"/>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8">
    <w:name w:val="3需求"/>
    <w:next w:val="397"/>
    <w:link w:val="401"/>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399">
    <w:name w:val="4需求 字符"/>
    <w:basedOn w:val="69"/>
    <w:link w:val="397"/>
    <w:qFormat/>
    <w:uiPriority w:val="0"/>
    <w:rPr>
      <w:rFonts w:ascii="宋体" w:hAnsi="Calibri" w:cs="宋体"/>
      <w:b/>
      <w:bCs/>
      <w:kern w:val="2"/>
      <w:sz w:val="21"/>
      <w:szCs w:val="22"/>
    </w:rPr>
  </w:style>
  <w:style w:type="paragraph" w:customStyle="1" w:styleId="400">
    <w:name w:val="2需求"/>
    <w:next w:val="1"/>
    <w:link w:val="403"/>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3需求 字符"/>
    <w:basedOn w:val="69"/>
    <w:link w:val="398"/>
    <w:qFormat/>
    <w:uiPriority w:val="0"/>
    <w:rPr>
      <w:rFonts w:ascii="宋体" w:hAnsi="Calibri" w:cs="宋体"/>
      <w:b/>
      <w:bCs/>
      <w:kern w:val="2"/>
      <w:sz w:val="24"/>
      <w:szCs w:val="22"/>
    </w:rPr>
  </w:style>
  <w:style w:type="paragraph" w:customStyle="1" w:styleId="402">
    <w:name w:val="1需求"/>
    <w:next w:val="1"/>
    <w:link w:val="404"/>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3">
    <w:name w:val="2需求 字符"/>
    <w:basedOn w:val="69"/>
    <w:link w:val="400"/>
    <w:qFormat/>
    <w:uiPriority w:val="0"/>
    <w:rPr>
      <w:rFonts w:ascii="宋体" w:hAnsi="Calibri" w:cs="宋体"/>
      <w:b/>
      <w:bCs/>
      <w:kern w:val="2"/>
      <w:sz w:val="24"/>
      <w:szCs w:val="22"/>
    </w:rPr>
  </w:style>
  <w:style w:type="character" w:customStyle="1" w:styleId="404">
    <w:name w:val="1需求 字符"/>
    <w:basedOn w:val="69"/>
    <w:link w:val="402"/>
    <w:qFormat/>
    <w:uiPriority w:val="0"/>
    <w:rPr>
      <w:rFonts w:ascii="宋体" w:hAnsi="Calibri" w:cs="宋体"/>
      <w:b/>
      <w:bCs/>
      <w:kern w:val="2"/>
      <w:sz w:val="28"/>
      <w:szCs w:val="22"/>
    </w:rPr>
  </w:style>
  <w:style w:type="paragraph" w:customStyle="1" w:styleId="405">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06">
    <w:name w:val="批注框文本 字符1"/>
    <w:qFormat/>
    <w:uiPriority w:val="0"/>
    <w:rPr>
      <w:rFonts w:ascii="Times New Roman" w:hAnsi="Times New Roman" w:eastAsia="宋体" w:cs="Times New Roman"/>
      <w:sz w:val="18"/>
      <w:szCs w:val="18"/>
    </w:rPr>
  </w:style>
  <w:style w:type="character" w:customStyle="1" w:styleId="407">
    <w:name w:val="页眉 字符1"/>
    <w:qFormat/>
    <w:uiPriority w:val="99"/>
    <w:rPr>
      <w:rFonts w:ascii="Times New Roman" w:hAnsi="Times New Roman" w:eastAsia="宋体" w:cs="Times New Roman"/>
      <w:sz w:val="18"/>
      <w:szCs w:val="18"/>
    </w:rPr>
  </w:style>
  <w:style w:type="character" w:customStyle="1" w:styleId="408">
    <w:name w:val="v0066991"/>
    <w:qFormat/>
    <w:uiPriority w:val="0"/>
    <w:rPr>
      <w:rFonts w:ascii="Arial" w:hAnsi="Arial" w:eastAsia="宋体" w:cs="Times New Roman"/>
      <w:color w:val="000000"/>
      <w:sz w:val="26"/>
      <w:u w:val="none"/>
    </w:rPr>
  </w:style>
  <w:style w:type="character" w:customStyle="1" w:styleId="409">
    <w:name w:val="正文2 Char"/>
    <w:link w:val="171"/>
    <w:qFormat/>
    <w:uiPriority w:val="0"/>
    <w:rPr>
      <w:kern w:val="2"/>
      <w:sz w:val="24"/>
    </w:rPr>
  </w:style>
  <w:style w:type="character" w:customStyle="1" w:styleId="410">
    <w:name w:val="Char Char7"/>
    <w:qFormat/>
    <w:uiPriority w:val="0"/>
    <w:rPr>
      <w:rFonts w:ascii="Cambria" w:hAnsi="Cambria" w:eastAsia="仿宋_GB2312" w:cs="Times New Roman"/>
      <w:b/>
      <w:kern w:val="2"/>
      <w:sz w:val="28"/>
    </w:rPr>
  </w:style>
  <w:style w:type="character" w:customStyle="1" w:styleId="411">
    <w:name w:val="Subtle Reference1"/>
    <w:qFormat/>
    <w:uiPriority w:val="0"/>
    <w:rPr>
      <w:rFonts w:ascii="Calibri" w:hAnsi="Calibri" w:eastAsia="宋体" w:cs="Times New Roman"/>
      <w:smallCaps/>
      <w:color w:val="C0504D"/>
      <w:u w:val="single"/>
    </w:rPr>
  </w:style>
  <w:style w:type="character" w:customStyle="1" w:styleId="412">
    <w:name w:val="正文首行缩进 Char"/>
    <w:qFormat/>
    <w:uiPriority w:val="0"/>
    <w:rPr>
      <w:rFonts w:ascii="Times New Roman" w:hAnsi="Times New Roman" w:eastAsia="仿宋_GB2312" w:cs="Times New Roman"/>
      <w:kern w:val="2"/>
      <w:sz w:val="21"/>
      <w:szCs w:val="24"/>
    </w:rPr>
  </w:style>
  <w:style w:type="character" w:customStyle="1" w:styleId="413">
    <w:name w:val="段 Char"/>
    <w:link w:val="394"/>
    <w:qFormat/>
    <w:uiPriority w:val="0"/>
    <w:rPr>
      <w:rFonts w:ascii="宋体"/>
      <w:sz w:val="21"/>
    </w:rPr>
  </w:style>
  <w:style w:type="character" w:customStyle="1" w:styleId="414">
    <w:name w:val="样式1 Char Char"/>
    <w:link w:val="147"/>
    <w:qFormat/>
    <w:uiPriority w:val="0"/>
    <w:rPr>
      <w:rFonts w:ascii="Calibri" w:hAnsi="Calibri"/>
      <w:b/>
      <w:i/>
      <w:sz w:val="24"/>
      <w:szCs w:val="21"/>
      <w:u w:val="thick"/>
    </w:rPr>
  </w:style>
  <w:style w:type="character" w:customStyle="1" w:styleId="415">
    <w:name w:val="17"/>
    <w:qFormat/>
    <w:uiPriority w:val="0"/>
    <w:rPr>
      <w:rFonts w:hint="default" w:ascii="Calibri" w:hAnsi="Calibri" w:eastAsia="宋体" w:cs="Times New Roman"/>
      <w:sz w:val="21"/>
      <w:szCs w:val="21"/>
    </w:rPr>
  </w:style>
  <w:style w:type="character" w:customStyle="1" w:styleId="416">
    <w:name w:val="标题 6 Char1"/>
    <w:qFormat/>
    <w:uiPriority w:val="0"/>
    <w:rPr>
      <w:rFonts w:ascii="Arial" w:hAnsi="Arial" w:eastAsia="黑体" w:cs="Times New Roman"/>
      <w:b/>
      <w:kern w:val="2"/>
      <w:sz w:val="24"/>
    </w:rPr>
  </w:style>
  <w:style w:type="character" w:customStyle="1" w:styleId="417">
    <w:name w:val="自定义正文 Char Char"/>
    <w:qFormat/>
    <w:uiPriority w:val="0"/>
    <w:rPr>
      <w:rFonts w:ascii="Calibri" w:hAnsi="Calibri" w:eastAsia="宋体" w:cs="Times New Roman"/>
      <w:sz w:val="24"/>
    </w:rPr>
  </w:style>
  <w:style w:type="character" w:customStyle="1" w:styleId="418">
    <w:name w:val="正文文本 Char3"/>
    <w:qFormat/>
    <w:uiPriority w:val="0"/>
    <w:rPr>
      <w:rFonts w:ascii="Times New Roman" w:hAnsi="Times New Roman" w:eastAsia="宋体" w:cs="Times New Roman"/>
      <w:sz w:val="20"/>
      <w:szCs w:val="20"/>
    </w:rPr>
  </w:style>
  <w:style w:type="character" w:customStyle="1" w:styleId="419">
    <w:name w:val="标题 2 Char1"/>
    <w:qFormat/>
    <w:uiPriority w:val="0"/>
    <w:rPr>
      <w:rFonts w:ascii="仿宋_GB2312" w:hAnsi="Calibri" w:eastAsia="仿宋_GB2312" w:cs="Times New Roman"/>
      <w:sz w:val="28"/>
    </w:rPr>
  </w:style>
  <w:style w:type="character" w:customStyle="1" w:styleId="420">
    <w:name w:val="批注引用111"/>
    <w:qFormat/>
    <w:uiPriority w:val="0"/>
    <w:rPr>
      <w:rFonts w:ascii="Calibri" w:hAnsi="Calibri" w:eastAsia="宋体" w:cs="Times New Roman"/>
      <w:sz w:val="21"/>
      <w:szCs w:val="21"/>
    </w:rPr>
  </w:style>
  <w:style w:type="character" w:customStyle="1" w:styleId="421">
    <w:name w:val="blue"/>
    <w:qFormat/>
    <w:uiPriority w:val="0"/>
    <w:rPr>
      <w:rFonts w:ascii="Calibri" w:hAnsi="Calibri" w:eastAsia="宋体" w:cs="Times New Roman"/>
    </w:rPr>
  </w:style>
  <w:style w:type="character" w:customStyle="1" w:styleId="422">
    <w:name w:val="段 Char Char"/>
    <w:qFormat/>
    <w:uiPriority w:val="0"/>
    <w:rPr>
      <w:rFonts w:ascii="宋体" w:hAnsi="Calibri" w:eastAsia="宋体" w:cs="Times New Roman"/>
      <w:lang w:val="en-US" w:eastAsia="zh-CN"/>
    </w:rPr>
  </w:style>
  <w:style w:type="character" w:customStyle="1" w:styleId="423">
    <w:name w:val="标题3 Char"/>
    <w:link w:val="424"/>
    <w:qFormat/>
    <w:uiPriority w:val="0"/>
    <w:rPr>
      <w:rFonts w:ascii="宋体" w:hAnsi="宋体" w:eastAsia="华文中宋" w:cs="Arial"/>
      <w:b/>
      <w:sz w:val="24"/>
      <w:szCs w:val="24"/>
    </w:rPr>
  </w:style>
  <w:style w:type="paragraph" w:customStyle="1" w:styleId="424">
    <w:name w:val="标题3"/>
    <w:basedOn w:val="1"/>
    <w:next w:val="1"/>
    <w:link w:val="423"/>
    <w:qFormat/>
    <w:uiPriority w:val="0"/>
    <w:pPr>
      <w:widowControl/>
      <w:jc w:val="left"/>
    </w:pPr>
    <w:rPr>
      <w:rFonts w:ascii="宋体" w:hAnsi="宋体" w:eastAsia="华文中宋" w:cs="Arial"/>
      <w:b/>
      <w:kern w:val="0"/>
      <w:sz w:val="24"/>
      <w:szCs w:val="24"/>
    </w:rPr>
  </w:style>
  <w:style w:type="character" w:customStyle="1" w:styleId="425">
    <w:name w:val="style17"/>
    <w:qFormat/>
    <w:uiPriority w:val="0"/>
    <w:rPr>
      <w:rFonts w:ascii="Calibri" w:hAnsi="Calibri" w:eastAsia="宋体" w:cs="Times New Roman"/>
    </w:rPr>
  </w:style>
  <w:style w:type="character" w:customStyle="1" w:styleId="426">
    <w:name w:val="g1"/>
    <w:qFormat/>
    <w:uiPriority w:val="0"/>
    <w:rPr>
      <w:rFonts w:ascii="Calibri" w:hAnsi="Calibri" w:eastAsia="宋体" w:cs="Times New Roman"/>
      <w:color w:val="008000"/>
    </w:rPr>
  </w:style>
  <w:style w:type="character" w:customStyle="1" w:styleId="427">
    <w:name w:val="Char Char9"/>
    <w:qFormat/>
    <w:uiPriority w:val="0"/>
    <w:rPr>
      <w:rFonts w:ascii="Calibri" w:hAnsi="Calibri" w:eastAsia="宋体" w:cs="Times New Roman"/>
      <w:b/>
      <w:kern w:val="44"/>
      <w:sz w:val="44"/>
    </w:rPr>
  </w:style>
  <w:style w:type="character" w:customStyle="1" w:styleId="428">
    <w:name w:val="页脚 Char3"/>
    <w:qFormat/>
    <w:uiPriority w:val="0"/>
    <w:rPr>
      <w:rFonts w:ascii="Times New Roman" w:hAnsi="Times New Roman" w:eastAsia="宋体" w:cs="Times New Roman"/>
      <w:sz w:val="20"/>
      <w:szCs w:val="20"/>
    </w:rPr>
  </w:style>
  <w:style w:type="character" w:customStyle="1" w:styleId="429">
    <w:name w:val="称呼 Char"/>
    <w:qFormat/>
    <w:uiPriority w:val="0"/>
    <w:rPr>
      <w:rFonts w:ascii="Times New Roman" w:hAnsi="Times New Roman" w:eastAsia="宋体" w:cs="Times New Roman"/>
      <w:kern w:val="2"/>
      <w:sz w:val="21"/>
      <w:szCs w:val="24"/>
    </w:rPr>
  </w:style>
  <w:style w:type="character" w:customStyle="1" w:styleId="430">
    <w:name w:val="●一级符号home Char Char1"/>
    <w:link w:val="431"/>
    <w:qFormat/>
    <w:uiPriority w:val="0"/>
    <w:rPr>
      <w:rFonts w:ascii="Verdana" w:hAnsi="Verdana"/>
      <w:sz w:val="21"/>
      <w:lang w:val="zh-CN"/>
    </w:rPr>
  </w:style>
  <w:style w:type="paragraph" w:customStyle="1" w:styleId="431">
    <w:name w:val="●一级符号home"/>
    <w:basedOn w:val="1"/>
    <w:link w:val="430"/>
    <w:qFormat/>
    <w:uiPriority w:val="0"/>
    <w:pPr>
      <w:tabs>
        <w:tab w:val="left" w:pos="901"/>
      </w:tabs>
      <w:spacing w:line="360" w:lineRule="auto"/>
    </w:pPr>
    <w:rPr>
      <w:rFonts w:ascii="Verdana" w:hAnsi="Verdana" w:eastAsia="宋体" w:cs="Times New Roman"/>
      <w:kern w:val="0"/>
      <w:szCs w:val="20"/>
      <w:lang w:val="zh-CN"/>
    </w:rPr>
  </w:style>
  <w:style w:type="character" w:customStyle="1" w:styleId="432">
    <w:name w:val="15"/>
    <w:qFormat/>
    <w:uiPriority w:val="0"/>
    <w:rPr>
      <w:rFonts w:hint="default" w:ascii="Calibri" w:hAnsi="Calibri" w:eastAsia="宋体" w:cs="Times New Roman"/>
      <w:sz w:val="18"/>
      <w:szCs w:val="18"/>
    </w:rPr>
  </w:style>
  <w:style w:type="character" w:customStyle="1" w:styleId="433">
    <w:name w:val="font81"/>
    <w:qFormat/>
    <w:uiPriority w:val="0"/>
    <w:rPr>
      <w:rFonts w:hint="default" w:ascii="Times New Roman" w:hAnsi="Times New Roman" w:eastAsia="宋体" w:cs="Times New Roman"/>
      <w:color w:val="000000"/>
      <w:sz w:val="18"/>
      <w:szCs w:val="18"/>
      <w:u w:val="none"/>
    </w:rPr>
  </w:style>
  <w:style w:type="character" w:customStyle="1" w:styleId="434">
    <w:name w:val="16"/>
    <w:qFormat/>
    <w:uiPriority w:val="0"/>
    <w:rPr>
      <w:rFonts w:hint="default" w:ascii="Calibri" w:hAnsi="Calibri" w:eastAsia="宋体" w:cs="Times New Roman"/>
      <w:sz w:val="21"/>
      <w:szCs w:val="21"/>
    </w:rPr>
  </w:style>
  <w:style w:type="character" w:customStyle="1" w:styleId="435">
    <w:name w:val="lf3"/>
    <w:qFormat/>
    <w:uiPriority w:val="0"/>
    <w:rPr>
      <w:rFonts w:ascii="Calibri" w:hAnsi="Calibri" w:eastAsia="宋体" w:cs="Times New Roman"/>
    </w:rPr>
  </w:style>
  <w:style w:type="character" w:customStyle="1" w:styleId="436">
    <w:name w:val="正文文本缩进 Char2"/>
    <w:qFormat/>
    <w:uiPriority w:val="0"/>
    <w:rPr>
      <w:rFonts w:ascii="Calibri" w:hAnsi="Calibri" w:eastAsia="宋体" w:cs="Times New Roman"/>
      <w:kern w:val="2"/>
      <w:sz w:val="21"/>
    </w:rPr>
  </w:style>
  <w:style w:type="character" w:customStyle="1" w:styleId="437">
    <w:name w:val="自定义正文 Char"/>
    <w:link w:val="438"/>
    <w:qFormat/>
    <w:uiPriority w:val="0"/>
    <w:rPr>
      <w:kern w:val="2"/>
      <w:sz w:val="24"/>
    </w:rPr>
  </w:style>
  <w:style w:type="paragraph" w:customStyle="1" w:styleId="438">
    <w:name w:val="自定义正文"/>
    <w:basedOn w:val="1"/>
    <w:link w:val="437"/>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39">
    <w:name w:val="样式 黑体 二号"/>
    <w:qFormat/>
    <w:uiPriority w:val="0"/>
    <w:rPr>
      <w:rFonts w:ascii="Arial" w:hAnsi="Arial" w:eastAsia="黑体" w:cs="Times New Roman"/>
      <w:sz w:val="44"/>
    </w:rPr>
  </w:style>
  <w:style w:type="character" w:customStyle="1" w:styleId="440">
    <w:name w:val="标题 Char1"/>
    <w:qFormat/>
    <w:uiPriority w:val="0"/>
    <w:rPr>
      <w:rFonts w:ascii="Calibri" w:hAnsi="Calibri" w:eastAsia="黑体" w:cs="Times New Roman"/>
      <w:b/>
      <w:sz w:val="28"/>
    </w:rPr>
  </w:style>
  <w:style w:type="character" w:customStyle="1" w:styleId="441">
    <w:name w:val="textfont"/>
    <w:qFormat/>
    <w:uiPriority w:val="0"/>
    <w:rPr>
      <w:rFonts w:ascii="Calibri" w:hAnsi="Calibri" w:eastAsia="宋体" w:cs="Times New Roman"/>
    </w:rPr>
  </w:style>
  <w:style w:type="character" w:customStyle="1" w:styleId="442">
    <w:name w:val="r13"/>
    <w:qFormat/>
    <w:uiPriority w:val="0"/>
    <w:rPr>
      <w:rFonts w:ascii="Calibri" w:hAnsi="Calibri" w:eastAsia="宋体" w:cs="Times New Roman"/>
    </w:rPr>
  </w:style>
  <w:style w:type="character" w:customStyle="1" w:styleId="443">
    <w:name w:val="副标题 Char"/>
    <w:qFormat/>
    <w:uiPriority w:val="0"/>
    <w:rPr>
      <w:rFonts w:ascii="Cambria" w:hAnsi="Cambria" w:eastAsia="宋体" w:cs="Times New Roman"/>
      <w:b/>
      <w:bCs/>
      <w:kern w:val="28"/>
      <w:sz w:val="32"/>
      <w:szCs w:val="32"/>
    </w:rPr>
  </w:style>
  <w:style w:type="character" w:customStyle="1" w:styleId="444">
    <w:name w:val="style15"/>
    <w:qFormat/>
    <w:uiPriority w:val="0"/>
    <w:rPr>
      <w:rFonts w:ascii="Calibri" w:hAnsi="Calibri" w:eastAsia="宋体" w:cs="Times New Roman"/>
    </w:rPr>
  </w:style>
  <w:style w:type="character" w:customStyle="1" w:styleId="445">
    <w:name w:val="页眉 Char2"/>
    <w:qFormat/>
    <w:uiPriority w:val="0"/>
    <w:rPr>
      <w:rFonts w:ascii="Calibri" w:hAnsi="Calibri" w:eastAsia="宋体" w:cs="Times New Roman"/>
      <w:kern w:val="2"/>
      <w:sz w:val="18"/>
    </w:rPr>
  </w:style>
  <w:style w:type="character" w:customStyle="1" w:styleId="446">
    <w:name w:val="headline-content2"/>
    <w:qFormat/>
    <w:uiPriority w:val="0"/>
    <w:rPr>
      <w:rFonts w:ascii="Calibri" w:hAnsi="Calibri" w:eastAsia="宋体" w:cs="Times New Roman"/>
    </w:rPr>
  </w:style>
  <w:style w:type="character" w:customStyle="1" w:styleId="447">
    <w:name w:val="paramname"/>
    <w:qFormat/>
    <w:uiPriority w:val="0"/>
    <w:rPr>
      <w:rFonts w:ascii="Calibri" w:hAnsi="Calibri" w:eastAsia="宋体" w:cs="Times New Roman"/>
    </w:rPr>
  </w:style>
  <w:style w:type="character" w:customStyle="1" w:styleId="448">
    <w:name w:val="页眉 Char Char"/>
    <w:qFormat/>
    <w:uiPriority w:val="0"/>
    <w:rPr>
      <w:rFonts w:ascii="Calibri" w:hAnsi="Calibri" w:eastAsia="宋体" w:cs="Times New Roman"/>
      <w:kern w:val="2"/>
      <w:sz w:val="18"/>
      <w:lang w:val="en-US" w:eastAsia="zh-CN"/>
    </w:rPr>
  </w:style>
  <w:style w:type="character" w:customStyle="1" w:styleId="449">
    <w:name w:val="正文2 Char Char"/>
    <w:qFormat/>
    <w:uiPriority w:val="0"/>
    <w:rPr>
      <w:rFonts w:ascii="Calibri" w:hAnsi="Calibri" w:eastAsia="宋体" w:cs="Times New Roman"/>
      <w:sz w:val="24"/>
    </w:rPr>
  </w:style>
  <w:style w:type="character" w:customStyle="1" w:styleId="450">
    <w:name w:val="正文首行缩进 Char2"/>
    <w:qFormat/>
    <w:uiPriority w:val="0"/>
    <w:rPr>
      <w:rFonts w:ascii="Calibri" w:hAnsi="Calibri" w:eastAsia="宋体" w:cs="Times New Roman"/>
    </w:rPr>
  </w:style>
  <w:style w:type="paragraph" w:customStyle="1" w:styleId="451">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2">
    <w:name w:val="批注引用10"/>
    <w:qFormat/>
    <w:uiPriority w:val="0"/>
    <w:rPr>
      <w:rFonts w:ascii="Calibri" w:hAnsi="Calibri" w:eastAsia="宋体" w:cs="Times New Roman"/>
      <w:sz w:val="21"/>
    </w:rPr>
  </w:style>
  <w:style w:type="character" w:customStyle="1" w:styleId="453">
    <w:name w:val="EmailStyle30"/>
    <w:qFormat/>
    <w:uiPriority w:val="0"/>
    <w:rPr>
      <w:rFonts w:ascii="Calibri" w:hAnsi="Calibri" w:eastAsia="宋体" w:cs="Times New Roman"/>
      <w:color w:val="000000"/>
    </w:rPr>
  </w:style>
  <w:style w:type="character" w:customStyle="1" w:styleId="454">
    <w:name w:val="批注引用5"/>
    <w:qFormat/>
    <w:uiPriority w:val="0"/>
    <w:rPr>
      <w:rFonts w:ascii="Calibri" w:hAnsi="Calibri" w:eastAsia="宋体" w:cs="Times New Roman"/>
      <w:sz w:val="21"/>
    </w:rPr>
  </w:style>
  <w:style w:type="character" w:customStyle="1" w:styleId="455">
    <w:name w:val="apple-style-span"/>
    <w:qFormat/>
    <w:uiPriority w:val="0"/>
    <w:rPr>
      <w:rFonts w:ascii="Calibri" w:hAnsi="Calibri" w:eastAsia="宋体" w:cs="Times New Roman"/>
    </w:rPr>
  </w:style>
  <w:style w:type="character" w:customStyle="1" w:styleId="456">
    <w:name w:val="无 A"/>
    <w:qFormat/>
    <w:uiPriority w:val="0"/>
    <w:rPr>
      <w:rFonts w:ascii="Calibri" w:hAnsi="Calibri" w:eastAsia="宋体" w:cs="Times New Roman"/>
      <w:lang w:val="en-US"/>
    </w:rPr>
  </w:style>
  <w:style w:type="character" w:customStyle="1" w:styleId="457">
    <w:name w:val="custbt1"/>
    <w:qFormat/>
    <w:uiPriority w:val="0"/>
    <w:rPr>
      <w:rFonts w:ascii="Calibri" w:hAnsi="Calibri" w:eastAsia="宋体" w:cs="Times New Roman"/>
      <w:color w:val="0066CC"/>
      <w:sz w:val="20"/>
    </w:rPr>
  </w:style>
  <w:style w:type="character" w:customStyle="1" w:styleId="458">
    <w:name w:val="日期 Char2"/>
    <w:qFormat/>
    <w:uiPriority w:val="0"/>
    <w:rPr>
      <w:rFonts w:ascii="Calibri" w:hAnsi="Calibri" w:eastAsia="宋体" w:cs="Times New Roman"/>
      <w:kern w:val="2"/>
      <w:sz w:val="21"/>
    </w:rPr>
  </w:style>
  <w:style w:type="character" w:customStyle="1" w:styleId="459">
    <w:name w:val="批注引用6"/>
    <w:qFormat/>
    <w:uiPriority w:val="0"/>
    <w:rPr>
      <w:rFonts w:ascii="Calibri" w:hAnsi="Calibri" w:eastAsia="宋体" w:cs="Times New Roman"/>
      <w:sz w:val="21"/>
    </w:rPr>
  </w:style>
  <w:style w:type="character" w:customStyle="1" w:styleId="460">
    <w:name w:val="font71"/>
    <w:qFormat/>
    <w:uiPriority w:val="0"/>
    <w:rPr>
      <w:rFonts w:hint="default" w:ascii="Times New Roman" w:hAnsi="Times New Roman" w:eastAsia="楷体_GB2312" w:cs="Times New Roman"/>
      <w:sz w:val="28"/>
      <w:szCs w:val="24"/>
    </w:rPr>
  </w:style>
  <w:style w:type="character" w:customStyle="1" w:styleId="461">
    <w:name w:val="正文首缩两字 Char1"/>
    <w:link w:val="462"/>
    <w:qFormat/>
    <w:uiPriority w:val="0"/>
    <w:rPr>
      <w:rFonts w:ascii="Verdana" w:hAnsi="Verdana"/>
      <w:sz w:val="24"/>
    </w:rPr>
  </w:style>
  <w:style w:type="paragraph" w:customStyle="1" w:styleId="462">
    <w:name w:val="正文首缩两字"/>
    <w:basedOn w:val="1"/>
    <w:link w:val="461"/>
    <w:qFormat/>
    <w:uiPriority w:val="0"/>
    <w:pPr>
      <w:spacing w:line="360" w:lineRule="auto"/>
      <w:ind w:firstLine="200" w:firstLineChars="200"/>
    </w:pPr>
    <w:rPr>
      <w:rFonts w:ascii="Verdana" w:hAnsi="Verdana" w:eastAsia="宋体" w:cs="Times New Roman"/>
      <w:kern w:val="0"/>
      <w:sz w:val="24"/>
      <w:szCs w:val="20"/>
    </w:rPr>
  </w:style>
  <w:style w:type="character" w:customStyle="1" w:styleId="463">
    <w:name w:val="ss"/>
    <w:qFormat/>
    <w:uiPriority w:val="0"/>
    <w:rPr>
      <w:rFonts w:ascii="Calibri" w:hAnsi="Calibri" w:eastAsia="宋体" w:cs="Times New Roman"/>
    </w:rPr>
  </w:style>
  <w:style w:type="character" w:customStyle="1" w:styleId="464">
    <w:name w:val="Char Char6"/>
    <w:qFormat/>
    <w:uiPriority w:val="0"/>
    <w:rPr>
      <w:rFonts w:ascii="Calibri" w:hAnsi="Calibri" w:eastAsia="宋体" w:cs="Times New Roman"/>
      <w:sz w:val="24"/>
    </w:rPr>
  </w:style>
  <w:style w:type="character" w:customStyle="1" w:styleId="465">
    <w:name w:val="批注文字 Char2"/>
    <w:qFormat/>
    <w:uiPriority w:val="0"/>
    <w:rPr>
      <w:rFonts w:ascii="Calibri" w:hAnsi="Calibri" w:eastAsia="宋体" w:cs="Times New Roman"/>
      <w:kern w:val="2"/>
      <w:sz w:val="21"/>
    </w:rPr>
  </w:style>
  <w:style w:type="character" w:customStyle="1" w:styleId="466">
    <w:name w:val="font_8"/>
    <w:qFormat/>
    <w:uiPriority w:val="0"/>
    <w:rPr>
      <w:rFonts w:ascii="Calibri" w:hAnsi="Calibri" w:eastAsia="宋体" w:cs="Times New Roman"/>
    </w:rPr>
  </w:style>
  <w:style w:type="character" w:customStyle="1" w:styleId="467">
    <w:name w:val="批注主题 Char2"/>
    <w:qFormat/>
    <w:uiPriority w:val="0"/>
    <w:rPr>
      <w:rFonts w:ascii="Calibri" w:hAnsi="Calibri" w:eastAsia="宋体" w:cs="Times New Roman"/>
      <w:b/>
      <w:kern w:val="2"/>
      <w:sz w:val="21"/>
    </w:rPr>
  </w:style>
  <w:style w:type="character" w:customStyle="1" w:styleId="468">
    <w:name w:val="Char Char Char Char Char"/>
    <w:qFormat/>
    <w:uiPriority w:val="0"/>
    <w:rPr>
      <w:rFonts w:ascii="宋体" w:hAnsi="Courier New" w:cs="Times New Roman"/>
    </w:rPr>
  </w:style>
  <w:style w:type="character" w:customStyle="1" w:styleId="469">
    <w:name w:val="一级条标题 Char"/>
    <w:link w:val="470"/>
    <w:qFormat/>
    <w:uiPriority w:val="0"/>
    <w:rPr>
      <w:rFonts w:ascii="黑体" w:eastAsia="黑体"/>
      <w:sz w:val="21"/>
    </w:rPr>
  </w:style>
  <w:style w:type="paragraph" w:customStyle="1" w:styleId="470">
    <w:name w:val="一级条标题"/>
    <w:basedOn w:val="1"/>
    <w:next w:val="394"/>
    <w:link w:val="469"/>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1">
    <w:name w:val="标题 Char3"/>
    <w:qFormat/>
    <w:uiPriority w:val="0"/>
    <w:rPr>
      <w:rFonts w:ascii="Cambria" w:hAnsi="Cambria" w:eastAsia="宋体" w:cs="黑体"/>
      <w:b/>
      <w:bCs/>
      <w:sz w:val="32"/>
      <w:szCs w:val="32"/>
    </w:rPr>
  </w:style>
  <w:style w:type="character" w:customStyle="1" w:styleId="472">
    <w:name w:val="List Paragraph Char Char"/>
    <w:qFormat/>
    <w:locked/>
    <w:uiPriority w:val="0"/>
    <w:rPr>
      <w:rFonts w:ascii="宋体" w:hAnsi="宋体" w:cs="Times New Roman"/>
      <w:kern w:val="2"/>
      <w:sz w:val="21"/>
      <w:szCs w:val="24"/>
    </w:rPr>
  </w:style>
  <w:style w:type="character" w:customStyle="1" w:styleId="473">
    <w:name w:val="wz1"/>
    <w:qFormat/>
    <w:uiPriority w:val="0"/>
    <w:rPr>
      <w:rFonts w:ascii="Calibri" w:hAnsi="Calibri" w:eastAsia="宋体" w:cs="Times New Roman"/>
      <w:color w:val="5A5A5A"/>
      <w:sz w:val="18"/>
      <w:u w:val="none"/>
    </w:rPr>
  </w:style>
  <w:style w:type="character" w:customStyle="1" w:styleId="474">
    <w:name w:val="aa1"/>
    <w:qFormat/>
    <w:uiPriority w:val="0"/>
    <w:rPr>
      <w:rFonts w:ascii="Calibri" w:hAnsi="Calibri" w:eastAsia="宋体" w:cs="Times New Roman"/>
      <w:sz w:val="20"/>
      <w:u w:val="none"/>
    </w:rPr>
  </w:style>
  <w:style w:type="character" w:customStyle="1" w:styleId="475">
    <w:name w:val="style14"/>
    <w:qFormat/>
    <w:uiPriority w:val="0"/>
    <w:rPr>
      <w:rFonts w:ascii="Calibri" w:hAnsi="Calibri" w:eastAsia="宋体" w:cs="Times New Roman"/>
    </w:rPr>
  </w:style>
  <w:style w:type="character" w:customStyle="1" w:styleId="476">
    <w:name w:val="正文首行缩进 Char1"/>
    <w:qFormat/>
    <w:uiPriority w:val="0"/>
    <w:rPr>
      <w:rFonts w:ascii="Calibri" w:hAnsi="Calibri" w:eastAsia="宋体" w:cs="Times New Roman"/>
      <w:kern w:val="2"/>
      <w:sz w:val="22"/>
      <w:lang w:val="en-US" w:eastAsia="zh-CN"/>
    </w:rPr>
  </w:style>
  <w:style w:type="character" w:customStyle="1" w:styleId="477">
    <w:name w:val="正文文本 2 Char2"/>
    <w:qFormat/>
    <w:uiPriority w:val="0"/>
    <w:rPr>
      <w:rFonts w:ascii="Calibri" w:hAnsi="Calibri" w:eastAsia="宋体" w:cs="Times New Roman"/>
      <w:kern w:val="2"/>
      <w:sz w:val="21"/>
    </w:rPr>
  </w:style>
  <w:style w:type="paragraph" w:customStyle="1" w:styleId="478">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79">
    <w:name w:val="Char Char5"/>
    <w:qFormat/>
    <w:uiPriority w:val="0"/>
    <w:rPr>
      <w:rFonts w:ascii="Calibri" w:hAnsi="Calibri" w:eastAsia="宋体" w:cs="Times New Roman"/>
      <w:sz w:val="18"/>
    </w:rPr>
  </w:style>
  <w:style w:type="character" w:customStyle="1" w:styleId="480">
    <w:name w:val="正文2 Char Char Char"/>
    <w:qFormat/>
    <w:uiPriority w:val="0"/>
    <w:rPr>
      <w:rFonts w:ascii="Calibri" w:hAnsi="Calibri" w:eastAsia="宋体" w:cs="Times New Roman"/>
      <w:kern w:val="2"/>
      <w:sz w:val="24"/>
      <w:lang w:val="en-US" w:eastAsia="zh-CN"/>
    </w:rPr>
  </w:style>
  <w:style w:type="character" w:customStyle="1" w:styleId="481">
    <w:name w:val="标题 1 Char1"/>
    <w:qFormat/>
    <w:uiPriority w:val="0"/>
    <w:rPr>
      <w:rFonts w:ascii="仿宋_GB2312" w:hAnsi="Calibri" w:eastAsia="仿宋_GB2312" w:cs="Times New Roman"/>
      <w:b/>
      <w:color w:val="000000"/>
      <w:kern w:val="2"/>
      <w:sz w:val="36"/>
    </w:rPr>
  </w:style>
  <w:style w:type="character" w:customStyle="1" w:styleId="482">
    <w:name w:val="批注引用4"/>
    <w:qFormat/>
    <w:uiPriority w:val="0"/>
    <w:rPr>
      <w:rFonts w:ascii="Calibri" w:hAnsi="Calibri" w:eastAsia="宋体" w:cs="Times New Roman"/>
      <w:sz w:val="21"/>
    </w:rPr>
  </w:style>
  <w:style w:type="character" w:customStyle="1" w:styleId="483">
    <w:name w:val="style141"/>
    <w:qFormat/>
    <w:uiPriority w:val="0"/>
    <w:rPr>
      <w:rFonts w:ascii="Calibri" w:hAnsi="Calibri" w:eastAsia="宋体" w:cs="Times New Roman"/>
    </w:rPr>
  </w:style>
  <w:style w:type="character" w:customStyle="1" w:styleId="484">
    <w:name w:val="文档结构图 Char2"/>
    <w:qFormat/>
    <w:uiPriority w:val="0"/>
    <w:rPr>
      <w:rFonts w:ascii="宋体" w:hAnsi="Calibri" w:eastAsia="宋体" w:cs="Times New Roman"/>
      <w:kern w:val="2"/>
      <w:sz w:val="18"/>
    </w:rPr>
  </w:style>
  <w:style w:type="character" w:customStyle="1" w:styleId="485">
    <w:name w:val="批注框文本 Char2"/>
    <w:qFormat/>
    <w:uiPriority w:val="0"/>
    <w:rPr>
      <w:rFonts w:ascii="Calibri" w:hAnsi="Calibri" w:eastAsia="宋体" w:cs="Times New Roman"/>
      <w:kern w:val="2"/>
      <w:sz w:val="18"/>
    </w:rPr>
  </w:style>
  <w:style w:type="character" w:customStyle="1" w:styleId="486">
    <w:name w:val="font61"/>
    <w:qFormat/>
    <w:uiPriority w:val="0"/>
    <w:rPr>
      <w:rFonts w:ascii="Arial" w:hAnsi="Arial" w:eastAsia="宋体" w:cs="Arial"/>
      <w:color w:val="000000"/>
      <w:sz w:val="20"/>
      <w:szCs w:val="20"/>
      <w:u w:val="none"/>
    </w:rPr>
  </w:style>
  <w:style w:type="character" w:customStyle="1" w:styleId="487">
    <w:name w:val="fontblank12"/>
    <w:qFormat/>
    <w:uiPriority w:val="0"/>
    <w:rPr>
      <w:rFonts w:ascii="Calibri" w:hAnsi="Calibri" w:eastAsia="宋体" w:cs="Times New Roman"/>
    </w:rPr>
  </w:style>
  <w:style w:type="character" w:customStyle="1" w:styleId="488">
    <w:name w:val="标题 9 Char1"/>
    <w:qFormat/>
    <w:uiPriority w:val="0"/>
    <w:rPr>
      <w:rFonts w:ascii="Arial" w:hAnsi="Arial" w:eastAsia="黑体" w:cs="Times New Roman"/>
      <w:kern w:val="2"/>
      <w:sz w:val="21"/>
    </w:rPr>
  </w:style>
  <w:style w:type="character" w:customStyle="1" w:styleId="489">
    <w:name w:val="high-light-bg4"/>
    <w:qFormat/>
    <w:uiPriority w:val="0"/>
    <w:rPr>
      <w:rFonts w:ascii="Calibri" w:hAnsi="Calibri" w:eastAsia="宋体" w:cs="Times New Roman"/>
    </w:rPr>
  </w:style>
  <w:style w:type="character" w:customStyle="1" w:styleId="490">
    <w:name w:val="正文文本 3 Char2"/>
    <w:qFormat/>
    <w:uiPriority w:val="0"/>
    <w:rPr>
      <w:rFonts w:ascii="Calibri" w:hAnsi="Calibri" w:eastAsia="宋体" w:cs="Times New Roman"/>
      <w:kern w:val="2"/>
      <w:sz w:val="16"/>
    </w:rPr>
  </w:style>
  <w:style w:type="character" w:customStyle="1" w:styleId="491">
    <w:name w:val="正文缩进 Char1"/>
    <w:qFormat/>
    <w:uiPriority w:val="0"/>
    <w:rPr>
      <w:rFonts w:ascii="Calibri" w:hAnsi="Calibri" w:eastAsia="宋体" w:cs="Times New Roman"/>
      <w:kern w:val="2"/>
      <w:sz w:val="21"/>
    </w:rPr>
  </w:style>
  <w:style w:type="character" w:customStyle="1" w:styleId="492">
    <w:name w:val="批注引用1"/>
    <w:qFormat/>
    <w:uiPriority w:val="0"/>
    <w:rPr>
      <w:rFonts w:ascii="Calibri" w:hAnsi="Calibri" w:eastAsia="宋体" w:cs="Times New Roman"/>
      <w:sz w:val="21"/>
      <w:szCs w:val="21"/>
    </w:rPr>
  </w:style>
  <w:style w:type="character" w:customStyle="1" w:styleId="493">
    <w:name w:val="正文文本 2 Char"/>
    <w:qFormat/>
    <w:uiPriority w:val="0"/>
    <w:rPr>
      <w:rFonts w:ascii="Times New Roman" w:hAnsi="Times New Roman" w:eastAsia="宋体" w:cs="Times New Roman"/>
      <w:kern w:val="2"/>
      <w:sz w:val="21"/>
      <w:szCs w:val="24"/>
    </w:rPr>
  </w:style>
  <w:style w:type="character" w:customStyle="1" w:styleId="494">
    <w:name w:val="Table Text Char Char"/>
    <w:link w:val="495"/>
    <w:qFormat/>
    <w:uiPriority w:val="0"/>
    <w:rPr>
      <w:rFonts w:ascii="Arial" w:hAnsi="Arial"/>
      <w:sz w:val="18"/>
    </w:rPr>
  </w:style>
  <w:style w:type="paragraph" w:customStyle="1" w:styleId="495">
    <w:name w:val="Table Text"/>
    <w:link w:val="494"/>
    <w:qFormat/>
    <w:uiPriority w:val="0"/>
    <w:pPr>
      <w:snapToGrid w:val="0"/>
      <w:spacing w:before="80" w:after="80"/>
    </w:pPr>
    <w:rPr>
      <w:rFonts w:ascii="Arial" w:hAnsi="Arial" w:eastAsia="宋体" w:cs="Times New Roman"/>
      <w:sz w:val="18"/>
      <w:lang w:val="en-US" w:eastAsia="zh-CN" w:bidi="ar-SA"/>
    </w:rPr>
  </w:style>
  <w:style w:type="character" w:customStyle="1" w:styleId="496">
    <w:name w:val="批注文字 Char3"/>
    <w:qFormat/>
    <w:uiPriority w:val="0"/>
    <w:rPr>
      <w:rFonts w:ascii="Times New Roman" w:hAnsi="Times New Roman" w:eastAsia="宋体" w:cs="Times New Roman"/>
      <w:sz w:val="20"/>
      <w:szCs w:val="20"/>
    </w:rPr>
  </w:style>
  <w:style w:type="character" w:customStyle="1" w:styleId="497">
    <w:name w:val="普通文字 Char2"/>
    <w:qFormat/>
    <w:uiPriority w:val="0"/>
    <w:rPr>
      <w:rFonts w:ascii="宋体" w:hAnsi="Courier New" w:eastAsia="宋体" w:cs="Times New Roman"/>
      <w:kern w:val="2"/>
      <w:sz w:val="21"/>
      <w:lang w:val="en-US" w:eastAsia="zh-CN"/>
    </w:rPr>
  </w:style>
  <w:style w:type="character" w:customStyle="1" w:styleId="498">
    <w:name w:val="正文文本 3 Char"/>
    <w:qFormat/>
    <w:uiPriority w:val="0"/>
    <w:rPr>
      <w:rFonts w:ascii="Times New Roman" w:hAnsi="Times New Roman" w:eastAsia="宋体" w:cs="Times New Roman"/>
      <w:kern w:val="2"/>
      <w:sz w:val="16"/>
      <w:szCs w:val="16"/>
    </w:rPr>
  </w:style>
  <w:style w:type="character" w:customStyle="1" w:styleId="499">
    <w:name w:val="HTML 预设格式 Char"/>
    <w:qFormat/>
    <w:uiPriority w:val="0"/>
    <w:rPr>
      <w:rFonts w:ascii="Courier New" w:hAnsi="Courier New" w:eastAsia="宋体" w:cs="Courier New"/>
      <w:kern w:val="2"/>
    </w:rPr>
  </w:style>
  <w:style w:type="character" w:customStyle="1" w:styleId="500">
    <w:name w:val="页眉 Char1"/>
    <w:qFormat/>
    <w:uiPriority w:val="0"/>
    <w:rPr>
      <w:rFonts w:ascii="Calibri" w:hAnsi="Calibri" w:eastAsia="宋体" w:cs="Times New Roman"/>
      <w:kern w:val="2"/>
      <w:sz w:val="18"/>
    </w:rPr>
  </w:style>
  <w:style w:type="character" w:customStyle="1" w:styleId="501">
    <w:name w:val="标题 8 Char1"/>
    <w:qFormat/>
    <w:uiPriority w:val="0"/>
    <w:rPr>
      <w:rFonts w:ascii="Arial" w:hAnsi="Arial" w:eastAsia="黑体" w:cs="Times New Roman"/>
      <w:kern w:val="2"/>
      <w:sz w:val="24"/>
    </w:rPr>
  </w:style>
  <w:style w:type="character" w:customStyle="1" w:styleId="502">
    <w:name w:val="Char Char8"/>
    <w:qFormat/>
    <w:uiPriority w:val="0"/>
    <w:rPr>
      <w:rFonts w:ascii="Calibri" w:hAnsi="Calibri" w:eastAsia="仿宋_GB2312" w:cs="Times New Roman"/>
      <w:b/>
      <w:kern w:val="2"/>
      <w:sz w:val="32"/>
    </w:rPr>
  </w:style>
  <w:style w:type="character" w:customStyle="1" w:styleId="503">
    <w:name w:val="正文文本缩进 3 Char2"/>
    <w:qFormat/>
    <w:uiPriority w:val="0"/>
    <w:rPr>
      <w:rFonts w:ascii="Calibri" w:hAnsi="Calibri" w:eastAsia="宋体" w:cs="Times New Roman"/>
      <w:kern w:val="2"/>
      <w:sz w:val="16"/>
    </w:rPr>
  </w:style>
  <w:style w:type="character" w:customStyle="1" w:styleId="504">
    <w:name w:val="◆ 二级符号end Char Char"/>
    <w:link w:val="505"/>
    <w:qFormat/>
    <w:uiPriority w:val="0"/>
    <w:rPr>
      <w:rFonts w:ascii="Verdana" w:hAnsi="Verdana"/>
      <w:sz w:val="24"/>
    </w:rPr>
  </w:style>
  <w:style w:type="paragraph" w:customStyle="1" w:styleId="505">
    <w:name w:val="◆ 二级符号end"/>
    <w:basedOn w:val="1"/>
    <w:link w:val="504"/>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6">
    <w:name w:val="正文文本 Char2"/>
    <w:qFormat/>
    <w:uiPriority w:val="0"/>
    <w:rPr>
      <w:rFonts w:ascii="Calibri" w:hAnsi="Calibri" w:eastAsia="宋体" w:cs="Times New Roman"/>
      <w:kern w:val="2"/>
      <w:sz w:val="21"/>
    </w:rPr>
  </w:style>
  <w:style w:type="character" w:customStyle="1" w:styleId="507">
    <w:name w:val="批注引用11"/>
    <w:qFormat/>
    <w:uiPriority w:val="0"/>
    <w:rPr>
      <w:rFonts w:ascii="Calibri" w:hAnsi="Calibri" w:eastAsia="宋体" w:cs="Times New Roman"/>
      <w:sz w:val="21"/>
    </w:rPr>
  </w:style>
  <w:style w:type="character" w:customStyle="1" w:styleId="508">
    <w:name w:val="标题 5 Char1"/>
    <w:qFormat/>
    <w:uiPriority w:val="0"/>
    <w:rPr>
      <w:rFonts w:ascii="Calibri" w:hAnsi="Calibri" w:eastAsia="宋体" w:cs="Times New Roman"/>
      <w:b/>
      <w:kern w:val="2"/>
      <w:sz w:val="28"/>
    </w:rPr>
  </w:style>
  <w:style w:type="character" w:customStyle="1" w:styleId="509">
    <w:name w:val="批注引用9"/>
    <w:qFormat/>
    <w:uiPriority w:val="0"/>
    <w:rPr>
      <w:rFonts w:ascii="Calibri" w:hAnsi="Calibri" w:eastAsia="宋体" w:cs="Times New Roman"/>
      <w:sz w:val="21"/>
    </w:rPr>
  </w:style>
  <w:style w:type="character" w:customStyle="1" w:styleId="510">
    <w:name w:val="标题 7 Char1"/>
    <w:qFormat/>
    <w:uiPriority w:val="0"/>
    <w:rPr>
      <w:rFonts w:ascii="Calibri" w:hAnsi="Calibri" w:eastAsia="宋体" w:cs="Times New Roman"/>
      <w:b/>
      <w:kern w:val="2"/>
      <w:sz w:val="24"/>
    </w:rPr>
  </w:style>
  <w:style w:type="character" w:customStyle="1" w:styleId="511">
    <w:name w:val="SANGFOR_6_正文 Char"/>
    <w:link w:val="512"/>
    <w:qFormat/>
    <w:uiPriority w:val="0"/>
    <w:rPr>
      <w:rFonts w:ascii="宋体" w:hAnsi="宋体"/>
      <w:sz w:val="28"/>
      <w:szCs w:val="28"/>
    </w:rPr>
  </w:style>
  <w:style w:type="paragraph" w:customStyle="1" w:styleId="512">
    <w:name w:val="SANGFOR_6_正文"/>
    <w:basedOn w:val="1"/>
    <w:link w:val="511"/>
    <w:qFormat/>
    <w:uiPriority w:val="0"/>
    <w:pPr>
      <w:spacing w:line="360" w:lineRule="auto"/>
      <w:ind w:left="420"/>
      <w:jc w:val="left"/>
    </w:pPr>
    <w:rPr>
      <w:rFonts w:ascii="宋体" w:hAnsi="宋体" w:eastAsia="宋体" w:cs="Times New Roman"/>
      <w:kern w:val="0"/>
      <w:sz w:val="28"/>
      <w:szCs w:val="28"/>
    </w:rPr>
  </w:style>
  <w:style w:type="character" w:customStyle="1" w:styleId="513">
    <w:name w:val="标题 3 Char1"/>
    <w:qFormat/>
    <w:uiPriority w:val="0"/>
    <w:rPr>
      <w:rFonts w:ascii="Calibri" w:hAnsi="Calibri" w:eastAsia="宋体" w:cs="Times New Roman"/>
      <w:b/>
      <w:kern w:val="2"/>
      <w:sz w:val="32"/>
    </w:rPr>
  </w:style>
  <w:style w:type="character" w:customStyle="1" w:styleId="514">
    <w:name w:val="页脚 Char1"/>
    <w:qFormat/>
    <w:uiPriority w:val="0"/>
    <w:rPr>
      <w:rFonts w:ascii="Calibri" w:hAnsi="Calibri" w:eastAsia="宋体" w:cs="Times New Roman"/>
      <w:kern w:val="2"/>
      <w:sz w:val="18"/>
    </w:rPr>
  </w:style>
  <w:style w:type="character" w:customStyle="1" w:styleId="515">
    <w:name w:val="页脚 Char2"/>
    <w:qFormat/>
    <w:uiPriority w:val="0"/>
    <w:rPr>
      <w:rFonts w:ascii="Calibri" w:hAnsi="Calibri" w:eastAsia="宋体" w:cs="Times New Roman"/>
      <w:kern w:val="2"/>
      <w:sz w:val="18"/>
    </w:rPr>
  </w:style>
  <w:style w:type="character" w:customStyle="1" w:styleId="516">
    <w:name w:val="正文1 Char"/>
    <w:link w:val="169"/>
    <w:qFormat/>
    <w:uiPriority w:val="0"/>
    <w:rPr>
      <w:rFonts w:ascii="Calibri" w:hAnsi="Calibri" w:cs="Calibri"/>
      <w:kern w:val="2"/>
      <w:sz w:val="21"/>
      <w:szCs w:val="21"/>
    </w:rPr>
  </w:style>
  <w:style w:type="character" w:customStyle="1" w:styleId="517">
    <w:name w:val="批注引用2"/>
    <w:qFormat/>
    <w:uiPriority w:val="0"/>
    <w:rPr>
      <w:rFonts w:ascii="Calibri" w:hAnsi="Calibri" w:eastAsia="宋体" w:cs="Times New Roman"/>
      <w:sz w:val="21"/>
    </w:rPr>
  </w:style>
  <w:style w:type="character" w:customStyle="1" w:styleId="518">
    <w:name w:val="标题 Char2"/>
    <w:qFormat/>
    <w:uiPriority w:val="0"/>
    <w:rPr>
      <w:rFonts w:ascii="Cambria" w:hAnsi="Cambria" w:eastAsia="宋体" w:cs="Times New Roman"/>
      <w:b/>
      <w:kern w:val="2"/>
      <w:sz w:val="32"/>
    </w:rPr>
  </w:style>
  <w:style w:type="character" w:customStyle="1" w:styleId="519">
    <w:name w:val="c1"/>
    <w:qFormat/>
    <w:uiPriority w:val="0"/>
    <w:rPr>
      <w:rFonts w:ascii="Calibri" w:hAnsi="Calibri" w:eastAsia="宋体" w:cs="Times New Roman"/>
      <w:sz w:val="24"/>
    </w:rPr>
  </w:style>
  <w:style w:type="character" w:customStyle="1" w:styleId="520">
    <w:name w:val="font121"/>
    <w:qFormat/>
    <w:uiPriority w:val="0"/>
    <w:rPr>
      <w:rFonts w:hint="default" w:ascii="???" w:hAnsi="???" w:eastAsia="宋体" w:cs="Times New Roman"/>
      <w:color w:val="333333"/>
      <w:sz w:val="18"/>
      <w:szCs w:val="18"/>
      <w:u w:val="none"/>
    </w:rPr>
  </w:style>
  <w:style w:type="character" w:customStyle="1" w:styleId="521">
    <w:name w:val="标准文本 Char Char"/>
    <w:link w:val="522"/>
    <w:qFormat/>
    <w:uiPriority w:val="0"/>
  </w:style>
  <w:style w:type="paragraph" w:customStyle="1" w:styleId="522">
    <w:name w:val="标准文本"/>
    <w:basedOn w:val="1"/>
    <w:link w:val="521"/>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3">
    <w:name w:val="尾注文本 Char"/>
    <w:qFormat/>
    <w:uiPriority w:val="0"/>
    <w:rPr>
      <w:rFonts w:ascii="Times New Roman" w:hAnsi="Times New Roman" w:eastAsia="宋体" w:cs="Times New Roman"/>
      <w:kern w:val="2"/>
      <w:sz w:val="21"/>
      <w:szCs w:val="24"/>
    </w:rPr>
  </w:style>
  <w:style w:type="character" w:customStyle="1" w:styleId="524">
    <w:name w:val="标题 4 Char1"/>
    <w:qFormat/>
    <w:uiPriority w:val="0"/>
    <w:rPr>
      <w:rFonts w:ascii="Arial" w:hAnsi="Arial" w:eastAsia="黑体" w:cs="Times New Roman"/>
      <w:b/>
      <w:kern w:val="2"/>
      <w:sz w:val="28"/>
    </w:rPr>
  </w:style>
  <w:style w:type="character" w:customStyle="1" w:styleId="525">
    <w:name w:val="批注文字 Char4"/>
    <w:qFormat/>
    <w:uiPriority w:val="0"/>
    <w:rPr>
      <w:rFonts w:ascii="Times New Roman" w:hAnsi="Times New Roman" w:eastAsia="宋体" w:cs="Times New Roman"/>
      <w:szCs w:val="20"/>
    </w:rPr>
  </w:style>
  <w:style w:type="character" w:customStyle="1" w:styleId="526">
    <w:name w:val="批注引用8"/>
    <w:qFormat/>
    <w:uiPriority w:val="0"/>
    <w:rPr>
      <w:rFonts w:ascii="Calibri" w:hAnsi="Calibri" w:eastAsia="宋体" w:cs="Times New Roman"/>
      <w:sz w:val="21"/>
    </w:rPr>
  </w:style>
  <w:style w:type="character" w:customStyle="1" w:styleId="527">
    <w:name w:val="彩色列表 - 强调文字颜色 1 Char"/>
    <w:link w:val="190"/>
    <w:qFormat/>
    <w:uiPriority w:val="0"/>
    <w:rPr>
      <w:rFonts w:ascii="Calibri" w:hAnsi="Calibri"/>
      <w:kern w:val="2"/>
      <w:sz w:val="21"/>
      <w:szCs w:val="22"/>
    </w:rPr>
  </w:style>
  <w:style w:type="character" w:customStyle="1" w:styleId="528">
    <w:name w:val="DH 正文 Char"/>
    <w:link w:val="529"/>
    <w:qFormat/>
    <w:uiPriority w:val="0"/>
    <w:rPr>
      <w:rFonts w:ascii="宋体"/>
      <w:kern w:val="2"/>
      <w:sz w:val="24"/>
      <w:szCs w:val="24"/>
    </w:rPr>
  </w:style>
  <w:style w:type="paragraph" w:customStyle="1" w:styleId="529">
    <w:name w:val="DH 正文"/>
    <w:basedOn w:val="1"/>
    <w:link w:val="528"/>
    <w:qFormat/>
    <w:uiPriority w:val="0"/>
    <w:pPr>
      <w:spacing w:line="360" w:lineRule="auto"/>
      <w:ind w:firstLine="200" w:firstLineChars="200"/>
    </w:pPr>
    <w:rPr>
      <w:rFonts w:ascii="宋体" w:hAnsi="Times New Roman" w:eastAsia="宋体" w:cs="Times New Roman"/>
      <w:sz w:val="24"/>
      <w:szCs w:val="24"/>
    </w:rPr>
  </w:style>
  <w:style w:type="character" w:customStyle="1" w:styleId="530">
    <w:name w:val="unnamed21"/>
    <w:qFormat/>
    <w:uiPriority w:val="0"/>
    <w:rPr>
      <w:rFonts w:ascii="Calibri" w:hAnsi="Calibri" w:eastAsia="宋体" w:cs="Times New Roman"/>
      <w:color w:val="000000"/>
      <w:sz w:val="20"/>
    </w:rPr>
  </w:style>
  <w:style w:type="character" w:customStyle="1" w:styleId="531">
    <w:name w:val="news1"/>
    <w:qFormat/>
    <w:uiPriority w:val="0"/>
    <w:rPr>
      <w:rFonts w:ascii="Calibri" w:hAnsi="Calibri" w:eastAsia="宋体" w:cs="Times New Roman"/>
      <w:color w:val="4D4D4D"/>
      <w:sz w:val="18"/>
    </w:rPr>
  </w:style>
  <w:style w:type="character" w:customStyle="1" w:styleId="532">
    <w:name w:val="批注引用7"/>
    <w:qFormat/>
    <w:uiPriority w:val="0"/>
    <w:rPr>
      <w:rFonts w:ascii="Calibri" w:hAnsi="Calibri" w:eastAsia="宋体" w:cs="Times New Roman"/>
      <w:sz w:val="21"/>
    </w:rPr>
  </w:style>
  <w:style w:type="character" w:customStyle="1" w:styleId="533">
    <w:name w:val="line1"/>
    <w:qFormat/>
    <w:uiPriority w:val="0"/>
    <w:rPr>
      <w:rFonts w:ascii="Calibri" w:hAnsi="Calibri" w:eastAsia="宋体" w:cs="Times New Roman"/>
    </w:rPr>
  </w:style>
  <w:style w:type="character" w:customStyle="1" w:styleId="534">
    <w:name w:val="Char Char4"/>
    <w:qFormat/>
    <w:uiPriority w:val="0"/>
    <w:rPr>
      <w:rFonts w:ascii="Calibri" w:hAnsi="Calibri" w:eastAsia="宋体" w:cs="Times New Roman"/>
      <w:sz w:val="18"/>
    </w:rPr>
  </w:style>
  <w:style w:type="character" w:customStyle="1" w:styleId="535">
    <w:name w:val="批注引用3"/>
    <w:qFormat/>
    <w:uiPriority w:val="0"/>
    <w:rPr>
      <w:rFonts w:ascii="Calibri" w:hAnsi="Calibri" w:eastAsia="宋体" w:cs="Times New Roman"/>
      <w:sz w:val="21"/>
      <w:szCs w:val="21"/>
    </w:rPr>
  </w:style>
  <w:style w:type="character" w:customStyle="1" w:styleId="536">
    <w:name w:val="样式 8 磅"/>
    <w:qFormat/>
    <w:uiPriority w:val="0"/>
    <w:rPr>
      <w:rFonts w:ascii="Calibri" w:hAnsi="Calibri" w:eastAsia="宋体" w:cs="Times New Roman"/>
      <w:sz w:val="18"/>
    </w:rPr>
  </w:style>
  <w:style w:type="paragraph" w:customStyle="1" w:styleId="537">
    <w:name w:val="Char Char1 Char Char Char Char Char Char Char"/>
    <w:basedOn w:val="1"/>
    <w:qFormat/>
    <w:uiPriority w:val="0"/>
    <w:rPr>
      <w:rFonts w:ascii="Calibri" w:hAnsi="Calibri" w:eastAsia="宋体" w:cs="Times New Roman"/>
      <w:szCs w:val="24"/>
    </w:rPr>
  </w:style>
  <w:style w:type="paragraph" w:customStyle="1" w:styleId="538">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39">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0">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1">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2">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3">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4">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5">
    <w:name w:val="列出段落3"/>
    <w:basedOn w:val="1"/>
    <w:qFormat/>
    <w:uiPriority w:val="0"/>
    <w:pPr>
      <w:ind w:firstLine="420" w:firstLineChars="200"/>
    </w:pPr>
    <w:rPr>
      <w:rFonts w:ascii="Cambria" w:hAnsi="Cambria" w:eastAsia="宋体" w:cs="Times New Roman"/>
      <w:sz w:val="24"/>
      <w:szCs w:val="24"/>
    </w:rPr>
  </w:style>
  <w:style w:type="paragraph" w:customStyle="1" w:styleId="546">
    <w:name w:val="Char1"/>
    <w:basedOn w:val="1"/>
    <w:qFormat/>
    <w:uiPriority w:val="0"/>
    <w:pPr>
      <w:widowControl/>
      <w:jc w:val="left"/>
    </w:pPr>
    <w:rPr>
      <w:rFonts w:ascii="仿宋_GB2312" w:hAnsi="Calibri" w:eastAsia="仿宋_GB2312" w:cs="Times New Roman"/>
      <w:b/>
      <w:sz w:val="32"/>
      <w:szCs w:val="20"/>
    </w:rPr>
  </w:style>
  <w:style w:type="paragraph" w:customStyle="1" w:styleId="547">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48">
    <w:name w:val="p1"/>
    <w:basedOn w:val="1"/>
    <w:qFormat/>
    <w:uiPriority w:val="0"/>
    <w:pPr>
      <w:widowControl/>
      <w:jc w:val="left"/>
    </w:pPr>
    <w:rPr>
      <w:rFonts w:ascii="Helvetica" w:hAnsi="Helvetica" w:eastAsia="等线" w:cs="Times New Roman"/>
      <w:kern w:val="0"/>
      <w:sz w:val="16"/>
      <w:szCs w:val="16"/>
    </w:rPr>
  </w:style>
  <w:style w:type="paragraph" w:customStyle="1" w:styleId="549">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1">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3">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4">
    <w:name w:val="TOC 标题1"/>
    <w:basedOn w:val="2"/>
    <w:next w:val="1"/>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555">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6">
    <w:name w:val="正文缩进1"/>
    <w:basedOn w:val="1"/>
    <w:next w:val="17"/>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7">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8">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59">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0">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1">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2">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3">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4">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5">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6">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7">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8">
    <w:name w:val="p16"/>
    <w:basedOn w:val="1"/>
    <w:qFormat/>
    <w:uiPriority w:val="0"/>
    <w:pPr>
      <w:widowControl/>
      <w:spacing w:before="80" w:after="80"/>
      <w:jc w:val="left"/>
    </w:pPr>
    <w:rPr>
      <w:rFonts w:ascii="Arial" w:hAnsi="Arial" w:eastAsia="宋体" w:cs="Arial"/>
      <w:kern w:val="0"/>
      <w:sz w:val="18"/>
      <w:szCs w:val="18"/>
    </w:rPr>
  </w:style>
  <w:style w:type="paragraph" w:customStyle="1" w:styleId="569">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0">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1">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2">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3">
    <w:name w:val="Char Char Char Char Char Char Char Char Char Char"/>
    <w:basedOn w:val="20"/>
    <w:qFormat/>
    <w:uiPriority w:val="0"/>
    <w:rPr>
      <w:rFonts w:ascii="Tahoma" w:hAnsi="Tahoma" w:cs="Times New Roman"/>
      <w:kern w:val="0"/>
      <w:sz w:val="24"/>
      <w:szCs w:val="24"/>
    </w:rPr>
  </w:style>
  <w:style w:type="paragraph" w:customStyle="1" w:styleId="574">
    <w:name w:val="4"/>
    <w:basedOn w:val="1"/>
    <w:next w:val="54"/>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5">
    <w:name w:val="项目"/>
    <w:basedOn w:val="11"/>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6">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7">
    <w:name w:val="5"/>
    <w:basedOn w:val="1"/>
    <w:next w:val="25"/>
    <w:qFormat/>
    <w:uiPriority w:val="0"/>
    <w:pPr>
      <w:widowControl/>
      <w:ind w:right="26"/>
      <w:jc w:val="left"/>
    </w:pPr>
    <w:rPr>
      <w:rFonts w:ascii="楷体_GB2312" w:hAnsi="Calibri" w:eastAsia="楷体_GB2312" w:cs="Times New Roman"/>
      <w:spacing w:val="4"/>
      <w:kern w:val="0"/>
      <w:sz w:val="28"/>
      <w:szCs w:val="20"/>
    </w:rPr>
  </w:style>
  <w:style w:type="paragraph" w:customStyle="1" w:styleId="578">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79">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0">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1">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2">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3">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4">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5">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6">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7">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8">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9">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0">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1">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2">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3">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4">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5">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6">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7">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8">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599">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0">
    <w:name w:val="msolistparagraph"/>
    <w:basedOn w:val="1"/>
    <w:qFormat/>
    <w:uiPriority w:val="0"/>
    <w:pPr>
      <w:ind w:firstLine="420" w:firstLineChars="200"/>
    </w:pPr>
    <w:rPr>
      <w:rFonts w:ascii="Calibri" w:hAnsi="Calibri" w:eastAsia="宋体" w:cs="Times New Roman"/>
      <w:szCs w:val="20"/>
    </w:rPr>
  </w:style>
  <w:style w:type="paragraph" w:customStyle="1" w:styleId="601">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2">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3">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4">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五级条标题"/>
    <w:basedOn w:val="606"/>
    <w:next w:val="394"/>
    <w:qFormat/>
    <w:uiPriority w:val="0"/>
    <w:pPr>
      <w:tabs>
        <w:tab w:val="left" w:pos="1200"/>
      </w:tabs>
      <w:outlineLvl w:val="6"/>
    </w:pPr>
  </w:style>
  <w:style w:type="paragraph" w:customStyle="1" w:styleId="606">
    <w:name w:val="四级条标题"/>
    <w:basedOn w:val="607"/>
    <w:next w:val="394"/>
    <w:qFormat/>
    <w:uiPriority w:val="0"/>
    <w:pPr>
      <w:tabs>
        <w:tab w:val="left" w:pos="1200"/>
      </w:tabs>
      <w:outlineLvl w:val="5"/>
    </w:pPr>
  </w:style>
  <w:style w:type="paragraph" w:customStyle="1" w:styleId="607">
    <w:name w:val="三级条标题"/>
    <w:basedOn w:val="608"/>
    <w:next w:val="394"/>
    <w:qFormat/>
    <w:uiPriority w:val="0"/>
    <w:pPr>
      <w:tabs>
        <w:tab w:val="left" w:pos="1200"/>
      </w:tabs>
      <w:outlineLvl w:val="4"/>
    </w:pPr>
  </w:style>
  <w:style w:type="paragraph" w:customStyle="1" w:styleId="608">
    <w:name w:val="二级条标题"/>
    <w:basedOn w:val="470"/>
    <w:next w:val="394"/>
    <w:qFormat/>
    <w:uiPriority w:val="0"/>
    <w:pPr>
      <w:outlineLvl w:val="3"/>
    </w:pPr>
    <w:rPr>
      <w:rFonts w:ascii="Calibri" w:hAnsi="Calibri" w:eastAsia="宋体"/>
    </w:rPr>
  </w:style>
  <w:style w:type="paragraph" w:customStyle="1" w:styleId="609">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0">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1">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2">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3">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4">
    <w:name w:val="Revision1"/>
    <w:qFormat/>
    <w:uiPriority w:val="0"/>
    <w:rPr>
      <w:rFonts w:ascii="Times New Roman" w:hAnsi="Times New Roman" w:eastAsia="宋体" w:cs="Times New Roman"/>
      <w:kern w:val="2"/>
      <w:sz w:val="21"/>
      <w:lang w:val="en-US" w:eastAsia="zh-CN" w:bidi="ar-SA"/>
    </w:rPr>
  </w:style>
  <w:style w:type="paragraph" w:customStyle="1" w:styleId="615">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6">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17">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8">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19">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0">
    <w:name w:val="无间隔11"/>
    <w:basedOn w:val="1"/>
    <w:qFormat/>
    <w:uiPriority w:val="0"/>
    <w:pPr>
      <w:widowControl/>
    </w:pPr>
    <w:rPr>
      <w:rFonts w:ascii="Calibri" w:hAnsi="Calibri" w:eastAsia="宋体" w:cs="Calibri"/>
      <w:kern w:val="0"/>
      <w:szCs w:val="24"/>
      <w:lang w:eastAsia="en-US"/>
    </w:rPr>
  </w:style>
  <w:style w:type="paragraph" w:customStyle="1" w:styleId="621">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2">
    <w:name w:val="p21"/>
    <w:basedOn w:val="1"/>
    <w:qFormat/>
    <w:uiPriority w:val="0"/>
    <w:pPr>
      <w:widowControl/>
      <w:ind w:firstLine="420"/>
    </w:pPr>
    <w:rPr>
      <w:rFonts w:ascii="Calibri" w:hAnsi="Calibri" w:eastAsia="宋体" w:cs="宋体"/>
      <w:kern w:val="0"/>
      <w:szCs w:val="21"/>
    </w:rPr>
  </w:style>
  <w:style w:type="paragraph" w:customStyle="1" w:styleId="623">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4">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5">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6">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7">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8">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29">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0">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1">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2">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3">
    <w:name w:val="章标题"/>
    <w:next w:val="394"/>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4">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5">
    <w:name w:val="List Paragraph3"/>
    <w:basedOn w:val="1"/>
    <w:qFormat/>
    <w:uiPriority w:val="0"/>
    <w:pPr>
      <w:ind w:firstLine="420" w:firstLineChars="200"/>
    </w:pPr>
    <w:rPr>
      <w:rFonts w:ascii="Calibri" w:hAnsi="Calibri" w:eastAsia="宋体" w:cs="Times New Roman"/>
    </w:rPr>
  </w:style>
  <w:style w:type="paragraph" w:customStyle="1" w:styleId="636">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7">
    <w:name w:val="樣式1"/>
    <w:basedOn w:val="638"/>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8">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39">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0">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1">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2">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3">
    <w:name w:val="Char2"/>
    <w:basedOn w:val="1"/>
    <w:qFormat/>
    <w:uiPriority w:val="0"/>
    <w:pPr>
      <w:widowControl/>
      <w:jc w:val="left"/>
    </w:pPr>
    <w:rPr>
      <w:rFonts w:ascii="Calibri" w:hAnsi="Calibri" w:eastAsia="仿宋_GB2312" w:cs="Times New Roman"/>
      <w:sz w:val="28"/>
      <w:szCs w:val="20"/>
    </w:rPr>
  </w:style>
  <w:style w:type="paragraph" w:customStyle="1" w:styleId="644">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5">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6">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7">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8">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49">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0">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1">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2">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3">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4">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5">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6">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8">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59">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0">
    <w:name w:val="标题3级"/>
    <w:basedOn w:val="4"/>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1">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2">
    <w:name w:val="TOC Heading1"/>
    <w:basedOn w:val="2"/>
    <w:next w:val="1"/>
    <w:qFormat/>
    <w:uiPriority w:val="0"/>
    <w:pPr>
      <w:tabs>
        <w:tab w:val="clear" w:pos="1440"/>
      </w:tabs>
      <w:spacing w:before="480" w:beforeLines="0" w:line="276" w:lineRule="auto"/>
      <w:jc w:val="left"/>
      <w:outlineLvl w:val="9"/>
    </w:pPr>
    <w:rPr>
      <w:rFonts w:ascii="Cambria" w:hAnsi="Cambria" w:eastAsia="宋体"/>
      <w:color w:val="365F91"/>
      <w:kern w:val="0"/>
      <w:sz w:val="28"/>
      <w:szCs w:val="28"/>
    </w:rPr>
  </w:style>
  <w:style w:type="paragraph" w:customStyle="1" w:styleId="663">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4">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5">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6">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7">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8">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69">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0">
    <w:name w:val="Char Char Char"/>
    <w:basedOn w:val="1"/>
    <w:qFormat/>
    <w:uiPriority w:val="0"/>
    <w:pPr>
      <w:widowControl/>
      <w:jc w:val="left"/>
    </w:pPr>
    <w:rPr>
      <w:rFonts w:ascii="Tahoma" w:hAnsi="Tahoma" w:eastAsia="宋体" w:cs="Times New Roman"/>
      <w:sz w:val="24"/>
      <w:szCs w:val="20"/>
    </w:rPr>
  </w:style>
  <w:style w:type="paragraph" w:customStyle="1" w:styleId="671">
    <w:name w:val="小四 段落 宋体 Char Char Char"/>
    <w:basedOn w:val="15"/>
    <w:qFormat/>
    <w:uiPriority w:val="0"/>
    <w:pPr>
      <w:tabs>
        <w:tab w:val="left" w:pos="1320"/>
      </w:tabs>
      <w:spacing w:line="360" w:lineRule="auto"/>
      <w:ind w:left="0" w:right="-33" w:firstLine="480" w:firstLineChars="200"/>
      <w:jc w:val="left"/>
    </w:pPr>
    <w:rPr>
      <w:sz w:val="24"/>
      <w:szCs w:val="24"/>
    </w:rPr>
  </w:style>
  <w:style w:type="paragraph" w:customStyle="1" w:styleId="672">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3">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4">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5">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6">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7">
    <w:name w:val="Char1 Char Char Char Char Char Char"/>
    <w:basedOn w:val="1"/>
    <w:qFormat/>
    <w:uiPriority w:val="0"/>
    <w:rPr>
      <w:rFonts w:ascii="Calibri" w:hAnsi="Calibri" w:eastAsia="宋体" w:cs="Times New Roman"/>
      <w:szCs w:val="20"/>
    </w:rPr>
  </w:style>
  <w:style w:type="paragraph" w:customStyle="1" w:styleId="678">
    <w:name w:val="正文文本1"/>
    <w:basedOn w:val="1"/>
    <w:qFormat/>
    <w:uiPriority w:val="0"/>
    <w:pPr>
      <w:spacing w:after="120"/>
    </w:pPr>
    <w:rPr>
      <w:rFonts w:ascii="Calibri" w:hAnsi="Calibri" w:eastAsia="宋体" w:cs="Times New Roman"/>
      <w:kern w:val="0"/>
      <w:sz w:val="20"/>
      <w:szCs w:val="24"/>
    </w:rPr>
  </w:style>
  <w:style w:type="paragraph" w:customStyle="1" w:styleId="679">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0">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1">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2">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3">
    <w:name w:val="Char Char19"/>
    <w:basedOn w:val="1"/>
    <w:qFormat/>
    <w:uiPriority w:val="0"/>
    <w:pPr>
      <w:widowControl/>
      <w:jc w:val="left"/>
    </w:pPr>
    <w:rPr>
      <w:rFonts w:ascii="Tahoma" w:hAnsi="Tahoma" w:eastAsia="宋体" w:cs="Times New Roman"/>
      <w:sz w:val="24"/>
      <w:szCs w:val="20"/>
    </w:rPr>
  </w:style>
  <w:style w:type="paragraph" w:customStyle="1" w:styleId="684">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5">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6">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7">
    <w:name w:val="TOC 标题2"/>
    <w:basedOn w:val="2"/>
    <w:next w:val="1"/>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688">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89">
    <w:name w:val="样式 Verdana 首行缩进:  0.74 厘米"/>
    <w:basedOn w:val="1"/>
    <w:qFormat/>
    <w:uiPriority w:val="0"/>
    <w:pPr>
      <w:widowControl/>
      <w:jc w:val="left"/>
    </w:pPr>
    <w:rPr>
      <w:rFonts w:ascii="Verdana" w:hAnsi="Verdana" w:eastAsia="宋体" w:cs="Times New Roman"/>
      <w:szCs w:val="20"/>
    </w:rPr>
  </w:style>
  <w:style w:type="paragraph" w:customStyle="1" w:styleId="690">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1">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2">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3">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4">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5">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6">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7">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8">
    <w:name w:val="Char11"/>
    <w:basedOn w:val="1"/>
    <w:qFormat/>
    <w:uiPriority w:val="0"/>
    <w:pPr>
      <w:widowControl/>
      <w:jc w:val="left"/>
    </w:pPr>
    <w:rPr>
      <w:rFonts w:ascii="仿宋_GB2312" w:hAnsi="Calibri" w:eastAsia="仿宋_GB2312" w:cs="Times New Roman"/>
      <w:b/>
      <w:sz w:val="32"/>
      <w:szCs w:val="20"/>
    </w:rPr>
  </w:style>
  <w:style w:type="paragraph" w:customStyle="1" w:styleId="699">
    <w:name w:val="无间隔3"/>
    <w:basedOn w:val="1"/>
    <w:qFormat/>
    <w:uiPriority w:val="0"/>
    <w:pPr>
      <w:snapToGrid w:val="0"/>
    </w:pPr>
    <w:rPr>
      <w:rFonts w:ascii="仿宋_GB2312" w:hAnsi="Calibri" w:eastAsia="仿宋_GB2312" w:cs="Times New Roman"/>
      <w:b/>
      <w:kern w:val="0"/>
      <w:sz w:val="30"/>
      <w:szCs w:val="24"/>
    </w:rPr>
  </w:style>
  <w:style w:type="paragraph" w:customStyle="1" w:styleId="700">
    <w:name w:val="彩色列表 - 强调文字颜色 111"/>
    <w:basedOn w:val="1"/>
    <w:qFormat/>
    <w:uiPriority w:val="34"/>
    <w:pPr>
      <w:ind w:firstLine="420" w:firstLineChars="200"/>
    </w:pPr>
    <w:rPr>
      <w:rFonts w:ascii="Calibri" w:hAnsi="Calibri" w:eastAsia="宋体" w:cs="Times New Roman"/>
    </w:rPr>
  </w:style>
  <w:style w:type="paragraph" w:customStyle="1" w:styleId="701">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2">
    <w:name w:val="中等深浅网格 31"/>
    <w:basedOn w:val="60"/>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3">
    <w:name w:val="题注1"/>
    <w:basedOn w:val="1"/>
    <w:next w:val="1"/>
    <w:unhideWhenUsed/>
    <w:qFormat/>
    <w:uiPriority w:val="99"/>
    <w:rPr>
      <w:rFonts w:ascii="Calibri Light" w:hAnsi="Calibri Light" w:eastAsia="黑体" w:cs="Times New Roman"/>
      <w:sz w:val="20"/>
      <w:szCs w:val="20"/>
    </w:rPr>
  </w:style>
  <w:style w:type="table" w:customStyle="1" w:styleId="704">
    <w:name w:val="网格型1"/>
    <w:basedOn w:val="6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5">
    <w:name w:val="批注文字 Char"/>
    <w:basedOn w:val="69"/>
    <w:qFormat/>
    <w:uiPriority w:val="99"/>
    <w:rPr>
      <w:rFonts w:ascii="Calibri" w:hAnsi="Calibri" w:eastAsia="宋体" w:cs="Times New Roman"/>
    </w:rPr>
  </w:style>
  <w:style w:type="paragraph" w:customStyle="1" w:styleId="706">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7">
    <w:name w:val="标题2"/>
    <w:basedOn w:val="3"/>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8">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09">
    <w:name w:val="文章正文"/>
    <w:basedOn w:val="120"/>
    <w:qFormat/>
    <w:uiPriority w:val="0"/>
    <w:pPr>
      <w:widowControl/>
      <w:adjustRightInd w:val="0"/>
      <w:spacing w:beforeLines="0" w:after="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0">
    <w:name w:val="_Style 31"/>
    <w:basedOn w:val="1"/>
    <w:next w:val="112"/>
    <w:qFormat/>
    <w:uiPriority w:val="34"/>
    <w:pPr>
      <w:widowControl/>
      <w:adjustRightInd w:val="0"/>
      <w:spacing w:after="50"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1">
    <w:name w:val="列表段落11"/>
    <w:basedOn w:val="1"/>
    <w:qFormat/>
    <w:uiPriority w:val="34"/>
    <w:pPr>
      <w:ind w:firstLine="420" w:firstLineChars="200"/>
    </w:pPr>
    <w:rPr>
      <w:rFonts w:ascii="Calibri" w:hAnsi="Calibri" w:eastAsia="宋体" w:cs="Times New Roman"/>
    </w:rPr>
  </w:style>
  <w:style w:type="paragraph" w:customStyle="1" w:styleId="712">
    <w:name w:val="_Style 45"/>
    <w:basedOn w:val="1"/>
    <w:next w:val="112"/>
    <w:qFormat/>
    <w:uiPriority w:val="34"/>
    <w:pPr>
      <w:ind w:firstLine="420" w:firstLineChars="200"/>
    </w:pPr>
    <w:rPr>
      <w:rFonts w:ascii="Times New Roman" w:hAnsi="Times New Roman" w:eastAsia="宋体" w:cs="Times New Roman"/>
    </w:rPr>
  </w:style>
  <w:style w:type="paragraph" w:customStyle="1" w:styleId="713">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4">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5">
    <w:name w:val="无间隔4"/>
    <w:next w:val="716"/>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16">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7">
    <w:name w:val="A_表格头"/>
    <w:basedOn w:val="1"/>
    <w:qFormat/>
    <w:uiPriority w:val="0"/>
    <w:pPr>
      <w:jc w:val="center"/>
    </w:pPr>
    <w:rPr>
      <w:rFonts w:ascii="Times New Roman" w:hAnsi="Times New Roman" w:eastAsia="黑体" w:cs="Times New Roman"/>
      <w:bCs/>
      <w:kern w:val="0"/>
      <w:szCs w:val="20"/>
    </w:rPr>
  </w:style>
  <w:style w:type="paragraph" w:customStyle="1" w:styleId="718">
    <w:name w:val="A_表格正文（居中）"/>
    <w:basedOn w:val="1"/>
    <w:qFormat/>
    <w:uiPriority w:val="0"/>
    <w:pPr>
      <w:jc w:val="center"/>
    </w:pPr>
    <w:rPr>
      <w:rFonts w:ascii="Times New Roman" w:hAnsi="Times New Roman" w:eastAsia="仿宋" w:cs="Times New Roman"/>
      <w:kern w:val="0"/>
      <w:szCs w:val="20"/>
    </w:rPr>
  </w:style>
  <w:style w:type="paragraph" w:customStyle="1" w:styleId="719">
    <w:name w:val="A_表格正文（加黑）"/>
    <w:basedOn w:val="718"/>
    <w:qFormat/>
    <w:uiPriority w:val="0"/>
    <w:rPr>
      <w:b/>
      <w:color w:val="000000"/>
    </w:rPr>
  </w:style>
  <w:style w:type="character" w:customStyle="1" w:styleId="720">
    <w:name w:val="标题 Char"/>
    <w:qFormat/>
    <w:uiPriority w:val="0"/>
    <w:rPr>
      <w:rFonts w:ascii="宋体" w:hAnsi="Courier New" w:eastAsia="宋体" w:cs="Courier New"/>
      <w:kern w:val="2"/>
      <w:sz w:val="21"/>
      <w:szCs w:val="21"/>
      <w:lang w:val="en-US" w:eastAsia="zh-CN" w:bidi="ar-SA"/>
    </w:rPr>
  </w:style>
  <w:style w:type="character" w:customStyle="1" w:styleId="721">
    <w:name w:val="普通(网站) 字符"/>
    <w:link w:val="54"/>
    <w:qFormat/>
    <w:locked/>
    <w:uiPriority w:val="0"/>
    <w:rPr>
      <w:rFonts w:ascii="(使用中文字体)" w:hAnsi="(使用中文字体)" w:cs="(使用中文字体)"/>
      <w:sz w:val="24"/>
      <w:szCs w:val="24"/>
    </w:rPr>
  </w:style>
  <w:style w:type="paragraph" w:customStyle="1" w:styleId="722">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3">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4">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5">
    <w:name w:val="[Normal]"/>
    <w:qFormat/>
    <w:uiPriority w:val="0"/>
    <w:rPr>
      <w:rFonts w:ascii="宋体" w:hAnsi="宋体" w:eastAsia="宋体" w:cs="Times New Roman"/>
      <w:sz w:val="24"/>
      <w:szCs w:val="22"/>
      <w:lang w:val="zh-CN" w:eastAsia="zh-CN" w:bidi="ar-SA"/>
    </w:rPr>
  </w:style>
  <w:style w:type="paragraph" w:customStyle="1" w:styleId="726">
    <w:name w:val="正文首行缩进 21"/>
    <w:basedOn w:val="393"/>
    <w:qFormat/>
    <w:uiPriority w:val="0"/>
    <w:pPr>
      <w:ind w:firstLine="42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42</Pages>
  <Words>3872</Words>
  <Characters>4472</Characters>
  <Lines>223</Lines>
  <Paragraphs>62</Paragraphs>
  <TotalTime>130</TotalTime>
  <ScaleCrop>false</ScaleCrop>
  <LinksUpToDate>false</LinksUpToDate>
  <CharactersWithSpaces>4520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2022-09-06T10:24:00Z</dcterms:created>
  <dc:creator>黄 晓</dc:creator>
  <cp:lastModifiedBy>浅笑</cp:lastModifiedBy>
  <cp:lastPrinted>2023-03-14T02:23:00Z</cp:lastPrinted>
  <dcterms:modified xsi:type="dcterms:W3CDTF">2025-03-31T09:21:20Z</dcterms:modified>
  <cp:revision>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FD27FCCCBFE0461C9E751C17F76642A3</vt:lpwstr>
  </property>
  <property fmtid="{D5CDD505-2E9C-101B-9397-08002B2CF9AE}" pid="4" name="KSOTemplateDocerSaveRecord">
    <vt:lpwstr>eyJoZGlkIjoiOTVlZDNiNjc4N2Y5YzJiNWY0NjQxMTBmZmRlYWU5ZTMiLCJ1c2VySWQiOiI1NTExOTcxMjUifQ==</vt:lpwstr>
  </property>
</Properties>
</file>