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C76F6">
      <w:pPr>
        <w:rPr>
          <w:rFonts w:ascii="Times New Roman" w:hAnsi="Times New Roman" w:eastAsia="华文新魏" w:cs="Times New Roman"/>
          <w:b/>
          <w:spacing w:val="-14"/>
          <w:sz w:val="52"/>
          <w:szCs w:val="52"/>
        </w:rPr>
      </w:pPr>
      <w:bookmarkStart w:id="0" w:name="OLE_LINK1"/>
    </w:p>
    <w:p w14:paraId="10A29C18">
      <w:pPr>
        <w:spacing w:after="120"/>
        <w:jc w:val="center"/>
        <w:rPr>
          <w:rFonts w:ascii="Times New Roman" w:hAnsi="Calibri" w:eastAsia="宋体" w:cs="Times New Roman"/>
          <w:spacing w:val="-22"/>
          <w:kern w:val="0"/>
        </w:rPr>
      </w:pPr>
      <w:r>
        <w:rPr>
          <w:rFonts w:hint="eastAsia" w:ascii="Times New Roman" w:hAnsi="Times New Roman" w:eastAsia="华文新魏" w:cs="Times New Roman"/>
          <w:b/>
          <w:spacing w:val="-22"/>
          <w:sz w:val="52"/>
          <w:szCs w:val="52"/>
        </w:rPr>
        <w:t>新城千岛路以东、勾山及小干岛区域环境卫生及环卫设施设备保洁管理项目</w:t>
      </w:r>
    </w:p>
    <w:p w14:paraId="775DE858">
      <w:pPr>
        <w:snapToGrid w:val="0"/>
        <w:spacing w:line="312" w:lineRule="auto"/>
        <w:jc w:val="center"/>
        <w:rPr>
          <w:rFonts w:ascii="Times New Roman" w:hAnsi="Times New Roman" w:eastAsia="华文新魏" w:cs="Times New Roman"/>
          <w:b/>
          <w:sz w:val="52"/>
        </w:rPr>
      </w:pPr>
    </w:p>
    <w:p w14:paraId="31BD2DB6">
      <w:pPr>
        <w:snapToGrid w:val="0"/>
        <w:spacing w:line="312" w:lineRule="auto"/>
        <w:jc w:val="center"/>
        <w:rPr>
          <w:rFonts w:ascii="Times New Roman" w:hAnsi="Times New Roman" w:eastAsia="华文新魏" w:cs="Times New Roman"/>
          <w:b/>
          <w:sz w:val="52"/>
        </w:rPr>
      </w:pPr>
      <w:r>
        <w:rPr>
          <w:rFonts w:hint="eastAsia" w:ascii="Times New Roman" w:hAnsi="Times New Roman" w:eastAsia="华文新魏" w:cs="Times New Roman"/>
          <w:b/>
          <w:sz w:val="52"/>
        </w:rPr>
        <w:t>招标文件</w:t>
      </w:r>
    </w:p>
    <w:p w14:paraId="53EEF38A">
      <w:pPr>
        <w:snapToGrid w:val="0"/>
        <w:spacing w:before="120" w:line="312" w:lineRule="auto"/>
        <w:rPr>
          <w:rFonts w:ascii="Times New Roman" w:hAnsi="Times New Roman" w:eastAsia="华文新魏" w:cs="Times New Roman"/>
          <w:b/>
          <w:sz w:val="32"/>
        </w:rPr>
      </w:pPr>
    </w:p>
    <w:p w14:paraId="333D0F71">
      <w:pPr>
        <w:snapToGrid w:val="0"/>
        <w:spacing w:before="120" w:line="312" w:lineRule="auto"/>
        <w:ind w:left="1602" w:hanging="1602" w:hangingChars="500"/>
        <w:rPr>
          <w:rFonts w:ascii="Times New Roman" w:hAnsi="Times New Roman" w:eastAsia="华文新魏" w:cs="Times New Roman"/>
          <w:b/>
          <w:sz w:val="32"/>
        </w:rPr>
      </w:pPr>
    </w:p>
    <w:p w14:paraId="4B881126">
      <w:pPr>
        <w:snapToGrid w:val="0"/>
        <w:spacing w:before="120" w:line="312" w:lineRule="auto"/>
        <w:ind w:left="1602" w:hanging="1602" w:hangingChars="500"/>
        <w:rPr>
          <w:rFonts w:ascii="Times New Roman" w:hAnsi="Times New Roman" w:eastAsia="华文新魏" w:cs="Times New Roman"/>
          <w:b/>
          <w:sz w:val="32"/>
        </w:rPr>
      </w:pPr>
      <w:r>
        <w:rPr>
          <w:rFonts w:hint="eastAsia" w:ascii="Times New Roman" w:hAnsi="Times New Roman" w:eastAsia="华文新魏" w:cs="Times New Roman"/>
          <w:b/>
          <w:sz w:val="32"/>
        </w:rPr>
        <w:t>项目名称</w:t>
      </w:r>
      <w:r>
        <w:rPr>
          <w:rFonts w:hint="eastAsia" w:ascii="Times New Roman" w:hAnsi="Times New Roman" w:eastAsia="华文新魏" w:cs="Times New Roman"/>
          <w:sz w:val="32"/>
        </w:rPr>
        <w:t>：</w:t>
      </w:r>
      <w:r>
        <w:rPr>
          <w:rFonts w:hint="eastAsia" w:ascii="Times New Roman" w:hAnsi="Times New Roman" w:eastAsia="华文新魏" w:cs="Times New Roman"/>
          <w:b/>
          <w:sz w:val="32"/>
        </w:rPr>
        <w:t>新城千岛路以东、勾山及小干岛区域环境卫生及环卫设施设备保洁管理项目</w:t>
      </w:r>
    </w:p>
    <w:p w14:paraId="6502650B">
      <w:pPr>
        <w:pStyle w:val="82"/>
        <w:ind w:firstLine="0" w:firstLineChars="0"/>
        <w:rPr>
          <w:rFonts w:hint="eastAsia"/>
        </w:rPr>
      </w:pPr>
    </w:p>
    <w:p w14:paraId="4364030C">
      <w:pPr>
        <w:snapToGrid w:val="0"/>
        <w:spacing w:before="120" w:line="312" w:lineRule="auto"/>
        <w:rPr>
          <w:rFonts w:ascii="Times New Roman" w:hAnsi="Times New Roman" w:cs="Times New Roman"/>
          <w:b/>
          <w:sz w:val="32"/>
        </w:rPr>
      </w:pPr>
      <w:r>
        <w:rPr>
          <w:rFonts w:hint="eastAsia" w:ascii="Times New Roman" w:hAnsi="Times New Roman" w:eastAsia="华文新魏" w:cs="Times New Roman"/>
          <w:b/>
          <w:sz w:val="32"/>
        </w:rPr>
        <w:t>项目编号：</w:t>
      </w:r>
      <w:r>
        <w:rPr>
          <w:rFonts w:ascii="宋体" w:hAnsi="宋体"/>
          <w:sz w:val="24"/>
        </w:rPr>
        <w:drawing>
          <wp:anchor distT="0" distB="0" distL="114300" distR="114300" simplePos="0" relativeHeight="251660288" behindDoc="1" locked="0" layoutInCell="1" allowOverlap="1">
            <wp:simplePos x="0" y="0"/>
            <wp:positionH relativeFrom="column">
              <wp:posOffset>1713865</wp:posOffset>
            </wp:positionH>
            <wp:positionV relativeFrom="paragraph">
              <wp:posOffset>6937375</wp:posOffset>
            </wp:positionV>
            <wp:extent cx="1376045" cy="1376045"/>
            <wp:effectExtent l="0" t="0" r="10795" b="10795"/>
            <wp:wrapNone/>
            <wp:docPr id="1"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形1"/>
                    <pic:cNvPicPr>
                      <a:picLocks noChangeAspect="1"/>
                    </pic:cNvPicPr>
                  </pic:nvPicPr>
                  <pic:blipFill>
                    <a:blip r:embed="rId6"/>
                    <a:stretch>
                      <a:fillRect/>
                    </a:stretch>
                  </pic:blipFill>
                  <pic:spPr>
                    <a:xfrm>
                      <a:off x="0" y="0"/>
                      <a:ext cx="1376045" cy="1376045"/>
                    </a:xfrm>
                    <a:prstGeom prst="rect">
                      <a:avLst/>
                    </a:prstGeom>
                    <a:noFill/>
                    <a:ln>
                      <a:noFill/>
                    </a:ln>
                  </pic:spPr>
                </pic:pic>
              </a:graphicData>
            </a:graphic>
          </wp:anchor>
        </w:drawing>
      </w:r>
      <w:r>
        <w:rPr>
          <w:rFonts w:hint="eastAsia" w:ascii="Times New Roman" w:hAnsi="Times New Roman" w:eastAsia="华文新魏" w:cs="Times New Roman"/>
          <w:b/>
          <w:sz w:val="32"/>
        </w:rPr>
        <w:t>SZGXZS2024256</w:t>
      </w:r>
    </w:p>
    <w:p w14:paraId="551EB0C0">
      <w:pPr>
        <w:snapToGrid w:val="0"/>
        <w:spacing w:before="120" w:line="312" w:lineRule="auto"/>
        <w:rPr>
          <w:rFonts w:ascii="Times New Roman" w:hAnsi="Times New Roman" w:eastAsia="华文新魏" w:cs="Times New Roman"/>
          <w:b/>
          <w:w w:val="95"/>
          <w:sz w:val="32"/>
        </w:rPr>
      </w:pPr>
      <w:r>
        <w:rPr>
          <w:rFonts w:ascii="宋体" w:hAnsi="宋体"/>
          <w:sz w:val="24"/>
        </w:rPr>
        <w:drawing>
          <wp:anchor distT="0" distB="0" distL="114300" distR="114300" simplePos="0" relativeHeight="251659264" behindDoc="1" locked="0" layoutInCell="1" allowOverlap="1">
            <wp:simplePos x="0" y="0"/>
            <wp:positionH relativeFrom="column">
              <wp:posOffset>1713865</wp:posOffset>
            </wp:positionH>
            <wp:positionV relativeFrom="paragraph">
              <wp:posOffset>6937375</wp:posOffset>
            </wp:positionV>
            <wp:extent cx="1376045" cy="1376045"/>
            <wp:effectExtent l="0" t="0" r="10795" b="10795"/>
            <wp:wrapNone/>
            <wp:docPr id="6"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图形1"/>
                    <pic:cNvPicPr>
                      <a:picLocks noChangeAspect="1"/>
                    </pic:cNvPicPr>
                  </pic:nvPicPr>
                  <pic:blipFill>
                    <a:blip r:embed="rId6"/>
                    <a:stretch>
                      <a:fillRect/>
                    </a:stretch>
                  </pic:blipFill>
                  <pic:spPr>
                    <a:xfrm>
                      <a:off x="0" y="0"/>
                      <a:ext cx="1376045" cy="1376045"/>
                    </a:xfrm>
                    <a:prstGeom prst="rect">
                      <a:avLst/>
                    </a:prstGeom>
                    <a:noFill/>
                    <a:ln>
                      <a:noFill/>
                    </a:ln>
                  </pic:spPr>
                </pic:pic>
              </a:graphicData>
            </a:graphic>
          </wp:anchor>
        </w:drawing>
      </w:r>
    </w:p>
    <w:p w14:paraId="1169DBA3">
      <w:pPr>
        <w:snapToGrid w:val="0"/>
        <w:spacing w:before="120" w:line="312" w:lineRule="auto"/>
        <w:ind w:left="1520" w:hanging="1522" w:hangingChars="500"/>
        <w:rPr>
          <w:rFonts w:ascii="Times New Roman" w:hAnsi="Times New Roman" w:eastAsia="华文新魏" w:cs="Times New Roman"/>
          <w:sz w:val="32"/>
        </w:rPr>
      </w:pPr>
      <w:r>
        <w:rPr>
          <w:rFonts w:hint="eastAsia" w:ascii="Times New Roman" w:hAnsi="Times New Roman" w:eastAsia="华文新魏" w:cs="Times New Roman"/>
          <w:b/>
          <w:w w:val="95"/>
          <w:sz w:val="32"/>
        </w:rPr>
        <w:t>采购单位：</w:t>
      </w:r>
      <w:r>
        <w:rPr>
          <w:rFonts w:hint="eastAsia" w:ascii="Times New Roman" w:hAnsi="Times New Roman" w:eastAsia="华文新魏" w:cs="Times New Roman"/>
          <w:b/>
          <w:sz w:val="32"/>
        </w:rPr>
        <w:t>舟山市新城公用事业管理中心</w:t>
      </w:r>
    </w:p>
    <w:p w14:paraId="044D1BFA">
      <w:pPr>
        <w:snapToGrid w:val="0"/>
        <w:spacing w:before="120" w:line="312" w:lineRule="auto"/>
        <w:rPr>
          <w:rFonts w:ascii="Times New Roman" w:hAnsi="Times New Roman" w:eastAsia="华文新魏" w:cs="Times New Roman"/>
          <w:b/>
          <w:w w:val="95"/>
          <w:sz w:val="32"/>
        </w:rPr>
      </w:pPr>
    </w:p>
    <w:p w14:paraId="2CDBAAC6">
      <w:pPr>
        <w:snapToGrid w:val="0"/>
        <w:spacing w:before="120" w:line="312" w:lineRule="auto"/>
        <w:rPr>
          <w:rFonts w:ascii="Times New Roman" w:hAnsi="Times New Roman" w:eastAsia="华文新魏" w:cs="Times New Roman"/>
          <w:b/>
          <w:w w:val="95"/>
          <w:sz w:val="32"/>
        </w:rPr>
      </w:pPr>
      <w:r>
        <w:rPr>
          <w:rFonts w:hint="eastAsia" w:ascii="Times New Roman" w:hAnsi="Times New Roman" w:eastAsia="华文新魏" w:cs="Times New Roman"/>
          <w:b/>
          <w:w w:val="95"/>
          <w:sz w:val="32"/>
        </w:rPr>
        <w:t>代理机构：深圳市国信招标有限公司</w:t>
      </w:r>
    </w:p>
    <w:p w14:paraId="5CDF49CC">
      <w:pPr>
        <w:snapToGrid w:val="0"/>
        <w:spacing w:before="120" w:line="312" w:lineRule="auto"/>
        <w:ind w:left="5961" w:hanging="5968" w:hangingChars="1961"/>
        <w:rPr>
          <w:rFonts w:ascii="Times New Roman" w:hAnsi="Times New Roman" w:eastAsia="华文新魏" w:cs="Times New Roman"/>
          <w:b/>
          <w:w w:val="95"/>
          <w:sz w:val="32"/>
        </w:rPr>
      </w:pPr>
    </w:p>
    <w:p w14:paraId="3B59B360">
      <w:pPr>
        <w:snapToGrid w:val="0"/>
        <w:spacing w:before="120" w:line="312" w:lineRule="auto"/>
        <w:rPr>
          <w:rFonts w:ascii="Times New Roman" w:hAnsi="Times New Roman" w:eastAsia="华文新魏" w:cs="Times New Roman"/>
          <w:b/>
          <w:w w:val="95"/>
          <w:sz w:val="32"/>
        </w:rPr>
      </w:pPr>
    </w:p>
    <w:p w14:paraId="3C66A46D">
      <w:pPr>
        <w:snapToGrid w:val="0"/>
        <w:spacing w:before="120" w:line="312" w:lineRule="auto"/>
        <w:ind w:left="6046" w:leftChars="2625" w:hanging="533" w:hangingChars="175"/>
        <w:rPr>
          <w:rFonts w:ascii="Times New Roman" w:hAnsi="Times New Roman" w:eastAsia="华文新魏" w:cs="Times New Roman"/>
          <w:b/>
          <w:w w:val="95"/>
          <w:sz w:val="32"/>
        </w:rPr>
      </w:pPr>
      <w:r>
        <w:rPr>
          <w:rFonts w:ascii="Times New Roman" w:hAnsi="Times New Roman" w:eastAsia="华文新魏" w:cs="Times New Roman"/>
          <w:b/>
          <w:w w:val="95"/>
          <w:sz w:val="32"/>
        </w:rPr>
        <w:t>202</w:t>
      </w:r>
      <w:r>
        <w:rPr>
          <w:rFonts w:hint="eastAsia" w:ascii="Times New Roman" w:hAnsi="Times New Roman" w:eastAsia="华文新魏" w:cs="Times New Roman"/>
          <w:b/>
          <w:w w:val="95"/>
          <w:sz w:val="32"/>
        </w:rPr>
        <w:t>4</w:t>
      </w:r>
      <w:r>
        <w:rPr>
          <w:rFonts w:ascii="Times New Roman" w:hAnsi="Times New Roman" w:eastAsia="华文新魏" w:cs="Times New Roman"/>
          <w:b/>
          <w:w w:val="95"/>
          <w:sz w:val="32"/>
        </w:rPr>
        <w:t>年</w:t>
      </w:r>
      <w:r>
        <w:rPr>
          <w:rFonts w:hint="eastAsia" w:ascii="Times New Roman" w:hAnsi="Times New Roman" w:eastAsia="华文新魏" w:cs="Times New Roman"/>
          <w:b/>
          <w:w w:val="95"/>
          <w:sz w:val="32"/>
        </w:rPr>
        <w:t>11月22日</w:t>
      </w:r>
    </w:p>
    <w:p w14:paraId="5AB25478">
      <w:pPr>
        <w:widowControl/>
        <w:spacing w:line="312" w:lineRule="auto"/>
        <w:jc w:val="left"/>
        <w:rPr>
          <w:rFonts w:ascii="Times New Roman" w:hAnsi="Times New Roman" w:eastAsia="创艺简标宋" w:cs="Times New Roman"/>
          <w:kern w:val="0"/>
          <w:sz w:val="44"/>
        </w:rPr>
        <w:sectPr>
          <w:headerReference r:id="rId3" w:type="default"/>
          <w:footerReference r:id="rId4" w:type="default"/>
          <w:pgSz w:w="11906" w:h="16838"/>
          <w:pgMar w:top="1304" w:right="1106" w:bottom="1304" w:left="1531" w:header="1304" w:footer="1304" w:gutter="0"/>
          <w:cols w:space="720" w:num="1"/>
        </w:sectPr>
      </w:pPr>
    </w:p>
    <w:p w14:paraId="7F3B6DBB">
      <w:pPr>
        <w:snapToGrid w:val="0"/>
        <w:spacing w:before="120" w:line="312" w:lineRule="auto"/>
        <w:rPr>
          <w:rFonts w:ascii="Times New Roman" w:hAnsi="Times New Roman" w:eastAsia="创艺简标宋" w:cs="Times New Roman"/>
          <w:sz w:val="44"/>
        </w:rPr>
      </w:pPr>
    </w:p>
    <w:p w14:paraId="67FCCBE4">
      <w:pPr>
        <w:snapToGrid w:val="0"/>
        <w:spacing w:before="120" w:line="312" w:lineRule="auto"/>
        <w:jc w:val="center"/>
        <w:rPr>
          <w:rFonts w:ascii="Times New Roman" w:hAnsi="Times New Roman" w:eastAsia="宋体" w:cs="Times New Roman"/>
          <w:b/>
          <w:sz w:val="44"/>
        </w:rPr>
      </w:pPr>
      <w:r>
        <w:rPr>
          <w:rFonts w:hint="eastAsia" w:ascii="Times New Roman" w:hAnsi="Times New Roman" w:eastAsia="宋体" w:cs="Times New Roman"/>
          <w:b/>
          <w:sz w:val="44"/>
        </w:rPr>
        <w:t>目  录</w:t>
      </w:r>
    </w:p>
    <w:p w14:paraId="3CA5069D">
      <w:pPr>
        <w:spacing w:after="120"/>
        <w:ind w:firstLine="210" w:firstLineChars="100"/>
        <w:rPr>
          <w:rFonts w:ascii="Times New Roman" w:hAnsi="Times New Roman" w:eastAsia="宋体" w:cs="Times New Roman"/>
          <w:kern w:val="0"/>
        </w:rPr>
      </w:pPr>
    </w:p>
    <w:p w14:paraId="5EC22D00">
      <w:pPr>
        <w:widowControl/>
        <w:numPr>
          <w:ilvl w:val="0"/>
          <w:numId w:val="6"/>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采购公告</w:t>
      </w:r>
    </w:p>
    <w:p w14:paraId="444695B8">
      <w:pPr>
        <w:widowControl/>
        <w:numPr>
          <w:ilvl w:val="0"/>
          <w:numId w:val="6"/>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招标需求</w:t>
      </w:r>
    </w:p>
    <w:p w14:paraId="2485F310">
      <w:pPr>
        <w:widowControl/>
        <w:numPr>
          <w:ilvl w:val="0"/>
          <w:numId w:val="6"/>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投标人须知</w:t>
      </w:r>
    </w:p>
    <w:p w14:paraId="3B6C9414">
      <w:pPr>
        <w:snapToGrid w:val="0"/>
        <w:spacing w:line="360" w:lineRule="auto"/>
        <w:ind w:left="1440"/>
        <w:rPr>
          <w:rFonts w:ascii="Times New Roman" w:hAnsi="Times New Roman" w:eastAsia="宋体" w:cs="Times New Roman"/>
          <w:sz w:val="24"/>
        </w:rPr>
      </w:pPr>
      <w:r>
        <w:rPr>
          <w:rFonts w:hint="eastAsia" w:ascii="Times New Roman" w:hAnsi="Times New Roman" w:eastAsia="宋体" w:cs="Times New Roman"/>
          <w:sz w:val="24"/>
        </w:rPr>
        <w:t>前附表</w:t>
      </w:r>
    </w:p>
    <w:p w14:paraId="28725BDF">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总则</w:t>
      </w:r>
    </w:p>
    <w:p w14:paraId="10995626">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招标文件</w:t>
      </w:r>
    </w:p>
    <w:p w14:paraId="5273D8BD">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投标文件编制</w:t>
      </w:r>
    </w:p>
    <w:p w14:paraId="14E622B4">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开标</w:t>
      </w:r>
    </w:p>
    <w:p w14:paraId="74F62485">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评标</w:t>
      </w:r>
    </w:p>
    <w:p w14:paraId="2819F57C">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定标</w:t>
      </w:r>
    </w:p>
    <w:p w14:paraId="022AFECC">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合同授予</w:t>
      </w:r>
    </w:p>
    <w:p w14:paraId="2050A5B1">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hint="eastAsia" w:ascii="Times New Roman" w:hAnsi="Times New Roman" w:eastAsia="宋体" w:cs="Times New Roman"/>
          <w:sz w:val="24"/>
        </w:rPr>
        <w:t>第四章   评标办法及评分标准</w:t>
      </w:r>
    </w:p>
    <w:p w14:paraId="4C6C2B3E">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hint="eastAsia" w:ascii="Times New Roman" w:hAnsi="Times New Roman" w:eastAsia="宋体" w:cs="Times New Roman"/>
          <w:sz w:val="24"/>
        </w:rPr>
        <w:t>第五章   政府采购合同主要条款</w:t>
      </w:r>
    </w:p>
    <w:p w14:paraId="090D3640">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hint="eastAsia" w:ascii="Times New Roman" w:hAnsi="Times New Roman" w:eastAsia="宋体" w:cs="Times New Roman"/>
          <w:sz w:val="24"/>
        </w:rPr>
        <w:t>第六章   投标文件相关格式</w:t>
      </w:r>
    </w:p>
    <w:p w14:paraId="0FD73ECF">
      <w:pPr>
        <w:snapToGrid w:val="0"/>
        <w:spacing w:before="120" w:line="312" w:lineRule="auto"/>
        <w:outlineLvl w:val="0"/>
        <w:rPr>
          <w:rFonts w:ascii="Times New Roman" w:hAnsi="Times New Roman" w:eastAsia="宋体" w:cs="Times New Roman"/>
        </w:rPr>
      </w:pPr>
    </w:p>
    <w:p w14:paraId="5555D587">
      <w:pPr>
        <w:snapToGrid w:val="0"/>
        <w:spacing w:before="120" w:line="312" w:lineRule="auto"/>
        <w:outlineLvl w:val="0"/>
        <w:rPr>
          <w:rFonts w:ascii="Times New Roman" w:hAnsi="Times New Roman" w:eastAsia="宋体" w:cs="Times New Roman"/>
        </w:rPr>
      </w:pPr>
    </w:p>
    <w:p w14:paraId="5CAF5C1F">
      <w:pPr>
        <w:snapToGrid w:val="0"/>
        <w:spacing w:before="120" w:line="312" w:lineRule="auto"/>
        <w:outlineLvl w:val="0"/>
        <w:rPr>
          <w:rFonts w:ascii="Times New Roman" w:hAnsi="Times New Roman" w:eastAsia="宋体" w:cs="Times New Roman"/>
        </w:rPr>
      </w:pPr>
    </w:p>
    <w:p w14:paraId="20900379">
      <w:pPr>
        <w:snapToGrid w:val="0"/>
        <w:spacing w:before="120" w:line="312" w:lineRule="auto"/>
        <w:outlineLvl w:val="0"/>
        <w:rPr>
          <w:rFonts w:ascii="Times New Roman" w:hAnsi="Times New Roman" w:eastAsia="宋体" w:cs="Times New Roman"/>
        </w:rPr>
      </w:pPr>
    </w:p>
    <w:p w14:paraId="5136FB48">
      <w:pPr>
        <w:snapToGrid w:val="0"/>
        <w:spacing w:before="120" w:line="312" w:lineRule="auto"/>
        <w:outlineLvl w:val="0"/>
        <w:rPr>
          <w:rFonts w:ascii="Times New Roman" w:hAnsi="Times New Roman" w:eastAsia="宋体" w:cs="Times New Roman"/>
        </w:rPr>
      </w:pPr>
    </w:p>
    <w:p w14:paraId="6DD1473D">
      <w:pPr>
        <w:snapToGrid w:val="0"/>
        <w:spacing w:before="120" w:line="312" w:lineRule="auto"/>
        <w:outlineLvl w:val="0"/>
        <w:rPr>
          <w:rFonts w:ascii="Times New Roman" w:hAnsi="Times New Roman" w:eastAsia="宋体" w:cs="Times New Roman"/>
        </w:rPr>
      </w:pPr>
    </w:p>
    <w:p w14:paraId="3F760C10">
      <w:pPr>
        <w:snapToGrid w:val="0"/>
        <w:spacing w:before="120" w:line="312" w:lineRule="auto"/>
        <w:outlineLvl w:val="0"/>
        <w:rPr>
          <w:rFonts w:ascii="Times New Roman" w:hAnsi="Times New Roman" w:eastAsia="宋体" w:cs="Times New Roman"/>
        </w:rPr>
      </w:pPr>
    </w:p>
    <w:p w14:paraId="2341F707">
      <w:pPr>
        <w:widowControl/>
        <w:spacing w:line="312" w:lineRule="auto"/>
        <w:jc w:val="left"/>
        <w:rPr>
          <w:rFonts w:ascii="Times New Roman" w:hAnsi="Times New Roman" w:eastAsia="宋体" w:cs="Times New Roman"/>
          <w:kern w:val="0"/>
        </w:rPr>
        <w:sectPr>
          <w:pgSz w:w="11906" w:h="16838"/>
          <w:pgMar w:top="1304" w:right="1106" w:bottom="1304" w:left="1531" w:header="1304" w:footer="1304" w:gutter="0"/>
          <w:cols w:space="720" w:num="1"/>
        </w:sectPr>
      </w:pPr>
    </w:p>
    <w:p w14:paraId="10CC118E">
      <w:pPr>
        <w:snapToGrid w:val="0"/>
        <w:spacing w:before="120" w:line="312" w:lineRule="auto"/>
        <w:jc w:val="center"/>
        <w:outlineLvl w:val="0"/>
        <w:rPr>
          <w:rFonts w:ascii="Times New Roman" w:hAnsi="Times New Roman" w:eastAsia="黑体" w:cs="Times New Roman"/>
          <w:sz w:val="30"/>
        </w:rPr>
      </w:pPr>
      <w:r>
        <w:rPr>
          <w:rFonts w:hint="eastAsia" w:ascii="Times New Roman" w:hAnsi="Times New Roman" w:eastAsia="黑体" w:cs="Times New Roman"/>
          <w:sz w:val="30"/>
        </w:rPr>
        <w:t>第一章 公开招标采购公告</w:t>
      </w:r>
    </w:p>
    <w:p w14:paraId="37C5285B">
      <w:pPr>
        <w:spacing w:line="312" w:lineRule="auto"/>
        <w:rPr>
          <w:rFonts w:ascii="Times New Roman" w:hAnsi="Times New Roman" w:eastAsia="宋体" w:cs="Times New Roman"/>
        </w:rPr>
      </w:pPr>
    </w:p>
    <w:p w14:paraId="133DC555">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rPr>
        <w:t>根据《中华人民</w:t>
      </w:r>
      <w:r>
        <w:rPr>
          <w:rFonts w:hint="eastAsia" w:ascii="Times New Roman" w:hAnsi="Times New Roman" w:eastAsia="宋体" w:cs="Times New Roman"/>
          <w:szCs w:val="21"/>
        </w:rPr>
        <w:t>共和国政府采购法》等规定，受舟山市新城公用事业管理中心委托，现就新城千岛路以东、勾山及小干岛区域环境卫生及环卫设施设备保洁管理项目进行公开招标，欢迎符合资质要求并能提供相关服务的供应商参加投标。</w:t>
      </w:r>
    </w:p>
    <w:p w14:paraId="4026CA11">
      <w:pPr>
        <w:widowControl/>
        <w:spacing w:line="360" w:lineRule="auto"/>
        <w:jc w:val="left"/>
        <w:rPr>
          <w:rFonts w:ascii="Times New Roman" w:hAnsi="Times New Roman" w:eastAsia="宋体" w:cs="Times New Roman"/>
          <w:b/>
          <w:bCs/>
          <w:szCs w:val="21"/>
        </w:rPr>
      </w:pPr>
      <w:r>
        <w:rPr>
          <w:rFonts w:hint="eastAsia" w:ascii="Times New Roman" w:hAnsi="Times New Roman" w:eastAsia="宋体" w:cs="Times New Roman"/>
          <w:b/>
          <w:bCs/>
          <w:szCs w:val="21"/>
        </w:rPr>
        <w:t>一、项目名称：</w:t>
      </w:r>
      <w:r>
        <w:rPr>
          <w:rFonts w:hint="eastAsia" w:ascii="Times New Roman" w:hAnsi="Times New Roman" w:eastAsia="宋体" w:cs="Times New Roman"/>
          <w:szCs w:val="21"/>
        </w:rPr>
        <w:t>新城千岛路以东、勾山及小干岛区域环境卫生及环卫设施设备保洁管理项目</w:t>
      </w:r>
    </w:p>
    <w:p w14:paraId="7FB4431F">
      <w:pPr>
        <w:widowControl/>
        <w:spacing w:line="360" w:lineRule="auto"/>
        <w:jc w:val="left"/>
        <w:rPr>
          <w:rFonts w:ascii="Times New Roman" w:hAnsi="Times New Roman" w:eastAsia="宋体" w:cs="Times New Roman"/>
          <w:b/>
          <w:bCs/>
          <w:sz w:val="28"/>
          <w:szCs w:val="28"/>
        </w:rPr>
      </w:pPr>
      <w:r>
        <w:rPr>
          <w:rFonts w:hint="eastAsia" w:ascii="Times New Roman" w:hAnsi="Times New Roman" w:eastAsia="宋体" w:cs="Times New Roman"/>
          <w:b/>
          <w:bCs/>
          <w:szCs w:val="21"/>
        </w:rPr>
        <w:t>二、项目编号：</w:t>
      </w:r>
      <w:r>
        <w:rPr>
          <w:rFonts w:hint="eastAsia" w:ascii="Times New Roman" w:hAnsi="Times New Roman" w:eastAsia="宋体" w:cs="Times New Roman"/>
          <w:kern w:val="0"/>
          <w:szCs w:val="21"/>
          <w:shd w:val="clear" w:color="auto" w:fill="FFFFFF"/>
        </w:rPr>
        <w:t>SZGXZS2024256</w:t>
      </w:r>
    </w:p>
    <w:p w14:paraId="38D3DE93">
      <w:pPr>
        <w:widowControl/>
        <w:spacing w:line="360" w:lineRule="auto"/>
        <w:rPr>
          <w:rFonts w:ascii="Times New Roman" w:hAnsi="Times New Roman" w:eastAsia="宋体" w:cs="Times New Roman"/>
          <w:kern w:val="0"/>
          <w:szCs w:val="21"/>
          <w:shd w:val="clear" w:color="auto" w:fill="FFFFFF"/>
        </w:rPr>
      </w:pPr>
      <w:r>
        <w:rPr>
          <w:rFonts w:hint="eastAsia" w:ascii="Times New Roman" w:hAnsi="Times New Roman" w:eastAsia="宋体" w:cs="Times New Roman"/>
          <w:b/>
          <w:bCs/>
          <w:kern w:val="0"/>
          <w:szCs w:val="21"/>
        </w:rPr>
        <w:t>三、采购组织类型：</w:t>
      </w:r>
      <w:r>
        <w:rPr>
          <w:rFonts w:hint="eastAsia" w:ascii="Times New Roman" w:hAnsi="Times New Roman" w:eastAsia="宋体" w:cs="Times New Roman"/>
          <w:kern w:val="0"/>
          <w:szCs w:val="21"/>
          <w:shd w:val="clear" w:color="auto" w:fill="FFFFFF"/>
        </w:rPr>
        <w:t>分散采购委托代理</w:t>
      </w:r>
    </w:p>
    <w:p w14:paraId="605A7B76">
      <w:pPr>
        <w:widowControl/>
        <w:spacing w:line="360" w:lineRule="auto"/>
        <w:rPr>
          <w:rFonts w:hint="eastAsia" w:eastAsia="宋体"/>
        </w:rPr>
      </w:pPr>
      <w:r>
        <w:rPr>
          <w:rFonts w:hint="eastAsia" w:ascii="Times New Roman" w:hAnsi="Times New Roman" w:eastAsia="宋体" w:cs="Times New Roman"/>
          <w:kern w:val="0"/>
          <w:szCs w:val="21"/>
          <w:shd w:val="clear" w:color="auto" w:fill="FFFFFF"/>
        </w:rPr>
        <w:t>四、</w:t>
      </w:r>
      <w:r>
        <w:rPr>
          <w:rFonts w:hint="eastAsia" w:ascii="Times New Roman" w:hAnsi="Times New Roman" w:eastAsia="宋体" w:cs="Times New Roman"/>
          <w:b/>
          <w:bCs/>
          <w:kern w:val="0"/>
          <w:szCs w:val="21"/>
        </w:rPr>
        <w:t>招标项目概况（内容、用途、数量、简要技术要求等）</w:t>
      </w:r>
      <w:r>
        <w:rPr>
          <w:rFonts w:ascii="Times New Roman" w:hAnsi="Times New Roman" w:eastAsia="宋体" w:cs="Times New Roman"/>
          <w:b/>
          <w:bCs/>
          <w:kern w:val="0"/>
          <w:szCs w:val="21"/>
        </w:rPr>
        <w:t>:</w:t>
      </w:r>
    </w:p>
    <w:tbl>
      <w:tblPr>
        <w:tblStyle w:val="62"/>
        <w:tblpPr w:leftFromText="180" w:rightFromText="180" w:vertAnchor="text" w:horzAnchor="page" w:tblpXSpec="center" w:tblpY="207"/>
        <w:tblOverlap w:val="never"/>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5954"/>
        <w:gridCol w:w="1275"/>
        <w:gridCol w:w="851"/>
      </w:tblGrid>
      <w:tr w14:paraId="51AE6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817" w:type="dxa"/>
            <w:tcBorders>
              <w:top w:val="single" w:color="000000" w:sz="4" w:space="0"/>
              <w:left w:val="single" w:color="000000" w:sz="4" w:space="0"/>
              <w:bottom w:val="single" w:color="000000" w:sz="4" w:space="0"/>
              <w:right w:val="single" w:color="000000" w:sz="4" w:space="0"/>
            </w:tcBorders>
            <w:vAlign w:val="center"/>
          </w:tcPr>
          <w:p w14:paraId="60CB0CA8">
            <w:pPr>
              <w:widowControl/>
              <w:jc w:val="center"/>
              <w:rPr>
                <w:rFonts w:ascii="Times New Roman" w:hAnsi="Times New Roman" w:eastAsia="宋体" w:cs="Times New Roman"/>
                <w:szCs w:val="21"/>
              </w:rPr>
            </w:pPr>
            <w:r>
              <w:rPr>
                <w:rFonts w:hint="eastAsia" w:ascii="Times New Roman" w:hAnsi="Times New Roman" w:eastAsia="宋体" w:cs="Times New Roman"/>
                <w:szCs w:val="21"/>
              </w:rPr>
              <w:t>序号</w:t>
            </w:r>
          </w:p>
        </w:tc>
        <w:tc>
          <w:tcPr>
            <w:tcW w:w="5954" w:type="dxa"/>
            <w:tcBorders>
              <w:top w:val="single" w:color="000000" w:sz="4" w:space="0"/>
              <w:left w:val="single" w:color="000000" w:sz="4" w:space="0"/>
              <w:bottom w:val="single" w:color="auto" w:sz="4" w:space="0"/>
              <w:right w:val="single" w:color="auto" w:sz="4" w:space="0"/>
            </w:tcBorders>
            <w:vAlign w:val="center"/>
          </w:tcPr>
          <w:p w14:paraId="537AB7DF">
            <w:pPr>
              <w:widowControl/>
              <w:jc w:val="center"/>
              <w:rPr>
                <w:rFonts w:ascii="Times New Roman" w:hAnsi="Times New Roman" w:eastAsia="宋体" w:cs="Times New Roman"/>
                <w:szCs w:val="21"/>
              </w:rPr>
            </w:pPr>
            <w:r>
              <w:rPr>
                <w:rFonts w:hint="eastAsia" w:ascii="Times New Roman" w:hAnsi="Times New Roman" w:eastAsia="宋体" w:cs="Times New Roman"/>
                <w:szCs w:val="21"/>
              </w:rPr>
              <w:t>项目名称及内容</w:t>
            </w:r>
          </w:p>
        </w:tc>
        <w:tc>
          <w:tcPr>
            <w:tcW w:w="1275" w:type="dxa"/>
            <w:tcBorders>
              <w:top w:val="single" w:color="000000" w:sz="4" w:space="0"/>
              <w:left w:val="single" w:color="000000" w:sz="4" w:space="0"/>
              <w:bottom w:val="single" w:color="000000" w:sz="4" w:space="0"/>
              <w:right w:val="single" w:color="auto" w:sz="4" w:space="0"/>
            </w:tcBorders>
            <w:vAlign w:val="center"/>
          </w:tcPr>
          <w:p w14:paraId="240ED3C8">
            <w:pPr>
              <w:widowControl/>
              <w:jc w:val="center"/>
              <w:rPr>
                <w:rFonts w:ascii="Times New Roman" w:hAnsi="Times New Roman" w:eastAsia="宋体" w:cs="Times New Roman"/>
                <w:szCs w:val="21"/>
              </w:rPr>
            </w:pPr>
            <w:r>
              <w:rPr>
                <w:rFonts w:hint="eastAsia" w:ascii="Times New Roman" w:hAnsi="Times New Roman" w:eastAsia="宋体" w:cs="Times New Roman"/>
                <w:szCs w:val="21"/>
              </w:rPr>
              <w:t>预算金额（万元 ）</w:t>
            </w:r>
          </w:p>
        </w:tc>
        <w:tc>
          <w:tcPr>
            <w:tcW w:w="851" w:type="dxa"/>
            <w:tcBorders>
              <w:top w:val="single" w:color="000000" w:sz="4" w:space="0"/>
              <w:left w:val="single" w:color="000000" w:sz="4" w:space="0"/>
              <w:bottom w:val="single" w:color="000000" w:sz="4" w:space="0"/>
              <w:right w:val="single" w:color="000000" w:sz="4" w:space="0"/>
            </w:tcBorders>
            <w:vAlign w:val="center"/>
          </w:tcPr>
          <w:p w14:paraId="40082E80">
            <w:pPr>
              <w:widowControl/>
              <w:jc w:val="center"/>
              <w:rPr>
                <w:rFonts w:ascii="Times New Roman" w:hAnsi="Times New Roman" w:eastAsia="宋体" w:cs="Times New Roman"/>
                <w:szCs w:val="21"/>
              </w:rPr>
            </w:pPr>
            <w:r>
              <w:rPr>
                <w:rFonts w:hint="eastAsia" w:ascii="Times New Roman" w:hAnsi="Times New Roman" w:eastAsia="宋体" w:cs="Times New Roman"/>
                <w:szCs w:val="21"/>
              </w:rPr>
              <w:t>备注</w:t>
            </w:r>
          </w:p>
        </w:tc>
      </w:tr>
      <w:tr w14:paraId="4D28D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vAlign w:val="center"/>
          </w:tcPr>
          <w:p w14:paraId="0F0E8A47">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5954" w:type="dxa"/>
            <w:tcBorders>
              <w:top w:val="single" w:color="auto" w:sz="4" w:space="0"/>
              <w:left w:val="single" w:color="000000" w:sz="4" w:space="0"/>
              <w:bottom w:val="single" w:color="000000" w:sz="4" w:space="0"/>
              <w:right w:val="single" w:color="auto" w:sz="4" w:space="0"/>
            </w:tcBorders>
            <w:vAlign w:val="center"/>
          </w:tcPr>
          <w:p w14:paraId="63D50212">
            <w:pPr>
              <w:widowControl/>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新城千岛路以东、勾山及小干岛区域环境卫生及环卫设施设备保洁管理项目</w:t>
            </w:r>
          </w:p>
        </w:tc>
        <w:tc>
          <w:tcPr>
            <w:tcW w:w="1275" w:type="dxa"/>
            <w:tcBorders>
              <w:top w:val="single" w:color="000000" w:sz="4" w:space="0"/>
              <w:left w:val="single" w:color="000000" w:sz="4" w:space="0"/>
              <w:bottom w:val="single" w:color="000000" w:sz="4" w:space="0"/>
              <w:right w:val="single" w:color="auto" w:sz="4" w:space="0"/>
            </w:tcBorders>
            <w:vAlign w:val="center"/>
          </w:tcPr>
          <w:p w14:paraId="2E311FEF">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1853.35</w:t>
            </w:r>
          </w:p>
        </w:tc>
        <w:tc>
          <w:tcPr>
            <w:tcW w:w="851" w:type="dxa"/>
            <w:tcBorders>
              <w:top w:val="single" w:color="000000" w:sz="4" w:space="0"/>
              <w:left w:val="single" w:color="000000" w:sz="4" w:space="0"/>
              <w:bottom w:val="single" w:color="000000" w:sz="4" w:space="0"/>
              <w:right w:val="single" w:color="000000" w:sz="4" w:space="0"/>
            </w:tcBorders>
            <w:vAlign w:val="center"/>
          </w:tcPr>
          <w:p w14:paraId="0413AD90">
            <w:pPr>
              <w:rPr>
                <w:rFonts w:hint="eastAsia" w:ascii="宋体" w:hAnsi="宋体" w:eastAsia="宋体" w:cs="Times New Roman"/>
                <w:b/>
                <w:color w:val="0000FF"/>
                <w:sz w:val="24"/>
                <w:szCs w:val="21"/>
              </w:rPr>
            </w:pPr>
          </w:p>
        </w:tc>
      </w:tr>
    </w:tbl>
    <w:p w14:paraId="26EB4F4C">
      <w:pPr>
        <w:widowControl/>
        <w:spacing w:line="360" w:lineRule="auto"/>
        <w:jc w:val="left"/>
        <w:rPr>
          <w:rFonts w:ascii="Times New Roman" w:hAnsi="Times New Roman" w:eastAsia="宋体" w:cs="Times New Roman"/>
          <w:szCs w:val="21"/>
        </w:rPr>
      </w:pPr>
    </w:p>
    <w:p w14:paraId="44F6C883">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五、投标供应商资格要求</w:t>
      </w:r>
      <w:r>
        <w:rPr>
          <w:rFonts w:ascii="Times New Roman" w:hAnsi="Times New Roman" w:eastAsia="宋体" w:cs="Times New Roman"/>
          <w:b/>
          <w:bCs/>
          <w:kern w:val="0"/>
          <w:szCs w:val="21"/>
        </w:rPr>
        <w:t>:</w:t>
      </w:r>
    </w:p>
    <w:p w14:paraId="202E3AE3">
      <w:pPr>
        <w:widowControl/>
        <w:shd w:val="clear" w:color="auto" w:fill="FFFFFF"/>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1.</w:t>
      </w:r>
      <w:r>
        <w:rPr>
          <w:rFonts w:hint="eastAsia" w:ascii="宋体" w:hAnsi="宋体" w:eastAsia="宋体" w:cs="宋体"/>
          <w:kern w:val="0"/>
          <w:szCs w:val="21"/>
        </w:rPr>
        <w:t>①</w:t>
      </w:r>
      <w:r>
        <w:rPr>
          <w:rFonts w:hint="eastAsia" w:ascii="Times New Roman" w:hAnsi="Times New Roman" w:eastAsia="宋体" w:cs="Times New Roman"/>
          <w:kern w:val="0"/>
          <w:szCs w:val="21"/>
        </w:rPr>
        <w:t>具有独立承担民事责任的能力；</w:t>
      </w:r>
      <w:r>
        <w:rPr>
          <w:rFonts w:hint="eastAsia" w:ascii="宋体" w:hAnsi="宋体" w:eastAsia="宋体" w:cs="宋体"/>
          <w:kern w:val="0"/>
          <w:szCs w:val="21"/>
        </w:rPr>
        <w:t>②</w:t>
      </w:r>
      <w:r>
        <w:rPr>
          <w:rFonts w:hint="eastAsia" w:ascii="Times New Roman" w:hAnsi="Times New Roman" w:eastAsia="宋体" w:cs="Times New Roman"/>
          <w:kern w:val="0"/>
          <w:szCs w:val="21"/>
        </w:rPr>
        <w:t>具有良好的商业信誉和健全的财务会计制度；</w:t>
      </w:r>
      <w:r>
        <w:rPr>
          <w:rFonts w:hint="eastAsia" w:ascii="宋体" w:hAnsi="宋体" w:eastAsia="宋体" w:cs="宋体"/>
          <w:kern w:val="0"/>
          <w:szCs w:val="21"/>
        </w:rPr>
        <w:t>③</w:t>
      </w:r>
      <w:r>
        <w:rPr>
          <w:rFonts w:hint="eastAsia" w:ascii="Times New Roman" w:hAnsi="Times New Roman" w:eastAsia="宋体" w:cs="Times New Roman"/>
          <w:kern w:val="0"/>
          <w:szCs w:val="21"/>
        </w:rPr>
        <w:t>具有履行合同所必需的设备和专业技术能力；</w:t>
      </w:r>
      <w:r>
        <w:rPr>
          <w:rFonts w:hint="eastAsia" w:ascii="宋体" w:hAnsi="宋体" w:eastAsia="宋体" w:cs="宋体"/>
          <w:kern w:val="0"/>
          <w:szCs w:val="21"/>
        </w:rPr>
        <w:t>④</w:t>
      </w:r>
      <w:r>
        <w:rPr>
          <w:rFonts w:hint="eastAsia" w:ascii="Times New Roman" w:hAnsi="Times New Roman" w:eastAsia="宋体" w:cs="Times New Roman"/>
          <w:kern w:val="0"/>
          <w:szCs w:val="21"/>
        </w:rPr>
        <w:t>参加政府采购活动前三年内，无依法缴纳税收和社会保障资金的不良记录；</w:t>
      </w:r>
      <w:r>
        <w:rPr>
          <w:rFonts w:hint="eastAsia" w:ascii="宋体" w:hAnsi="宋体" w:eastAsia="宋体" w:cs="宋体"/>
          <w:kern w:val="0"/>
          <w:szCs w:val="21"/>
        </w:rPr>
        <w:t>⑤</w:t>
      </w:r>
      <w:r>
        <w:rPr>
          <w:rFonts w:hint="eastAsia" w:ascii="Times New Roman" w:hAnsi="Times New Roman" w:eastAsia="宋体" w:cs="Times New Roman"/>
          <w:kern w:val="0"/>
          <w:szCs w:val="21"/>
        </w:rPr>
        <w:t>参加政府采购活动前三年内，在经营活动中没有重大违法记录；</w:t>
      </w:r>
      <w:r>
        <w:rPr>
          <w:rFonts w:hint="eastAsia" w:ascii="宋体" w:hAnsi="宋体" w:eastAsia="宋体" w:cs="宋体"/>
          <w:kern w:val="0"/>
          <w:szCs w:val="21"/>
        </w:rPr>
        <w:t>⑥</w:t>
      </w:r>
      <w:r>
        <w:rPr>
          <w:rFonts w:hint="eastAsia" w:ascii="Times New Roman" w:hAnsi="Times New Roman" w:eastAsia="宋体" w:cs="Times New Roman"/>
          <w:kern w:val="0"/>
          <w:szCs w:val="21"/>
        </w:rPr>
        <w:t>法律、行政法规规定的其他条件。</w:t>
      </w:r>
    </w:p>
    <w:p w14:paraId="48A77D01">
      <w:pPr>
        <w:widowControl/>
        <w:shd w:val="clear" w:color="auto" w:fill="FFFFFF"/>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2.</w:t>
      </w:r>
      <w:r>
        <w:rPr>
          <w:rFonts w:hint="eastAsia" w:ascii="Times New Roman" w:hAnsi="Times New Roman" w:eastAsia="宋体" w:cs="Times New Roman"/>
          <w:kern w:val="0"/>
          <w:szCs w:val="21"/>
        </w:rPr>
        <w:t>未被</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信用中国</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www.creditchina.gov.cn</w:t>
      </w:r>
      <w:r>
        <w:rPr>
          <w:rFonts w:hint="eastAsia" w:ascii="Times New Roman" w:hAnsi="Times New Roman" w:eastAsia="宋体" w:cs="Times New Roman"/>
          <w:kern w:val="0"/>
          <w:szCs w:val="21"/>
        </w:rPr>
        <w:t>）、中国政府采购网（</w:t>
      </w:r>
      <w:r>
        <w:rPr>
          <w:rFonts w:ascii="Times New Roman" w:hAnsi="Times New Roman" w:eastAsia="宋体" w:cs="Times New Roman"/>
          <w:kern w:val="0"/>
          <w:szCs w:val="21"/>
        </w:rPr>
        <w:t>www.ccgp.gov.cn</w:t>
      </w:r>
      <w:r>
        <w:rPr>
          <w:rFonts w:hint="eastAsia" w:ascii="Times New Roman" w:hAnsi="Times New Roman" w:eastAsia="宋体" w:cs="Times New Roman"/>
          <w:kern w:val="0"/>
          <w:szCs w:val="21"/>
        </w:rPr>
        <w:t>）列入失信被执行人、重大税收违法案件当事人名单、政府采购严重违法失信行为记录名单。</w:t>
      </w:r>
    </w:p>
    <w:p w14:paraId="2A48413D">
      <w:pPr>
        <w:widowControl/>
        <w:shd w:val="clear" w:color="auto" w:fill="FFFFFF"/>
        <w:spacing w:line="360" w:lineRule="auto"/>
        <w:ind w:firstLine="420" w:firstLineChars="200"/>
        <w:jc w:val="left"/>
        <w:rPr>
          <w:rFonts w:ascii="Times New Roman" w:hAnsi="Times New Roman" w:eastAsia="宋体" w:cs="Times New Roman"/>
          <w:b/>
          <w:bCs/>
          <w:kern w:val="0"/>
          <w:szCs w:val="21"/>
        </w:rPr>
      </w:pPr>
      <w:r>
        <w:rPr>
          <w:rFonts w:hint="eastAsia" w:ascii="Times New Roman" w:hAnsi="Times New Roman" w:eastAsia="宋体" w:cs="Times New Roman"/>
          <w:kern w:val="0"/>
          <w:szCs w:val="21"/>
        </w:rPr>
        <w:t>3.本项目专门面向中小企业。本项目对应的中小企业划分标准所属行业：</w:t>
      </w:r>
      <w:r>
        <w:rPr>
          <w:rFonts w:hint="eastAsia" w:ascii="Times New Roman" w:hAnsi="Times New Roman" w:eastAsia="宋体" w:cs="Times New Roman"/>
          <w:b/>
          <w:bCs/>
          <w:kern w:val="0"/>
          <w:szCs w:val="21"/>
        </w:rPr>
        <w:t>其他未列明行业。</w:t>
      </w:r>
    </w:p>
    <w:p w14:paraId="14CB3112">
      <w:pPr>
        <w:widowControl/>
        <w:shd w:val="clear" w:color="auto" w:fill="FFFFFF"/>
        <w:spacing w:line="360" w:lineRule="auto"/>
        <w:jc w:val="left"/>
        <w:rPr>
          <w:rFonts w:ascii="Times New Roman" w:hAnsi="Times New Roman" w:eastAsia="宋体" w:cs="Times New Roman"/>
          <w:kern w:val="0"/>
          <w:szCs w:val="21"/>
        </w:rPr>
      </w:pPr>
      <w:r>
        <w:rPr>
          <w:rFonts w:hint="eastAsia" w:ascii="Times New Roman" w:hAnsi="Times New Roman" w:eastAsia="宋体" w:cs="Times New Roman"/>
          <w:b/>
          <w:bCs/>
          <w:kern w:val="0"/>
          <w:szCs w:val="21"/>
        </w:rPr>
        <w:t>六、</w:t>
      </w:r>
      <w:r>
        <w:rPr>
          <w:rFonts w:hint="eastAsia" w:ascii="Times New Roman" w:hAnsi="Times New Roman" w:eastAsia="宋体" w:cs="Times New Roman"/>
          <w:b/>
          <w:kern w:val="0"/>
          <w:szCs w:val="21"/>
        </w:rPr>
        <w:t>公告期限：</w:t>
      </w:r>
      <w:r>
        <w:rPr>
          <w:rFonts w:hint="eastAsia" w:ascii="Times New Roman" w:hAnsi="Times New Roman" w:eastAsia="宋体" w:cs="Times New Roman"/>
          <w:b/>
          <w:kern w:val="0"/>
          <w:szCs w:val="21"/>
          <w:u w:val="single"/>
        </w:rPr>
        <w:t>自公告发布之日起</w:t>
      </w:r>
      <w:r>
        <w:rPr>
          <w:rFonts w:ascii="Times New Roman" w:hAnsi="Times New Roman" w:eastAsia="宋体" w:cs="Times New Roman"/>
          <w:b/>
          <w:kern w:val="0"/>
          <w:szCs w:val="21"/>
          <w:u w:val="single"/>
        </w:rPr>
        <w:t>5</w:t>
      </w:r>
      <w:r>
        <w:rPr>
          <w:rFonts w:hint="eastAsia" w:ascii="Times New Roman" w:hAnsi="Times New Roman" w:eastAsia="宋体" w:cs="Times New Roman"/>
          <w:b/>
          <w:kern w:val="0"/>
          <w:szCs w:val="21"/>
          <w:u w:val="single"/>
        </w:rPr>
        <w:t>个工作日</w:t>
      </w:r>
    </w:p>
    <w:p w14:paraId="7F6E479B">
      <w:pPr>
        <w:snapToGrid w:val="0"/>
        <w:spacing w:line="360" w:lineRule="auto"/>
        <w:rPr>
          <w:rFonts w:ascii="Times New Roman" w:hAnsi="Times New Roman" w:eastAsia="宋体" w:cs="Times New Roman"/>
          <w:szCs w:val="21"/>
        </w:rPr>
      </w:pPr>
      <w:r>
        <w:rPr>
          <w:rFonts w:hint="eastAsia" w:ascii="Times New Roman" w:hAnsi="Times New Roman" w:eastAsia="宋体" w:cs="Times New Roman"/>
          <w:b/>
          <w:bCs/>
          <w:szCs w:val="21"/>
        </w:rPr>
        <w:t>七、注册及采购文件的获取</w:t>
      </w:r>
      <w:r>
        <w:rPr>
          <w:rFonts w:hint="eastAsia" w:ascii="Times New Roman" w:hAnsi="Times New Roman" w:eastAsia="宋体" w:cs="Times New Roman"/>
          <w:szCs w:val="21"/>
        </w:rPr>
        <w:t>：</w:t>
      </w:r>
    </w:p>
    <w:p w14:paraId="38A22D9A">
      <w:pPr>
        <w:widowControl/>
        <w:shd w:val="clear" w:color="auto" w:fill="FFFFFF"/>
        <w:spacing w:line="360" w:lineRule="auto"/>
        <w:ind w:firstLine="417" w:firstLine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1.</w:t>
      </w:r>
      <w:r>
        <w:rPr>
          <w:rFonts w:hint="eastAsia" w:ascii="Times New Roman" w:hAnsi="Times New Roman" w:eastAsia="宋体" w:cs="Times New Roman"/>
          <w:b/>
          <w:bCs/>
          <w:kern w:val="0"/>
          <w:szCs w:val="21"/>
          <w:shd w:val="clear" w:color="auto" w:fill="FFFFFF"/>
        </w:rPr>
        <w:t>本项目只实行网上获取采购文件。</w:t>
      </w:r>
    </w:p>
    <w:p w14:paraId="20B4AFB2">
      <w:pPr>
        <w:widowControl/>
        <w:shd w:val="clear" w:color="auto" w:fill="FFFFFF"/>
        <w:spacing w:line="360" w:lineRule="auto"/>
        <w:ind w:firstLine="417" w:firstLine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2.</w:t>
      </w:r>
      <w:r>
        <w:rPr>
          <w:rFonts w:hint="eastAsia" w:ascii="Times New Roman" w:hAnsi="Times New Roman" w:eastAsia="宋体" w:cs="Times New Roman"/>
          <w:b/>
          <w:bCs/>
          <w:kern w:val="0"/>
          <w:szCs w:val="21"/>
          <w:shd w:val="clear" w:color="auto" w:fill="FFFFFF"/>
        </w:rPr>
        <w:t>获取采购文件网址</w:t>
      </w:r>
      <w:r>
        <w:rPr>
          <w:rFonts w:hint="eastAsia" w:ascii="Times New Roman" w:hAnsi="Times New Roman" w:eastAsia="宋体" w:cs="Times New Roman"/>
          <w:kern w:val="0"/>
          <w:szCs w:val="21"/>
          <w:shd w:val="clear" w:color="auto" w:fill="FFFFFF"/>
        </w:rPr>
        <w:t>：浙江政府采购网</w:t>
      </w:r>
      <w:r>
        <w:fldChar w:fldCharType="begin"/>
      </w:r>
      <w:r>
        <w:instrText xml:space="preserve"> HYPERLINK "http://www.zjzfcg.gov.cn" </w:instrText>
      </w:r>
      <w:r>
        <w:fldChar w:fldCharType="separate"/>
      </w:r>
      <w:r>
        <w:rPr>
          <w:rFonts w:ascii="Times New Roman" w:hAnsi="Times New Roman" w:eastAsia="宋体" w:cs="Times New Roman"/>
          <w:kern w:val="0"/>
          <w:szCs w:val="21"/>
          <w:u w:val="single"/>
          <w:shd w:val="clear" w:color="auto" w:fill="FFFFFF"/>
        </w:rPr>
        <w:t>www.zjzfcg.gov.cn</w:t>
      </w:r>
      <w:r>
        <w:rPr>
          <w:rFonts w:ascii="Times New Roman" w:hAnsi="Times New Roman" w:eastAsia="宋体" w:cs="Times New Roman"/>
          <w:kern w:val="0"/>
          <w:szCs w:val="21"/>
          <w:u w:val="single"/>
          <w:shd w:val="clear" w:color="auto" w:fill="FFFFFF"/>
        </w:rPr>
        <w:fldChar w:fldCharType="end"/>
      </w:r>
      <w:r>
        <w:rPr>
          <w:rFonts w:hint="eastAsia" w:ascii="Times New Roman" w:hAnsi="Times New Roman" w:eastAsia="宋体" w:cs="Times New Roman"/>
          <w:kern w:val="0"/>
          <w:szCs w:val="21"/>
          <w:shd w:val="clear" w:color="auto" w:fill="FFFFFF"/>
        </w:rPr>
        <w:t>（用</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政采云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注册账号、密码登录系统后获取采购文件）</w:t>
      </w:r>
    </w:p>
    <w:p w14:paraId="50E05FAF">
      <w:pPr>
        <w:widowControl/>
        <w:shd w:val="clear" w:color="auto" w:fill="FFFFFF"/>
        <w:spacing w:line="360" w:lineRule="auto"/>
        <w:ind w:left="416" w:left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3.</w:t>
      </w:r>
      <w:r>
        <w:rPr>
          <w:rFonts w:hint="eastAsia" w:ascii="Times New Roman" w:hAnsi="Times New Roman" w:eastAsia="宋体" w:cs="Times New Roman"/>
          <w:b/>
          <w:bCs/>
          <w:kern w:val="0"/>
          <w:szCs w:val="21"/>
          <w:shd w:val="clear" w:color="auto" w:fill="FFFFFF"/>
        </w:rPr>
        <w:t>免费注册网址：浙江政府采购网（供应商注册页面）：</w:t>
      </w:r>
    </w:p>
    <w:p w14:paraId="6B24DD12">
      <w:pPr>
        <w:widowControl/>
        <w:shd w:val="clear" w:color="auto" w:fill="FFFFFF"/>
        <w:spacing w:line="360" w:lineRule="auto"/>
        <w:jc w:val="left"/>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u w:val="single"/>
          <w:shd w:val="clear" w:color="auto" w:fill="FFFFFF"/>
        </w:rPr>
        <w:t>https://middle.zcygov.cn/settle-front/#/registry</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政采云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，咨询电话：</w:t>
      </w:r>
      <w:r>
        <w:rPr>
          <w:rFonts w:ascii="Times New Roman" w:hAnsi="Times New Roman" w:eastAsia="宋体" w:cs="Times New Roman"/>
          <w:kern w:val="0"/>
          <w:szCs w:val="21"/>
          <w:shd w:val="clear" w:color="auto" w:fill="FFFFFF"/>
        </w:rPr>
        <w:t>95763</w:t>
      </w:r>
      <w:r>
        <w:rPr>
          <w:rFonts w:hint="eastAsia" w:ascii="Times New Roman" w:hAnsi="Times New Roman" w:eastAsia="宋体" w:cs="Times New Roman"/>
          <w:kern w:val="0"/>
          <w:szCs w:val="21"/>
          <w:shd w:val="clear" w:color="auto" w:fill="FFFFFF"/>
        </w:rPr>
        <w:t>。已经注册成功的供应商无需重复注册。</w:t>
      </w:r>
    </w:p>
    <w:p w14:paraId="4F3DBDAF">
      <w:pPr>
        <w:widowControl/>
        <w:shd w:val="clear" w:color="auto" w:fill="FFFFFF"/>
        <w:spacing w:line="360" w:lineRule="auto"/>
        <w:ind w:firstLine="422" w:firstLineChars="200"/>
        <w:jc w:val="left"/>
        <w:rPr>
          <w:rFonts w:ascii="Times New Roman" w:hAnsi="Times New Roman" w:eastAsia="宋体" w:cs="Times New Roman"/>
          <w:kern w:val="0"/>
          <w:szCs w:val="21"/>
          <w:shd w:val="clear" w:color="auto" w:fill="FFFFFF"/>
        </w:rPr>
      </w:pPr>
      <w:r>
        <w:rPr>
          <w:rFonts w:hint="eastAsia" w:ascii="Times New Roman" w:hAnsi="Times New Roman" w:eastAsia="宋体" w:cs="Times New Roman"/>
          <w:b/>
          <w:bCs/>
          <w:kern w:val="0"/>
          <w:szCs w:val="21"/>
          <w:shd w:val="clear" w:color="auto" w:fill="FFFFFF"/>
        </w:rPr>
        <w:t>4.获取采购文件时间：</w:t>
      </w:r>
      <w:r>
        <w:rPr>
          <w:rFonts w:hint="eastAsia" w:ascii="Times New Roman" w:hAnsi="Times New Roman" w:eastAsia="宋体" w:cs="Times New Roman"/>
          <w:kern w:val="0"/>
          <w:szCs w:val="21"/>
          <w:shd w:val="clear" w:color="auto" w:fill="FFFFFF"/>
        </w:rPr>
        <w:t>公告发布之日至投标截止时间</w:t>
      </w:r>
    </w:p>
    <w:p w14:paraId="67DEFCBC">
      <w:pPr>
        <w:widowControl/>
        <w:shd w:val="clear" w:color="auto" w:fill="FFFFFF"/>
        <w:spacing w:line="360" w:lineRule="auto"/>
        <w:jc w:val="left"/>
        <w:rPr>
          <w:rFonts w:ascii="Times New Roman" w:hAnsi="Times New Roman" w:eastAsia="宋体" w:cs="Times New Roman"/>
          <w:b/>
          <w:bCs/>
          <w:szCs w:val="21"/>
        </w:rPr>
      </w:pPr>
      <w:r>
        <w:rPr>
          <w:rFonts w:hint="eastAsia" w:ascii="Times New Roman" w:hAnsi="Times New Roman" w:eastAsia="宋体" w:cs="Times New Roman"/>
          <w:b/>
          <w:bCs/>
          <w:szCs w:val="21"/>
        </w:rPr>
        <w:t>八、投标文件的制作及递交：</w:t>
      </w:r>
    </w:p>
    <w:p w14:paraId="5E5094CC">
      <w:pPr>
        <w:widowControl/>
        <w:shd w:val="clear" w:color="auto" w:fill="FFFFFF"/>
        <w:spacing w:line="360" w:lineRule="auto"/>
        <w:ind w:firstLine="420" w:firstLineChars="200"/>
        <w:jc w:val="left"/>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1.</w:t>
      </w:r>
      <w:r>
        <w:rPr>
          <w:rFonts w:hint="eastAsia" w:ascii="Times New Roman" w:hAnsi="Times New Roman" w:eastAsia="宋体" w:cs="Times New Roman"/>
          <w:kern w:val="0"/>
          <w:szCs w:val="21"/>
          <w:shd w:val="clear" w:color="auto" w:fill="FFFFFF"/>
        </w:rPr>
        <w:t>供应商须</w:t>
      </w:r>
      <w:r>
        <w:rPr>
          <w:rFonts w:hint="eastAsia" w:ascii="Times New Roman" w:hAnsi="Times New Roman" w:eastAsia="宋体" w:cs="Times New Roman"/>
          <w:b/>
          <w:bCs/>
          <w:kern w:val="0"/>
          <w:szCs w:val="21"/>
          <w:shd w:val="clear" w:color="auto" w:fill="FFFFFF"/>
        </w:rPr>
        <w:t>在线获取</w:t>
      </w:r>
      <w:r>
        <w:rPr>
          <w:rFonts w:ascii="Times New Roman" w:hAnsi="Times New Roman" w:eastAsia="宋体" w:cs="Times New Roman"/>
          <w:b/>
          <w:bCs/>
          <w:kern w:val="0"/>
          <w:szCs w:val="21"/>
          <w:shd w:val="clear" w:color="auto" w:fill="FFFFFF"/>
        </w:rPr>
        <w:t>CA</w:t>
      </w:r>
      <w:r>
        <w:rPr>
          <w:rFonts w:hint="eastAsia" w:ascii="Times New Roman" w:hAnsi="Times New Roman" w:eastAsia="宋体" w:cs="Times New Roman"/>
          <w:b/>
          <w:bCs/>
          <w:kern w:val="0"/>
          <w:szCs w:val="21"/>
          <w:shd w:val="clear" w:color="auto" w:fill="FFFFFF"/>
        </w:rPr>
        <w:t>数字证书</w:t>
      </w:r>
      <w:r>
        <w:rPr>
          <w:rFonts w:hint="eastAsia" w:ascii="Times New Roman" w:hAnsi="Times New Roman" w:eastAsia="宋体" w:cs="Times New Roman"/>
          <w:kern w:val="0"/>
          <w:szCs w:val="21"/>
          <w:shd w:val="clear" w:color="auto" w:fill="FFFFFF"/>
        </w:rPr>
        <w:t>（完成</w:t>
      </w:r>
      <w:r>
        <w:rPr>
          <w:rFonts w:ascii="Times New Roman" w:hAnsi="Times New Roman" w:eastAsia="宋体" w:cs="Times New Roman"/>
          <w:kern w:val="0"/>
          <w:szCs w:val="21"/>
          <w:shd w:val="clear" w:color="auto" w:fill="FFFFFF"/>
        </w:rPr>
        <w:t>CA</w:t>
      </w:r>
      <w:r>
        <w:rPr>
          <w:rFonts w:hint="eastAsia" w:ascii="Times New Roman" w:hAnsi="Times New Roman" w:eastAsia="宋体" w:cs="Times New Roman"/>
          <w:kern w:val="0"/>
          <w:szCs w:val="21"/>
          <w:shd w:val="clear" w:color="auto" w:fill="FFFFFF"/>
        </w:rPr>
        <w:t>数字证书办理预计一周左右，建议各投标人自行把握时间）</w:t>
      </w:r>
      <w:r>
        <w:rPr>
          <w:rFonts w:hint="eastAsia" w:ascii="Times New Roman" w:hAnsi="Times New Roman" w:eastAsia="宋体" w:cs="Times New Roman"/>
          <w:b/>
          <w:bCs/>
          <w:kern w:val="0"/>
          <w:szCs w:val="21"/>
          <w:shd w:val="clear" w:color="auto" w:fill="FFFFFF"/>
        </w:rPr>
        <w:t>，</w:t>
      </w:r>
      <w:r>
        <w:rPr>
          <w:rFonts w:hint="eastAsia" w:ascii="Times New Roman" w:hAnsi="Times New Roman" w:eastAsia="宋体" w:cs="Times New Roman"/>
          <w:kern w:val="0"/>
          <w:szCs w:val="21"/>
          <w:shd w:val="clear" w:color="auto" w:fill="FFFFFF"/>
        </w:rPr>
        <w:t>并登录</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浙江政府采购网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w:t>
      </w:r>
      <w:r>
        <w:fldChar w:fldCharType="begin"/>
      </w:r>
      <w:r>
        <w:instrText xml:space="preserve"> HYPERLINK "http://www.zjzfcg.gov.cn" </w:instrText>
      </w:r>
      <w:r>
        <w:fldChar w:fldCharType="separate"/>
      </w:r>
      <w:r>
        <w:rPr>
          <w:rFonts w:ascii="Times New Roman" w:hAnsi="Times New Roman" w:eastAsia="宋体" w:cs="Times New Roman"/>
          <w:kern w:val="0"/>
          <w:szCs w:val="21"/>
          <w:u w:val="single"/>
          <w:shd w:val="clear" w:color="auto" w:fill="FFFFFF"/>
        </w:rPr>
        <w:t>www.zjzfcg.gov.cn</w:t>
      </w:r>
      <w:r>
        <w:rPr>
          <w:rFonts w:ascii="Times New Roman" w:hAnsi="Times New Roman" w:eastAsia="宋体" w:cs="Times New Roman"/>
          <w:kern w:val="0"/>
          <w:szCs w:val="21"/>
          <w:u w:val="single"/>
          <w:shd w:val="clear" w:color="auto" w:fill="FFFFFF"/>
        </w:rPr>
        <w:fldChar w:fldCharType="end"/>
      </w:r>
      <w:r>
        <w:rPr>
          <w:rFonts w:hint="eastAsia" w:ascii="Times New Roman" w:hAnsi="Times New Roman" w:eastAsia="宋体" w:cs="Times New Roman"/>
          <w:kern w:val="0"/>
          <w:szCs w:val="21"/>
          <w:shd w:val="clear" w:color="auto" w:fill="FFFFFF"/>
        </w:rPr>
        <w:t>），进入</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下载专区</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下载</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电子交易客户端</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，制作投标文件。</w:t>
      </w:r>
    </w:p>
    <w:p w14:paraId="3FC5153B">
      <w:pPr>
        <w:widowControl/>
        <w:spacing w:line="360" w:lineRule="auto"/>
        <w:ind w:firstLine="420" w:firstLineChars="200"/>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2.</w:t>
      </w:r>
      <w:r>
        <w:rPr>
          <w:rFonts w:hint="eastAsia" w:ascii="Times New Roman" w:hAnsi="Times New Roman" w:eastAsia="宋体" w:cs="Times New Roman"/>
          <w:kern w:val="0"/>
          <w:szCs w:val="21"/>
          <w:shd w:val="clear" w:color="auto" w:fill="FFFFFF"/>
        </w:rPr>
        <w:t>投标人将加密的电子版投标文件于投标截止时间前上传到政采云系统中。</w:t>
      </w:r>
    </w:p>
    <w:p w14:paraId="20A2E140">
      <w:pPr>
        <w:widowControl/>
        <w:shd w:val="clear" w:color="auto" w:fill="FFFFFF"/>
        <w:spacing w:line="360" w:lineRule="auto"/>
        <w:ind w:left="420" w:leftChars="200"/>
        <w:jc w:val="left"/>
        <w:rPr>
          <w:rFonts w:ascii="Times New Roman" w:hAnsi="Times New Roman" w:eastAsia="宋体" w:cs="Times New Roman"/>
          <w:kern w:val="0"/>
          <w:szCs w:val="21"/>
          <w:u w:val="single"/>
          <w:shd w:val="clear" w:color="auto" w:fill="FFFFFF"/>
        </w:rPr>
      </w:pPr>
      <w:r>
        <w:rPr>
          <w:rFonts w:ascii="Times New Roman" w:hAnsi="Times New Roman" w:eastAsia="宋体" w:cs="Times New Roman"/>
          <w:kern w:val="0"/>
          <w:szCs w:val="21"/>
          <w:shd w:val="clear" w:color="auto" w:fill="FFFFFF"/>
        </w:rPr>
        <w:t>3.</w:t>
      </w:r>
      <w:r>
        <w:rPr>
          <w:rFonts w:hint="eastAsia" w:ascii="Times New Roman" w:hAnsi="Times New Roman" w:eastAsia="宋体" w:cs="Times New Roman"/>
          <w:kern w:val="0"/>
          <w:szCs w:val="21"/>
          <w:shd w:val="clear" w:color="auto" w:fill="FFFFFF"/>
        </w:rPr>
        <w:t>具体的投标文件加密上传等操作详见政采云平台操作指南。</w:t>
      </w:r>
      <w:r>
        <w:fldChar w:fldCharType="begin"/>
      </w:r>
      <w:r>
        <w:instrText xml:space="preserve"> HYPERLINK "https://edu.zcygov.cn/luban/e-biding?utm=a0004.2ef5001f.0001.0109.da8b35e0da8611e98d8937b7ef8a3544" </w:instrText>
      </w:r>
      <w:r>
        <w:fldChar w:fldCharType="separate"/>
      </w:r>
      <w:r>
        <w:rPr>
          <w:rFonts w:ascii="Times New Roman" w:hAnsi="Times New Roman" w:eastAsia="宋体" w:cs="Times New Roman"/>
          <w:kern w:val="0"/>
          <w:szCs w:val="21"/>
          <w:u w:val="single"/>
          <w:shd w:val="clear" w:color="auto" w:fill="FFFFFF"/>
        </w:rPr>
        <w:t>https://edu.zcygov.cn/luban/e-biding?utm=a0004.2ef5001f.0001.0109.da8b35e0da8611e98d8937b7ef8a3544</w:t>
      </w:r>
      <w:r>
        <w:rPr>
          <w:rFonts w:ascii="Times New Roman" w:hAnsi="Times New Roman" w:eastAsia="宋体" w:cs="Times New Roman"/>
          <w:kern w:val="0"/>
          <w:szCs w:val="21"/>
          <w:u w:val="single"/>
          <w:shd w:val="clear" w:color="auto" w:fill="FFFFFF"/>
        </w:rPr>
        <w:fldChar w:fldCharType="end"/>
      </w:r>
    </w:p>
    <w:p w14:paraId="6EA137A4">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九、投标保证金：无。</w:t>
      </w:r>
    </w:p>
    <w:p w14:paraId="25C9EB2E">
      <w:pPr>
        <w:widowControl/>
        <w:spacing w:line="360" w:lineRule="auto"/>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十、投标截止时间和地址：</w:t>
      </w:r>
    </w:p>
    <w:p w14:paraId="0798D96C">
      <w:pPr>
        <w:spacing w:line="360" w:lineRule="auto"/>
        <w:ind w:firstLine="632" w:firstLineChars="300"/>
        <w:rPr>
          <w:rFonts w:ascii="Times New Roman" w:hAnsi="Times New Roman" w:eastAsia="宋体" w:cs="Times New Roman"/>
          <w:b/>
          <w:szCs w:val="21"/>
        </w:rPr>
      </w:pPr>
      <w:r>
        <w:rPr>
          <w:rFonts w:ascii="Times New Roman" w:hAnsi="Times New Roman" w:eastAsia="宋体" w:cs="Times New Roman"/>
          <w:b/>
          <w:szCs w:val="21"/>
        </w:rPr>
        <w:t>1.</w:t>
      </w:r>
      <w:r>
        <w:rPr>
          <w:rFonts w:hint="eastAsia" w:ascii="Times New Roman" w:hAnsi="Times New Roman" w:eastAsia="宋体" w:cs="Times New Roman"/>
          <w:b/>
          <w:szCs w:val="21"/>
        </w:rPr>
        <w:t>本项目实行电子投标。</w:t>
      </w:r>
    </w:p>
    <w:p w14:paraId="56D7E499">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投标人应准备电子投标文件、以介质存储的数据电文形式的备份投标文件；</w:t>
      </w:r>
    </w:p>
    <w:p w14:paraId="47D53B02">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）电子投标文件，按政采云平台项目采购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电子交易操作指南及本招标文件要求递交。</w:t>
      </w:r>
      <w:r>
        <w:rPr>
          <w:rFonts w:hint="eastAsia" w:ascii="Times New Roman" w:hAnsi="Times New Roman" w:eastAsia="宋体" w:cs="Times New Roman"/>
          <w:szCs w:val="21"/>
          <w:shd w:val="clear" w:color="auto" w:fill="FFFFFF"/>
        </w:rPr>
        <w:t>投标人应于</w:t>
      </w:r>
      <w:bookmarkStart w:id="1" w:name="_Hlk100345522"/>
      <w:r>
        <w:rPr>
          <w:rFonts w:hint="eastAsia" w:ascii="Times New Roman" w:hAnsi="Times New Roman" w:eastAsia="宋体" w:cs="Times New Roman"/>
          <w:szCs w:val="21"/>
          <w:shd w:val="clear" w:color="auto" w:fill="FFFFFF"/>
        </w:rPr>
        <w:t>2024年月日14：1</w:t>
      </w:r>
      <w:r>
        <w:rPr>
          <w:rFonts w:ascii="Times New Roman" w:hAnsi="Times New Roman" w:eastAsia="宋体" w:cs="Times New Roman"/>
          <w:szCs w:val="21"/>
          <w:shd w:val="clear" w:color="auto" w:fill="FFFFFF"/>
        </w:rPr>
        <w:t>5</w:t>
      </w:r>
      <w:bookmarkEnd w:id="1"/>
      <w:r>
        <w:rPr>
          <w:rFonts w:hint="eastAsia" w:ascii="Times New Roman" w:hAnsi="Times New Roman" w:eastAsia="宋体" w:cs="Times New Roman"/>
          <w:szCs w:val="21"/>
          <w:shd w:val="clear" w:color="auto" w:fill="FFFFFF"/>
        </w:rPr>
        <w:t>前将加密的电子版投标文件上传到政采云系统中（不准时上传视为无效标）。</w:t>
      </w:r>
      <w:r>
        <w:rPr>
          <w:rFonts w:ascii="Times New Roman" w:hAnsi="Times New Roman" w:eastAsia="宋体" w:cs="Times New Roman"/>
          <w:b/>
          <w:szCs w:val="21"/>
          <w:shd w:val="clear" w:color="auto" w:fill="FFFFFF"/>
        </w:rPr>
        <w:t>CA</w:t>
      </w:r>
      <w:r>
        <w:rPr>
          <w:rFonts w:hint="eastAsia" w:ascii="Times New Roman" w:hAnsi="Times New Roman" w:eastAsia="宋体" w:cs="Times New Roman"/>
          <w:b/>
          <w:szCs w:val="21"/>
          <w:shd w:val="clear" w:color="auto" w:fill="FFFFFF"/>
        </w:rPr>
        <w:t>数字证书随身携带或准时解码。</w:t>
      </w:r>
    </w:p>
    <w:p w14:paraId="3B5F7D5B">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14:paraId="0D059706">
      <w:pPr>
        <w:widowControl/>
        <w:shd w:val="clear" w:color="auto" w:fill="FFFFFF"/>
        <w:spacing w:line="360" w:lineRule="auto"/>
        <w:ind w:firstLine="516" w:firstLineChars="246"/>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投标人应于2024年月日</w:t>
      </w:r>
      <w:r>
        <w:rPr>
          <w:rFonts w:ascii="Times New Roman" w:hAnsi="Times New Roman" w:eastAsia="宋体" w:cs="Times New Roman"/>
          <w:kern w:val="0"/>
          <w:szCs w:val="21"/>
        </w:rPr>
        <w:t>11</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30</w:t>
      </w:r>
      <w:r>
        <w:rPr>
          <w:rFonts w:hint="eastAsia" w:ascii="Times New Roman" w:hAnsi="Times New Roman" w:eastAsia="宋体" w:cs="Times New Roman"/>
          <w:kern w:val="0"/>
          <w:szCs w:val="21"/>
        </w:rPr>
        <w:t>（北京时间）前将备份的投标文件寄于采购代理公司，地址：舟山市定海区昌国路</w:t>
      </w:r>
      <w:r>
        <w:rPr>
          <w:rFonts w:ascii="Times New Roman" w:hAnsi="Times New Roman" w:eastAsia="宋体" w:cs="Times New Roman"/>
          <w:kern w:val="0"/>
          <w:szCs w:val="21"/>
        </w:rPr>
        <w:t>232</w:t>
      </w:r>
      <w:r>
        <w:rPr>
          <w:rFonts w:hint="eastAsia" w:ascii="Times New Roman" w:hAnsi="Times New Roman" w:eastAsia="宋体" w:cs="Times New Roman"/>
          <w:kern w:val="0"/>
          <w:szCs w:val="21"/>
        </w:rPr>
        <w:t>号中楼</w:t>
      </w:r>
      <w:r>
        <w:rPr>
          <w:rFonts w:ascii="Times New Roman" w:hAnsi="Times New Roman" w:eastAsia="宋体" w:cs="Times New Roman"/>
          <w:kern w:val="0"/>
          <w:szCs w:val="21"/>
        </w:rPr>
        <w:t>202</w:t>
      </w:r>
      <w:r>
        <w:rPr>
          <w:rFonts w:hint="eastAsia" w:ascii="Times New Roman" w:hAnsi="Times New Roman" w:eastAsia="宋体" w:cs="Times New Roman"/>
          <w:kern w:val="0"/>
          <w:szCs w:val="21"/>
        </w:rPr>
        <w:t>深圳市国信招标有限公司舟山分公司(收件人：任女士，联系电话：13567673203），未按时寄到的自行承担风险。也可开标会现场递交。</w:t>
      </w:r>
    </w:p>
    <w:p w14:paraId="736FE56F">
      <w:pPr>
        <w:widowControl/>
        <w:shd w:val="clear" w:color="auto" w:fill="FFFFFF"/>
        <w:spacing w:line="360" w:lineRule="auto"/>
        <w:ind w:firstLine="519" w:firstLineChars="246"/>
        <w:jc w:val="left"/>
        <w:rPr>
          <w:rFonts w:ascii="Times New Roman" w:hAnsi="Times New Roman" w:eastAsia="宋体" w:cs="Times New Roman"/>
          <w:b/>
          <w:kern w:val="0"/>
          <w:szCs w:val="21"/>
        </w:rPr>
      </w:pPr>
      <w:r>
        <w:rPr>
          <w:rFonts w:hint="eastAsia" w:ascii="Times New Roman" w:hAnsi="Times New Roman" w:eastAsia="宋体" w:cs="Times New Roman"/>
          <w:b/>
          <w:kern w:val="0"/>
          <w:szCs w:val="21"/>
        </w:rPr>
        <w:t>投标人可以不提供备份投标文件，造成项目开评标活动无法进行下去的，投标无效，相关风险由投标人自行承担。</w:t>
      </w:r>
    </w:p>
    <w:p w14:paraId="78A8475A">
      <w:pPr>
        <w:widowControl/>
        <w:shd w:val="clear" w:color="auto" w:fill="FFFFFF"/>
        <w:spacing w:line="360" w:lineRule="auto"/>
        <w:ind w:firstLine="413" w:firstLineChars="196"/>
        <w:jc w:val="left"/>
        <w:rPr>
          <w:rFonts w:ascii="Times New Roman" w:hAnsi="Times New Roman" w:eastAsia="宋体" w:cs="Times New Roman"/>
          <w:bCs/>
          <w:kern w:val="0"/>
          <w:szCs w:val="21"/>
        </w:rPr>
      </w:pPr>
      <w:r>
        <w:rPr>
          <w:rFonts w:ascii="Times New Roman" w:hAnsi="Times New Roman" w:eastAsia="宋体" w:cs="Times New Roman"/>
          <w:b/>
          <w:bCs/>
          <w:szCs w:val="21"/>
        </w:rPr>
        <w:t>2.</w:t>
      </w:r>
      <w:r>
        <w:rPr>
          <w:rFonts w:hint="eastAsia" w:ascii="Times New Roman" w:hAnsi="Times New Roman" w:eastAsia="宋体" w:cs="Times New Roman"/>
          <w:b/>
          <w:bCs/>
          <w:szCs w:val="21"/>
        </w:rPr>
        <w:t>开标时间：</w:t>
      </w:r>
      <w:r>
        <w:rPr>
          <w:rFonts w:hint="eastAsia" w:ascii="Times New Roman" w:hAnsi="Times New Roman" w:eastAsia="宋体" w:cs="Times New Roman"/>
          <w:kern w:val="0"/>
          <w:szCs w:val="21"/>
        </w:rPr>
        <w:t>2024年月日14：1</w:t>
      </w:r>
      <w:r>
        <w:rPr>
          <w:rFonts w:ascii="Times New Roman" w:hAnsi="Times New Roman" w:eastAsia="宋体" w:cs="Times New Roman"/>
          <w:kern w:val="0"/>
          <w:szCs w:val="21"/>
        </w:rPr>
        <w:t>5</w:t>
      </w:r>
    </w:p>
    <w:p w14:paraId="5A827EA3">
      <w:pPr>
        <w:widowControl/>
        <w:shd w:val="clear" w:color="auto" w:fill="FFFFFF"/>
        <w:spacing w:line="360" w:lineRule="auto"/>
        <w:ind w:firstLine="410"/>
        <w:jc w:val="left"/>
        <w:rPr>
          <w:rFonts w:ascii="Times New Roman" w:hAnsi="Times New Roman" w:eastAsia="宋体" w:cs="Times New Roman"/>
          <w:kern w:val="0"/>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开标地点：</w:t>
      </w:r>
      <w:r>
        <w:rPr>
          <w:rFonts w:hint="eastAsia" w:ascii="Times New Roman" w:hAnsi="Times New Roman" w:eastAsia="宋体" w:cs="Times New Roman"/>
          <w:kern w:val="0"/>
          <w:szCs w:val="21"/>
        </w:rPr>
        <w:t>舟山市公共资源交易中心（舟山市新城翁山路555号四楼（大宗商品交易中心同幢西边））开标室</w:t>
      </w:r>
    </w:p>
    <w:p w14:paraId="6617BE3F">
      <w:pPr>
        <w:widowControl/>
        <w:shd w:val="clear" w:color="auto" w:fill="FFFFFF"/>
        <w:spacing w:line="360" w:lineRule="auto"/>
        <w:jc w:val="left"/>
        <w:rPr>
          <w:rFonts w:ascii="Times New Roman" w:hAnsi="Times New Roman" w:eastAsia="宋体" w:cs="Times New Roman"/>
          <w:kern w:val="0"/>
          <w:szCs w:val="21"/>
        </w:rPr>
      </w:pPr>
      <w:r>
        <w:rPr>
          <w:rFonts w:hint="eastAsia" w:ascii="Times New Roman" w:hAnsi="Times New Roman" w:eastAsia="宋体" w:cs="Times New Roman"/>
          <w:b/>
          <w:bCs/>
          <w:kern w:val="0"/>
          <w:szCs w:val="21"/>
        </w:rPr>
        <w:t>十一、其他事项：</w:t>
      </w:r>
    </w:p>
    <w:p w14:paraId="54A09763">
      <w:pPr>
        <w:spacing w:line="360" w:lineRule="auto"/>
        <w:ind w:firstLine="420" w:firstLineChars="200"/>
        <w:rPr>
          <w:rFonts w:ascii="Times New Roman" w:hAnsi="Times New Roman" w:eastAsia="宋体" w:cs="Times New Roman"/>
        </w:rPr>
      </w:pPr>
      <w:r>
        <w:rPr>
          <w:rFonts w:ascii="Times New Roman" w:hAnsi="Times New Roman" w:eastAsia="宋体" w:cs="Times New Roman"/>
          <w:szCs w:val="21"/>
        </w:rPr>
        <w:t>1.</w:t>
      </w:r>
      <w:r>
        <w:rPr>
          <w:rFonts w:hint="eastAsia" w:ascii="Times New Roman" w:hAnsi="Times New Roman" w:eastAsia="宋体" w:cs="Times New Roman"/>
        </w:rPr>
        <w:t>本项目公告期限为</w:t>
      </w:r>
      <w:r>
        <w:rPr>
          <w:rFonts w:ascii="Times New Roman" w:hAnsi="Times New Roman" w:eastAsia="宋体" w:cs="Times New Roman"/>
        </w:rPr>
        <w:t>5</w:t>
      </w:r>
      <w:r>
        <w:rPr>
          <w:rFonts w:hint="eastAsia" w:ascii="Times New Roman" w:hAnsi="Times New Roman" w:eastAsia="宋体" w:cs="Times New Roman"/>
        </w:rPr>
        <w:t>个工作日，供应商认为采购文件使自己的权益受到损害的，可以自获取采购文件之日或者采购文件公告期限届满之日（公告期限届满后获取采购文件的，以公告期限届满之日为准）起</w:t>
      </w:r>
      <w:r>
        <w:rPr>
          <w:rFonts w:ascii="Times New Roman" w:hAnsi="Times New Roman" w:eastAsia="宋体" w:cs="Times New Roman"/>
        </w:rPr>
        <w:t>7</w:t>
      </w:r>
      <w:r>
        <w:rPr>
          <w:rFonts w:hint="eastAsia" w:ascii="Times New Roman" w:hAnsi="Times New Roman" w:eastAsia="宋体" w:cs="Times New Roman"/>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2235537">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投标人应在合同签订前成为浙江政府采购网正式注册供应商。</w:t>
      </w:r>
    </w:p>
    <w:p w14:paraId="644D91A2">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十二、联系方式：</w:t>
      </w:r>
    </w:p>
    <w:p w14:paraId="2388E58B">
      <w:pPr>
        <w:widowControl/>
        <w:spacing w:line="360" w:lineRule="auto"/>
        <w:ind w:firstLine="420"/>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1.</w:t>
      </w:r>
      <w:r>
        <w:rPr>
          <w:rFonts w:hint="eastAsia" w:ascii="Times New Roman" w:hAnsi="Times New Roman" w:eastAsia="宋体" w:cs="Times New Roman"/>
          <w:kern w:val="0"/>
          <w:szCs w:val="21"/>
          <w:shd w:val="clear" w:color="auto" w:fill="FFFFFF"/>
        </w:rPr>
        <w:t>采购代理机构名称：深圳市国信招标有限公司舟山分公司</w:t>
      </w:r>
    </w:p>
    <w:p w14:paraId="2E8EAB61">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联系人：朱女士、任女士</w:t>
      </w:r>
    </w:p>
    <w:p w14:paraId="0161CCFD">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联系电话：</w:t>
      </w:r>
      <w:r>
        <w:rPr>
          <w:rFonts w:ascii="Times New Roman" w:hAnsi="Times New Roman" w:eastAsia="宋体" w:cs="Times New Roman"/>
          <w:kern w:val="0"/>
          <w:szCs w:val="21"/>
          <w:shd w:val="clear" w:color="auto" w:fill="FFFFFF"/>
        </w:rPr>
        <w:t>0580-2054476</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13857236444</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13567673203</w:t>
      </w:r>
    </w:p>
    <w:p w14:paraId="0FE744C5">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质疑答复联系人：王女士</w:t>
      </w:r>
    </w:p>
    <w:p w14:paraId="12C15DE0">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联系电话：</w:t>
      </w:r>
      <w:r>
        <w:rPr>
          <w:rFonts w:ascii="Times New Roman" w:hAnsi="Times New Roman" w:eastAsia="宋体" w:cs="Times New Roman"/>
          <w:kern w:val="0"/>
          <w:szCs w:val="21"/>
          <w:shd w:val="clear" w:color="auto" w:fill="FFFFFF"/>
        </w:rPr>
        <w:t>0580-2054476</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13587045176</w:t>
      </w:r>
    </w:p>
    <w:p w14:paraId="1523DC1E">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传真：</w:t>
      </w:r>
      <w:r>
        <w:rPr>
          <w:rFonts w:ascii="Times New Roman" w:hAnsi="Times New Roman" w:eastAsia="宋体" w:cs="Times New Roman"/>
          <w:kern w:val="0"/>
          <w:szCs w:val="21"/>
          <w:shd w:val="clear" w:color="auto" w:fill="FFFFFF"/>
        </w:rPr>
        <w:t>0580-2054476</w:t>
      </w:r>
    </w:p>
    <w:p w14:paraId="094BB908">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地址：舟山市定海区昌国路</w:t>
      </w:r>
      <w:r>
        <w:rPr>
          <w:rFonts w:ascii="Times New Roman" w:hAnsi="Times New Roman" w:eastAsia="宋体" w:cs="Times New Roman"/>
          <w:kern w:val="0"/>
          <w:szCs w:val="21"/>
          <w:shd w:val="clear" w:color="auto" w:fill="FFFFFF"/>
        </w:rPr>
        <w:t>232</w:t>
      </w:r>
      <w:r>
        <w:rPr>
          <w:rFonts w:hint="eastAsia" w:ascii="Times New Roman" w:hAnsi="Times New Roman" w:eastAsia="宋体" w:cs="Times New Roman"/>
          <w:kern w:val="0"/>
          <w:szCs w:val="21"/>
          <w:shd w:val="clear" w:color="auto" w:fill="FFFFFF"/>
        </w:rPr>
        <w:t>号中楼</w:t>
      </w:r>
      <w:r>
        <w:rPr>
          <w:rFonts w:ascii="Times New Roman" w:hAnsi="Times New Roman" w:eastAsia="宋体" w:cs="Times New Roman"/>
          <w:kern w:val="0"/>
          <w:szCs w:val="21"/>
          <w:shd w:val="clear" w:color="auto" w:fill="FFFFFF"/>
        </w:rPr>
        <w:t>202</w:t>
      </w:r>
    </w:p>
    <w:p w14:paraId="40B067E4">
      <w:pPr>
        <w:widowControl/>
        <w:spacing w:line="360" w:lineRule="auto"/>
        <w:ind w:firstLine="420"/>
        <w:rPr>
          <w:rFonts w:ascii="Times New Roman" w:hAnsi="Times New Roman" w:eastAsia="宋体" w:cs="Times New Roman"/>
          <w:kern w:val="0"/>
          <w:szCs w:val="21"/>
          <w:shd w:val="clear" w:color="auto" w:fill="FFFFFF"/>
        </w:rPr>
      </w:pPr>
      <w:r>
        <w:rPr>
          <w:rFonts w:hint="eastAsia" w:ascii="宋体" w:hAnsi="宋体" w:eastAsia="宋体" w:cs="Times New Roman"/>
          <w:szCs w:val="21"/>
          <w:shd w:val="clear" w:color="auto" w:fill="FFFFFF"/>
        </w:rPr>
        <w:t>2</w:t>
      </w:r>
      <w:r>
        <w:rPr>
          <w:rFonts w:hint="eastAsia" w:ascii="Times New Roman" w:hAnsi="Times New Roman" w:eastAsia="宋体" w:cs="Times New Roman"/>
          <w:kern w:val="0"/>
          <w:szCs w:val="21"/>
          <w:shd w:val="clear" w:color="auto" w:fill="FFFFFF"/>
        </w:rPr>
        <w:t>.采购人：舟山市新城公用事业管理中心</w:t>
      </w:r>
    </w:p>
    <w:p w14:paraId="6E86CD68">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联系人：</w:t>
      </w:r>
    </w:p>
    <w:p w14:paraId="68FF9A0E">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联系电话：</w:t>
      </w:r>
    </w:p>
    <w:p w14:paraId="22B6E59D">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质疑答复联系人：</w:t>
      </w:r>
    </w:p>
    <w:p w14:paraId="76852278">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联系电话：</w:t>
      </w:r>
    </w:p>
    <w:p w14:paraId="2CCFB4FB">
      <w:pPr>
        <w:spacing w:line="360" w:lineRule="auto"/>
        <w:ind w:firstLine="472" w:firstLineChars="225"/>
        <w:rPr>
          <w:rFonts w:hint="eastAsia" w:ascii="宋体" w:hAnsi="宋体" w:eastAsia="宋体" w:cs="Times New Roman"/>
          <w:szCs w:val="21"/>
          <w:shd w:val="clear" w:color="auto" w:fill="FFFFFF"/>
        </w:rPr>
      </w:pPr>
      <w:r>
        <w:rPr>
          <w:rFonts w:hint="eastAsia" w:ascii="宋体" w:hAnsi="宋体" w:eastAsia="宋体" w:cs="Times New Roman"/>
          <w:szCs w:val="21"/>
          <w:shd w:val="clear" w:color="auto" w:fill="FFFFFF"/>
        </w:rPr>
        <w:t>地址：</w:t>
      </w:r>
    </w:p>
    <w:p w14:paraId="67031734">
      <w:pPr>
        <w:spacing w:line="360" w:lineRule="auto"/>
        <w:ind w:firstLine="472" w:firstLineChars="225"/>
        <w:rPr>
          <w:rFonts w:hint="eastAsia" w:ascii="宋体" w:hAnsi="宋体" w:eastAsia="宋体"/>
          <w:szCs w:val="21"/>
        </w:rPr>
      </w:pPr>
      <w:r>
        <w:rPr>
          <w:rFonts w:hint="eastAsia" w:ascii="宋体" w:hAnsi="宋体" w:eastAsia="宋体"/>
          <w:szCs w:val="21"/>
        </w:rPr>
        <w:t>3.同级政府采购监督管理部门名称：</w:t>
      </w:r>
      <w:r>
        <w:rPr>
          <w:rFonts w:hint="eastAsia" w:ascii="宋体" w:hAnsi="宋体" w:eastAsia="宋体" w:cs="宋体"/>
          <w:szCs w:val="21"/>
        </w:rPr>
        <w:t>舟山市财政局（政府采购监管处）</w:t>
      </w:r>
    </w:p>
    <w:p w14:paraId="11B62705">
      <w:pPr>
        <w:spacing w:line="360" w:lineRule="auto"/>
        <w:ind w:firstLine="472" w:firstLineChars="225"/>
        <w:rPr>
          <w:rFonts w:hint="eastAsia" w:ascii="宋体" w:hAnsi="宋体" w:eastAsia="宋体"/>
          <w:b/>
          <w:sz w:val="30"/>
        </w:rPr>
      </w:pPr>
      <w:r>
        <w:rPr>
          <w:rFonts w:hint="eastAsia" w:ascii="宋体" w:hAnsi="宋体" w:eastAsia="宋体"/>
          <w:szCs w:val="21"/>
        </w:rPr>
        <w:t>监督投诉电话：</w:t>
      </w:r>
      <w:r>
        <w:rPr>
          <w:rFonts w:hint="eastAsia" w:ascii="宋体" w:hAnsi="宋体" w:eastAsia="宋体" w:cs="宋体"/>
          <w:kern w:val="0"/>
          <w:szCs w:val="21"/>
        </w:rPr>
        <w:t>0580-2282591</w:t>
      </w:r>
    </w:p>
    <w:p w14:paraId="40940484">
      <w:pPr>
        <w:spacing w:line="360" w:lineRule="auto"/>
        <w:ind w:firstLine="678" w:firstLineChars="225"/>
        <w:rPr>
          <w:rFonts w:hint="eastAsia" w:ascii="宋体" w:hAnsi="宋体" w:eastAsia="宋体" w:cs="Times New Roman"/>
          <w:b/>
          <w:sz w:val="30"/>
        </w:rPr>
      </w:pPr>
    </w:p>
    <w:p w14:paraId="4695FAB9">
      <w:pPr>
        <w:rPr>
          <w:rFonts w:ascii="Times New Roman" w:hAnsi="Times New Roman" w:eastAsia="宋体" w:cs="Times New Roman"/>
          <w:b/>
          <w:kern w:val="0"/>
          <w:sz w:val="30"/>
        </w:rPr>
      </w:pPr>
      <w:r>
        <w:rPr>
          <w:rFonts w:ascii="Times New Roman" w:hAnsi="Times New Roman" w:eastAsia="宋体" w:cs="Times New Roman"/>
          <w:b/>
          <w:kern w:val="0"/>
          <w:sz w:val="30"/>
        </w:rPr>
        <w:br w:type="page"/>
      </w:r>
    </w:p>
    <w:p w14:paraId="273087B9">
      <w:pPr>
        <w:widowControl/>
        <w:jc w:val="left"/>
        <w:rPr>
          <w:rFonts w:ascii="Times New Roman" w:hAnsi="Times New Roman" w:eastAsia="宋体" w:cs="Times New Roman"/>
          <w:b/>
          <w:kern w:val="0"/>
          <w:sz w:val="30"/>
        </w:rPr>
        <w:sectPr>
          <w:pgSz w:w="11906" w:h="16838"/>
          <w:pgMar w:top="1304" w:right="1531" w:bottom="1304" w:left="1531" w:header="1134" w:footer="1304" w:gutter="0"/>
          <w:cols w:space="720" w:num="1"/>
        </w:sectPr>
      </w:pPr>
    </w:p>
    <w:p w14:paraId="15DEA74C">
      <w:pPr>
        <w:numPr>
          <w:ilvl w:val="0"/>
          <w:numId w:val="8"/>
        </w:numPr>
        <w:snapToGrid w:val="0"/>
        <w:spacing w:line="360" w:lineRule="auto"/>
        <w:jc w:val="center"/>
        <w:rPr>
          <w:rFonts w:ascii="Times New Roman" w:hAnsi="Times New Roman" w:eastAsia="宋体" w:cs="Times New Roman"/>
          <w:b/>
          <w:sz w:val="30"/>
        </w:rPr>
      </w:pPr>
      <w:r>
        <w:rPr>
          <w:rFonts w:hint="eastAsia" w:ascii="Times New Roman" w:hAnsi="Times New Roman" w:eastAsia="宋体" w:cs="Times New Roman"/>
          <w:b/>
          <w:sz w:val="30"/>
        </w:rPr>
        <w:t>招标需求</w:t>
      </w:r>
      <w:bookmarkStart w:id="2" w:name="_Hlk172297338"/>
    </w:p>
    <w:p w14:paraId="4CEE653E">
      <w:pPr>
        <w:snapToGrid w:val="0"/>
        <w:spacing w:line="360" w:lineRule="auto"/>
        <w:rPr>
          <w:rFonts w:ascii="Times New Roman" w:hAnsi="Times New Roman" w:eastAsia="宋体" w:cs="Times New Roman"/>
          <w:b/>
          <w:sz w:val="30"/>
        </w:rPr>
      </w:pPr>
    </w:p>
    <w:bookmarkEnd w:id="2"/>
    <w:p w14:paraId="4995B75E">
      <w:pPr>
        <w:spacing w:line="360" w:lineRule="auto"/>
        <w:rPr>
          <w:rFonts w:hint="eastAsia" w:ascii="宋体" w:hAnsi="宋体" w:eastAsia="宋体" w:cs="Times New Roman"/>
          <w:b/>
          <w:sz w:val="24"/>
          <w:szCs w:val="21"/>
        </w:rPr>
      </w:pPr>
      <w:r>
        <w:rPr>
          <w:rFonts w:hint="eastAsia" w:ascii="宋体" w:hAnsi="宋体" w:eastAsia="宋体" w:cs="Times New Roman"/>
          <w:b/>
          <w:sz w:val="24"/>
          <w:szCs w:val="21"/>
        </w:rPr>
        <w:t>一、项目内容及要求</w:t>
      </w:r>
    </w:p>
    <w:p w14:paraId="24F29B80">
      <w:pPr>
        <w:pStyle w:val="3"/>
        <w:spacing w:after="0" w:line="400" w:lineRule="exact"/>
        <w:ind w:firstLineChars="200"/>
        <w:rPr>
          <w:rFonts w:hint="eastAsia" w:ascii="宋体" w:hAnsi="宋体" w:cs="宋体"/>
          <w:kern w:val="2"/>
          <w:szCs w:val="21"/>
        </w:rPr>
      </w:pPr>
      <w:r>
        <w:rPr>
          <w:rFonts w:hint="eastAsia" w:ascii="宋体" w:hAnsi="宋体" w:cs="宋体"/>
          <w:kern w:val="2"/>
          <w:szCs w:val="21"/>
        </w:rPr>
        <w:t>本次招标范围内的所有作业内容，包括但不限于人工工资（含节假日加班费）、易损材料、生产工具、运输工具、修理费、清洗费、卫生用具、办公、车辆停放场地、食宿、通信、劳保（含高温补贴费、夏令防暑等）、福利、利润、税金、保险（包括医疗、工伤、养老等社会保险及人身意外保险）、环卫配套附属设施的清掏保洁和简易修理（果壳箱、分类垃圾桶等道路环卫配套附属设施）、智慧环卫作业管理系统组建以及国家政策性调整（包括但不限于最低工资调整和社保保障缴费调整）等一切费用，且不得高于项目的最高限价。</w:t>
      </w:r>
    </w:p>
    <w:p w14:paraId="0962BA0F">
      <w:pPr>
        <w:spacing w:line="360" w:lineRule="auto"/>
        <w:rPr>
          <w:rFonts w:hint="eastAsia" w:ascii="宋体" w:hAnsi="宋体" w:eastAsia="宋体" w:cs="宋体"/>
          <w:b/>
          <w:bCs/>
          <w:color w:val="auto"/>
          <w:szCs w:val="21"/>
          <w:highlight w:val="none"/>
        </w:rPr>
      </w:pPr>
    </w:p>
    <w:p w14:paraId="2BCA72D9">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1.道路保洁</w:t>
      </w:r>
    </w:p>
    <w:p w14:paraId="42588E03">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保洁面积：约258.42万平方米（暂定，明细详见附件</w:t>
      </w:r>
      <w:r>
        <w:rPr>
          <w:rFonts w:hint="eastAsia" w:ascii="宋体" w:hAnsi="宋体" w:eastAsia="宋体" w:cs="宋体"/>
          <w:color w:val="auto"/>
          <w:szCs w:val="21"/>
          <w:highlight w:val="none"/>
          <w:lang w:eastAsia="zh-CN"/>
        </w:rPr>
        <w:t>一</w:t>
      </w:r>
      <w:r>
        <w:rPr>
          <w:rFonts w:hint="eastAsia" w:ascii="宋体" w:hAnsi="宋体" w:eastAsia="宋体" w:cs="宋体"/>
          <w:color w:val="auto"/>
          <w:szCs w:val="21"/>
          <w:highlight w:val="none"/>
        </w:rPr>
        <w:t>）。</w:t>
      </w:r>
    </w:p>
    <w:p w14:paraId="02A5D458">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2.绿化带保洁</w:t>
      </w:r>
    </w:p>
    <w:p w14:paraId="02A2765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保洁面积：约134.73万平方米（暂定，明细详见附件</w:t>
      </w:r>
      <w:r>
        <w:rPr>
          <w:rFonts w:hint="eastAsia" w:ascii="宋体" w:hAnsi="宋体" w:eastAsia="宋体" w:cs="宋体"/>
          <w:color w:val="auto"/>
          <w:szCs w:val="21"/>
          <w:highlight w:val="none"/>
          <w:lang w:eastAsia="zh-CN"/>
        </w:rPr>
        <w:t>一</w:t>
      </w:r>
      <w:r>
        <w:rPr>
          <w:rFonts w:hint="eastAsia" w:ascii="宋体" w:hAnsi="宋体" w:eastAsia="宋体" w:cs="宋体"/>
          <w:color w:val="auto"/>
          <w:szCs w:val="21"/>
          <w:highlight w:val="none"/>
        </w:rPr>
        <w:t xml:space="preserve"> ）。</w:t>
      </w:r>
    </w:p>
    <w:p w14:paraId="7379B302">
      <w:pPr>
        <w:pStyle w:val="2"/>
        <w:spacing w:line="360" w:lineRule="auto"/>
        <w:rPr>
          <w:rFonts w:hint="eastAsia"/>
          <w:b/>
          <w:bCs/>
          <w:color w:val="auto"/>
          <w:highlight w:val="none"/>
        </w:rPr>
      </w:pPr>
      <w:r>
        <w:rPr>
          <w:rFonts w:hint="eastAsia"/>
          <w:color w:val="auto"/>
          <w:highlight w:val="none"/>
        </w:rPr>
        <w:t xml:space="preserve"> </w:t>
      </w:r>
      <w:r>
        <w:rPr>
          <w:rFonts w:hint="eastAsia"/>
          <w:b/>
          <w:bCs/>
          <w:color w:val="auto"/>
          <w:highlight w:val="none"/>
        </w:rPr>
        <w:t xml:space="preserve">   </w:t>
      </w:r>
      <w:r>
        <w:rPr>
          <w:rFonts w:hint="eastAsia"/>
          <w:b/>
          <w:bCs/>
          <w:color w:val="auto"/>
          <w:highlight w:val="none"/>
          <w:lang w:eastAsia="zh-CN"/>
        </w:rPr>
        <w:t>道路、绿化带</w:t>
      </w:r>
      <w:r>
        <w:rPr>
          <w:rFonts w:hint="eastAsia"/>
          <w:b/>
          <w:bCs/>
          <w:color w:val="auto"/>
          <w:highlight w:val="none"/>
        </w:rPr>
        <w:t>保洁面积为2022年</w:t>
      </w:r>
      <w:r>
        <w:rPr>
          <w:rFonts w:hint="eastAsia"/>
          <w:b/>
          <w:bCs/>
          <w:color w:val="auto"/>
          <w:highlight w:val="none"/>
          <w:lang w:eastAsia="zh-CN"/>
        </w:rPr>
        <w:t>底</w:t>
      </w:r>
      <w:r>
        <w:rPr>
          <w:rFonts w:hint="eastAsia"/>
          <w:b/>
          <w:bCs/>
          <w:color w:val="auto"/>
          <w:highlight w:val="none"/>
        </w:rPr>
        <w:t>统计数据，实际面积需要等规划研究院重新测量后提供，如有出入，以后续提供为准。投标人可以根据附件</w:t>
      </w:r>
      <w:r>
        <w:rPr>
          <w:rFonts w:hint="eastAsia"/>
          <w:b/>
          <w:bCs/>
          <w:color w:val="auto"/>
          <w:highlight w:val="none"/>
          <w:lang w:eastAsia="zh-CN"/>
        </w:rPr>
        <w:t>一</w:t>
      </w:r>
      <w:r>
        <w:rPr>
          <w:rFonts w:hint="eastAsia"/>
          <w:b/>
          <w:bCs/>
          <w:color w:val="auto"/>
          <w:highlight w:val="none"/>
        </w:rPr>
        <w:t>道路名称，自行进行实地勘测。</w:t>
      </w:r>
    </w:p>
    <w:p w14:paraId="6398E2BD">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3.果壳箱保洁、垃圾桶清洗清运</w:t>
      </w:r>
    </w:p>
    <w:p w14:paraId="17D9D36D">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保洁数量：果壳箱约815只，垃圾桶约 121只，垃圾袋一天一换（数量如有出入，以实际为准）。</w:t>
      </w:r>
    </w:p>
    <w:p w14:paraId="4EA5C703">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4.多把扫把并一把和沿街店铺垃圾收运</w:t>
      </w:r>
    </w:p>
    <w:p w14:paraId="608431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沿街店铺门口人行道保洁面积：约15.013万平方米（明细详见附件</w:t>
      </w:r>
      <w:r>
        <w:rPr>
          <w:rFonts w:hint="eastAsia" w:ascii="宋体" w:hAnsi="宋体" w:eastAsia="宋体" w:cs="宋体"/>
          <w:color w:val="auto"/>
          <w:szCs w:val="21"/>
          <w:highlight w:val="none"/>
          <w:lang w:eastAsia="zh-CN"/>
        </w:rPr>
        <w:t>一</w:t>
      </w:r>
      <w:r>
        <w:rPr>
          <w:rFonts w:hint="eastAsia" w:ascii="宋体" w:hAnsi="宋体" w:eastAsia="宋体" w:cs="宋体"/>
          <w:color w:val="auto"/>
          <w:szCs w:val="21"/>
          <w:highlight w:val="none"/>
        </w:rPr>
        <w:t>）。</w:t>
      </w:r>
    </w:p>
    <w:p w14:paraId="0561CF8F">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清运街区数量：22条。</w:t>
      </w:r>
    </w:p>
    <w:p w14:paraId="2318054F">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5.生活垃圾收运</w:t>
      </w:r>
    </w:p>
    <w:p w14:paraId="6564A9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其他垃圾收运：</w:t>
      </w:r>
    </w:p>
    <w:p w14:paraId="2A7A13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对保洁区块内的部分开放式小区和城中村（浦西新村、浦西1-5号楼、勾山1-5号楼、颐景1-2号楼、百嘉苑、三益花苑）产生的其他垃圾进行收运，一日三次，垃圾日产日清。</w:t>
      </w:r>
    </w:p>
    <w:p w14:paraId="6D993D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餐厨垃圾（泔水）收运：</w:t>
      </w:r>
    </w:p>
    <w:p w14:paraId="130583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对千岛路以东区域（包括小干岛、勾山）所有产生餐厨垃圾（泔水）的单位进行收运，采购人提供2辆餐厨垃圾车，垃圾（泔水）收运费用向服务单位收取，收取费用按照舟发改价格〔2023〕14 号文件规定：厨余垃圾清运处置费按桶(120升)收取为10元/桶，不足1桶按1桶收取。</w:t>
      </w:r>
    </w:p>
    <w:p w14:paraId="747D72FE">
      <w:pPr>
        <w:pStyle w:val="2"/>
        <w:spacing w:after="0"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6.栏杆清洗</w:t>
      </w:r>
    </w:p>
    <w:p w14:paraId="74872A2F">
      <w:pPr>
        <w:pStyle w:val="3"/>
        <w:spacing w:after="0" w:line="360" w:lineRule="auto"/>
        <w:ind w:firstLineChars="200"/>
        <w:rPr>
          <w:rFonts w:hint="eastAsia" w:ascii="宋体" w:hAnsi="宋体" w:cs="宋体"/>
          <w:color w:val="auto"/>
          <w:kern w:val="2"/>
          <w:szCs w:val="21"/>
          <w:highlight w:val="none"/>
        </w:rPr>
      </w:pPr>
      <w:r>
        <w:rPr>
          <w:rFonts w:hint="eastAsia" w:ascii="宋体" w:hAnsi="宋体" w:cs="宋体"/>
          <w:color w:val="auto"/>
          <w:kern w:val="2"/>
          <w:szCs w:val="21"/>
          <w:highlight w:val="none"/>
        </w:rPr>
        <w:t>栏杆长度：31548米（</w:t>
      </w:r>
      <w:r>
        <w:rPr>
          <w:rFonts w:hint="eastAsia" w:ascii="宋体" w:hAnsi="宋体" w:cs="宋体"/>
          <w:color w:val="auto"/>
          <w:szCs w:val="21"/>
          <w:highlight w:val="none"/>
        </w:rPr>
        <w:t>明细详见附件</w:t>
      </w:r>
      <w:r>
        <w:rPr>
          <w:rFonts w:hint="eastAsia" w:ascii="宋体" w:hAnsi="宋体" w:cs="宋体"/>
          <w:color w:val="auto"/>
          <w:szCs w:val="21"/>
          <w:highlight w:val="none"/>
          <w:lang w:eastAsia="zh-CN"/>
        </w:rPr>
        <w:t>一</w:t>
      </w:r>
      <w:r>
        <w:rPr>
          <w:rFonts w:hint="eastAsia" w:ascii="宋体" w:hAnsi="宋体" w:cs="宋体"/>
          <w:color w:val="auto"/>
          <w:kern w:val="2"/>
          <w:szCs w:val="21"/>
          <w:highlight w:val="none"/>
        </w:rPr>
        <w:t>）</w:t>
      </w:r>
    </w:p>
    <w:p w14:paraId="7447273E">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7.小干岛公共厕所</w:t>
      </w:r>
    </w:p>
    <w:p w14:paraId="38014AFF">
      <w:pPr>
        <w:pStyle w:val="3"/>
        <w:ind w:firstLine="211"/>
        <w:jc w:val="center"/>
        <w:rPr>
          <w:rFonts w:hint="eastAsia" w:ascii="宋体" w:hAnsi="宋体" w:cs="宋体"/>
          <w:b/>
          <w:bCs/>
          <w:color w:val="auto"/>
          <w:szCs w:val="21"/>
          <w:highlight w:val="none"/>
        </w:rPr>
      </w:pPr>
      <w:r>
        <w:rPr>
          <w:rFonts w:hint="eastAsia" w:ascii="宋体" w:hAnsi="宋体" w:cs="宋体"/>
          <w:b/>
          <w:bCs/>
          <w:color w:val="auto"/>
          <w:szCs w:val="21"/>
          <w:highlight w:val="none"/>
        </w:rPr>
        <w:t>公厕工作范围、保洁时间及保洁人员配置要求：</w:t>
      </w:r>
    </w:p>
    <w:tbl>
      <w:tblPr>
        <w:tblStyle w:val="61"/>
        <w:tblW w:w="9197" w:type="dxa"/>
        <w:jc w:val="center"/>
        <w:tblLayout w:type="fixed"/>
        <w:tblCellMar>
          <w:top w:w="0" w:type="dxa"/>
          <w:left w:w="108" w:type="dxa"/>
          <w:bottom w:w="0" w:type="dxa"/>
          <w:right w:w="108" w:type="dxa"/>
        </w:tblCellMar>
      </w:tblPr>
      <w:tblGrid>
        <w:gridCol w:w="640"/>
        <w:gridCol w:w="1650"/>
        <w:gridCol w:w="2030"/>
        <w:gridCol w:w="1791"/>
        <w:gridCol w:w="1275"/>
        <w:gridCol w:w="986"/>
        <w:gridCol w:w="825"/>
      </w:tblGrid>
      <w:tr w14:paraId="0B26B77B">
        <w:tblPrEx>
          <w:tblCellMar>
            <w:top w:w="0" w:type="dxa"/>
            <w:left w:w="108" w:type="dxa"/>
            <w:bottom w:w="0" w:type="dxa"/>
            <w:right w:w="108" w:type="dxa"/>
          </w:tblCellMar>
        </w:tblPrEx>
        <w:trPr>
          <w:cantSplit/>
          <w:trHeight w:val="312" w:hRule="atLeast"/>
          <w:jc w:val="center"/>
        </w:trPr>
        <w:tc>
          <w:tcPr>
            <w:tcW w:w="640" w:type="dxa"/>
            <w:vMerge w:val="restart"/>
            <w:tcBorders>
              <w:top w:val="single" w:color="auto" w:sz="4" w:space="0"/>
              <w:left w:val="single" w:color="auto" w:sz="4" w:space="0"/>
              <w:bottom w:val="single" w:color="auto" w:sz="4" w:space="0"/>
              <w:right w:val="single" w:color="auto" w:sz="4" w:space="0"/>
            </w:tcBorders>
            <w:noWrap/>
            <w:vAlign w:val="center"/>
          </w:tcPr>
          <w:p w14:paraId="02507D4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650" w:type="dxa"/>
            <w:vMerge w:val="restart"/>
            <w:tcBorders>
              <w:top w:val="single" w:color="auto" w:sz="4" w:space="0"/>
              <w:left w:val="single" w:color="auto" w:sz="4" w:space="0"/>
              <w:bottom w:val="single" w:color="auto" w:sz="4" w:space="0"/>
              <w:right w:val="single" w:color="auto" w:sz="4" w:space="0"/>
            </w:tcBorders>
            <w:vAlign w:val="center"/>
          </w:tcPr>
          <w:p w14:paraId="218980D5">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公厕名称</w:t>
            </w:r>
          </w:p>
        </w:tc>
        <w:tc>
          <w:tcPr>
            <w:tcW w:w="2030" w:type="dxa"/>
            <w:vMerge w:val="restart"/>
            <w:tcBorders>
              <w:top w:val="single" w:color="auto" w:sz="4" w:space="0"/>
              <w:left w:val="single" w:color="auto" w:sz="4" w:space="0"/>
              <w:bottom w:val="single" w:color="auto" w:sz="4" w:space="0"/>
              <w:right w:val="single" w:color="auto" w:sz="4" w:space="0"/>
            </w:tcBorders>
            <w:noWrap/>
            <w:vAlign w:val="center"/>
          </w:tcPr>
          <w:p w14:paraId="015A0A9B">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公厕地址</w:t>
            </w:r>
          </w:p>
        </w:tc>
        <w:tc>
          <w:tcPr>
            <w:tcW w:w="1791" w:type="dxa"/>
            <w:vMerge w:val="restart"/>
            <w:tcBorders>
              <w:top w:val="single" w:color="auto" w:sz="4" w:space="0"/>
              <w:left w:val="single" w:color="auto" w:sz="4" w:space="0"/>
              <w:bottom w:val="single" w:color="000000" w:sz="4" w:space="0"/>
              <w:right w:val="single" w:color="auto" w:sz="4" w:space="0"/>
            </w:tcBorders>
            <w:vAlign w:val="center"/>
          </w:tcPr>
          <w:p w14:paraId="07C241D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保洁时间</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14:paraId="0C5394C0">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人员配置</w:t>
            </w:r>
          </w:p>
        </w:tc>
        <w:tc>
          <w:tcPr>
            <w:tcW w:w="986" w:type="dxa"/>
            <w:vMerge w:val="restart"/>
            <w:tcBorders>
              <w:top w:val="single" w:color="auto" w:sz="4" w:space="0"/>
              <w:left w:val="single" w:color="auto" w:sz="4" w:space="0"/>
              <w:bottom w:val="single" w:color="auto" w:sz="4" w:space="0"/>
              <w:right w:val="single" w:color="auto" w:sz="4" w:space="0"/>
            </w:tcBorders>
            <w:vAlign w:val="center"/>
          </w:tcPr>
          <w:p w14:paraId="388F04A5">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类别</w:t>
            </w:r>
          </w:p>
        </w:tc>
        <w:tc>
          <w:tcPr>
            <w:tcW w:w="825" w:type="dxa"/>
            <w:vMerge w:val="restart"/>
            <w:tcBorders>
              <w:top w:val="single" w:color="auto" w:sz="4" w:space="0"/>
              <w:left w:val="single" w:color="auto" w:sz="4" w:space="0"/>
              <w:bottom w:val="single" w:color="000000" w:sz="4" w:space="0"/>
              <w:right w:val="single" w:color="auto" w:sz="4" w:space="0"/>
            </w:tcBorders>
            <w:vAlign w:val="center"/>
          </w:tcPr>
          <w:p w14:paraId="0F92B25A">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46775BCC">
        <w:tblPrEx>
          <w:tblCellMar>
            <w:top w:w="0" w:type="dxa"/>
            <w:left w:w="108" w:type="dxa"/>
            <w:bottom w:w="0" w:type="dxa"/>
            <w:right w:w="108" w:type="dxa"/>
          </w:tblCellMar>
        </w:tblPrEx>
        <w:trPr>
          <w:trHeight w:val="312" w:hRule="atLeast"/>
          <w:jc w:val="center"/>
        </w:trPr>
        <w:tc>
          <w:tcPr>
            <w:tcW w:w="640" w:type="dxa"/>
            <w:vMerge w:val="continue"/>
            <w:tcBorders>
              <w:top w:val="single" w:color="auto" w:sz="4" w:space="0"/>
              <w:left w:val="single" w:color="auto" w:sz="4" w:space="0"/>
              <w:bottom w:val="single" w:color="auto" w:sz="4" w:space="0"/>
              <w:right w:val="single" w:color="auto" w:sz="4" w:space="0"/>
            </w:tcBorders>
            <w:vAlign w:val="center"/>
          </w:tcPr>
          <w:p w14:paraId="7EC25CEB">
            <w:pPr>
              <w:widowControl/>
              <w:jc w:val="left"/>
              <w:rPr>
                <w:rFonts w:hint="eastAsia" w:ascii="宋体" w:hAnsi="宋体" w:eastAsia="宋体" w:cs="宋体"/>
                <w:color w:val="auto"/>
                <w:kern w:val="0"/>
                <w:szCs w:val="21"/>
                <w:highlight w:val="none"/>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14:paraId="40E429CA">
            <w:pPr>
              <w:widowControl/>
              <w:jc w:val="left"/>
              <w:rPr>
                <w:rFonts w:hint="eastAsia" w:ascii="宋体" w:hAnsi="宋体" w:eastAsia="宋体" w:cs="宋体"/>
                <w:color w:val="auto"/>
                <w:kern w:val="0"/>
                <w:szCs w:val="21"/>
                <w:highlight w:val="none"/>
              </w:rPr>
            </w:pPr>
          </w:p>
        </w:tc>
        <w:tc>
          <w:tcPr>
            <w:tcW w:w="2030" w:type="dxa"/>
            <w:vMerge w:val="continue"/>
            <w:tcBorders>
              <w:top w:val="single" w:color="auto" w:sz="4" w:space="0"/>
              <w:left w:val="single" w:color="auto" w:sz="4" w:space="0"/>
              <w:bottom w:val="single" w:color="auto" w:sz="4" w:space="0"/>
              <w:right w:val="single" w:color="auto" w:sz="4" w:space="0"/>
            </w:tcBorders>
            <w:vAlign w:val="center"/>
          </w:tcPr>
          <w:p w14:paraId="0BA77C8C">
            <w:pPr>
              <w:widowControl/>
              <w:jc w:val="left"/>
              <w:rPr>
                <w:rFonts w:hint="eastAsia" w:ascii="宋体" w:hAnsi="宋体" w:eastAsia="宋体" w:cs="宋体"/>
                <w:color w:val="auto"/>
                <w:kern w:val="0"/>
                <w:szCs w:val="21"/>
                <w:highlight w:val="none"/>
              </w:rPr>
            </w:pPr>
          </w:p>
        </w:tc>
        <w:tc>
          <w:tcPr>
            <w:tcW w:w="1791" w:type="dxa"/>
            <w:vMerge w:val="continue"/>
            <w:tcBorders>
              <w:top w:val="single" w:color="auto" w:sz="4" w:space="0"/>
              <w:left w:val="single" w:color="auto" w:sz="4" w:space="0"/>
              <w:bottom w:val="single" w:color="000000" w:sz="4" w:space="0"/>
              <w:right w:val="single" w:color="auto" w:sz="4" w:space="0"/>
            </w:tcBorders>
            <w:vAlign w:val="center"/>
          </w:tcPr>
          <w:p w14:paraId="0889D260">
            <w:pPr>
              <w:widowControl/>
              <w:jc w:val="left"/>
              <w:rPr>
                <w:rFonts w:hint="eastAsia" w:ascii="宋体" w:hAnsi="宋体" w:eastAsia="宋体" w:cs="宋体"/>
                <w:color w:val="auto"/>
                <w:kern w:val="0"/>
                <w:szCs w:val="21"/>
                <w:highlight w:val="none"/>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78225F68">
            <w:pPr>
              <w:widowControl/>
              <w:jc w:val="left"/>
              <w:rPr>
                <w:rFonts w:hint="eastAsia" w:ascii="宋体" w:hAnsi="宋体" w:eastAsia="宋体" w:cs="宋体"/>
                <w:color w:val="auto"/>
                <w:kern w:val="0"/>
                <w:szCs w:val="21"/>
                <w:highlight w:val="none"/>
              </w:rPr>
            </w:pPr>
          </w:p>
        </w:tc>
        <w:tc>
          <w:tcPr>
            <w:tcW w:w="986" w:type="dxa"/>
            <w:vMerge w:val="continue"/>
            <w:tcBorders>
              <w:top w:val="single" w:color="auto" w:sz="4" w:space="0"/>
              <w:left w:val="single" w:color="auto" w:sz="4" w:space="0"/>
              <w:bottom w:val="single" w:color="auto" w:sz="4" w:space="0"/>
              <w:right w:val="single" w:color="auto" w:sz="4" w:space="0"/>
            </w:tcBorders>
            <w:vAlign w:val="center"/>
          </w:tcPr>
          <w:p w14:paraId="6F407A50">
            <w:pPr>
              <w:widowControl/>
              <w:jc w:val="left"/>
              <w:rPr>
                <w:rFonts w:hint="eastAsia" w:ascii="宋体" w:hAnsi="宋体" w:eastAsia="宋体" w:cs="宋体"/>
                <w:color w:val="auto"/>
                <w:kern w:val="0"/>
                <w:szCs w:val="21"/>
                <w:highlight w:val="none"/>
              </w:rPr>
            </w:pPr>
          </w:p>
        </w:tc>
        <w:tc>
          <w:tcPr>
            <w:tcW w:w="825" w:type="dxa"/>
            <w:vMerge w:val="continue"/>
            <w:tcBorders>
              <w:top w:val="single" w:color="auto" w:sz="4" w:space="0"/>
              <w:left w:val="single" w:color="auto" w:sz="4" w:space="0"/>
              <w:bottom w:val="single" w:color="000000" w:sz="4" w:space="0"/>
              <w:right w:val="single" w:color="auto" w:sz="4" w:space="0"/>
            </w:tcBorders>
            <w:vAlign w:val="center"/>
          </w:tcPr>
          <w:p w14:paraId="3FCF7DC2">
            <w:pPr>
              <w:widowControl/>
              <w:jc w:val="left"/>
              <w:rPr>
                <w:rFonts w:hint="eastAsia" w:ascii="宋体" w:hAnsi="宋体" w:eastAsia="宋体" w:cs="宋体"/>
                <w:color w:val="auto"/>
                <w:kern w:val="0"/>
                <w:szCs w:val="21"/>
                <w:highlight w:val="none"/>
              </w:rPr>
            </w:pPr>
          </w:p>
        </w:tc>
      </w:tr>
      <w:tr w14:paraId="6D7DCEFE">
        <w:tblPrEx>
          <w:tblCellMar>
            <w:top w:w="0" w:type="dxa"/>
            <w:left w:w="108" w:type="dxa"/>
            <w:bottom w:w="0" w:type="dxa"/>
            <w:right w:w="108" w:type="dxa"/>
          </w:tblCellMar>
        </w:tblPrEx>
        <w:trPr>
          <w:trHeight w:val="287" w:hRule="atLeast"/>
          <w:jc w:val="center"/>
        </w:trPr>
        <w:tc>
          <w:tcPr>
            <w:tcW w:w="640" w:type="dxa"/>
            <w:tcBorders>
              <w:top w:val="nil"/>
              <w:left w:val="single" w:color="auto" w:sz="4" w:space="0"/>
              <w:bottom w:val="single" w:color="auto" w:sz="4" w:space="0"/>
              <w:right w:val="single" w:color="auto" w:sz="4" w:space="0"/>
            </w:tcBorders>
            <w:noWrap/>
            <w:vAlign w:val="center"/>
          </w:tcPr>
          <w:p w14:paraId="4A0FB4BD">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650" w:type="dxa"/>
            <w:tcBorders>
              <w:top w:val="nil"/>
              <w:left w:val="nil"/>
              <w:bottom w:val="single" w:color="auto" w:sz="4" w:space="0"/>
              <w:right w:val="single" w:color="auto" w:sz="4" w:space="0"/>
            </w:tcBorders>
            <w:vAlign w:val="center"/>
          </w:tcPr>
          <w:p w14:paraId="2C73949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环岛南路公厕</w:t>
            </w:r>
          </w:p>
        </w:tc>
        <w:tc>
          <w:tcPr>
            <w:tcW w:w="2030" w:type="dxa"/>
            <w:tcBorders>
              <w:top w:val="nil"/>
              <w:left w:val="nil"/>
              <w:bottom w:val="single" w:color="auto" w:sz="4" w:space="0"/>
              <w:right w:val="single" w:color="auto" w:sz="4" w:space="0"/>
            </w:tcBorders>
            <w:noWrap/>
            <w:vAlign w:val="center"/>
          </w:tcPr>
          <w:p w14:paraId="088734EA">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小干岛</w:t>
            </w:r>
          </w:p>
        </w:tc>
        <w:tc>
          <w:tcPr>
            <w:tcW w:w="1791" w:type="dxa"/>
            <w:tcBorders>
              <w:top w:val="nil"/>
              <w:left w:val="nil"/>
              <w:bottom w:val="single" w:color="auto" w:sz="4" w:space="0"/>
              <w:right w:val="single" w:color="auto" w:sz="4" w:space="0"/>
            </w:tcBorders>
            <w:noWrap/>
            <w:vAlign w:val="center"/>
          </w:tcPr>
          <w:p w14:paraId="3B820E80">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均为12小时</w:t>
            </w:r>
          </w:p>
        </w:tc>
        <w:tc>
          <w:tcPr>
            <w:tcW w:w="1275" w:type="dxa"/>
            <w:tcBorders>
              <w:top w:val="nil"/>
              <w:left w:val="nil"/>
              <w:bottom w:val="single" w:color="auto" w:sz="4" w:space="0"/>
              <w:right w:val="single" w:color="auto" w:sz="4" w:space="0"/>
            </w:tcBorders>
            <w:noWrap/>
            <w:vAlign w:val="center"/>
          </w:tcPr>
          <w:p w14:paraId="290C626E">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5人</w:t>
            </w:r>
          </w:p>
        </w:tc>
        <w:tc>
          <w:tcPr>
            <w:tcW w:w="986" w:type="dxa"/>
            <w:tcBorders>
              <w:top w:val="nil"/>
              <w:left w:val="nil"/>
              <w:bottom w:val="single" w:color="auto" w:sz="4" w:space="0"/>
              <w:right w:val="single" w:color="auto" w:sz="4" w:space="0"/>
            </w:tcBorders>
            <w:noWrap/>
            <w:vAlign w:val="center"/>
          </w:tcPr>
          <w:p w14:paraId="3633E6DD">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二类</w:t>
            </w:r>
          </w:p>
        </w:tc>
        <w:tc>
          <w:tcPr>
            <w:tcW w:w="825" w:type="dxa"/>
            <w:tcBorders>
              <w:top w:val="nil"/>
              <w:left w:val="nil"/>
              <w:bottom w:val="single" w:color="auto" w:sz="4" w:space="0"/>
              <w:right w:val="single" w:color="auto" w:sz="4" w:space="0"/>
            </w:tcBorders>
            <w:noWrap/>
            <w:vAlign w:val="center"/>
          </w:tcPr>
          <w:p w14:paraId="76D02B3E">
            <w:pPr>
              <w:widowControl/>
              <w:jc w:val="center"/>
              <w:rPr>
                <w:rFonts w:hint="eastAsia" w:ascii="宋体" w:hAnsi="宋体" w:eastAsia="宋体" w:cs="宋体"/>
                <w:color w:val="auto"/>
                <w:kern w:val="0"/>
                <w:szCs w:val="21"/>
                <w:highlight w:val="none"/>
              </w:rPr>
            </w:pPr>
          </w:p>
        </w:tc>
      </w:tr>
      <w:tr w14:paraId="773F3544">
        <w:tblPrEx>
          <w:tblCellMar>
            <w:top w:w="0" w:type="dxa"/>
            <w:left w:w="108" w:type="dxa"/>
            <w:bottom w:w="0" w:type="dxa"/>
            <w:right w:w="108" w:type="dxa"/>
          </w:tblCellMar>
        </w:tblPrEx>
        <w:trPr>
          <w:trHeight w:val="134"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14:paraId="53348D94">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650" w:type="dxa"/>
            <w:tcBorders>
              <w:top w:val="single" w:color="auto" w:sz="4" w:space="0"/>
              <w:left w:val="single" w:color="auto" w:sz="4" w:space="0"/>
              <w:bottom w:val="single" w:color="auto" w:sz="4" w:space="0"/>
              <w:right w:val="single" w:color="auto" w:sz="4" w:space="0"/>
            </w:tcBorders>
            <w:vAlign w:val="center"/>
          </w:tcPr>
          <w:p w14:paraId="685A8F5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公厕数据</w:t>
            </w:r>
          </w:p>
        </w:tc>
        <w:tc>
          <w:tcPr>
            <w:tcW w:w="6907" w:type="dxa"/>
            <w:gridSpan w:val="5"/>
            <w:tcBorders>
              <w:top w:val="single" w:color="auto" w:sz="4" w:space="0"/>
              <w:left w:val="single" w:color="auto" w:sz="4" w:space="0"/>
              <w:bottom w:val="single" w:color="auto" w:sz="4" w:space="0"/>
              <w:right w:val="single" w:color="auto" w:sz="4" w:space="0"/>
            </w:tcBorders>
            <w:noWrap/>
            <w:vAlign w:val="center"/>
          </w:tcPr>
          <w:p w14:paraId="498B2208">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1.管理用房：10.83平方米；男厕：9.63平方米（蹲坑1个，马桶1个，小便池2个）；女厕：12.43平方米（蹲坑3个，马桶1个）；第三人群卫生间：6.93平方米（马桶2个，小便池1个）；淋浴房：7平方米</w:t>
            </w:r>
          </w:p>
          <w:p w14:paraId="1757A1B7">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2.管理用房：3.51平方米；男厕：14.07平方米（蹲坑1个，马桶1个，小便池4个）；女厕：16.70平方米（蹲坑4个，马桶1个）；第三人群卫生间：7.56平方米（马桶2个，小便池1个）</w:t>
            </w:r>
          </w:p>
          <w:p w14:paraId="56B23244">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3.管理用房：3.51平方米；男厕：14.07平方米（蹲坑1个，马桶1个，小便池4个）；女厕：16.70平方米（蹲坑4个，马桶1个）；第三人群卫生间：7.56平方米（马桶2个，小便池1个）</w:t>
            </w:r>
          </w:p>
        </w:tc>
      </w:tr>
    </w:tbl>
    <w:p w14:paraId="1862A035">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8.应急保洁</w:t>
      </w:r>
    </w:p>
    <w:p w14:paraId="4FB145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⑴24小时应急联动响应；</w:t>
      </w:r>
    </w:p>
    <w:p w14:paraId="4B65A71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⑵自然灾害如台风等的及时清理；</w:t>
      </w:r>
    </w:p>
    <w:p w14:paraId="6B8F92E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⑶无主垃圾、偷倒垃圾和清理和其他需要应急保洁的工作；</w:t>
      </w:r>
    </w:p>
    <w:p w14:paraId="0634E955">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⑷各种重大活动（包括国家、省、市大检查、评比）及重大节假日的重点保洁</w:t>
      </w:r>
      <w:r>
        <w:rPr>
          <w:rFonts w:hint="eastAsia" w:ascii="宋体" w:hAnsi="宋体" w:eastAsia="宋体" w:cs="宋体"/>
          <w:color w:val="auto"/>
          <w:szCs w:val="21"/>
          <w:highlight w:val="none"/>
          <w:lang w:eastAsia="zh-CN"/>
        </w:rPr>
        <w:t>。</w:t>
      </w:r>
    </w:p>
    <w:p w14:paraId="52C94BD0">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9.人员最低配置需求：</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4077"/>
        <w:gridCol w:w="1842"/>
        <w:gridCol w:w="1701"/>
      </w:tblGrid>
      <w:tr w14:paraId="7E89B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93" w:type="dxa"/>
            <w:vAlign w:val="center"/>
          </w:tcPr>
          <w:p w14:paraId="484B1564">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077" w:type="dxa"/>
          </w:tcPr>
          <w:p w14:paraId="4EE6241D">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c>
          <w:tcPr>
            <w:tcW w:w="1842" w:type="dxa"/>
          </w:tcPr>
          <w:p w14:paraId="6EE75E67">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配置人数</w:t>
            </w:r>
          </w:p>
        </w:tc>
        <w:tc>
          <w:tcPr>
            <w:tcW w:w="1701" w:type="dxa"/>
          </w:tcPr>
          <w:p w14:paraId="392E7B74">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tc>
      </w:tr>
      <w:tr w14:paraId="6F2DD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993" w:type="dxa"/>
            <w:vMerge w:val="restart"/>
            <w:vAlign w:val="center"/>
          </w:tcPr>
          <w:p w14:paraId="37C96BF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077" w:type="dxa"/>
          </w:tcPr>
          <w:p w14:paraId="3822E49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道路保洁人员</w:t>
            </w:r>
          </w:p>
        </w:tc>
        <w:tc>
          <w:tcPr>
            <w:tcW w:w="1842" w:type="dxa"/>
          </w:tcPr>
          <w:p w14:paraId="5878739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219</w:t>
            </w:r>
          </w:p>
        </w:tc>
        <w:tc>
          <w:tcPr>
            <w:tcW w:w="1701" w:type="dxa"/>
          </w:tcPr>
          <w:p w14:paraId="1210900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一线保洁人员</w:t>
            </w:r>
          </w:p>
        </w:tc>
      </w:tr>
      <w:tr w14:paraId="7E214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14:paraId="7B385AD3">
            <w:pPr>
              <w:jc w:val="center"/>
              <w:rPr>
                <w:rFonts w:hint="eastAsia" w:ascii="宋体" w:hAnsi="宋体" w:eastAsia="宋体" w:cs="宋体"/>
                <w:color w:val="auto"/>
                <w:szCs w:val="21"/>
                <w:highlight w:val="none"/>
              </w:rPr>
            </w:pPr>
          </w:p>
        </w:tc>
        <w:tc>
          <w:tcPr>
            <w:tcW w:w="4077" w:type="dxa"/>
          </w:tcPr>
          <w:p w14:paraId="470065C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多功能清扫车驾驶员</w:t>
            </w:r>
          </w:p>
        </w:tc>
        <w:tc>
          <w:tcPr>
            <w:tcW w:w="1842" w:type="dxa"/>
          </w:tcPr>
          <w:p w14:paraId="5C74794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701" w:type="dxa"/>
          </w:tcPr>
          <w:p w14:paraId="2D682DF4">
            <w:pPr>
              <w:spacing w:line="360" w:lineRule="auto"/>
              <w:rPr>
                <w:rFonts w:hint="eastAsia" w:ascii="宋体" w:hAnsi="宋体" w:eastAsia="宋体" w:cs="宋体"/>
                <w:color w:val="auto"/>
                <w:szCs w:val="21"/>
                <w:highlight w:val="none"/>
              </w:rPr>
            </w:pPr>
          </w:p>
        </w:tc>
      </w:tr>
      <w:tr w14:paraId="6C4E3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14:paraId="307AE015">
            <w:pPr>
              <w:jc w:val="center"/>
              <w:rPr>
                <w:rFonts w:hint="eastAsia" w:ascii="宋体" w:hAnsi="宋体" w:eastAsia="宋体" w:cs="宋体"/>
                <w:color w:val="auto"/>
                <w:szCs w:val="21"/>
                <w:highlight w:val="none"/>
              </w:rPr>
            </w:pPr>
          </w:p>
        </w:tc>
        <w:tc>
          <w:tcPr>
            <w:tcW w:w="4077" w:type="dxa"/>
          </w:tcPr>
          <w:p w14:paraId="1CEEBB5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扫地车驾驶员</w:t>
            </w:r>
          </w:p>
        </w:tc>
        <w:tc>
          <w:tcPr>
            <w:tcW w:w="1842" w:type="dxa"/>
          </w:tcPr>
          <w:p w14:paraId="18AB32A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701" w:type="dxa"/>
          </w:tcPr>
          <w:p w14:paraId="785E0A68">
            <w:pPr>
              <w:spacing w:line="360" w:lineRule="auto"/>
              <w:rPr>
                <w:rFonts w:hint="eastAsia" w:ascii="宋体" w:hAnsi="宋体" w:eastAsia="宋体" w:cs="宋体"/>
                <w:color w:val="auto"/>
                <w:szCs w:val="21"/>
                <w:highlight w:val="none"/>
              </w:rPr>
            </w:pPr>
          </w:p>
        </w:tc>
      </w:tr>
      <w:tr w14:paraId="6936F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14:paraId="3B8294A4">
            <w:pPr>
              <w:jc w:val="center"/>
              <w:rPr>
                <w:rFonts w:hint="eastAsia" w:ascii="宋体" w:hAnsi="宋体" w:eastAsia="宋体" w:cs="宋体"/>
                <w:color w:val="auto"/>
                <w:szCs w:val="21"/>
                <w:highlight w:val="none"/>
              </w:rPr>
            </w:pPr>
          </w:p>
        </w:tc>
        <w:tc>
          <w:tcPr>
            <w:tcW w:w="4077" w:type="dxa"/>
          </w:tcPr>
          <w:p w14:paraId="7F39798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洒水车驾驶员</w:t>
            </w:r>
          </w:p>
        </w:tc>
        <w:tc>
          <w:tcPr>
            <w:tcW w:w="1842" w:type="dxa"/>
          </w:tcPr>
          <w:p w14:paraId="1F82340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701" w:type="dxa"/>
          </w:tcPr>
          <w:p w14:paraId="31C243F4">
            <w:pPr>
              <w:spacing w:line="360" w:lineRule="auto"/>
              <w:rPr>
                <w:rFonts w:hint="eastAsia" w:ascii="宋体" w:hAnsi="宋体" w:eastAsia="宋体" w:cs="宋体"/>
                <w:color w:val="auto"/>
                <w:szCs w:val="21"/>
                <w:highlight w:val="none"/>
              </w:rPr>
            </w:pPr>
          </w:p>
        </w:tc>
      </w:tr>
      <w:tr w14:paraId="5E5A1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14:paraId="45607D43">
            <w:pPr>
              <w:jc w:val="center"/>
              <w:rPr>
                <w:rFonts w:hint="eastAsia" w:ascii="宋体" w:hAnsi="宋体" w:eastAsia="宋体" w:cs="宋体"/>
                <w:color w:val="auto"/>
                <w:szCs w:val="21"/>
                <w:highlight w:val="none"/>
              </w:rPr>
            </w:pPr>
          </w:p>
        </w:tc>
        <w:tc>
          <w:tcPr>
            <w:tcW w:w="4077" w:type="dxa"/>
          </w:tcPr>
          <w:p w14:paraId="49FC521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高压冲洗车作业人员</w:t>
            </w:r>
          </w:p>
        </w:tc>
        <w:tc>
          <w:tcPr>
            <w:tcW w:w="1842" w:type="dxa"/>
          </w:tcPr>
          <w:p w14:paraId="02407A3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701" w:type="dxa"/>
          </w:tcPr>
          <w:p w14:paraId="41AAA9B7">
            <w:pPr>
              <w:spacing w:line="360" w:lineRule="auto"/>
              <w:rPr>
                <w:rFonts w:hint="eastAsia" w:ascii="宋体" w:hAnsi="宋体" w:eastAsia="宋体" w:cs="宋体"/>
                <w:color w:val="auto"/>
                <w:szCs w:val="21"/>
                <w:highlight w:val="none"/>
              </w:rPr>
            </w:pPr>
          </w:p>
        </w:tc>
      </w:tr>
      <w:tr w14:paraId="462AD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93" w:type="dxa"/>
            <w:vAlign w:val="center"/>
          </w:tcPr>
          <w:p w14:paraId="66E173F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077" w:type="dxa"/>
          </w:tcPr>
          <w:p w14:paraId="58F7D89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绿化带保洁人员</w:t>
            </w:r>
          </w:p>
        </w:tc>
        <w:tc>
          <w:tcPr>
            <w:tcW w:w="1842" w:type="dxa"/>
          </w:tcPr>
          <w:p w14:paraId="12B14C3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701" w:type="dxa"/>
          </w:tcPr>
          <w:p w14:paraId="18F44B36">
            <w:pPr>
              <w:spacing w:line="360" w:lineRule="auto"/>
              <w:rPr>
                <w:rFonts w:hint="eastAsia" w:ascii="宋体" w:hAnsi="宋体" w:eastAsia="宋体" w:cs="宋体"/>
                <w:color w:val="auto"/>
                <w:szCs w:val="21"/>
                <w:highlight w:val="none"/>
              </w:rPr>
            </w:pPr>
          </w:p>
        </w:tc>
      </w:tr>
      <w:tr w14:paraId="7FD31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4783CF6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4077" w:type="dxa"/>
          </w:tcPr>
          <w:p w14:paraId="074ED61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果壳箱、垃圾桶保洁人员</w:t>
            </w:r>
          </w:p>
        </w:tc>
        <w:tc>
          <w:tcPr>
            <w:tcW w:w="1842" w:type="dxa"/>
          </w:tcPr>
          <w:p w14:paraId="5DA7E8C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701" w:type="dxa"/>
          </w:tcPr>
          <w:p w14:paraId="6F2053B3">
            <w:pPr>
              <w:spacing w:line="360" w:lineRule="auto"/>
              <w:rPr>
                <w:rFonts w:hint="eastAsia" w:ascii="宋体" w:hAnsi="宋体" w:eastAsia="宋体" w:cs="宋体"/>
                <w:color w:val="auto"/>
                <w:szCs w:val="21"/>
                <w:highlight w:val="none"/>
              </w:rPr>
            </w:pPr>
          </w:p>
        </w:tc>
      </w:tr>
      <w:tr w14:paraId="5B891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vAlign w:val="center"/>
          </w:tcPr>
          <w:p w14:paraId="71DCF68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4077" w:type="dxa"/>
          </w:tcPr>
          <w:p w14:paraId="413BD4D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多把扫把并一把保洁人员</w:t>
            </w:r>
          </w:p>
        </w:tc>
        <w:tc>
          <w:tcPr>
            <w:tcW w:w="1842" w:type="dxa"/>
          </w:tcPr>
          <w:p w14:paraId="7ED078F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27</w:t>
            </w:r>
          </w:p>
        </w:tc>
        <w:tc>
          <w:tcPr>
            <w:tcW w:w="1701" w:type="dxa"/>
          </w:tcPr>
          <w:p w14:paraId="021E0DDF">
            <w:pPr>
              <w:spacing w:line="360" w:lineRule="auto"/>
              <w:rPr>
                <w:rFonts w:hint="eastAsia" w:ascii="宋体" w:hAnsi="宋体" w:eastAsia="宋体" w:cs="宋体"/>
                <w:color w:val="auto"/>
                <w:szCs w:val="21"/>
                <w:highlight w:val="none"/>
              </w:rPr>
            </w:pPr>
          </w:p>
        </w:tc>
      </w:tr>
      <w:tr w14:paraId="3DEF2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14:paraId="4B1B136B">
            <w:pPr>
              <w:spacing w:line="360" w:lineRule="auto"/>
              <w:jc w:val="center"/>
              <w:rPr>
                <w:rFonts w:hint="eastAsia" w:ascii="宋体" w:hAnsi="宋体" w:eastAsia="宋体" w:cs="宋体"/>
                <w:color w:val="auto"/>
                <w:szCs w:val="21"/>
                <w:highlight w:val="none"/>
              </w:rPr>
            </w:pPr>
          </w:p>
        </w:tc>
        <w:tc>
          <w:tcPr>
            <w:tcW w:w="4077" w:type="dxa"/>
          </w:tcPr>
          <w:p w14:paraId="6033006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微型垃圾收运车驾驶员</w:t>
            </w:r>
          </w:p>
        </w:tc>
        <w:tc>
          <w:tcPr>
            <w:tcW w:w="1842" w:type="dxa"/>
          </w:tcPr>
          <w:p w14:paraId="078E54A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701" w:type="dxa"/>
          </w:tcPr>
          <w:p w14:paraId="56F8BCB3">
            <w:pPr>
              <w:spacing w:line="360" w:lineRule="auto"/>
              <w:rPr>
                <w:rFonts w:hint="eastAsia" w:ascii="宋体" w:hAnsi="宋体" w:eastAsia="宋体" w:cs="宋体"/>
                <w:color w:val="auto"/>
                <w:szCs w:val="21"/>
                <w:highlight w:val="none"/>
              </w:rPr>
            </w:pPr>
          </w:p>
        </w:tc>
      </w:tr>
      <w:tr w14:paraId="2A4E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14:paraId="55DE6B65">
            <w:pPr>
              <w:spacing w:line="360" w:lineRule="auto"/>
              <w:jc w:val="center"/>
              <w:rPr>
                <w:rFonts w:hint="eastAsia" w:ascii="宋体" w:hAnsi="宋体" w:eastAsia="宋体" w:cs="宋体"/>
                <w:color w:val="auto"/>
                <w:szCs w:val="21"/>
                <w:highlight w:val="none"/>
              </w:rPr>
            </w:pPr>
          </w:p>
        </w:tc>
        <w:tc>
          <w:tcPr>
            <w:tcW w:w="4077" w:type="dxa"/>
          </w:tcPr>
          <w:p w14:paraId="7BF0F7B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微型垃圾收运车辅助工</w:t>
            </w:r>
          </w:p>
        </w:tc>
        <w:tc>
          <w:tcPr>
            <w:tcW w:w="1842" w:type="dxa"/>
          </w:tcPr>
          <w:p w14:paraId="6D21C65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701" w:type="dxa"/>
          </w:tcPr>
          <w:p w14:paraId="720EB506">
            <w:pPr>
              <w:spacing w:line="360" w:lineRule="auto"/>
              <w:rPr>
                <w:rFonts w:hint="eastAsia" w:ascii="宋体" w:hAnsi="宋体" w:eastAsia="宋体" w:cs="宋体"/>
                <w:color w:val="auto"/>
                <w:szCs w:val="21"/>
                <w:highlight w:val="none"/>
              </w:rPr>
            </w:pPr>
          </w:p>
        </w:tc>
      </w:tr>
      <w:tr w14:paraId="412C8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vAlign w:val="center"/>
          </w:tcPr>
          <w:p w14:paraId="3810087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4077" w:type="dxa"/>
          </w:tcPr>
          <w:p w14:paraId="78B44CB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其他垃圾收运车辆驾驶员</w:t>
            </w:r>
          </w:p>
        </w:tc>
        <w:tc>
          <w:tcPr>
            <w:tcW w:w="1842" w:type="dxa"/>
          </w:tcPr>
          <w:p w14:paraId="27FF0BF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701" w:type="dxa"/>
          </w:tcPr>
          <w:p w14:paraId="35989058">
            <w:pPr>
              <w:spacing w:line="360" w:lineRule="auto"/>
              <w:rPr>
                <w:rFonts w:hint="eastAsia" w:ascii="宋体" w:hAnsi="宋体" w:eastAsia="宋体" w:cs="宋体"/>
                <w:color w:val="auto"/>
                <w:szCs w:val="21"/>
                <w:highlight w:val="none"/>
              </w:rPr>
            </w:pPr>
          </w:p>
        </w:tc>
      </w:tr>
      <w:tr w14:paraId="32F8D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14:paraId="328A074B">
            <w:pPr>
              <w:spacing w:line="360" w:lineRule="auto"/>
              <w:jc w:val="center"/>
              <w:rPr>
                <w:rFonts w:hint="eastAsia" w:ascii="宋体" w:hAnsi="宋体" w:eastAsia="宋体" w:cs="宋体"/>
                <w:color w:val="auto"/>
                <w:szCs w:val="21"/>
                <w:highlight w:val="none"/>
              </w:rPr>
            </w:pPr>
          </w:p>
        </w:tc>
        <w:tc>
          <w:tcPr>
            <w:tcW w:w="4077" w:type="dxa"/>
          </w:tcPr>
          <w:p w14:paraId="0E7FD78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其他垃圾收运车辆辅助工</w:t>
            </w:r>
          </w:p>
        </w:tc>
        <w:tc>
          <w:tcPr>
            <w:tcW w:w="1842" w:type="dxa"/>
          </w:tcPr>
          <w:p w14:paraId="4EA8F8E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701" w:type="dxa"/>
          </w:tcPr>
          <w:p w14:paraId="29571A46">
            <w:pPr>
              <w:spacing w:line="360" w:lineRule="auto"/>
              <w:rPr>
                <w:rFonts w:hint="eastAsia" w:ascii="宋体" w:hAnsi="宋体" w:eastAsia="宋体" w:cs="宋体"/>
                <w:color w:val="auto"/>
                <w:szCs w:val="21"/>
                <w:highlight w:val="none"/>
              </w:rPr>
            </w:pPr>
          </w:p>
        </w:tc>
      </w:tr>
      <w:tr w14:paraId="4265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14:paraId="1595AFE3">
            <w:pPr>
              <w:spacing w:line="360" w:lineRule="auto"/>
              <w:jc w:val="center"/>
              <w:rPr>
                <w:rFonts w:hint="eastAsia" w:ascii="宋体" w:hAnsi="宋体" w:eastAsia="宋体" w:cs="宋体"/>
                <w:color w:val="auto"/>
                <w:szCs w:val="21"/>
                <w:highlight w:val="none"/>
              </w:rPr>
            </w:pPr>
          </w:p>
        </w:tc>
        <w:tc>
          <w:tcPr>
            <w:tcW w:w="4077" w:type="dxa"/>
          </w:tcPr>
          <w:p w14:paraId="16474AA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易腐垃圾收运车辆驾驶员</w:t>
            </w:r>
          </w:p>
        </w:tc>
        <w:tc>
          <w:tcPr>
            <w:tcW w:w="1842" w:type="dxa"/>
          </w:tcPr>
          <w:p w14:paraId="7712B7E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701" w:type="dxa"/>
          </w:tcPr>
          <w:p w14:paraId="1976E245">
            <w:pPr>
              <w:spacing w:line="360" w:lineRule="auto"/>
              <w:rPr>
                <w:rFonts w:hint="eastAsia" w:ascii="宋体" w:hAnsi="宋体" w:eastAsia="宋体" w:cs="宋体"/>
                <w:color w:val="auto"/>
                <w:szCs w:val="21"/>
                <w:highlight w:val="none"/>
              </w:rPr>
            </w:pPr>
          </w:p>
        </w:tc>
      </w:tr>
      <w:tr w14:paraId="4C001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14:paraId="496B5527">
            <w:pPr>
              <w:spacing w:line="360" w:lineRule="auto"/>
              <w:jc w:val="center"/>
              <w:rPr>
                <w:rFonts w:hint="eastAsia" w:ascii="宋体" w:hAnsi="宋体" w:eastAsia="宋体" w:cs="宋体"/>
                <w:color w:val="auto"/>
                <w:szCs w:val="21"/>
                <w:highlight w:val="none"/>
              </w:rPr>
            </w:pPr>
          </w:p>
        </w:tc>
        <w:tc>
          <w:tcPr>
            <w:tcW w:w="4077" w:type="dxa"/>
          </w:tcPr>
          <w:p w14:paraId="510A403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易腐垃圾收运车辆辅助工</w:t>
            </w:r>
          </w:p>
        </w:tc>
        <w:tc>
          <w:tcPr>
            <w:tcW w:w="1842" w:type="dxa"/>
          </w:tcPr>
          <w:p w14:paraId="0CC8303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701" w:type="dxa"/>
          </w:tcPr>
          <w:p w14:paraId="63B73B10">
            <w:pPr>
              <w:spacing w:line="360" w:lineRule="auto"/>
              <w:rPr>
                <w:rFonts w:hint="eastAsia" w:ascii="宋体" w:hAnsi="宋体" w:eastAsia="宋体" w:cs="宋体"/>
                <w:color w:val="auto"/>
                <w:szCs w:val="21"/>
                <w:highlight w:val="none"/>
              </w:rPr>
            </w:pPr>
          </w:p>
        </w:tc>
      </w:tr>
      <w:tr w14:paraId="2827B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299D123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4077" w:type="dxa"/>
          </w:tcPr>
          <w:p w14:paraId="561CB2C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栏杆清洗车/人工作业（二选一）</w:t>
            </w:r>
          </w:p>
        </w:tc>
        <w:tc>
          <w:tcPr>
            <w:tcW w:w="1842" w:type="dxa"/>
          </w:tcPr>
          <w:p w14:paraId="30F0F9F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701" w:type="dxa"/>
          </w:tcPr>
          <w:p w14:paraId="1957BEBE">
            <w:pPr>
              <w:spacing w:line="360" w:lineRule="auto"/>
              <w:rPr>
                <w:rFonts w:hint="eastAsia" w:ascii="宋体" w:hAnsi="宋体" w:eastAsia="宋体" w:cs="宋体"/>
                <w:color w:val="auto"/>
                <w:szCs w:val="21"/>
                <w:highlight w:val="none"/>
              </w:rPr>
            </w:pPr>
          </w:p>
        </w:tc>
      </w:tr>
      <w:tr w14:paraId="47DB9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0223A8A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4077" w:type="dxa"/>
          </w:tcPr>
          <w:p w14:paraId="47FA184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小干岛公厕保洁人员</w:t>
            </w:r>
          </w:p>
        </w:tc>
        <w:tc>
          <w:tcPr>
            <w:tcW w:w="1842" w:type="dxa"/>
          </w:tcPr>
          <w:p w14:paraId="7942B84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701" w:type="dxa"/>
          </w:tcPr>
          <w:p w14:paraId="305DAD35">
            <w:pPr>
              <w:spacing w:line="360" w:lineRule="auto"/>
              <w:rPr>
                <w:rFonts w:hint="eastAsia" w:ascii="宋体" w:hAnsi="宋体" w:eastAsia="宋体" w:cs="宋体"/>
                <w:color w:val="auto"/>
                <w:szCs w:val="21"/>
                <w:highlight w:val="none"/>
              </w:rPr>
            </w:pPr>
          </w:p>
        </w:tc>
      </w:tr>
      <w:tr w14:paraId="4842B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vAlign w:val="center"/>
          </w:tcPr>
          <w:p w14:paraId="614AAC1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4077" w:type="dxa"/>
          </w:tcPr>
          <w:p w14:paraId="7C94E9E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应急保洁车辆</w:t>
            </w:r>
          </w:p>
        </w:tc>
        <w:tc>
          <w:tcPr>
            <w:tcW w:w="1842" w:type="dxa"/>
          </w:tcPr>
          <w:p w14:paraId="6B8D42A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701" w:type="dxa"/>
          </w:tcPr>
          <w:p w14:paraId="5523997E">
            <w:pPr>
              <w:spacing w:line="360" w:lineRule="auto"/>
              <w:rPr>
                <w:rFonts w:hint="eastAsia" w:ascii="宋体" w:hAnsi="宋体" w:eastAsia="宋体" w:cs="宋体"/>
                <w:color w:val="auto"/>
                <w:szCs w:val="21"/>
                <w:highlight w:val="none"/>
              </w:rPr>
            </w:pPr>
          </w:p>
        </w:tc>
      </w:tr>
      <w:tr w14:paraId="5E52C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993" w:type="dxa"/>
            <w:vMerge w:val="continue"/>
            <w:vAlign w:val="center"/>
          </w:tcPr>
          <w:p w14:paraId="398B2DD6">
            <w:pPr>
              <w:spacing w:line="360" w:lineRule="auto"/>
              <w:jc w:val="center"/>
              <w:rPr>
                <w:rFonts w:hint="eastAsia" w:ascii="宋体" w:hAnsi="宋体" w:eastAsia="宋体" w:cs="宋体"/>
                <w:color w:val="auto"/>
                <w:szCs w:val="21"/>
                <w:highlight w:val="none"/>
              </w:rPr>
            </w:pPr>
          </w:p>
        </w:tc>
        <w:tc>
          <w:tcPr>
            <w:tcW w:w="4077" w:type="dxa"/>
          </w:tcPr>
          <w:p w14:paraId="05B8B16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应急保洁人员</w:t>
            </w:r>
          </w:p>
        </w:tc>
        <w:tc>
          <w:tcPr>
            <w:tcW w:w="1842" w:type="dxa"/>
          </w:tcPr>
          <w:p w14:paraId="0899650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701" w:type="dxa"/>
          </w:tcPr>
          <w:p w14:paraId="7D393552">
            <w:pPr>
              <w:spacing w:line="360" w:lineRule="auto"/>
              <w:rPr>
                <w:rFonts w:hint="eastAsia" w:ascii="宋体" w:hAnsi="宋体" w:eastAsia="宋体" w:cs="宋体"/>
                <w:color w:val="auto"/>
                <w:szCs w:val="21"/>
                <w:highlight w:val="none"/>
              </w:rPr>
            </w:pPr>
          </w:p>
        </w:tc>
      </w:tr>
      <w:tr w14:paraId="4555F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993" w:type="dxa"/>
            <w:vAlign w:val="center"/>
          </w:tcPr>
          <w:p w14:paraId="3323746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4077" w:type="dxa"/>
          </w:tcPr>
          <w:p w14:paraId="2EA44A0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项目经理及办公室文员</w:t>
            </w:r>
          </w:p>
        </w:tc>
        <w:tc>
          <w:tcPr>
            <w:tcW w:w="1842" w:type="dxa"/>
          </w:tcPr>
          <w:p w14:paraId="778020E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701" w:type="dxa"/>
          </w:tcPr>
          <w:p w14:paraId="5CC323BC">
            <w:pPr>
              <w:spacing w:line="360" w:lineRule="auto"/>
              <w:rPr>
                <w:rFonts w:hint="eastAsia" w:ascii="宋体" w:hAnsi="宋体" w:eastAsia="宋体" w:cs="宋体"/>
                <w:color w:val="auto"/>
                <w:szCs w:val="21"/>
                <w:highlight w:val="none"/>
              </w:rPr>
            </w:pPr>
          </w:p>
        </w:tc>
      </w:tr>
      <w:tr w14:paraId="655E3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52E48D36">
            <w:pPr>
              <w:spacing w:line="360" w:lineRule="auto"/>
              <w:jc w:val="center"/>
              <w:rPr>
                <w:rFonts w:hint="eastAsia" w:ascii="宋体" w:hAnsi="宋体" w:eastAsia="宋体" w:cs="宋体"/>
                <w:color w:val="auto"/>
                <w:szCs w:val="21"/>
                <w:highlight w:val="none"/>
              </w:rPr>
            </w:pPr>
          </w:p>
        </w:tc>
        <w:tc>
          <w:tcPr>
            <w:tcW w:w="4077" w:type="dxa"/>
          </w:tcPr>
          <w:p w14:paraId="1A15E4C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w:t>
            </w:r>
          </w:p>
        </w:tc>
        <w:tc>
          <w:tcPr>
            <w:tcW w:w="1842" w:type="dxa"/>
          </w:tcPr>
          <w:p w14:paraId="2C02CE4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1701" w:type="dxa"/>
          </w:tcPr>
          <w:p w14:paraId="4C4B37FC">
            <w:pPr>
              <w:spacing w:line="360" w:lineRule="auto"/>
              <w:rPr>
                <w:rFonts w:hint="eastAsia" w:ascii="宋体" w:hAnsi="宋体" w:eastAsia="宋体" w:cs="宋体"/>
                <w:color w:val="auto"/>
                <w:szCs w:val="21"/>
                <w:highlight w:val="none"/>
              </w:rPr>
            </w:pPr>
          </w:p>
        </w:tc>
      </w:tr>
    </w:tbl>
    <w:p w14:paraId="32F71D1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合同签订后1个月内提供人员意外保险清单。投标文件中须提供承诺书,</w:t>
      </w:r>
      <w:r>
        <w:rPr>
          <w:rFonts w:hint="eastAsia" w:ascii="宋体" w:hAnsi="宋体" w:eastAsia="宋体" w:cs="宋体"/>
          <w:b/>
          <w:color w:val="auto"/>
          <w:kern w:val="0"/>
          <w:szCs w:val="21"/>
          <w:highlight w:val="none"/>
        </w:rPr>
        <w:t>无人员承诺书的做无效标处理。）</w:t>
      </w:r>
    </w:p>
    <w:p w14:paraId="1234BBED">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10.车辆最低配置需求</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3162"/>
        <w:gridCol w:w="1625"/>
        <w:gridCol w:w="2742"/>
      </w:tblGrid>
      <w:tr w14:paraId="558B4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5912765C">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3162" w:type="dxa"/>
            <w:vAlign w:val="center"/>
          </w:tcPr>
          <w:p w14:paraId="2D43048D">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c>
          <w:tcPr>
            <w:tcW w:w="1625" w:type="dxa"/>
            <w:vAlign w:val="center"/>
          </w:tcPr>
          <w:p w14:paraId="62011B77">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配置数量</w:t>
            </w:r>
          </w:p>
        </w:tc>
        <w:tc>
          <w:tcPr>
            <w:tcW w:w="2742" w:type="dxa"/>
          </w:tcPr>
          <w:p w14:paraId="38D8C501">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tc>
      </w:tr>
      <w:tr w14:paraId="53F5D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011CF0B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162" w:type="dxa"/>
            <w:vAlign w:val="center"/>
          </w:tcPr>
          <w:p w14:paraId="7D71209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多功能清扫车</w:t>
            </w:r>
          </w:p>
        </w:tc>
        <w:tc>
          <w:tcPr>
            <w:tcW w:w="1625" w:type="dxa"/>
            <w:vAlign w:val="center"/>
          </w:tcPr>
          <w:p w14:paraId="4C9D096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742" w:type="dxa"/>
            <w:vAlign w:val="center"/>
          </w:tcPr>
          <w:p w14:paraId="2D711E2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采购人提供3辆</w:t>
            </w:r>
          </w:p>
          <w:p w14:paraId="338274B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投标人自备1辆</w:t>
            </w:r>
          </w:p>
        </w:tc>
      </w:tr>
      <w:tr w14:paraId="496E1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993" w:type="dxa"/>
            <w:vAlign w:val="center"/>
          </w:tcPr>
          <w:p w14:paraId="49A47EE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162" w:type="dxa"/>
            <w:vAlign w:val="center"/>
          </w:tcPr>
          <w:p w14:paraId="34B24B0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清扫车或扫地车</w:t>
            </w:r>
          </w:p>
        </w:tc>
        <w:tc>
          <w:tcPr>
            <w:tcW w:w="1625" w:type="dxa"/>
            <w:vAlign w:val="center"/>
          </w:tcPr>
          <w:p w14:paraId="65CB16B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742" w:type="dxa"/>
            <w:vAlign w:val="center"/>
          </w:tcPr>
          <w:p w14:paraId="52CEADD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采购人提供2辆</w:t>
            </w:r>
          </w:p>
        </w:tc>
      </w:tr>
      <w:tr w14:paraId="097EE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3BCEC6D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162" w:type="dxa"/>
            <w:vAlign w:val="center"/>
          </w:tcPr>
          <w:p w14:paraId="43C3175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洒水车</w:t>
            </w:r>
          </w:p>
        </w:tc>
        <w:tc>
          <w:tcPr>
            <w:tcW w:w="1625" w:type="dxa"/>
            <w:vAlign w:val="center"/>
          </w:tcPr>
          <w:p w14:paraId="3086DEE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742" w:type="dxa"/>
            <w:vAlign w:val="center"/>
          </w:tcPr>
          <w:p w14:paraId="1203A88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采购人提供2辆</w:t>
            </w:r>
          </w:p>
          <w:p w14:paraId="740157A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投标人自备1辆</w:t>
            </w:r>
          </w:p>
        </w:tc>
      </w:tr>
      <w:tr w14:paraId="5186D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7CC3B32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162" w:type="dxa"/>
            <w:vAlign w:val="center"/>
          </w:tcPr>
          <w:p w14:paraId="214E002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高压冲洗车</w:t>
            </w:r>
          </w:p>
        </w:tc>
        <w:tc>
          <w:tcPr>
            <w:tcW w:w="1625" w:type="dxa"/>
            <w:vAlign w:val="center"/>
          </w:tcPr>
          <w:p w14:paraId="6EBEA20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742" w:type="dxa"/>
            <w:vAlign w:val="center"/>
          </w:tcPr>
          <w:p w14:paraId="546D58F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采购人提供1辆</w:t>
            </w:r>
          </w:p>
          <w:p w14:paraId="4432823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投标人自备1辆</w:t>
            </w:r>
          </w:p>
        </w:tc>
      </w:tr>
      <w:tr w14:paraId="5113A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109AB12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3162" w:type="dxa"/>
            <w:vAlign w:val="center"/>
          </w:tcPr>
          <w:p w14:paraId="74E8A7F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微型收运车</w:t>
            </w:r>
          </w:p>
        </w:tc>
        <w:tc>
          <w:tcPr>
            <w:tcW w:w="1625" w:type="dxa"/>
            <w:vAlign w:val="center"/>
          </w:tcPr>
          <w:p w14:paraId="6A916AF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742" w:type="dxa"/>
            <w:vAlign w:val="center"/>
          </w:tcPr>
          <w:p w14:paraId="39DD862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采购人提供2辆</w:t>
            </w:r>
          </w:p>
        </w:tc>
      </w:tr>
      <w:tr w14:paraId="537CB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2C2C65C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162" w:type="dxa"/>
            <w:vAlign w:val="center"/>
          </w:tcPr>
          <w:p w14:paraId="68248D6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易腐垃圾收运车</w:t>
            </w:r>
          </w:p>
        </w:tc>
        <w:tc>
          <w:tcPr>
            <w:tcW w:w="1625" w:type="dxa"/>
            <w:vAlign w:val="center"/>
          </w:tcPr>
          <w:p w14:paraId="7674D76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742" w:type="dxa"/>
            <w:vAlign w:val="center"/>
          </w:tcPr>
          <w:p w14:paraId="4F9572C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采购人提供3辆</w:t>
            </w:r>
          </w:p>
        </w:tc>
      </w:tr>
      <w:tr w14:paraId="60F00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1BABFD2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162" w:type="dxa"/>
            <w:vAlign w:val="center"/>
          </w:tcPr>
          <w:p w14:paraId="16C2B62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其他垃圾收运车</w:t>
            </w:r>
          </w:p>
        </w:tc>
        <w:tc>
          <w:tcPr>
            <w:tcW w:w="1625" w:type="dxa"/>
            <w:vAlign w:val="center"/>
          </w:tcPr>
          <w:p w14:paraId="2F11C91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742" w:type="dxa"/>
            <w:vAlign w:val="center"/>
          </w:tcPr>
          <w:p w14:paraId="41ED347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采购人提供2辆</w:t>
            </w:r>
          </w:p>
        </w:tc>
      </w:tr>
      <w:tr w14:paraId="1BEFA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5B98E94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3162" w:type="dxa"/>
            <w:vAlign w:val="center"/>
          </w:tcPr>
          <w:p w14:paraId="1D50BE5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栏杆清洗车</w:t>
            </w:r>
          </w:p>
        </w:tc>
        <w:tc>
          <w:tcPr>
            <w:tcW w:w="1625" w:type="dxa"/>
            <w:vAlign w:val="center"/>
          </w:tcPr>
          <w:p w14:paraId="2C6BB0C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742" w:type="dxa"/>
            <w:vAlign w:val="center"/>
          </w:tcPr>
          <w:p w14:paraId="0BDD242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如选择人工作业，则无需</w:t>
            </w:r>
          </w:p>
        </w:tc>
      </w:tr>
      <w:tr w14:paraId="5BD0C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633D51E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3162" w:type="dxa"/>
            <w:vAlign w:val="center"/>
          </w:tcPr>
          <w:p w14:paraId="53CA26A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应急巡逻车</w:t>
            </w:r>
          </w:p>
        </w:tc>
        <w:tc>
          <w:tcPr>
            <w:tcW w:w="1625" w:type="dxa"/>
            <w:vAlign w:val="center"/>
          </w:tcPr>
          <w:p w14:paraId="07BBBBE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742" w:type="dxa"/>
            <w:vAlign w:val="center"/>
          </w:tcPr>
          <w:p w14:paraId="01044F7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需投标人自备</w:t>
            </w:r>
          </w:p>
        </w:tc>
      </w:tr>
    </w:tbl>
    <w:p w14:paraId="3D50ADD8">
      <w:pPr>
        <w:spacing w:line="360" w:lineRule="auto"/>
        <w:ind w:firstLine="632" w:firstLineChars="3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★投标人自备车辆需有1辆为新能源车。</w:t>
      </w:r>
    </w:p>
    <w:p w14:paraId="61EEA00C">
      <w:pPr>
        <w:spacing w:line="360" w:lineRule="auto"/>
        <w:rPr>
          <w:rFonts w:hint="eastAsia" w:ascii="宋体" w:hAnsi="宋体" w:eastAsia="宋体" w:cs="Times New Roman"/>
          <w:b/>
          <w:bCs/>
          <w:color w:val="auto"/>
          <w:sz w:val="24"/>
          <w:szCs w:val="21"/>
          <w:highlight w:val="none"/>
        </w:rPr>
      </w:pPr>
    </w:p>
    <w:p w14:paraId="540CB137">
      <w:pPr>
        <w:spacing w:line="360" w:lineRule="auto"/>
        <w:rPr>
          <w:rFonts w:hint="eastAsia" w:ascii="宋体" w:hAnsi="宋体" w:eastAsia="宋体" w:cs="Times New Roman"/>
          <w:b/>
          <w:bCs/>
          <w:color w:val="auto"/>
          <w:sz w:val="24"/>
          <w:szCs w:val="21"/>
          <w:highlight w:val="none"/>
        </w:rPr>
      </w:pPr>
      <w:r>
        <w:rPr>
          <w:rFonts w:hint="eastAsia" w:ascii="宋体" w:hAnsi="宋体" w:eastAsia="宋体" w:cs="Times New Roman"/>
          <w:b/>
          <w:bCs/>
          <w:color w:val="auto"/>
          <w:sz w:val="24"/>
          <w:szCs w:val="21"/>
          <w:highlight w:val="none"/>
        </w:rPr>
        <w:t>二、承包作业服务要求</w:t>
      </w:r>
    </w:p>
    <w:p w14:paraId="76555BD3">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1.作业内容：</w:t>
      </w:r>
    </w:p>
    <w:p w14:paraId="51B91765">
      <w:pPr>
        <w:pStyle w:val="2"/>
        <w:spacing w:after="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（1）项目内主次干道，背街小巷，村民房前屋后（如有），开放式公园，广场（已有保洁责任主体的除外），游步道，沿街店铺、地下通道、天桥的清扫保洁，以及采购人指定的新增道路等。</w:t>
      </w:r>
    </w:p>
    <w:p w14:paraId="036992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（2）项目范围内道路洒水作业、机扫作业与人行道的清洗作业；</w:t>
      </w:r>
    </w:p>
    <w:p w14:paraId="3B4FE251">
      <w:pPr>
        <w:pStyle w:val="2"/>
        <w:spacing w:after="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（3）绿地（包括游步道和打开围墙区域）、绿化带、空旷地白色垃圾、动物粪便、烟蒂等废弃物的清理保洁；</w:t>
      </w:r>
    </w:p>
    <w:p w14:paraId="5555516B">
      <w:pPr>
        <w:pStyle w:val="2"/>
        <w:spacing w:after="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（4）项目范围内果壳箱、分类垃圾桶，现有二分类点、四分类亭及垃圾房等环卫设施的清运、日常保洁、消杀、清洗和维护；</w:t>
      </w:r>
    </w:p>
    <w:p w14:paraId="2DC3CCEF">
      <w:pPr>
        <w:pStyle w:val="2"/>
        <w:spacing w:after="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（5）项目范围内“牛皮癣”（小广告、涂鸦）的清理、清洗；</w:t>
      </w:r>
    </w:p>
    <w:p w14:paraId="56F2D53B">
      <w:pPr>
        <w:pStyle w:val="3"/>
        <w:spacing w:after="0" w:line="360" w:lineRule="auto"/>
        <w:ind w:firstLineChars="200"/>
        <w:rPr>
          <w:rFonts w:hint="eastAsia" w:ascii="宋体" w:hAnsi="宋体" w:cs="宋体"/>
          <w:color w:val="auto"/>
          <w:kern w:val="2"/>
          <w:szCs w:val="21"/>
          <w:highlight w:val="none"/>
        </w:rPr>
      </w:pPr>
      <w:r>
        <w:rPr>
          <w:rFonts w:hint="eastAsia" w:ascii="宋体" w:hAnsi="宋体" w:cs="宋体"/>
          <w:color w:val="auto"/>
          <w:kern w:val="2"/>
          <w:szCs w:val="21"/>
          <w:highlight w:val="none"/>
        </w:rPr>
        <w:t>（6）小干岛3座公厕的管理与运维；</w:t>
      </w:r>
    </w:p>
    <w:p w14:paraId="06297885">
      <w:pPr>
        <w:pStyle w:val="3"/>
        <w:spacing w:after="0" w:line="360" w:lineRule="auto"/>
        <w:ind w:firstLineChars="200"/>
        <w:rPr>
          <w:rFonts w:hint="eastAsia" w:ascii="宋体" w:hAnsi="宋体" w:cs="宋体"/>
          <w:color w:val="auto"/>
          <w:kern w:val="2"/>
          <w:szCs w:val="21"/>
          <w:highlight w:val="none"/>
        </w:rPr>
      </w:pPr>
      <w:r>
        <w:rPr>
          <w:rFonts w:hint="eastAsia" w:ascii="宋体" w:hAnsi="宋体" w:cs="宋体"/>
          <w:color w:val="auto"/>
          <w:kern w:val="2"/>
          <w:szCs w:val="21"/>
          <w:highlight w:val="none"/>
        </w:rPr>
        <w:t>（7）爱国卫生、文明城市、城乡人居环境整治、智慧城管指令、交警应急联动、信访等相关清扫保洁工作。</w:t>
      </w:r>
    </w:p>
    <w:p w14:paraId="066E2011">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2.作业时间要求：</w:t>
      </w:r>
    </w:p>
    <w:p w14:paraId="6FFE36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年原则上实行365天清扫保洁作业，以机扫保洁为主，人工保洁为辅。适合机扫的路段应实行机扫，提高路面清洁度，每天不少于1次机扫，必要时增加清扫次数，每天每台班累计作业时间不应少于6小时。不适合机扫的路段安排人工作业，主要路段、重要节点应安排巡回保洁，保洁作业时间按照路段人流量不同需求分为12-16小时不等，其它区域清扫保洁作业时间不得少于8小时。夜间应配备值班人员和应急突击小队，若遇恶劣天气除外。</w:t>
      </w:r>
    </w:p>
    <w:p w14:paraId="4622EB35">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3.道路、绿化带保洁作业要求：</w:t>
      </w:r>
    </w:p>
    <w:p w14:paraId="27FBB2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（1）作业质量标准应达到《城市环境卫生质量标准》、《浙江省城市道路清扫保洁质量标准》、《舟山市环境卫生管理工作考核办法》及采购人规定的相关质量标准及全国文明城市创建实地考察标准。</w:t>
      </w:r>
    </w:p>
    <w:p w14:paraId="234CA6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路面见本色，保洁区域内做到“五无五净”，“五无”既无果皮纸屑、无土石杂草、无积水积泥、无痰迹烟蒂小广告、无堆积物；“五净”既路面干净、道路绿地树圈干净、边角侧石干净、窨井沟眼畅通干净、果壳箱等环卫设施、设备整齐干净。清扫出的垃圾现堆现收，不漏扫不漏收，车行道、人行道不得漏扫或反扫到交叉路口、里弄口内侧、喇叭口；也不得扫入窨井和绿化带内。</w:t>
      </w:r>
    </w:p>
    <w:p w14:paraId="45B382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路面每1000平方米废弃物控制指标：果皮≤4－6个（片），纸屑塑膜≤4－6片，烟蒂≤4－8只，痰迹≤4－8处，污水≤0－0.5平方米，其它≤0－2处，垃圾滞留时间≤20－25分钟（每类废弃物的前项数据为一级路面控制指标，后项数据为二级路面控制指标）。</w:t>
      </w:r>
    </w:p>
    <w:p w14:paraId="09F0E2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（4）道路粉尘控制在25克/ m2以下。</w:t>
      </w:r>
    </w:p>
    <w:p w14:paraId="5F19F6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道路路面应定时清洗和洒水，清洗时间一般应在晚上或清晨，每周不应少于一次，其中主要路段辅以多功能洗扫作业，提高路面的清洁度与减轻扬尘污染；气温在30℃以上时，每天洒水不应少于3次，平常不应少于2次，气温低于3℃时应停止清洗和洒水。</w:t>
      </w:r>
    </w:p>
    <w:p w14:paraId="4FE33F9E">
      <w:pPr>
        <w:pStyle w:val="2"/>
        <w:ind w:firstLine="420" w:firstLineChars="200"/>
        <w:rPr>
          <w:color w:val="auto"/>
          <w:highlight w:val="none"/>
        </w:rPr>
      </w:pPr>
      <w:r>
        <w:rPr>
          <w:rFonts w:hint="eastAsia" w:ascii="宋体" w:hAnsi="宋体" w:cs="宋体"/>
          <w:color w:val="auto"/>
          <w:szCs w:val="21"/>
          <w:highlight w:val="none"/>
        </w:rPr>
        <w:t>（6）保洁路段如遇无法机扫的障碍物和污渍应安排应急小队及时处置。</w:t>
      </w:r>
    </w:p>
    <w:p w14:paraId="6DCFBB8C">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4.生活垃圾分类收集、运输作业要求：</w:t>
      </w:r>
    </w:p>
    <w:p w14:paraId="56ED22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区域内实施生活垃圾分类作业，执行《浙江省生活垃圾管理条例》、《浙江省城镇生活垃圾分类标准》等规定，按标准设置垃圾分类投放容器，设立分类垃圾收集点，引导城乡居民、沿街商户、企事业单位等进行分类投放，建立分类收集、分类运输机制，做到项目区域内产生的垃圾“日产日清”，严禁随意倾倒和焚烧垃圾。</w:t>
      </w:r>
    </w:p>
    <w:p w14:paraId="093596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由投标人对生活垃圾实施分类收集（收运）到指定的6个垃圾中转站，易腐垃圾分类运输至团鸡山垃圾焚烧厂等环卫终端设施处置；对大件垃圾、无主垃圾等废弃物，由投标人收运至辖区的分拣中心，分类堆放。</w:t>
      </w:r>
    </w:p>
    <w:p w14:paraId="38DC67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收运车辆要做到每天清洗，保持车容整洁，安装分类标识、反光警示条，不得吊挂杂物，做到密闭化运输，严禁抛洒滴漏。</w:t>
      </w:r>
    </w:p>
    <w:p w14:paraId="453AD007">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5.公共厕所保洁管理要求：</w:t>
      </w:r>
    </w:p>
    <w:p w14:paraId="61351B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（1）未经环卫部门批准，不准擅自关闭、停用公共厕所。</w:t>
      </w:r>
    </w:p>
    <w:p w14:paraId="691C4E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（2）公共厕所管理规章制度信息牌健全，并上墙。</w:t>
      </w:r>
    </w:p>
    <w:p w14:paraId="1FAF86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（3）公共厕所配备的照明灯、洗手用具、镜子、冲水设备等应完好，无积灰、污物，如有损坏，及时上报维修。</w:t>
      </w:r>
    </w:p>
    <w:p w14:paraId="67F1D2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（4）公共厕所外墙及外环境应整洁，无乱涂乱画，无乱堆杂物，公厕四周5米范围内，应无垃圾、粪便、污水等污物。</w:t>
      </w:r>
    </w:p>
    <w:p w14:paraId="486B69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（5）公共厕所内墙面、天花板、门窗和隔离板应无剥落、积灰、污迹、蛛网，乱涂乱画；地面整洁，无积水；便池和管道无破损，如有损坏，及时上报维修。</w:t>
      </w:r>
    </w:p>
    <w:p w14:paraId="1EC30D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（6）小便池内应无水锈、尿垢、垃圾，基本无臭，沟眼、管道保持畅通。</w:t>
      </w:r>
    </w:p>
    <w:p w14:paraId="0DD02A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（7）公共厕所无明显臭味，蹲位整洁。</w:t>
      </w:r>
    </w:p>
    <w:p w14:paraId="290F50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（8）蝇蚊孳生季节，定时喷洒灭蝇药物，有效控制蝇蛆孳生的。</w:t>
      </w:r>
    </w:p>
    <w:p w14:paraId="638B3E0F">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6.安全生产要求：</w:t>
      </w:r>
    </w:p>
    <w:p w14:paraId="4710B78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投标人应建立健全安全生产管理制度和落实安全生产责任人。作业人员、作业车辆应严格遵守交通规则，作业车辆应集中规范停放。若出现安全生产、意外事故等情况，明确由投标人负责协调解决，并承担全部责任与经济赔偿。</w:t>
      </w:r>
    </w:p>
    <w:p w14:paraId="538D01C3">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7.文明作业要求：</w:t>
      </w:r>
    </w:p>
    <w:p w14:paraId="3882677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投标人要加强环卫工人文明作业宣传教育，环卫工人需着装规范，荧光条无剥落，作业时无吸烟、闲聊等现象，遵守交通秩序，不得横穿马路，作业车辆礼让斑马线。</w:t>
      </w:r>
    </w:p>
    <w:p w14:paraId="65B6B9D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车辆作业需注意滴洒抛漏，降低噪音，减少对周边群众的影响。洒水车要根据气象情况，避免3℃以下洒水作业，作业时要注意周边行人。</w:t>
      </w:r>
    </w:p>
    <w:p w14:paraId="04FDEB0D">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8.管理机构要求：</w:t>
      </w:r>
    </w:p>
    <w:p w14:paraId="067958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必须建立清扫保洁管理机构，分解管理责任目标；建立应对遭遇恶劣天气环境卫生作业的应急机制；建立健全各项保洁管理的规章制度，明确各路段及作业点位作业人员分工情况表；健全巡查、考核制度，有巡查日志；各项台帐资料齐全、确实可信。</w:t>
      </w:r>
    </w:p>
    <w:p w14:paraId="18D88C69">
      <w:pPr>
        <w:pStyle w:val="2"/>
        <w:spacing w:after="0"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9.人员、设备投入要求：</w:t>
      </w:r>
    </w:p>
    <w:p w14:paraId="773917AE">
      <w:pPr>
        <w:pStyle w:val="2"/>
        <w:spacing w:after="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针对本项目需求，要求配置足够的扫把、铁锹、电动（人力）保洁车，包括（但不限于）拟配置的其它作业设备、机具、工具、易耗材料等物资；配置完整的办公场所、办公设备、停车场；配置规范的从业人员服装、劳动防护等物资。</w:t>
      </w:r>
    </w:p>
    <w:p w14:paraId="43A48B59">
      <w:pPr>
        <w:pStyle w:val="2"/>
        <w:spacing w:after="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（2）投标人须按要求投入作业人员，作业人员应经环境卫生专业培训后方可上岗作业。</w:t>
      </w:r>
    </w:p>
    <w:p w14:paraId="02D0EC62">
      <w:pPr>
        <w:pStyle w:val="2"/>
        <w:spacing w:after="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为保证城市环卫作业机械化水平，投标人必须按照投标方案配置必须的车辆、设备及器具，机械化操作人员必须持有相应的证书方可上岗作业。投标人承诺配置的新能源车辆，必须是投标人自有且车龄不超过3年（指车辆购置首次上牌注册时间为2021年1月1日之后车况良好的车辆）或承诺中标后购买的新车辆，车辆性能满足本项目环境卫生作业要求。</w:t>
      </w:r>
    </w:p>
    <w:p w14:paraId="18114AAA">
      <w:pPr>
        <w:pStyle w:val="2"/>
        <w:spacing w:after="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投标人承诺投入的各类环卫车辆、设备及器具等装备，要求在合同签订后向采购人报备环卫从业人员、车辆、设备、器具等具体信息，并接收投标人的验收审核。如无法在采购人指定进场时间一个月内配齐，并投入持续运行，每缺一项按中标单价费用的120%扣除当月项目承包费，次月起仍未整改到位的项目合同终止并追究中标人的责任，赔偿由此造成的经济损失。</w:t>
      </w:r>
    </w:p>
    <w:p w14:paraId="39BEDE2C">
      <w:pPr>
        <w:pStyle w:val="2"/>
        <w:spacing w:after="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投标人需将车辆接入环卫主管部门提供的智慧城管平台确保项目专用清扫保洁作业及垃圾运输等车辆的定位、超速的预警、跨区域作业预警、作业视频监控查询功能系统等正常使用，以便采购人随时检查车辆位置及工作情况。</w:t>
      </w:r>
    </w:p>
    <w:p w14:paraId="271A4188">
      <w:pPr>
        <w:pStyle w:val="2"/>
        <w:spacing w:after="0"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10.其他要求</w:t>
      </w:r>
    </w:p>
    <w:p w14:paraId="58215572">
      <w:pPr>
        <w:pStyle w:val="2"/>
        <w:spacing w:after="0" w:line="360" w:lineRule="auto"/>
        <w:ind w:firstLine="465"/>
        <w:rPr>
          <w:rFonts w:hint="eastAsia" w:ascii="宋体" w:hAnsi="宋体" w:cs="宋体"/>
          <w:b/>
          <w:bCs/>
          <w:color w:val="auto"/>
          <w:szCs w:val="21"/>
          <w:highlight w:val="none"/>
        </w:rPr>
      </w:pPr>
      <w:r>
        <w:rPr>
          <w:rFonts w:hint="eastAsia" w:ascii="宋体" w:hAnsi="宋体" w:cs="宋体"/>
          <w:color w:val="auto"/>
          <w:szCs w:val="21"/>
          <w:highlight w:val="none"/>
        </w:rPr>
        <w:t>（1）为提升作业队伍形象，保证作业质量，保洁人员应着采购人要求的服装，采购人每两年配发一次服装，交接过渡期环卫工人服装双方协商解决，其他需要更换的情况，由投标人补足。</w:t>
      </w:r>
    </w:p>
    <w:p w14:paraId="0001843F">
      <w:pPr>
        <w:pStyle w:val="2"/>
        <w:spacing w:after="0" w:line="360" w:lineRule="auto"/>
        <w:ind w:firstLine="465"/>
        <w:rPr>
          <w:rFonts w:hint="eastAsia" w:ascii="宋体" w:hAnsi="宋体" w:cs="宋体"/>
          <w:color w:val="auto"/>
          <w:szCs w:val="21"/>
          <w:highlight w:val="none"/>
        </w:rPr>
      </w:pPr>
      <w:r>
        <w:rPr>
          <w:rFonts w:hint="eastAsia" w:ascii="宋体" w:hAnsi="宋体" w:cs="宋体"/>
          <w:color w:val="auto"/>
          <w:szCs w:val="21"/>
          <w:highlight w:val="none"/>
        </w:rPr>
        <w:t>（2）投标人应优先录用项目内原有保洁人员，配合采购人做好原有保洁人员的安置、过渡及遗留问题。根据《浙江省人民政府办公厅关于进一步改善环卫工人工作生活条件促进环卫事业持续健康发展的若干意见》，确保环卫工人月工资收入不低于当地最低工资标准的110%，岗位津贴标准提高到每人每出勤日10元，每月按26日计算，按规定发放夏季清凉饮料费和福利，并按照采购人要求为环卫工人购买意外保险。</w:t>
      </w:r>
    </w:p>
    <w:p w14:paraId="1176DBEE">
      <w:pPr>
        <w:pStyle w:val="2"/>
        <w:spacing w:after="0" w:line="360" w:lineRule="auto"/>
        <w:ind w:firstLine="465"/>
        <w:rPr>
          <w:rFonts w:hint="eastAsia" w:ascii="宋体" w:hAnsi="宋体" w:cs="宋体"/>
          <w:color w:val="auto"/>
          <w:szCs w:val="21"/>
          <w:highlight w:val="none"/>
        </w:rPr>
      </w:pPr>
      <w:r>
        <w:rPr>
          <w:rFonts w:hint="eastAsia" w:ascii="宋体" w:hAnsi="宋体" w:cs="宋体"/>
          <w:color w:val="auto"/>
          <w:szCs w:val="21"/>
          <w:highlight w:val="none"/>
        </w:rPr>
        <w:t>（3）采购人如有超出本项目委托范围之外的内容，如新移交区域的保洁、新增需要清运垃圾的单位或其他临时保洁清运任务，投标人需无条件接受，保洁费由采购人根据分类作业标准及商务报价中单价予以追加，以工作签证单形式计入当月承包费。</w:t>
      </w:r>
    </w:p>
    <w:p w14:paraId="3918D1EB">
      <w:pPr>
        <w:pStyle w:val="2"/>
        <w:spacing w:after="0" w:line="360" w:lineRule="auto"/>
        <w:ind w:firstLine="465"/>
        <w:rPr>
          <w:rFonts w:hint="eastAsia" w:ascii="宋体" w:hAnsi="宋体" w:cs="宋体"/>
          <w:color w:val="auto"/>
          <w:szCs w:val="21"/>
          <w:highlight w:val="none"/>
        </w:rPr>
      </w:pPr>
      <w:r>
        <w:rPr>
          <w:rFonts w:hint="eastAsia" w:ascii="宋体" w:hAnsi="宋体" w:cs="宋体"/>
          <w:color w:val="auto"/>
          <w:szCs w:val="21"/>
          <w:highlight w:val="none"/>
        </w:rPr>
        <w:t>（4）现有的车辆如无法满足项目运行，双方协商增加车辆，运行费用按同类型车辆运营费的投标报价计算。</w:t>
      </w:r>
    </w:p>
    <w:p w14:paraId="7961E8A4">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（5）道路保洁中，如有道路因改造等原因不需要保洁，减少面积的费用以工作签证单形式，按照中标综合单价按月扣除。</w:t>
      </w:r>
    </w:p>
    <w:p w14:paraId="3276B68C">
      <w:pPr>
        <w:snapToGrid w:val="0"/>
        <w:spacing w:before="120" w:after="120"/>
        <w:outlineLvl w:val="0"/>
        <w:rPr>
          <w:rFonts w:hint="eastAsia" w:ascii="宋体" w:hAnsi="宋体" w:eastAsia="宋体" w:cs="Times New Roman"/>
          <w:b/>
          <w:color w:val="auto"/>
          <w:sz w:val="24"/>
          <w:szCs w:val="21"/>
          <w:highlight w:val="none"/>
        </w:rPr>
      </w:pPr>
    </w:p>
    <w:p w14:paraId="1458564E">
      <w:pPr>
        <w:snapToGrid w:val="0"/>
        <w:spacing w:before="120" w:after="120"/>
        <w:outlineLvl w:val="0"/>
        <w:rPr>
          <w:rFonts w:hint="eastAsia" w:ascii="宋体" w:hAnsi="宋体" w:eastAsia="宋体" w:cs="Times New Roman"/>
          <w:b/>
          <w:color w:val="auto"/>
          <w:sz w:val="24"/>
          <w:szCs w:val="21"/>
          <w:highlight w:val="none"/>
        </w:rPr>
      </w:pPr>
      <w:r>
        <w:rPr>
          <w:rFonts w:hint="eastAsia" w:ascii="宋体" w:hAnsi="宋体" w:eastAsia="宋体" w:cs="Times New Roman"/>
          <w:b/>
          <w:color w:val="auto"/>
          <w:sz w:val="24"/>
          <w:szCs w:val="21"/>
          <w:highlight w:val="none"/>
        </w:rPr>
        <w:t>三、考核办法</w:t>
      </w:r>
    </w:p>
    <w:p w14:paraId="176DBB3A">
      <w:pPr>
        <w:spacing w:line="360" w:lineRule="auto"/>
        <w:ind w:firstLine="480"/>
        <w:outlineLvl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1.考核原则</w:t>
      </w:r>
    </w:p>
    <w:p w14:paraId="10601B99">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采购人根据清扫保洁质量标准及环卫设施运行规范，结合当地实际制定考核办法。</w:t>
      </w:r>
    </w:p>
    <w:p w14:paraId="5DBEBAF6">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合同实施期间，采购人有权对投标人按环境卫生管理规范进行监督考核。投标人必须按照环境卫生行业管理规范进行作业，服从采购人的管理，接受采购人的检查考核，实事求是地向采购人汇报每月项目履约情况。</w:t>
      </w:r>
    </w:p>
    <w:p w14:paraId="6572906F">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检查考核中发现的问题，投标人应及时整改。在采购人整改通知书（电话、短信、信息平台）送达或上传1小时内未整改或整改不力的，纳入月绩效考核，同一问题多次抄告的加倍处罚。</w:t>
      </w:r>
    </w:p>
    <w:p w14:paraId="21A2CF07">
      <w:pPr>
        <w:spacing w:line="360" w:lineRule="auto"/>
        <w:ind w:firstLine="48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2.考核方式</w:t>
      </w:r>
    </w:p>
    <w:p w14:paraId="03A6F2F1">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每月组织考评人员负责对投标人承包范围内的作业质量进行考评（考核办法详见附件），并结合行政主管部门和市级环卫专业管理部门的考评、媒体曝光、群众投诉情况综合计算考评分数。考核人员采取每天巡查、明查与暗访、定期与不定期、定性和定量相结合的方式进行考核。</w:t>
      </w:r>
    </w:p>
    <w:p w14:paraId="512183E1">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3.考核分的运用</w:t>
      </w:r>
    </w:p>
    <w:p w14:paraId="3260CA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考核办法采用100分制与直接处罚相结合，根据检查考核实绩确定保洁成效，作为支付每月环卫保洁服务项目费用的依据。在项目实施过程中，采购人可根据实际情况对本《考核办法》进行修改。</w:t>
      </w:r>
    </w:p>
    <w:p w14:paraId="448C77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考核扣分扣款全部由投标人承担，每次考核95分（包括95分）及以上合格。考核合格的，全额支付当月费用，其他情况按以下方案执行：</w:t>
      </w:r>
    </w:p>
    <w:p w14:paraId="6BD95C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得分值在90-94之间的，在当月收运费用中相应扣除（95-得分值）*200元；</w:t>
      </w:r>
    </w:p>
    <w:p w14:paraId="0ECA25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得分值在86-89之间的，在当月收运费用中相应扣除（95-得分值）*500元；</w:t>
      </w:r>
    </w:p>
    <w:p w14:paraId="0C2D98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得分值在80-85之间的，在当月收运费用中相应扣除（95-得分值）*1000元；</w:t>
      </w:r>
    </w:p>
    <w:p w14:paraId="68585D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如低于80分（不含80分），则为不合格，扣除当月承包费用的30%，连续两次考核不合格的，则采购人有权单方面解除合同。</w:t>
      </w:r>
    </w:p>
    <w:p w14:paraId="67665DDD">
      <w:pPr>
        <w:numPr>
          <w:ilvl w:val="0"/>
          <w:numId w:val="9"/>
        </w:num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考核细则 </w:t>
      </w:r>
      <w:r>
        <w:rPr>
          <w:rFonts w:hint="eastAsia" w:ascii="宋体" w:hAnsi="宋体" w:eastAsia="宋体" w:cs="宋体"/>
          <w:color w:val="auto"/>
          <w:szCs w:val="21"/>
          <w:highlight w:val="none"/>
        </w:rPr>
        <w:t>（项目履行期间，采购人有权因承包范围变化，对考核评分细则进行调整。）</w:t>
      </w:r>
    </w:p>
    <w:tbl>
      <w:tblPr>
        <w:tblStyle w:val="61"/>
        <w:tblW w:w="10392" w:type="dxa"/>
        <w:tblInd w:w="-7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044"/>
        <w:gridCol w:w="5892"/>
        <w:gridCol w:w="588"/>
        <w:gridCol w:w="1656"/>
        <w:gridCol w:w="624"/>
      </w:tblGrid>
      <w:tr w14:paraId="69720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392" w:type="dxa"/>
            <w:gridSpan w:val="6"/>
            <w:shd w:val="clear" w:color="auto" w:fill="auto"/>
            <w:noWrap/>
            <w:vAlign w:val="center"/>
          </w:tcPr>
          <w:p w14:paraId="4E209D05">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环境卫生考核评分细则</w:t>
            </w:r>
          </w:p>
        </w:tc>
      </w:tr>
      <w:tr w14:paraId="6888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88" w:type="dxa"/>
            <w:shd w:val="clear" w:color="auto" w:fill="auto"/>
            <w:noWrap/>
            <w:vAlign w:val="center"/>
          </w:tcPr>
          <w:p w14:paraId="57B7B1A8">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序号</w:t>
            </w:r>
          </w:p>
        </w:tc>
        <w:tc>
          <w:tcPr>
            <w:tcW w:w="1044" w:type="dxa"/>
            <w:shd w:val="clear" w:color="auto" w:fill="auto"/>
            <w:noWrap/>
            <w:vAlign w:val="center"/>
          </w:tcPr>
          <w:p w14:paraId="4E02D933">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检查项目</w:t>
            </w:r>
          </w:p>
        </w:tc>
        <w:tc>
          <w:tcPr>
            <w:tcW w:w="5892" w:type="dxa"/>
            <w:shd w:val="clear" w:color="auto" w:fill="auto"/>
            <w:noWrap/>
            <w:vAlign w:val="center"/>
          </w:tcPr>
          <w:p w14:paraId="57F0886B">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检查内容</w:t>
            </w:r>
          </w:p>
        </w:tc>
        <w:tc>
          <w:tcPr>
            <w:tcW w:w="588" w:type="dxa"/>
            <w:shd w:val="clear" w:color="auto" w:fill="auto"/>
            <w:noWrap/>
            <w:vAlign w:val="center"/>
          </w:tcPr>
          <w:p w14:paraId="557B3AB5">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分值</w:t>
            </w:r>
          </w:p>
        </w:tc>
        <w:tc>
          <w:tcPr>
            <w:tcW w:w="1656" w:type="dxa"/>
            <w:shd w:val="clear" w:color="auto" w:fill="auto"/>
            <w:noWrap/>
            <w:vAlign w:val="center"/>
          </w:tcPr>
          <w:p w14:paraId="1B61A185">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评分标准</w:t>
            </w:r>
          </w:p>
        </w:tc>
        <w:tc>
          <w:tcPr>
            <w:tcW w:w="624" w:type="dxa"/>
            <w:shd w:val="clear" w:color="auto" w:fill="auto"/>
            <w:noWrap/>
            <w:vAlign w:val="center"/>
          </w:tcPr>
          <w:p w14:paraId="1F78BB91">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备注</w:t>
            </w:r>
          </w:p>
        </w:tc>
      </w:tr>
      <w:tr w14:paraId="78542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88" w:type="dxa"/>
            <w:vMerge w:val="restart"/>
            <w:shd w:val="clear" w:color="auto" w:fill="auto"/>
            <w:noWrap/>
            <w:vAlign w:val="center"/>
          </w:tcPr>
          <w:p w14:paraId="42505EE4">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044" w:type="dxa"/>
            <w:vMerge w:val="restart"/>
            <w:shd w:val="clear" w:color="auto" w:fill="auto"/>
            <w:vAlign w:val="center"/>
          </w:tcPr>
          <w:p w14:paraId="400E024E">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体制机制（7分）</w:t>
            </w:r>
          </w:p>
        </w:tc>
        <w:tc>
          <w:tcPr>
            <w:tcW w:w="5892" w:type="dxa"/>
            <w:shd w:val="clear" w:color="auto" w:fill="auto"/>
            <w:vAlign w:val="center"/>
          </w:tcPr>
          <w:p w14:paraId="1B6E9D8B">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内部管理制度健全。各项保洁管理、公厕管理、环卫车辆管理、市容环境卫生检查及各类安全制度健全。</w:t>
            </w:r>
          </w:p>
        </w:tc>
        <w:tc>
          <w:tcPr>
            <w:tcW w:w="588" w:type="dxa"/>
            <w:shd w:val="clear" w:color="auto" w:fill="auto"/>
            <w:noWrap/>
            <w:vAlign w:val="center"/>
          </w:tcPr>
          <w:p w14:paraId="24BA96D1">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1656" w:type="dxa"/>
            <w:shd w:val="clear" w:color="auto" w:fill="auto"/>
            <w:vAlign w:val="center"/>
          </w:tcPr>
          <w:p w14:paraId="5392E7E9">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无管理制度不得分,制度不健全扣 1 分。</w:t>
            </w:r>
          </w:p>
        </w:tc>
        <w:tc>
          <w:tcPr>
            <w:tcW w:w="624" w:type="dxa"/>
            <w:shd w:val="clear" w:color="auto" w:fill="auto"/>
            <w:noWrap/>
            <w:vAlign w:val="center"/>
          </w:tcPr>
          <w:p w14:paraId="5C09298C">
            <w:pPr>
              <w:rPr>
                <w:rFonts w:hint="eastAsia" w:ascii="宋体" w:hAnsi="宋体" w:eastAsia="宋体" w:cs="宋体"/>
                <w:color w:val="auto"/>
                <w:sz w:val="20"/>
                <w:szCs w:val="20"/>
                <w:highlight w:val="none"/>
              </w:rPr>
            </w:pPr>
          </w:p>
        </w:tc>
      </w:tr>
      <w:tr w14:paraId="3FCE7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88" w:type="dxa"/>
            <w:vMerge w:val="continue"/>
            <w:shd w:val="clear" w:color="auto" w:fill="auto"/>
            <w:noWrap/>
            <w:vAlign w:val="center"/>
          </w:tcPr>
          <w:p w14:paraId="5178DDC3">
            <w:pPr>
              <w:jc w:val="center"/>
              <w:rPr>
                <w:rFonts w:hint="eastAsia" w:ascii="宋体" w:hAnsi="宋体" w:eastAsia="宋体" w:cs="宋体"/>
                <w:color w:val="auto"/>
                <w:sz w:val="20"/>
                <w:szCs w:val="20"/>
                <w:highlight w:val="none"/>
              </w:rPr>
            </w:pPr>
          </w:p>
        </w:tc>
        <w:tc>
          <w:tcPr>
            <w:tcW w:w="1044" w:type="dxa"/>
            <w:vMerge w:val="continue"/>
            <w:shd w:val="clear" w:color="auto" w:fill="auto"/>
            <w:vAlign w:val="center"/>
          </w:tcPr>
          <w:p w14:paraId="589B43B5">
            <w:pPr>
              <w:jc w:val="center"/>
              <w:rPr>
                <w:rFonts w:hint="eastAsia" w:ascii="宋体" w:hAnsi="宋体" w:eastAsia="宋体" w:cs="宋体"/>
                <w:color w:val="auto"/>
                <w:sz w:val="20"/>
                <w:szCs w:val="20"/>
                <w:highlight w:val="none"/>
              </w:rPr>
            </w:pPr>
          </w:p>
        </w:tc>
        <w:tc>
          <w:tcPr>
            <w:tcW w:w="5892" w:type="dxa"/>
            <w:shd w:val="clear" w:color="auto" w:fill="auto"/>
            <w:vAlign w:val="center"/>
          </w:tcPr>
          <w:p w14:paraId="4BB27290">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加强安全生产管理,有月度计划、年度总结,针对性地开展安全教育、文明作业等方面培训,强化行业队伍建设。</w:t>
            </w:r>
          </w:p>
        </w:tc>
        <w:tc>
          <w:tcPr>
            <w:tcW w:w="588" w:type="dxa"/>
            <w:shd w:val="clear" w:color="auto" w:fill="auto"/>
            <w:noWrap/>
            <w:vAlign w:val="center"/>
          </w:tcPr>
          <w:p w14:paraId="68CF6268">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3</w:t>
            </w:r>
          </w:p>
        </w:tc>
        <w:tc>
          <w:tcPr>
            <w:tcW w:w="1656" w:type="dxa"/>
            <w:shd w:val="clear" w:color="auto" w:fill="auto"/>
            <w:noWrap/>
            <w:vAlign w:val="center"/>
          </w:tcPr>
          <w:p w14:paraId="3BDFFA9B">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每少一种类型,扣 1 分。</w:t>
            </w:r>
          </w:p>
        </w:tc>
        <w:tc>
          <w:tcPr>
            <w:tcW w:w="624" w:type="dxa"/>
            <w:shd w:val="clear" w:color="auto" w:fill="auto"/>
            <w:noWrap/>
            <w:vAlign w:val="center"/>
          </w:tcPr>
          <w:p w14:paraId="397672EC">
            <w:pPr>
              <w:rPr>
                <w:rFonts w:hint="eastAsia" w:ascii="宋体" w:hAnsi="宋体" w:eastAsia="宋体" w:cs="宋体"/>
                <w:color w:val="auto"/>
                <w:sz w:val="20"/>
                <w:szCs w:val="20"/>
                <w:highlight w:val="none"/>
              </w:rPr>
            </w:pPr>
          </w:p>
        </w:tc>
      </w:tr>
      <w:tr w14:paraId="3B742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88" w:type="dxa"/>
            <w:vMerge w:val="restart"/>
            <w:shd w:val="clear" w:color="auto" w:fill="auto"/>
            <w:noWrap/>
            <w:vAlign w:val="center"/>
          </w:tcPr>
          <w:p w14:paraId="3A8AB779">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w:t>
            </w:r>
          </w:p>
        </w:tc>
        <w:tc>
          <w:tcPr>
            <w:tcW w:w="1044" w:type="dxa"/>
            <w:vMerge w:val="restart"/>
            <w:shd w:val="clear" w:color="auto" w:fill="auto"/>
            <w:vAlign w:val="center"/>
          </w:tcPr>
          <w:p w14:paraId="4AD2782C">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礼仪规范（10分）</w:t>
            </w:r>
          </w:p>
        </w:tc>
        <w:tc>
          <w:tcPr>
            <w:tcW w:w="5892" w:type="dxa"/>
            <w:shd w:val="clear" w:color="auto" w:fill="auto"/>
            <w:noWrap/>
            <w:vAlign w:val="center"/>
          </w:tcPr>
          <w:p w14:paraId="0559607D">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环卫工人着装规范，佩戴工作牌上岗，荧光条无剥落。</w:t>
            </w:r>
          </w:p>
        </w:tc>
        <w:tc>
          <w:tcPr>
            <w:tcW w:w="588" w:type="dxa"/>
            <w:shd w:val="clear" w:color="auto" w:fill="auto"/>
            <w:noWrap/>
            <w:vAlign w:val="center"/>
          </w:tcPr>
          <w:p w14:paraId="46B573C1">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3</w:t>
            </w:r>
          </w:p>
        </w:tc>
        <w:tc>
          <w:tcPr>
            <w:tcW w:w="1656" w:type="dxa"/>
            <w:vMerge w:val="restart"/>
            <w:shd w:val="clear" w:color="auto" w:fill="auto"/>
            <w:vAlign w:val="center"/>
          </w:tcPr>
          <w:p w14:paraId="1EF6BD8E">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每发现一处扣0.5分；遇有投诉一次扣1分；被媒体曝光不得分</w:t>
            </w:r>
          </w:p>
        </w:tc>
        <w:tc>
          <w:tcPr>
            <w:tcW w:w="624" w:type="dxa"/>
            <w:shd w:val="clear" w:color="auto" w:fill="auto"/>
            <w:noWrap/>
            <w:vAlign w:val="center"/>
          </w:tcPr>
          <w:p w14:paraId="509DD667">
            <w:pPr>
              <w:rPr>
                <w:rFonts w:hint="eastAsia" w:ascii="宋体" w:hAnsi="宋体" w:eastAsia="宋体" w:cs="宋体"/>
                <w:color w:val="auto"/>
                <w:sz w:val="20"/>
                <w:szCs w:val="20"/>
                <w:highlight w:val="none"/>
              </w:rPr>
            </w:pPr>
          </w:p>
        </w:tc>
      </w:tr>
      <w:tr w14:paraId="72C9E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88" w:type="dxa"/>
            <w:vMerge w:val="continue"/>
            <w:shd w:val="clear" w:color="auto" w:fill="auto"/>
            <w:noWrap/>
            <w:vAlign w:val="center"/>
          </w:tcPr>
          <w:p w14:paraId="4E386CB1">
            <w:pPr>
              <w:jc w:val="center"/>
              <w:rPr>
                <w:rFonts w:hint="eastAsia" w:ascii="宋体" w:hAnsi="宋体" w:eastAsia="宋体" w:cs="宋体"/>
                <w:color w:val="auto"/>
                <w:sz w:val="20"/>
                <w:szCs w:val="20"/>
                <w:highlight w:val="none"/>
              </w:rPr>
            </w:pPr>
          </w:p>
        </w:tc>
        <w:tc>
          <w:tcPr>
            <w:tcW w:w="1044" w:type="dxa"/>
            <w:vMerge w:val="continue"/>
            <w:shd w:val="clear" w:color="auto" w:fill="auto"/>
            <w:vAlign w:val="center"/>
          </w:tcPr>
          <w:p w14:paraId="20441720">
            <w:pPr>
              <w:jc w:val="center"/>
              <w:rPr>
                <w:rFonts w:hint="eastAsia" w:ascii="宋体" w:hAnsi="宋体" w:eastAsia="宋体" w:cs="宋体"/>
                <w:color w:val="auto"/>
                <w:sz w:val="20"/>
                <w:szCs w:val="20"/>
                <w:highlight w:val="none"/>
              </w:rPr>
            </w:pPr>
          </w:p>
        </w:tc>
        <w:tc>
          <w:tcPr>
            <w:tcW w:w="5892" w:type="dxa"/>
            <w:shd w:val="clear" w:color="auto" w:fill="auto"/>
            <w:noWrap/>
            <w:vAlign w:val="center"/>
          </w:tcPr>
          <w:p w14:paraId="055C2BEB">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作业时无吸烟、进食、闲聊等现象。</w:t>
            </w:r>
          </w:p>
        </w:tc>
        <w:tc>
          <w:tcPr>
            <w:tcW w:w="588" w:type="dxa"/>
            <w:shd w:val="clear" w:color="auto" w:fill="auto"/>
            <w:noWrap/>
            <w:vAlign w:val="center"/>
          </w:tcPr>
          <w:p w14:paraId="4DB833C2">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1656" w:type="dxa"/>
            <w:vMerge w:val="continue"/>
            <w:shd w:val="clear" w:color="auto" w:fill="auto"/>
            <w:vAlign w:val="center"/>
          </w:tcPr>
          <w:p w14:paraId="6197C871">
            <w:pPr>
              <w:jc w:val="center"/>
              <w:rPr>
                <w:rFonts w:hint="eastAsia" w:ascii="宋体" w:hAnsi="宋体" w:eastAsia="宋体" w:cs="宋体"/>
                <w:color w:val="auto"/>
                <w:sz w:val="20"/>
                <w:szCs w:val="20"/>
                <w:highlight w:val="none"/>
              </w:rPr>
            </w:pPr>
          </w:p>
        </w:tc>
        <w:tc>
          <w:tcPr>
            <w:tcW w:w="624" w:type="dxa"/>
            <w:shd w:val="clear" w:color="auto" w:fill="auto"/>
            <w:noWrap/>
            <w:vAlign w:val="center"/>
          </w:tcPr>
          <w:p w14:paraId="60547999">
            <w:pPr>
              <w:rPr>
                <w:rFonts w:hint="eastAsia" w:ascii="宋体" w:hAnsi="宋体" w:eastAsia="宋体" w:cs="宋体"/>
                <w:color w:val="auto"/>
                <w:sz w:val="20"/>
                <w:szCs w:val="20"/>
                <w:highlight w:val="none"/>
              </w:rPr>
            </w:pPr>
          </w:p>
        </w:tc>
      </w:tr>
      <w:tr w14:paraId="76D10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588" w:type="dxa"/>
            <w:vMerge w:val="continue"/>
            <w:shd w:val="clear" w:color="auto" w:fill="auto"/>
            <w:noWrap/>
            <w:vAlign w:val="center"/>
          </w:tcPr>
          <w:p w14:paraId="2E181444">
            <w:pPr>
              <w:jc w:val="center"/>
              <w:rPr>
                <w:rFonts w:hint="eastAsia" w:ascii="宋体" w:hAnsi="宋体" w:eastAsia="宋体" w:cs="宋体"/>
                <w:color w:val="auto"/>
                <w:sz w:val="20"/>
                <w:szCs w:val="20"/>
                <w:highlight w:val="none"/>
              </w:rPr>
            </w:pPr>
          </w:p>
        </w:tc>
        <w:tc>
          <w:tcPr>
            <w:tcW w:w="1044" w:type="dxa"/>
            <w:vMerge w:val="continue"/>
            <w:shd w:val="clear" w:color="auto" w:fill="auto"/>
            <w:vAlign w:val="center"/>
          </w:tcPr>
          <w:p w14:paraId="07BB5373">
            <w:pPr>
              <w:jc w:val="center"/>
              <w:rPr>
                <w:rFonts w:hint="eastAsia" w:ascii="宋体" w:hAnsi="宋体" w:eastAsia="宋体" w:cs="宋体"/>
                <w:color w:val="auto"/>
                <w:sz w:val="20"/>
                <w:szCs w:val="20"/>
                <w:highlight w:val="none"/>
              </w:rPr>
            </w:pPr>
          </w:p>
        </w:tc>
        <w:tc>
          <w:tcPr>
            <w:tcW w:w="5892" w:type="dxa"/>
            <w:shd w:val="clear" w:color="auto" w:fill="auto"/>
            <w:vAlign w:val="center"/>
          </w:tcPr>
          <w:p w14:paraId="63C0AC72">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遵守交通秩序和规范，作业车辆礼让斑马线，文明作业，注意周边行人。</w:t>
            </w:r>
          </w:p>
        </w:tc>
        <w:tc>
          <w:tcPr>
            <w:tcW w:w="588" w:type="dxa"/>
            <w:shd w:val="clear" w:color="auto" w:fill="auto"/>
            <w:noWrap/>
            <w:vAlign w:val="center"/>
          </w:tcPr>
          <w:p w14:paraId="3CF57792">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3</w:t>
            </w:r>
          </w:p>
        </w:tc>
        <w:tc>
          <w:tcPr>
            <w:tcW w:w="1656" w:type="dxa"/>
            <w:vMerge w:val="continue"/>
            <w:shd w:val="clear" w:color="auto" w:fill="auto"/>
            <w:vAlign w:val="center"/>
          </w:tcPr>
          <w:p w14:paraId="0586670F">
            <w:pPr>
              <w:jc w:val="center"/>
              <w:rPr>
                <w:rFonts w:hint="eastAsia" w:ascii="宋体" w:hAnsi="宋体" w:eastAsia="宋体" w:cs="宋体"/>
                <w:color w:val="auto"/>
                <w:sz w:val="20"/>
                <w:szCs w:val="20"/>
                <w:highlight w:val="none"/>
              </w:rPr>
            </w:pPr>
          </w:p>
        </w:tc>
        <w:tc>
          <w:tcPr>
            <w:tcW w:w="624" w:type="dxa"/>
            <w:shd w:val="clear" w:color="auto" w:fill="auto"/>
            <w:noWrap/>
            <w:vAlign w:val="center"/>
          </w:tcPr>
          <w:p w14:paraId="1CF7EDAC">
            <w:pPr>
              <w:rPr>
                <w:rFonts w:hint="eastAsia" w:ascii="宋体" w:hAnsi="宋体" w:eastAsia="宋体" w:cs="宋体"/>
                <w:color w:val="auto"/>
                <w:sz w:val="20"/>
                <w:szCs w:val="20"/>
                <w:highlight w:val="none"/>
              </w:rPr>
            </w:pPr>
          </w:p>
        </w:tc>
      </w:tr>
      <w:tr w14:paraId="5C7C3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88" w:type="dxa"/>
            <w:vMerge w:val="restart"/>
            <w:shd w:val="clear" w:color="auto" w:fill="auto"/>
            <w:noWrap/>
            <w:vAlign w:val="center"/>
          </w:tcPr>
          <w:p w14:paraId="1EEE1C6B">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3</w:t>
            </w:r>
          </w:p>
        </w:tc>
        <w:tc>
          <w:tcPr>
            <w:tcW w:w="1044" w:type="dxa"/>
            <w:vMerge w:val="restart"/>
            <w:shd w:val="clear" w:color="auto" w:fill="auto"/>
            <w:vAlign w:val="center"/>
          </w:tcPr>
          <w:p w14:paraId="22B13366">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道路保洁</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（25分）</w:t>
            </w:r>
          </w:p>
        </w:tc>
        <w:tc>
          <w:tcPr>
            <w:tcW w:w="5892" w:type="dxa"/>
            <w:shd w:val="clear" w:color="auto" w:fill="auto"/>
            <w:noWrap/>
            <w:vAlign w:val="center"/>
          </w:tcPr>
          <w:p w14:paraId="6C82F9D2">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各类等级道路保洁人员到位、车辆落实情况。</w:t>
            </w:r>
          </w:p>
        </w:tc>
        <w:tc>
          <w:tcPr>
            <w:tcW w:w="588" w:type="dxa"/>
            <w:shd w:val="clear" w:color="auto" w:fill="auto"/>
            <w:noWrap/>
            <w:vAlign w:val="center"/>
          </w:tcPr>
          <w:p w14:paraId="60CEFFA1">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w:t>
            </w:r>
          </w:p>
        </w:tc>
        <w:tc>
          <w:tcPr>
            <w:tcW w:w="1656" w:type="dxa"/>
            <w:shd w:val="clear" w:color="auto" w:fill="auto"/>
            <w:vAlign w:val="center"/>
          </w:tcPr>
          <w:p w14:paraId="605E699D">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保洁时间和人员未落实，发现一处扣1分</w:t>
            </w:r>
          </w:p>
        </w:tc>
        <w:tc>
          <w:tcPr>
            <w:tcW w:w="624" w:type="dxa"/>
            <w:shd w:val="clear" w:color="auto" w:fill="auto"/>
            <w:noWrap/>
            <w:vAlign w:val="center"/>
          </w:tcPr>
          <w:p w14:paraId="377A63F3">
            <w:pPr>
              <w:rPr>
                <w:rFonts w:hint="eastAsia" w:ascii="宋体" w:hAnsi="宋体" w:eastAsia="宋体" w:cs="宋体"/>
                <w:color w:val="auto"/>
                <w:sz w:val="20"/>
                <w:szCs w:val="20"/>
                <w:highlight w:val="none"/>
              </w:rPr>
            </w:pPr>
          </w:p>
        </w:tc>
      </w:tr>
      <w:tr w14:paraId="1D13B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88" w:type="dxa"/>
            <w:vMerge w:val="continue"/>
            <w:shd w:val="clear" w:color="auto" w:fill="auto"/>
            <w:noWrap/>
            <w:vAlign w:val="center"/>
          </w:tcPr>
          <w:p w14:paraId="16E3158D">
            <w:pPr>
              <w:jc w:val="center"/>
              <w:rPr>
                <w:rFonts w:hint="eastAsia" w:ascii="宋体" w:hAnsi="宋体" w:eastAsia="宋体" w:cs="宋体"/>
                <w:color w:val="auto"/>
                <w:sz w:val="20"/>
                <w:szCs w:val="20"/>
                <w:highlight w:val="none"/>
              </w:rPr>
            </w:pPr>
          </w:p>
        </w:tc>
        <w:tc>
          <w:tcPr>
            <w:tcW w:w="1044" w:type="dxa"/>
            <w:vMerge w:val="continue"/>
            <w:shd w:val="clear" w:color="auto" w:fill="auto"/>
            <w:vAlign w:val="center"/>
          </w:tcPr>
          <w:p w14:paraId="64F0373A">
            <w:pPr>
              <w:jc w:val="center"/>
              <w:rPr>
                <w:rFonts w:hint="eastAsia" w:ascii="宋体" w:hAnsi="宋体" w:eastAsia="宋体" w:cs="宋体"/>
                <w:color w:val="auto"/>
                <w:sz w:val="20"/>
                <w:szCs w:val="20"/>
                <w:highlight w:val="none"/>
              </w:rPr>
            </w:pPr>
          </w:p>
        </w:tc>
        <w:tc>
          <w:tcPr>
            <w:tcW w:w="5892" w:type="dxa"/>
            <w:shd w:val="clear" w:color="auto" w:fill="auto"/>
            <w:vAlign w:val="center"/>
          </w:tcPr>
          <w:p w14:paraId="2858BA1F">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机动车道、非机动车道、人行道路面见本色，道路无污渍、积沙、积水、青苔杂草。</w:t>
            </w:r>
          </w:p>
        </w:tc>
        <w:tc>
          <w:tcPr>
            <w:tcW w:w="588" w:type="dxa"/>
            <w:vMerge w:val="restart"/>
            <w:shd w:val="clear" w:color="auto" w:fill="auto"/>
            <w:noWrap/>
            <w:vAlign w:val="center"/>
          </w:tcPr>
          <w:p w14:paraId="7C507146">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19</w:t>
            </w:r>
          </w:p>
        </w:tc>
        <w:tc>
          <w:tcPr>
            <w:tcW w:w="1656" w:type="dxa"/>
            <w:vMerge w:val="restart"/>
            <w:shd w:val="clear" w:color="auto" w:fill="auto"/>
            <w:vAlign w:val="center"/>
          </w:tcPr>
          <w:p w14:paraId="7F8632C3">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烟蒂、纸屑、宠物粪便发现5处扣0.5分；其他问题发现一处扣0.5分，扣完为止</w:t>
            </w:r>
          </w:p>
        </w:tc>
        <w:tc>
          <w:tcPr>
            <w:tcW w:w="624" w:type="dxa"/>
            <w:shd w:val="clear" w:color="auto" w:fill="auto"/>
            <w:noWrap/>
            <w:vAlign w:val="center"/>
          </w:tcPr>
          <w:p w14:paraId="656EC7FD">
            <w:pPr>
              <w:rPr>
                <w:rFonts w:hint="eastAsia" w:ascii="宋体" w:hAnsi="宋体" w:eastAsia="宋体" w:cs="宋体"/>
                <w:color w:val="auto"/>
                <w:sz w:val="20"/>
                <w:szCs w:val="20"/>
                <w:highlight w:val="none"/>
              </w:rPr>
            </w:pPr>
          </w:p>
        </w:tc>
      </w:tr>
      <w:tr w14:paraId="47751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588" w:type="dxa"/>
            <w:vMerge w:val="continue"/>
            <w:shd w:val="clear" w:color="auto" w:fill="auto"/>
            <w:noWrap/>
            <w:vAlign w:val="center"/>
          </w:tcPr>
          <w:p w14:paraId="4DEA3DC8">
            <w:pPr>
              <w:jc w:val="center"/>
              <w:rPr>
                <w:rFonts w:hint="eastAsia" w:ascii="宋体" w:hAnsi="宋体" w:eastAsia="宋体" w:cs="宋体"/>
                <w:color w:val="auto"/>
                <w:sz w:val="20"/>
                <w:szCs w:val="20"/>
                <w:highlight w:val="none"/>
              </w:rPr>
            </w:pPr>
          </w:p>
        </w:tc>
        <w:tc>
          <w:tcPr>
            <w:tcW w:w="1044" w:type="dxa"/>
            <w:vMerge w:val="continue"/>
            <w:shd w:val="clear" w:color="auto" w:fill="auto"/>
            <w:vAlign w:val="center"/>
          </w:tcPr>
          <w:p w14:paraId="2F2CC7D3">
            <w:pPr>
              <w:jc w:val="center"/>
              <w:rPr>
                <w:rFonts w:hint="eastAsia" w:ascii="宋体" w:hAnsi="宋体" w:eastAsia="宋体" w:cs="宋体"/>
                <w:color w:val="auto"/>
                <w:sz w:val="20"/>
                <w:szCs w:val="20"/>
                <w:highlight w:val="none"/>
              </w:rPr>
            </w:pPr>
          </w:p>
        </w:tc>
        <w:tc>
          <w:tcPr>
            <w:tcW w:w="5892" w:type="dxa"/>
            <w:shd w:val="clear" w:color="auto" w:fill="auto"/>
            <w:vAlign w:val="center"/>
          </w:tcPr>
          <w:p w14:paraId="1BB53BBB">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道路（含树圈）无烟蒂、纸屑、宠物粪便等垃圾，道路两侧无乱堆物,清扫后的垃圾不准倒入绿化带内。</w:t>
            </w:r>
          </w:p>
        </w:tc>
        <w:tc>
          <w:tcPr>
            <w:tcW w:w="588" w:type="dxa"/>
            <w:vMerge w:val="continue"/>
            <w:shd w:val="clear" w:color="auto" w:fill="auto"/>
            <w:noWrap/>
            <w:vAlign w:val="center"/>
          </w:tcPr>
          <w:p w14:paraId="7578BD75">
            <w:pPr>
              <w:jc w:val="center"/>
              <w:rPr>
                <w:rFonts w:hint="eastAsia" w:ascii="宋体" w:hAnsi="宋体" w:eastAsia="宋体" w:cs="宋体"/>
                <w:color w:val="auto"/>
                <w:sz w:val="20"/>
                <w:szCs w:val="20"/>
                <w:highlight w:val="none"/>
              </w:rPr>
            </w:pPr>
          </w:p>
        </w:tc>
        <w:tc>
          <w:tcPr>
            <w:tcW w:w="1656" w:type="dxa"/>
            <w:vMerge w:val="continue"/>
            <w:shd w:val="clear" w:color="auto" w:fill="auto"/>
            <w:vAlign w:val="center"/>
          </w:tcPr>
          <w:p w14:paraId="76B8D243">
            <w:pPr>
              <w:jc w:val="center"/>
              <w:rPr>
                <w:rFonts w:hint="eastAsia" w:ascii="宋体" w:hAnsi="宋体" w:eastAsia="宋体" w:cs="宋体"/>
                <w:color w:val="auto"/>
                <w:sz w:val="20"/>
                <w:szCs w:val="20"/>
                <w:highlight w:val="none"/>
              </w:rPr>
            </w:pPr>
          </w:p>
        </w:tc>
        <w:tc>
          <w:tcPr>
            <w:tcW w:w="624" w:type="dxa"/>
            <w:shd w:val="clear" w:color="auto" w:fill="auto"/>
            <w:noWrap/>
            <w:vAlign w:val="center"/>
          </w:tcPr>
          <w:p w14:paraId="03B0C8E9">
            <w:pPr>
              <w:rPr>
                <w:rFonts w:hint="eastAsia" w:ascii="宋体" w:hAnsi="宋体" w:eastAsia="宋体" w:cs="宋体"/>
                <w:color w:val="auto"/>
                <w:sz w:val="20"/>
                <w:szCs w:val="20"/>
                <w:highlight w:val="none"/>
              </w:rPr>
            </w:pPr>
          </w:p>
        </w:tc>
      </w:tr>
      <w:tr w14:paraId="53F45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88" w:type="dxa"/>
            <w:vMerge w:val="continue"/>
            <w:shd w:val="clear" w:color="auto" w:fill="auto"/>
            <w:noWrap/>
            <w:vAlign w:val="center"/>
          </w:tcPr>
          <w:p w14:paraId="2BF812E3">
            <w:pPr>
              <w:jc w:val="center"/>
              <w:rPr>
                <w:rFonts w:hint="eastAsia" w:ascii="宋体" w:hAnsi="宋体" w:eastAsia="宋体" w:cs="宋体"/>
                <w:color w:val="auto"/>
                <w:sz w:val="20"/>
                <w:szCs w:val="20"/>
                <w:highlight w:val="none"/>
              </w:rPr>
            </w:pPr>
          </w:p>
        </w:tc>
        <w:tc>
          <w:tcPr>
            <w:tcW w:w="1044" w:type="dxa"/>
            <w:vMerge w:val="continue"/>
            <w:shd w:val="clear" w:color="auto" w:fill="auto"/>
            <w:vAlign w:val="center"/>
          </w:tcPr>
          <w:p w14:paraId="5673E187">
            <w:pPr>
              <w:jc w:val="center"/>
              <w:rPr>
                <w:rFonts w:hint="eastAsia" w:ascii="宋体" w:hAnsi="宋体" w:eastAsia="宋体" w:cs="宋体"/>
                <w:color w:val="auto"/>
                <w:sz w:val="20"/>
                <w:szCs w:val="20"/>
                <w:highlight w:val="none"/>
              </w:rPr>
            </w:pPr>
          </w:p>
        </w:tc>
        <w:tc>
          <w:tcPr>
            <w:tcW w:w="5892" w:type="dxa"/>
            <w:shd w:val="clear" w:color="auto" w:fill="auto"/>
            <w:noWrap/>
            <w:vAlign w:val="center"/>
          </w:tcPr>
          <w:p w14:paraId="1A2AD0D9">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保持雨水井沟眼畅通干净。</w:t>
            </w:r>
          </w:p>
        </w:tc>
        <w:tc>
          <w:tcPr>
            <w:tcW w:w="588" w:type="dxa"/>
            <w:vMerge w:val="continue"/>
            <w:shd w:val="clear" w:color="auto" w:fill="auto"/>
            <w:noWrap/>
            <w:vAlign w:val="center"/>
          </w:tcPr>
          <w:p w14:paraId="2473D910">
            <w:pPr>
              <w:jc w:val="center"/>
              <w:rPr>
                <w:rFonts w:hint="eastAsia" w:ascii="宋体" w:hAnsi="宋体" w:eastAsia="宋体" w:cs="宋体"/>
                <w:color w:val="auto"/>
                <w:sz w:val="20"/>
                <w:szCs w:val="20"/>
                <w:highlight w:val="none"/>
              </w:rPr>
            </w:pPr>
          </w:p>
        </w:tc>
        <w:tc>
          <w:tcPr>
            <w:tcW w:w="1656" w:type="dxa"/>
            <w:vMerge w:val="continue"/>
            <w:shd w:val="clear" w:color="auto" w:fill="auto"/>
            <w:vAlign w:val="center"/>
          </w:tcPr>
          <w:p w14:paraId="6EF83CC9">
            <w:pPr>
              <w:jc w:val="center"/>
              <w:rPr>
                <w:rFonts w:hint="eastAsia" w:ascii="宋体" w:hAnsi="宋体" w:eastAsia="宋体" w:cs="宋体"/>
                <w:color w:val="auto"/>
                <w:sz w:val="20"/>
                <w:szCs w:val="20"/>
                <w:highlight w:val="none"/>
              </w:rPr>
            </w:pPr>
          </w:p>
        </w:tc>
        <w:tc>
          <w:tcPr>
            <w:tcW w:w="624" w:type="dxa"/>
            <w:shd w:val="clear" w:color="auto" w:fill="auto"/>
            <w:noWrap/>
            <w:vAlign w:val="center"/>
          </w:tcPr>
          <w:p w14:paraId="5DDBB420">
            <w:pPr>
              <w:rPr>
                <w:rFonts w:hint="eastAsia" w:ascii="宋体" w:hAnsi="宋体" w:eastAsia="宋体" w:cs="宋体"/>
                <w:color w:val="auto"/>
                <w:sz w:val="20"/>
                <w:szCs w:val="20"/>
                <w:highlight w:val="none"/>
              </w:rPr>
            </w:pPr>
          </w:p>
        </w:tc>
      </w:tr>
      <w:tr w14:paraId="40855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88" w:type="dxa"/>
            <w:vMerge w:val="continue"/>
            <w:shd w:val="clear" w:color="auto" w:fill="auto"/>
            <w:noWrap/>
            <w:vAlign w:val="center"/>
          </w:tcPr>
          <w:p w14:paraId="2C89DF46">
            <w:pPr>
              <w:jc w:val="center"/>
              <w:rPr>
                <w:rFonts w:hint="eastAsia" w:ascii="宋体" w:hAnsi="宋体" w:eastAsia="宋体" w:cs="宋体"/>
                <w:color w:val="auto"/>
                <w:sz w:val="20"/>
                <w:szCs w:val="20"/>
                <w:highlight w:val="none"/>
              </w:rPr>
            </w:pPr>
          </w:p>
        </w:tc>
        <w:tc>
          <w:tcPr>
            <w:tcW w:w="1044" w:type="dxa"/>
            <w:vMerge w:val="continue"/>
            <w:shd w:val="clear" w:color="auto" w:fill="auto"/>
            <w:vAlign w:val="center"/>
          </w:tcPr>
          <w:p w14:paraId="04D182BD">
            <w:pPr>
              <w:jc w:val="center"/>
              <w:rPr>
                <w:rFonts w:hint="eastAsia" w:ascii="宋体" w:hAnsi="宋体" w:eastAsia="宋体" w:cs="宋体"/>
                <w:color w:val="auto"/>
                <w:sz w:val="20"/>
                <w:szCs w:val="20"/>
                <w:highlight w:val="none"/>
              </w:rPr>
            </w:pPr>
          </w:p>
        </w:tc>
        <w:tc>
          <w:tcPr>
            <w:tcW w:w="5892" w:type="dxa"/>
            <w:shd w:val="clear" w:color="auto" w:fill="auto"/>
            <w:vAlign w:val="center"/>
          </w:tcPr>
          <w:p w14:paraId="387621AD">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作业车辆维修保养到位，联通智慧城管平台，日常作业留有台账记录。</w:t>
            </w:r>
          </w:p>
        </w:tc>
        <w:tc>
          <w:tcPr>
            <w:tcW w:w="588" w:type="dxa"/>
            <w:shd w:val="clear" w:color="auto" w:fill="auto"/>
            <w:noWrap/>
            <w:vAlign w:val="center"/>
          </w:tcPr>
          <w:p w14:paraId="1C5D8C25">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w:t>
            </w:r>
          </w:p>
        </w:tc>
        <w:tc>
          <w:tcPr>
            <w:tcW w:w="1656" w:type="dxa"/>
            <w:shd w:val="clear" w:color="auto" w:fill="auto"/>
            <w:vAlign w:val="center"/>
          </w:tcPr>
          <w:p w14:paraId="5362A209">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每发现一处扣0.5分；遇有投诉一次扣1分</w:t>
            </w:r>
          </w:p>
        </w:tc>
        <w:tc>
          <w:tcPr>
            <w:tcW w:w="624" w:type="dxa"/>
            <w:shd w:val="clear" w:color="auto" w:fill="auto"/>
            <w:noWrap/>
            <w:vAlign w:val="center"/>
          </w:tcPr>
          <w:p w14:paraId="32C7797E">
            <w:pPr>
              <w:rPr>
                <w:rFonts w:hint="eastAsia" w:ascii="宋体" w:hAnsi="宋体" w:eastAsia="宋体" w:cs="宋体"/>
                <w:color w:val="auto"/>
                <w:sz w:val="20"/>
                <w:szCs w:val="20"/>
                <w:highlight w:val="none"/>
              </w:rPr>
            </w:pPr>
          </w:p>
        </w:tc>
      </w:tr>
      <w:tr w14:paraId="0EA97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88" w:type="dxa"/>
            <w:vMerge w:val="restart"/>
            <w:shd w:val="clear" w:color="auto" w:fill="auto"/>
            <w:noWrap/>
            <w:vAlign w:val="center"/>
          </w:tcPr>
          <w:p w14:paraId="6F5583F0">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1044" w:type="dxa"/>
            <w:vMerge w:val="restart"/>
            <w:shd w:val="clear" w:color="auto" w:fill="auto"/>
            <w:vAlign w:val="center"/>
          </w:tcPr>
          <w:p w14:paraId="11B38B68">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绿化带保洁（10分）</w:t>
            </w:r>
          </w:p>
        </w:tc>
        <w:tc>
          <w:tcPr>
            <w:tcW w:w="5892" w:type="dxa"/>
            <w:shd w:val="clear" w:color="auto" w:fill="auto"/>
            <w:noWrap/>
            <w:vAlign w:val="center"/>
          </w:tcPr>
          <w:p w14:paraId="4E108EE7">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绿化带保洁人员落实情况。</w:t>
            </w:r>
          </w:p>
        </w:tc>
        <w:tc>
          <w:tcPr>
            <w:tcW w:w="588" w:type="dxa"/>
            <w:shd w:val="clear" w:color="auto" w:fill="auto"/>
            <w:noWrap/>
            <w:vAlign w:val="center"/>
          </w:tcPr>
          <w:p w14:paraId="6B6084D1">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w:t>
            </w:r>
          </w:p>
        </w:tc>
        <w:tc>
          <w:tcPr>
            <w:tcW w:w="1656" w:type="dxa"/>
            <w:shd w:val="clear" w:color="auto" w:fill="auto"/>
            <w:vAlign w:val="center"/>
          </w:tcPr>
          <w:p w14:paraId="7A792F6C">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保洁时间和人员未落实，发现一处扣1分</w:t>
            </w:r>
          </w:p>
        </w:tc>
        <w:tc>
          <w:tcPr>
            <w:tcW w:w="624" w:type="dxa"/>
            <w:shd w:val="clear" w:color="auto" w:fill="auto"/>
            <w:noWrap/>
            <w:vAlign w:val="center"/>
          </w:tcPr>
          <w:p w14:paraId="18B07CFD">
            <w:pPr>
              <w:rPr>
                <w:rFonts w:hint="eastAsia" w:ascii="宋体" w:hAnsi="宋体" w:eastAsia="宋体" w:cs="宋体"/>
                <w:color w:val="auto"/>
                <w:sz w:val="20"/>
                <w:szCs w:val="20"/>
                <w:highlight w:val="none"/>
              </w:rPr>
            </w:pPr>
          </w:p>
        </w:tc>
      </w:tr>
      <w:tr w14:paraId="39AB9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588" w:type="dxa"/>
            <w:vMerge w:val="continue"/>
            <w:shd w:val="clear" w:color="auto" w:fill="auto"/>
            <w:noWrap/>
            <w:vAlign w:val="center"/>
          </w:tcPr>
          <w:p w14:paraId="29C86C4D">
            <w:pPr>
              <w:jc w:val="center"/>
              <w:rPr>
                <w:rFonts w:hint="eastAsia" w:ascii="宋体" w:hAnsi="宋体" w:eastAsia="宋体" w:cs="宋体"/>
                <w:color w:val="auto"/>
                <w:sz w:val="20"/>
                <w:szCs w:val="20"/>
                <w:highlight w:val="none"/>
              </w:rPr>
            </w:pPr>
          </w:p>
        </w:tc>
        <w:tc>
          <w:tcPr>
            <w:tcW w:w="1044" w:type="dxa"/>
            <w:vMerge w:val="continue"/>
            <w:shd w:val="clear" w:color="auto" w:fill="auto"/>
            <w:vAlign w:val="center"/>
          </w:tcPr>
          <w:p w14:paraId="0B053D72">
            <w:pPr>
              <w:jc w:val="center"/>
              <w:rPr>
                <w:rFonts w:hint="eastAsia" w:ascii="宋体" w:hAnsi="宋体" w:eastAsia="宋体" w:cs="宋体"/>
                <w:color w:val="auto"/>
                <w:sz w:val="20"/>
                <w:szCs w:val="20"/>
                <w:highlight w:val="none"/>
              </w:rPr>
            </w:pPr>
          </w:p>
        </w:tc>
        <w:tc>
          <w:tcPr>
            <w:tcW w:w="5892" w:type="dxa"/>
            <w:shd w:val="clear" w:color="auto" w:fill="auto"/>
            <w:vAlign w:val="center"/>
          </w:tcPr>
          <w:p w14:paraId="3B1A1E2D">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绿化带内无烟蒂、纸屑、宠物粪便、砖块等垃圾；捡拾垃圾禁止乱倾倒、乱堆放。</w:t>
            </w:r>
          </w:p>
        </w:tc>
        <w:tc>
          <w:tcPr>
            <w:tcW w:w="588" w:type="dxa"/>
            <w:shd w:val="clear" w:color="auto" w:fill="auto"/>
            <w:noWrap/>
            <w:vAlign w:val="center"/>
          </w:tcPr>
          <w:p w14:paraId="1F4FA73C">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w:t>
            </w:r>
          </w:p>
        </w:tc>
        <w:tc>
          <w:tcPr>
            <w:tcW w:w="1656" w:type="dxa"/>
            <w:shd w:val="clear" w:color="auto" w:fill="auto"/>
            <w:vAlign w:val="center"/>
          </w:tcPr>
          <w:p w14:paraId="7E5E200E">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烟蒂、纸屑、宠物粪便发现5处扣0.5分；其他问题发现一处扣0.5分，扣完为止</w:t>
            </w:r>
          </w:p>
        </w:tc>
        <w:tc>
          <w:tcPr>
            <w:tcW w:w="624" w:type="dxa"/>
            <w:shd w:val="clear" w:color="auto" w:fill="auto"/>
            <w:noWrap/>
            <w:vAlign w:val="center"/>
          </w:tcPr>
          <w:p w14:paraId="19FC7B90">
            <w:pPr>
              <w:rPr>
                <w:rFonts w:hint="eastAsia" w:ascii="宋体" w:hAnsi="宋体" w:eastAsia="宋体" w:cs="宋体"/>
                <w:color w:val="auto"/>
                <w:sz w:val="20"/>
                <w:szCs w:val="20"/>
                <w:highlight w:val="none"/>
              </w:rPr>
            </w:pPr>
          </w:p>
        </w:tc>
      </w:tr>
      <w:tr w14:paraId="2DF16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88" w:type="dxa"/>
            <w:vMerge w:val="restart"/>
            <w:shd w:val="clear" w:color="auto" w:fill="auto"/>
            <w:noWrap/>
            <w:vAlign w:val="center"/>
          </w:tcPr>
          <w:p w14:paraId="075DBF6A">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w:t>
            </w:r>
          </w:p>
        </w:tc>
        <w:tc>
          <w:tcPr>
            <w:tcW w:w="1044" w:type="dxa"/>
            <w:vMerge w:val="restart"/>
            <w:shd w:val="clear" w:color="auto" w:fill="auto"/>
            <w:vAlign w:val="center"/>
          </w:tcPr>
          <w:p w14:paraId="2B3B6055">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垃圾收运</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（10分）</w:t>
            </w:r>
          </w:p>
        </w:tc>
        <w:tc>
          <w:tcPr>
            <w:tcW w:w="5892" w:type="dxa"/>
            <w:shd w:val="clear" w:color="auto" w:fill="auto"/>
            <w:vAlign w:val="center"/>
          </w:tcPr>
          <w:p w14:paraId="42984D16">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车容整洁，车体外部无污物、灰垢；清运车辆每日完工后需冲洗干净</w:t>
            </w:r>
          </w:p>
        </w:tc>
        <w:tc>
          <w:tcPr>
            <w:tcW w:w="588" w:type="dxa"/>
            <w:vMerge w:val="restart"/>
            <w:shd w:val="clear" w:color="auto" w:fill="auto"/>
            <w:noWrap/>
            <w:vAlign w:val="center"/>
          </w:tcPr>
          <w:p w14:paraId="58EDD9F3">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10</w:t>
            </w:r>
          </w:p>
        </w:tc>
        <w:tc>
          <w:tcPr>
            <w:tcW w:w="1656" w:type="dxa"/>
            <w:vMerge w:val="restart"/>
            <w:shd w:val="clear" w:color="auto" w:fill="auto"/>
            <w:vAlign w:val="center"/>
          </w:tcPr>
          <w:p w14:paraId="6B9103AC">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每发现一处扣0.5分；遇有投诉一次扣1分；被媒体曝光不得分</w:t>
            </w:r>
          </w:p>
        </w:tc>
        <w:tc>
          <w:tcPr>
            <w:tcW w:w="624" w:type="dxa"/>
            <w:shd w:val="clear" w:color="auto" w:fill="auto"/>
            <w:noWrap/>
            <w:vAlign w:val="center"/>
          </w:tcPr>
          <w:p w14:paraId="371E8513">
            <w:pPr>
              <w:rPr>
                <w:rFonts w:hint="eastAsia" w:ascii="宋体" w:hAnsi="宋体" w:eastAsia="宋体" w:cs="宋体"/>
                <w:color w:val="auto"/>
                <w:sz w:val="20"/>
                <w:szCs w:val="20"/>
                <w:highlight w:val="none"/>
              </w:rPr>
            </w:pPr>
          </w:p>
        </w:tc>
      </w:tr>
      <w:tr w14:paraId="2647A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88" w:type="dxa"/>
            <w:vMerge w:val="continue"/>
            <w:shd w:val="clear" w:color="auto" w:fill="auto"/>
            <w:noWrap/>
            <w:vAlign w:val="center"/>
          </w:tcPr>
          <w:p w14:paraId="69886EEC">
            <w:pPr>
              <w:jc w:val="center"/>
              <w:rPr>
                <w:rFonts w:hint="eastAsia" w:ascii="宋体" w:hAnsi="宋体" w:eastAsia="宋体" w:cs="宋体"/>
                <w:color w:val="auto"/>
                <w:sz w:val="20"/>
                <w:szCs w:val="20"/>
                <w:highlight w:val="none"/>
              </w:rPr>
            </w:pPr>
          </w:p>
        </w:tc>
        <w:tc>
          <w:tcPr>
            <w:tcW w:w="1044" w:type="dxa"/>
            <w:vMerge w:val="continue"/>
            <w:shd w:val="clear" w:color="auto" w:fill="auto"/>
            <w:vAlign w:val="center"/>
          </w:tcPr>
          <w:p w14:paraId="0E4ECCAE">
            <w:pPr>
              <w:jc w:val="center"/>
              <w:rPr>
                <w:rFonts w:hint="eastAsia" w:ascii="宋体" w:hAnsi="宋体" w:eastAsia="宋体" w:cs="宋体"/>
                <w:color w:val="auto"/>
                <w:sz w:val="20"/>
                <w:szCs w:val="20"/>
                <w:highlight w:val="none"/>
              </w:rPr>
            </w:pPr>
          </w:p>
        </w:tc>
        <w:tc>
          <w:tcPr>
            <w:tcW w:w="5892" w:type="dxa"/>
            <w:shd w:val="clear" w:color="auto" w:fill="auto"/>
            <w:vAlign w:val="center"/>
          </w:tcPr>
          <w:p w14:paraId="140F6FE1">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分类标志清晰，垃圾分类清运；收集来的垃圾必须倒入指定中转站</w:t>
            </w:r>
            <w:r>
              <w:rPr>
                <w:rFonts w:ascii="Times New Roman" w:hAnsi="Times New Roman" w:eastAsia="宋体" w:cs="Times New Roman"/>
                <w:color w:val="auto"/>
                <w:kern w:val="0"/>
                <w:sz w:val="20"/>
                <w:szCs w:val="20"/>
                <w:highlight w:val="none"/>
                <w:lang w:bidi="ar"/>
              </w:rPr>
              <w:t>,</w:t>
            </w:r>
            <w:r>
              <w:rPr>
                <w:rFonts w:hint="eastAsia" w:ascii="宋体" w:hAnsi="宋体" w:eastAsia="宋体" w:cs="宋体"/>
                <w:color w:val="auto"/>
                <w:kern w:val="0"/>
                <w:sz w:val="20"/>
                <w:szCs w:val="20"/>
                <w:highlight w:val="none"/>
                <w:lang w:bidi="ar"/>
              </w:rPr>
              <w:t>并服从中转站工作人员管理</w:t>
            </w:r>
          </w:p>
        </w:tc>
        <w:tc>
          <w:tcPr>
            <w:tcW w:w="588" w:type="dxa"/>
            <w:vMerge w:val="continue"/>
            <w:shd w:val="clear" w:color="auto" w:fill="auto"/>
            <w:noWrap/>
            <w:vAlign w:val="center"/>
          </w:tcPr>
          <w:p w14:paraId="3D3FC61C">
            <w:pPr>
              <w:jc w:val="center"/>
              <w:rPr>
                <w:rFonts w:hint="eastAsia" w:ascii="宋体" w:hAnsi="宋体" w:eastAsia="宋体" w:cs="宋体"/>
                <w:color w:val="auto"/>
                <w:sz w:val="20"/>
                <w:szCs w:val="20"/>
                <w:highlight w:val="none"/>
              </w:rPr>
            </w:pPr>
          </w:p>
        </w:tc>
        <w:tc>
          <w:tcPr>
            <w:tcW w:w="1656" w:type="dxa"/>
            <w:vMerge w:val="continue"/>
            <w:shd w:val="clear" w:color="auto" w:fill="auto"/>
            <w:vAlign w:val="center"/>
          </w:tcPr>
          <w:p w14:paraId="0D3C4B6C">
            <w:pPr>
              <w:jc w:val="center"/>
              <w:rPr>
                <w:rFonts w:hint="eastAsia" w:ascii="宋体" w:hAnsi="宋体" w:eastAsia="宋体" w:cs="宋体"/>
                <w:color w:val="auto"/>
                <w:sz w:val="20"/>
                <w:szCs w:val="20"/>
                <w:highlight w:val="none"/>
              </w:rPr>
            </w:pPr>
          </w:p>
        </w:tc>
        <w:tc>
          <w:tcPr>
            <w:tcW w:w="624" w:type="dxa"/>
            <w:shd w:val="clear" w:color="auto" w:fill="auto"/>
            <w:noWrap/>
            <w:vAlign w:val="center"/>
          </w:tcPr>
          <w:p w14:paraId="7949B42F">
            <w:pPr>
              <w:rPr>
                <w:rFonts w:hint="eastAsia" w:ascii="宋体" w:hAnsi="宋体" w:eastAsia="宋体" w:cs="宋体"/>
                <w:color w:val="auto"/>
                <w:sz w:val="20"/>
                <w:szCs w:val="20"/>
                <w:highlight w:val="none"/>
              </w:rPr>
            </w:pPr>
          </w:p>
        </w:tc>
      </w:tr>
      <w:tr w14:paraId="654A1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588" w:type="dxa"/>
            <w:vMerge w:val="continue"/>
            <w:shd w:val="clear" w:color="auto" w:fill="auto"/>
            <w:noWrap/>
            <w:vAlign w:val="center"/>
          </w:tcPr>
          <w:p w14:paraId="72DD9593">
            <w:pPr>
              <w:jc w:val="center"/>
              <w:rPr>
                <w:rFonts w:hint="eastAsia" w:ascii="宋体" w:hAnsi="宋体" w:eastAsia="宋体" w:cs="宋体"/>
                <w:color w:val="auto"/>
                <w:sz w:val="20"/>
                <w:szCs w:val="20"/>
                <w:highlight w:val="none"/>
              </w:rPr>
            </w:pPr>
          </w:p>
        </w:tc>
        <w:tc>
          <w:tcPr>
            <w:tcW w:w="1044" w:type="dxa"/>
            <w:vMerge w:val="continue"/>
            <w:shd w:val="clear" w:color="auto" w:fill="auto"/>
            <w:vAlign w:val="center"/>
          </w:tcPr>
          <w:p w14:paraId="373294AB">
            <w:pPr>
              <w:jc w:val="center"/>
              <w:rPr>
                <w:rFonts w:hint="eastAsia" w:ascii="宋体" w:hAnsi="宋体" w:eastAsia="宋体" w:cs="宋体"/>
                <w:color w:val="auto"/>
                <w:sz w:val="20"/>
                <w:szCs w:val="20"/>
                <w:highlight w:val="none"/>
              </w:rPr>
            </w:pPr>
          </w:p>
        </w:tc>
        <w:tc>
          <w:tcPr>
            <w:tcW w:w="5892" w:type="dxa"/>
            <w:shd w:val="clear" w:color="auto" w:fill="auto"/>
            <w:vAlign w:val="center"/>
          </w:tcPr>
          <w:p w14:paraId="4C4C55DB">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翻倒垃圾桶时应做到轻缓倾倒，尽量减少噪音，避免扰民</w:t>
            </w:r>
          </w:p>
        </w:tc>
        <w:tc>
          <w:tcPr>
            <w:tcW w:w="588" w:type="dxa"/>
            <w:vMerge w:val="continue"/>
            <w:shd w:val="clear" w:color="auto" w:fill="auto"/>
            <w:noWrap/>
            <w:vAlign w:val="center"/>
          </w:tcPr>
          <w:p w14:paraId="7420DF06">
            <w:pPr>
              <w:jc w:val="center"/>
              <w:rPr>
                <w:rFonts w:hint="eastAsia" w:ascii="宋体" w:hAnsi="宋体" w:eastAsia="宋体" w:cs="宋体"/>
                <w:color w:val="auto"/>
                <w:sz w:val="20"/>
                <w:szCs w:val="20"/>
                <w:highlight w:val="none"/>
              </w:rPr>
            </w:pPr>
          </w:p>
        </w:tc>
        <w:tc>
          <w:tcPr>
            <w:tcW w:w="1656" w:type="dxa"/>
            <w:vMerge w:val="continue"/>
            <w:shd w:val="clear" w:color="auto" w:fill="auto"/>
            <w:vAlign w:val="center"/>
          </w:tcPr>
          <w:p w14:paraId="57024CB4">
            <w:pPr>
              <w:jc w:val="center"/>
              <w:rPr>
                <w:rFonts w:hint="eastAsia" w:ascii="宋体" w:hAnsi="宋体" w:eastAsia="宋体" w:cs="宋体"/>
                <w:color w:val="auto"/>
                <w:sz w:val="20"/>
                <w:szCs w:val="20"/>
                <w:highlight w:val="none"/>
              </w:rPr>
            </w:pPr>
          </w:p>
        </w:tc>
        <w:tc>
          <w:tcPr>
            <w:tcW w:w="624" w:type="dxa"/>
            <w:shd w:val="clear" w:color="auto" w:fill="auto"/>
            <w:noWrap/>
            <w:vAlign w:val="center"/>
          </w:tcPr>
          <w:p w14:paraId="4B6D84FC">
            <w:pPr>
              <w:rPr>
                <w:rFonts w:hint="eastAsia" w:ascii="宋体" w:hAnsi="宋体" w:eastAsia="宋体" w:cs="宋体"/>
                <w:color w:val="auto"/>
                <w:sz w:val="20"/>
                <w:szCs w:val="20"/>
                <w:highlight w:val="none"/>
              </w:rPr>
            </w:pPr>
          </w:p>
        </w:tc>
      </w:tr>
      <w:tr w14:paraId="24896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588" w:type="dxa"/>
            <w:vMerge w:val="continue"/>
            <w:shd w:val="clear" w:color="auto" w:fill="auto"/>
            <w:noWrap/>
            <w:vAlign w:val="center"/>
          </w:tcPr>
          <w:p w14:paraId="2EBFABC5">
            <w:pPr>
              <w:jc w:val="center"/>
              <w:rPr>
                <w:rFonts w:hint="eastAsia" w:ascii="宋体" w:hAnsi="宋体" w:eastAsia="宋体" w:cs="宋体"/>
                <w:color w:val="auto"/>
                <w:sz w:val="20"/>
                <w:szCs w:val="20"/>
                <w:highlight w:val="none"/>
              </w:rPr>
            </w:pPr>
          </w:p>
        </w:tc>
        <w:tc>
          <w:tcPr>
            <w:tcW w:w="1044" w:type="dxa"/>
            <w:vMerge w:val="continue"/>
            <w:shd w:val="clear" w:color="auto" w:fill="auto"/>
            <w:vAlign w:val="center"/>
          </w:tcPr>
          <w:p w14:paraId="67661D6D">
            <w:pPr>
              <w:jc w:val="center"/>
              <w:rPr>
                <w:rFonts w:hint="eastAsia" w:ascii="宋体" w:hAnsi="宋体" w:eastAsia="宋体" w:cs="宋体"/>
                <w:color w:val="auto"/>
                <w:sz w:val="20"/>
                <w:szCs w:val="20"/>
                <w:highlight w:val="none"/>
              </w:rPr>
            </w:pPr>
          </w:p>
        </w:tc>
        <w:tc>
          <w:tcPr>
            <w:tcW w:w="5892" w:type="dxa"/>
            <w:shd w:val="clear" w:color="auto" w:fill="auto"/>
            <w:vAlign w:val="center"/>
          </w:tcPr>
          <w:p w14:paraId="62B92984">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车辆在运输途中无滴漏抛洒、超载超限现象,无钩挂围搭物,张贴的分类标志正确,无破损。</w:t>
            </w:r>
          </w:p>
        </w:tc>
        <w:tc>
          <w:tcPr>
            <w:tcW w:w="588" w:type="dxa"/>
            <w:vMerge w:val="continue"/>
            <w:shd w:val="clear" w:color="auto" w:fill="auto"/>
            <w:noWrap/>
            <w:vAlign w:val="center"/>
          </w:tcPr>
          <w:p w14:paraId="14DE09E5">
            <w:pPr>
              <w:jc w:val="center"/>
              <w:rPr>
                <w:rFonts w:hint="eastAsia" w:ascii="宋体" w:hAnsi="宋体" w:eastAsia="宋体" w:cs="宋体"/>
                <w:color w:val="auto"/>
                <w:sz w:val="20"/>
                <w:szCs w:val="20"/>
                <w:highlight w:val="none"/>
              </w:rPr>
            </w:pPr>
          </w:p>
        </w:tc>
        <w:tc>
          <w:tcPr>
            <w:tcW w:w="1656" w:type="dxa"/>
            <w:vMerge w:val="continue"/>
            <w:shd w:val="clear" w:color="auto" w:fill="auto"/>
            <w:vAlign w:val="center"/>
          </w:tcPr>
          <w:p w14:paraId="5F0F2F68">
            <w:pPr>
              <w:jc w:val="center"/>
              <w:rPr>
                <w:rFonts w:hint="eastAsia" w:ascii="宋体" w:hAnsi="宋体" w:eastAsia="宋体" w:cs="宋体"/>
                <w:color w:val="auto"/>
                <w:sz w:val="20"/>
                <w:szCs w:val="20"/>
                <w:highlight w:val="none"/>
              </w:rPr>
            </w:pPr>
          </w:p>
        </w:tc>
        <w:tc>
          <w:tcPr>
            <w:tcW w:w="624" w:type="dxa"/>
            <w:shd w:val="clear" w:color="auto" w:fill="auto"/>
            <w:noWrap/>
            <w:vAlign w:val="center"/>
          </w:tcPr>
          <w:p w14:paraId="599778DF">
            <w:pPr>
              <w:rPr>
                <w:rFonts w:hint="eastAsia" w:ascii="宋体" w:hAnsi="宋体" w:eastAsia="宋体" w:cs="宋体"/>
                <w:color w:val="auto"/>
                <w:sz w:val="20"/>
                <w:szCs w:val="20"/>
                <w:highlight w:val="none"/>
              </w:rPr>
            </w:pPr>
          </w:p>
        </w:tc>
      </w:tr>
      <w:tr w14:paraId="5DC28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588" w:type="dxa"/>
            <w:vMerge w:val="continue"/>
            <w:shd w:val="clear" w:color="auto" w:fill="auto"/>
            <w:noWrap/>
            <w:vAlign w:val="center"/>
          </w:tcPr>
          <w:p w14:paraId="64EEFDB6">
            <w:pPr>
              <w:jc w:val="center"/>
              <w:rPr>
                <w:rFonts w:hint="eastAsia" w:ascii="宋体" w:hAnsi="宋体" w:eastAsia="宋体" w:cs="宋体"/>
                <w:color w:val="auto"/>
                <w:sz w:val="20"/>
                <w:szCs w:val="20"/>
                <w:highlight w:val="none"/>
              </w:rPr>
            </w:pPr>
          </w:p>
        </w:tc>
        <w:tc>
          <w:tcPr>
            <w:tcW w:w="1044" w:type="dxa"/>
            <w:vMerge w:val="continue"/>
            <w:shd w:val="clear" w:color="auto" w:fill="auto"/>
            <w:vAlign w:val="center"/>
          </w:tcPr>
          <w:p w14:paraId="05559A18">
            <w:pPr>
              <w:jc w:val="center"/>
              <w:rPr>
                <w:rFonts w:hint="eastAsia" w:ascii="宋体" w:hAnsi="宋体" w:eastAsia="宋体" w:cs="宋体"/>
                <w:color w:val="auto"/>
                <w:sz w:val="20"/>
                <w:szCs w:val="20"/>
                <w:highlight w:val="none"/>
              </w:rPr>
            </w:pPr>
          </w:p>
        </w:tc>
        <w:tc>
          <w:tcPr>
            <w:tcW w:w="5892" w:type="dxa"/>
            <w:shd w:val="clear" w:color="auto" w:fill="auto"/>
            <w:vAlign w:val="center"/>
          </w:tcPr>
          <w:p w14:paraId="29437292">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车辆停放规范有序，不影响其他车辆通行，服从交警管理；</w:t>
            </w:r>
          </w:p>
        </w:tc>
        <w:tc>
          <w:tcPr>
            <w:tcW w:w="588" w:type="dxa"/>
            <w:vMerge w:val="continue"/>
            <w:shd w:val="clear" w:color="auto" w:fill="auto"/>
            <w:noWrap/>
            <w:vAlign w:val="center"/>
          </w:tcPr>
          <w:p w14:paraId="46194EF8">
            <w:pPr>
              <w:jc w:val="center"/>
              <w:rPr>
                <w:rFonts w:hint="eastAsia" w:ascii="宋体" w:hAnsi="宋体" w:eastAsia="宋体" w:cs="宋体"/>
                <w:color w:val="auto"/>
                <w:sz w:val="20"/>
                <w:szCs w:val="20"/>
                <w:highlight w:val="none"/>
              </w:rPr>
            </w:pPr>
          </w:p>
        </w:tc>
        <w:tc>
          <w:tcPr>
            <w:tcW w:w="1656" w:type="dxa"/>
            <w:vMerge w:val="continue"/>
            <w:shd w:val="clear" w:color="auto" w:fill="auto"/>
            <w:vAlign w:val="center"/>
          </w:tcPr>
          <w:p w14:paraId="62BA5E2C">
            <w:pPr>
              <w:jc w:val="center"/>
              <w:rPr>
                <w:rFonts w:hint="eastAsia" w:ascii="宋体" w:hAnsi="宋体" w:eastAsia="宋体" w:cs="宋体"/>
                <w:color w:val="auto"/>
                <w:sz w:val="20"/>
                <w:szCs w:val="20"/>
                <w:highlight w:val="none"/>
              </w:rPr>
            </w:pPr>
          </w:p>
        </w:tc>
        <w:tc>
          <w:tcPr>
            <w:tcW w:w="624" w:type="dxa"/>
            <w:shd w:val="clear" w:color="auto" w:fill="auto"/>
            <w:noWrap/>
            <w:vAlign w:val="center"/>
          </w:tcPr>
          <w:p w14:paraId="24A47657">
            <w:pPr>
              <w:rPr>
                <w:rFonts w:hint="eastAsia" w:ascii="宋体" w:hAnsi="宋体" w:eastAsia="宋体" w:cs="宋体"/>
                <w:color w:val="auto"/>
                <w:sz w:val="20"/>
                <w:szCs w:val="20"/>
                <w:highlight w:val="none"/>
              </w:rPr>
            </w:pPr>
          </w:p>
        </w:tc>
      </w:tr>
      <w:tr w14:paraId="6C8BA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88" w:type="dxa"/>
            <w:vMerge w:val="continue"/>
            <w:shd w:val="clear" w:color="auto" w:fill="auto"/>
            <w:noWrap/>
            <w:vAlign w:val="center"/>
          </w:tcPr>
          <w:p w14:paraId="14F1EA3A">
            <w:pPr>
              <w:jc w:val="center"/>
              <w:rPr>
                <w:rFonts w:hint="eastAsia" w:ascii="宋体" w:hAnsi="宋体" w:eastAsia="宋体" w:cs="宋体"/>
                <w:color w:val="auto"/>
                <w:sz w:val="20"/>
                <w:szCs w:val="20"/>
                <w:highlight w:val="none"/>
              </w:rPr>
            </w:pPr>
          </w:p>
        </w:tc>
        <w:tc>
          <w:tcPr>
            <w:tcW w:w="1044" w:type="dxa"/>
            <w:vMerge w:val="continue"/>
            <w:shd w:val="clear" w:color="auto" w:fill="auto"/>
            <w:vAlign w:val="center"/>
          </w:tcPr>
          <w:p w14:paraId="10701880">
            <w:pPr>
              <w:jc w:val="center"/>
              <w:rPr>
                <w:rFonts w:hint="eastAsia" w:ascii="宋体" w:hAnsi="宋体" w:eastAsia="宋体" w:cs="宋体"/>
                <w:color w:val="auto"/>
                <w:sz w:val="20"/>
                <w:szCs w:val="20"/>
                <w:highlight w:val="none"/>
              </w:rPr>
            </w:pPr>
          </w:p>
        </w:tc>
        <w:tc>
          <w:tcPr>
            <w:tcW w:w="5892" w:type="dxa"/>
            <w:shd w:val="clear" w:color="auto" w:fill="auto"/>
            <w:vAlign w:val="center"/>
          </w:tcPr>
          <w:p w14:paraId="0BAC5090">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沿街店铺垃圾收运人工上门收集，分类清运。</w:t>
            </w:r>
          </w:p>
        </w:tc>
        <w:tc>
          <w:tcPr>
            <w:tcW w:w="588" w:type="dxa"/>
            <w:vMerge w:val="continue"/>
            <w:shd w:val="clear" w:color="auto" w:fill="auto"/>
            <w:noWrap/>
            <w:vAlign w:val="center"/>
          </w:tcPr>
          <w:p w14:paraId="3B79ED04">
            <w:pPr>
              <w:jc w:val="center"/>
              <w:rPr>
                <w:rFonts w:hint="eastAsia" w:ascii="宋体" w:hAnsi="宋体" w:eastAsia="宋体" w:cs="宋体"/>
                <w:color w:val="auto"/>
                <w:sz w:val="20"/>
                <w:szCs w:val="20"/>
                <w:highlight w:val="none"/>
              </w:rPr>
            </w:pPr>
          </w:p>
        </w:tc>
        <w:tc>
          <w:tcPr>
            <w:tcW w:w="1656" w:type="dxa"/>
            <w:vMerge w:val="continue"/>
            <w:shd w:val="clear" w:color="auto" w:fill="auto"/>
            <w:vAlign w:val="center"/>
          </w:tcPr>
          <w:p w14:paraId="50E6276F">
            <w:pPr>
              <w:jc w:val="center"/>
              <w:rPr>
                <w:rFonts w:hint="eastAsia" w:ascii="宋体" w:hAnsi="宋体" w:eastAsia="宋体" w:cs="宋体"/>
                <w:color w:val="auto"/>
                <w:sz w:val="20"/>
                <w:szCs w:val="20"/>
                <w:highlight w:val="none"/>
              </w:rPr>
            </w:pPr>
          </w:p>
        </w:tc>
        <w:tc>
          <w:tcPr>
            <w:tcW w:w="624" w:type="dxa"/>
            <w:shd w:val="clear" w:color="auto" w:fill="auto"/>
            <w:noWrap/>
            <w:vAlign w:val="center"/>
          </w:tcPr>
          <w:p w14:paraId="4E9F3513">
            <w:pPr>
              <w:rPr>
                <w:rFonts w:hint="eastAsia" w:ascii="宋体" w:hAnsi="宋体" w:eastAsia="宋体" w:cs="宋体"/>
                <w:color w:val="auto"/>
                <w:sz w:val="20"/>
                <w:szCs w:val="20"/>
                <w:highlight w:val="none"/>
              </w:rPr>
            </w:pPr>
          </w:p>
        </w:tc>
      </w:tr>
      <w:tr w14:paraId="47F82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88" w:type="dxa"/>
            <w:vMerge w:val="restart"/>
            <w:shd w:val="clear" w:color="auto" w:fill="auto"/>
            <w:noWrap/>
            <w:vAlign w:val="center"/>
          </w:tcPr>
          <w:p w14:paraId="538C28A0">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6</w:t>
            </w:r>
          </w:p>
        </w:tc>
        <w:tc>
          <w:tcPr>
            <w:tcW w:w="1044" w:type="dxa"/>
            <w:vMerge w:val="restart"/>
            <w:shd w:val="clear" w:color="auto" w:fill="auto"/>
            <w:vAlign w:val="center"/>
          </w:tcPr>
          <w:p w14:paraId="4545E1BE">
            <w:pPr>
              <w:widowControl/>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垃圾收集容器</w:t>
            </w:r>
          </w:p>
          <w:p w14:paraId="79660824">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（10分）</w:t>
            </w:r>
          </w:p>
        </w:tc>
        <w:tc>
          <w:tcPr>
            <w:tcW w:w="5892" w:type="dxa"/>
            <w:shd w:val="clear" w:color="auto" w:fill="auto"/>
            <w:vAlign w:val="center"/>
          </w:tcPr>
          <w:p w14:paraId="5DB623F0">
            <w:pPr>
              <w:widowControl/>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道路（街巷）两侧果壳箱保洁及时无污渍；垃圾袋更换及时；果壳箱内垃圾清运及时，箱内垃圾不超过三分之二，箱门及时关闭，周边无散落垃圾。</w:t>
            </w:r>
          </w:p>
        </w:tc>
        <w:tc>
          <w:tcPr>
            <w:tcW w:w="588" w:type="dxa"/>
            <w:vMerge w:val="restart"/>
            <w:shd w:val="clear" w:color="auto" w:fill="auto"/>
            <w:noWrap/>
            <w:vAlign w:val="center"/>
          </w:tcPr>
          <w:p w14:paraId="01D4C42D">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8</w:t>
            </w:r>
          </w:p>
        </w:tc>
        <w:tc>
          <w:tcPr>
            <w:tcW w:w="1656" w:type="dxa"/>
            <w:vMerge w:val="restart"/>
            <w:shd w:val="clear" w:color="auto" w:fill="auto"/>
            <w:vAlign w:val="center"/>
          </w:tcPr>
          <w:p w14:paraId="17DC8B5B">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每发现一处扣0.5分；遇有投诉一次扣1分；被媒体曝光不得分</w:t>
            </w:r>
          </w:p>
        </w:tc>
        <w:tc>
          <w:tcPr>
            <w:tcW w:w="624" w:type="dxa"/>
            <w:shd w:val="clear" w:color="auto" w:fill="auto"/>
            <w:noWrap/>
            <w:vAlign w:val="center"/>
          </w:tcPr>
          <w:p w14:paraId="5A392C9C">
            <w:pPr>
              <w:rPr>
                <w:rFonts w:hint="eastAsia" w:ascii="宋体" w:hAnsi="宋体" w:eastAsia="宋体" w:cs="宋体"/>
                <w:color w:val="auto"/>
                <w:sz w:val="20"/>
                <w:szCs w:val="20"/>
                <w:highlight w:val="none"/>
              </w:rPr>
            </w:pPr>
          </w:p>
        </w:tc>
      </w:tr>
      <w:tr w14:paraId="02939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88" w:type="dxa"/>
            <w:vMerge w:val="continue"/>
            <w:shd w:val="clear" w:color="auto" w:fill="auto"/>
            <w:noWrap/>
            <w:vAlign w:val="center"/>
          </w:tcPr>
          <w:p w14:paraId="4E7D2BAC">
            <w:pPr>
              <w:jc w:val="center"/>
              <w:rPr>
                <w:rFonts w:hint="eastAsia" w:ascii="宋体" w:hAnsi="宋体" w:eastAsia="宋体" w:cs="宋体"/>
                <w:color w:val="auto"/>
                <w:sz w:val="20"/>
                <w:szCs w:val="20"/>
                <w:highlight w:val="none"/>
              </w:rPr>
            </w:pPr>
          </w:p>
        </w:tc>
        <w:tc>
          <w:tcPr>
            <w:tcW w:w="1044" w:type="dxa"/>
            <w:vMerge w:val="continue"/>
            <w:shd w:val="clear" w:color="auto" w:fill="auto"/>
            <w:vAlign w:val="center"/>
          </w:tcPr>
          <w:p w14:paraId="29070D02">
            <w:pPr>
              <w:jc w:val="center"/>
              <w:rPr>
                <w:rFonts w:hint="eastAsia" w:ascii="宋体" w:hAnsi="宋体" w:eastAsia="宋体" w:cs="宋体"/>
                <w:color w:val="auto"/>
                <w:sz w:val="20"/>
                <w:szCs w:val="20"/>
                <w:highlight w:val="none"/>
              </w:rPr>
            </w:pPr>
          </w:p>
        </w:tc>
        <w:tc>
          <w:tcPr>
            <w:tcW w:w="5892" w:type="dxa"/>
            <w:shd w:val="clear" w:color="auto" w:fill="auto"/>
            <w:noWrap/>
            <w:vAlign w:val="center"/>
          </w:tcPr>
          <w:p w14:paraId="78D7B2D9">
            <w:pPr>
              <w:widowControl/>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垃圾桶整洁无破损，盖好盖；垃圾清运及时、桶内垃圾不超过三分之二，周边无散落垃圾。</w:t>
            </w:r>
          </w:p>
        </w:tc>
        <w:tc>
          <w:tcPr>
            <w:tcW w:w="588" w:type="dxa"/>
            <w:vMerge w:val="continue"/>
            <w:shd w:val="clear" w:color="auto" w:fill="auto"/>
            <w:noWrap/>
            <w:vAlign w:val="center"/>
          </w:tcPr>
          <w:p w14:paraId="5E9F5FCF">
            <w:pPr>
              <w:jc w:val="center"/>
              <w:rPr>
                <w:rFonts w:hint="eastAsia" w:ascii="宋体" w:hAnsi="宋体" w:eastAsia="宋体" w:cs="宋体"/>
                <w:color w:val="auto"/>
                <w:sz w:val="20"/>
                <w:szCs w:val="20"/>
                <w:highlight w:val="none"/>
              </w:rPr>
            </w:pPr>
          </w:p>
        </w:tc>
        <w:tc>
          <w:tcPr>
            <w:tcW w:w="1656" w:type="dxa"/>
            <w:vMerge w:val="continue"/>
            <w:shd w:val="clear" w:color="auto" w:fill="auto"/>
            <w:vAlign w:val="center"/>
          </w:tcPr>
          <w:p w14:paraId="7B4981F7">
            <w:pPr>
              <w:jc w:val="center"/>
              <w:rPr>
                <w:rFonts w:hint="eastAsia" w:ascii="宋体" w:hAnsi="宋体" w:eastAsia="宋体" w:cs="宋体"/>
                <w:color w:val="auto"/>
                <w:sz w:val="20"/>
                <w:szCs w:val="20"/>
                <w:highlight w:val="none"/>
              </w:rPr>
            </w:pPr>
          </w:p>
        </w:tc>
        <w:tc>
          <w:tcPr>
            <w:tcW w:w="624" w:type="dxa"/>
            <w:shd w:val="clear" w:color="auto" w:fill="auto"/>
            <w:noWrap/>
            <w:vAlign w:val="center"/>
          </w:tcPr>
          <w:p w14:paraId="349FBAFC">
            <w:pPr>
              <w:rPr>
                <w:rFonts w:hint="eastAsia" w:ascii="宋体" w:hAnsi="宋体" w:eastAsia="宋体" w:cs="宋体"/>
                <w:color w:val="auto"/>
                <w:sz w:val="20"/>
                <w:szCs w:val="20"/>
                <w:highlight w:val="none"/>
              </w:rPr>
            </w:pPr>
          </w:p>
        </w:tc>
      </w:tr>
      <w:tr w14:paraId="127F1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88" w:type="dxa"/>
            <w:vMerge w:val="continue"/>
            <w:shd w:val="clear" w:color="auto" w:fill="auto"/>
            <w:noWrap/>
            <w:vAlign w:val="center"/>
          </w:tcPr>
          <w:p w14:paraId="1A12A3F5">
            <w:pPr>
              <w:jc w:val="center"/>
              <w:rPr>
                <w:rFonts w:hint="eastAsia" w:ascii="宋体" w:hAnsi="宋体" w:eastAsia="宋体" w:cs="宋体"/>
                <w:color w:val="auto"/>
                <w:sz w:val="20"/>
                <w:szCs w:val="20"/>
                <w:highlight w:val="none"/>
              </w:rPr>
            </w:pPr>
          </w:p>
        </w:tc>
        <w:tc>
          <w:tcPr>
            <w:tcW w:w="1044" w:type="dxa"/>
            <w:vMerge w:val="continue"/>
            <w:shd w:val="clear" w:color="auto" w:fill="auto"/>
            <w:vAlign w:val="center"/>
          </w:tcPr>
          <w:p w14:paraId="140D3BEB">
            <w:pPr>
              <w:jc w:val="center"/>
              <w:rPr>
                <w:rFonts w:hint="eastAsia" w:ascii="宋体" w:hAnsi="宋体" w:eastAsia="宋体" w:cs="宋体"/>
                <w:color w:val="auto"/>
                <w:sz w:val="20"/>
                <w:szCs w:val="20"/>
                <w:highlight w:val="none"/>
              </w:rPr>
            </w:pPr>
          </w:p>
        </w:tc>
        <w:tc>
          <w:tcPr>
            <w:tcW w:w="5892" w:type="dxa"/>
            <w:shd w:val="clear" w:color="auto" w:fill="auto"/>
            <w:noWrap/>
            <w:vAlign w:val="center"/>
          </w:tcPr>
          <w:p w14:paraId="76BEB546">
            <w:pPr>
              <w:widowControl/>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垃圾桶按照垃圾分类要求摆放正确，主要道路两垃圾桶撤桶进巷、进店。</w:t>
            </w:r>
          </w:p>
        </w:tc>
        <w:tc>
          <w:tcPr>
            <w:tcW w:w="588" w:type="dxa"/>
            <w:vMerge w:val="continue"/>
            <w:shd w:val="clear" w:color="auto" w:fill="auto"/>
            <w:noWrap/>
            <w:vAlign w:val="center"/>
          </w:tcPr>
          <w:p w14:paraId="344EB936">
            <w:pPr>
              <w:jc w:val="center"/>
              <w:rPr>
                <w:rFonts w:hint="eastAsia" w:ascii="宋体" w:hAnsi="宋体" w:eastAsia="宋体" w:cs="宋体"/>
                <w:color w:val="auto"/>
                <w:sz w:val="20"/>
                <w:szCs w:val="20"/>
                <w:highlight w:val="none"/>
              </w:rPr>
            </w:pPr>
          </w:p>
        </w:tc>
        <w:tc>
          <w:tcPr>
            <w:tcW w:w="1656" w:type="dxa"/>
            <w:vMerge w:val="continue"/>
            <w:shd w:val="clear" w:color="auto" w:fill="auto"/>
            <w:vAlign w:val="center"/>
          </w:tcPr>
          <w:p w14:paraId="6AED9C56">
            <w:pPr>
              <w:jc w:val="center"/>
              <w:rPr>
                <w:rFonts w:hint="eastAsia" w:ascii="宋体" w:hAnsi="宋体" w:eastAsia="宋体" w:cs="宋体"/>
                <w:color w:val="auto"/>
                <w:sz w:val="20"/>
                <w:szCs w:val="20"/>
                <w:highlight w:val="none"/>
              </w:rPr>
            </w:pPr>
          </w:p>
        </w:tc>
        <w:tc>
          <w:tcPr>
            <w:tcW w:w="624" w:type="dxa"/>
            <w:shd w:val="clear" w:color="auto" w:fill="auto"/>
            <w:noWrap/>
            <w:vAlign w:val="center"/>
          </w:tcPr>
          <w:p w14:paraId="508808FA">
            <w:pPr>
              <w:rPr>
                <w:rFonts w:hint="eastAsia" w:ascii="宋体" w:hAnsi="宋体" w:eastAsia="宋体" w:cs="宋体"/>
                <w:color w:val="auto"/>
                <w:sz w:val="20"/>
                <w:szCs w:val="20"/>
                <w:highlight w:val="none"/>
              </w:rPr>
            </w:pPr>
          </w:p>
        </w:tc>
      </w:tr>
      <w:tr w14:paraId="0828B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88" w:type="dxa"/>
            <w:vMerge w:val="continue"/>
            <w:shd w:val="clear" w:color="auto" w:fill="auto"/>
            <w:noWrap/>
            <w:vAlign w:val="center"/>
          </w:tcPr>
          <w:p w14:paraId="27D67DF6">
            <w:pPr>
              <w:jc w:val="center"/>
              <w:rPr>
                <w:rFonts w:hint="eastAsia" w:ascii="宋体" w:hAnsi="宋体" w:eastAsia="宋体" w:cs="宋体"/>
                <w:color w:val="auto"/>
                <w:sz w:val="20"/>
                <w:szCs w:val="20"/>
                <w:highlight w:val="none"/>
              </w:rPr>
            </w:pPr>
          </w:p>
        </w:tc>
        <w:tc>
          <w:tcPr>
            <w:tcW w:w="1044" w:type="dxa"/>
            <w:vMerge w:val="continue"/>
            <w:shd w:val="clear" w:color="auto" w:fill="auto"/>
            <w:vAlign w:val="center"/>
          </w:tcPr>
          <w:p w14:paraId="0FB52A10">
            <w:pPr>
              <w:jc w:val="center"/>
              <w:rPr>
                <w:rFonts w:hint="eastAsia" w:ascii="宋体" w:hAnsi="宋体" w:eastAsia="宋体" w:cs="宋体"/>
                <w:color w:val="auto"/>
                <w:sz w:val="20"/>
                <w:szCs w:val="20"/>
                <w:highlight w:val="none"/>
              </w:rPr>
            </w:pPr>
          </w:p>
        </w:tc>
        <w:tc>
          <w:tcPr>
            <w:tcW w:w="5892" w:type="dxa"/>
            <w:shd w:val="clear" w:color="auto" w:fill="auto"/>
            <w:noWrap/>
            <w:vAlign w:val="center"/>
          </w:tcPr>
          <w:p w14:paraId="4CBB1496">
            <w:pPr>
              <w:widowControl/>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果壳箱、垃圾桶受损及时上报。</w:t>
            </w:r>
          </w:p>
        </w:tc>
        <w:tc>
          <w:tcPr>
            <w:tcW w:w="588" w:type="dxa"/>
            <w:shd w:val="clear" w:color="auto" w:fill="auto"/>
            <w:noWrap/>
            <w:vAlign w:val="center"/>
          </w:tcPr>
          <w:p w14:paraId="25D89A22">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w:t>
            </w:r>
          </w:p>
        </w:tc>
        <w:tc>
          <w:tcPr>
            <w:tcW w:w="1656" w:type="dxa"/>
            <w:shd w:val="clear" w:color="auto" w:fill="auto"/>
            <w:vAlign w:val="center"/>
          </w:tcPr>
          <w:p w14:paraId="05DF9AEB">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每发现一处扣0.5分；遇有投诉一次扣1分</w:t>
            </w:r>
          </w:p>
        </w:tc>
        <w:tc>
          <w:tcPr>
            <w:tcW w:w="624" w:type="dxa"/>
            <w:shd w:val="clear" w:color="auto" w:fill="auto"/>
            <w:noWrap/>
            <w:vAlign w:val="center"/>
          </w:tcPr>
          <w:p w14:paraId="7898ADE6">
            <w:pPr>
              <w:rPr>
                <w:rFonts w:hint="eastAsia" w:ascii="宋体" w:hAnsi="宋体" w:eastAsia="宋体" w:cs="宋体"/>
                <w:color w:val="auto"/>
                <w:sz w:val="20"/>
                <w:szCs w:val="20"/>
                <w:highlight w:val="none"/>
              </w:rPr>
            </w:pPr>
          </w:p>
        </w:tc>
      </w:tr>
      <w:tr w14:paraId="57EAD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88" w:type="dxa"/>
            <w:shd w:val="clear" w:color="auto" w:fill="auto"/>
            <w:noWrap/>
            <w:vAlign w:val="center"/>
          </w:tcPr>
          <w:p w14:paraId="706D1A4E">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7</w:t>
            </w:r>
          </w:p>
        </w:tc>
        <w:tc>
          <w:tcPr>
            <w:tcW w:w="1044" w:type="dxa"/>
            <w:shd w:val="clear" w:color="auto" w:fill="auto"/>
            <w:vAlign w:val="center"/>
          </w:tcPr>
          <w:p w14:paraId="09DE33FC">
            <w:pPr>
              <w:widowControl/>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栏杆清洗保洁</w:t>
            </w:r>
          </w:p>
          <w:p w14:paraId="7833D577">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（5分）</w:t>
            </w:r>
          </w:p>
        </w:tc>
        <w:tc>
          <w:tcPr>
            <w:tcW w:w="5892" w:type="dxa"/>
            <w:shd w:val="clear" w:color="auto" w:fill="auto"/>
            <w:vAlign w:val="center"/>
          </w:tcPr>
          <w:p w14:paraId="66B54A25">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隔离护栏内外侧干净整洁、无浮土、无污渍，无小广告等，隔离护栏呈本色；作业完成后，护栏下地面无脏水、杂物。</w:t>
            </w:r>
          </w:p>
        </w:tc>
        <w:tc>
          <w:tcPr>
            <w:tcW w:w="588" w:type="dxa"/>
            <w:shd w:val="clear" w:color="auto" w:fill="auto"/>
            <w:noWrap/>
            <w:vAlign w:val="center"/>
          </w:tcPr>
          <w:p w14:paraId="31765DFE">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w:t>
            </w:r>
          </w:p>
        </w:tc>
        <w:tc>
          <w:tcPr>
            <w:tcW w:w="1656" w:type="dxa"/>
            <w:shd w:val="clear" w:color="auto" w:fill="auto"/>
            <w:vAlign w:val="center"/>
          </w:tcPr>
          <w:p w14:paraId="2863197D">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每发现一处扣0.5分；遇有投诉一次扣1分</w:t>
            </w:r>
          </w:p>
        </w:tc>
        <w:tc>
          <w:tcPr>
            <w:tcW w:w="624" w:type="dxa"/>
            <w:shd w:val="clear" w:color="auto" w:fill="auto"/>
            <w:noWrap/>
            <w:vAlign w:val="center"/>
          </w:tcPr>
          <w:p w14:paraId="0CFEE812">
            <w:pPr>
              <w:rPr>
                <w:rFonts w:hint="eastAsia" w:ascii="宋体" w:hAnsi="宋体" w:eastAsia="宋体" w:cs="宋体"/>
                <w:color w:val="auto"/>
                <w:sz w:val="20"/>
                <w:szCs w:val="20"/>
                <w:highlight w:val="none"/>
              </w:rPr>
            </w:pPr>
          </w:p>
        </w:tc>
      </w:tr>
      <w:tr w14:paraId="17F02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88" w:type="dxa"/>
            <w:vMerge w:val="restart"/>
            <w:shd w:val="clear" w:color="auto" w:fill="auto"/>
            <w:noWrap/>
            <w:vAlign w:val="center"/>
          </w:tcPr>
          <w:p w14:paraId="7FFFAFAD">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8</w:t>
            </w:r>
          </w:p>
        </w:tc>
        <w:tc>
          <w:tcPr>
            <w:tcW w:w="1044" w:type="dxa"/>
            <w:vMerge w:val="restart"/>
            <w:shd w:val="clear" w:color="auto" w:fill="auto"/>
            <w:vAlign w:val="center"/>
          </w:tcPr>
          <w:p w14:paraId="06FA2B00">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公厕保洁（5分）</w:t>
            </w:r>
          </w:p>
        </w:tc>
        <w:tc>
          <w:tcPr>
            <w:tcW w:w="5892" w:type="dxa"/>
            <w:shd w:val="clear" w:color="auto" w:fill="auto"/>
            <w:vAlign w:val="center"/>
          </w:tcPr>
          <w:p w14:paraId="45C2D387">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保洁作业期间人员到位情况；未经环卫部门批准，不得擅自关闭、停用公共厕所。</w:t>
            </w:r>
          </w:p>
        </w:tc>
        <w:tc>
          <w:tcPr>
            <w:tcW w:w="588" w:type="dxa"/>
            <w:vMerge w:val="restart"/>
            <w:shd w:val="clear" w:color="auto" w:fill="auto"/>
            <w:noWrap/>
            <w:vAlign w:val="center"/>
          </w:tcPr>
          <w:p w14:paraId="0703D36B">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w:t>
            </w:r>
          </w:p>
        </w:tc>
        <w:tc>
          <w:tcPr>
            <w:tcW w:w="1656" w:type="dxa"/>
            <w:vMerge w:val="restart"/>
            <w:shd w:val="clear" w:color="auto" w:fill="auto"/>
            <w:vAlign w:val="center"/>
          </w:tcPr>
          <w:p w14:paraId="1D99996B">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每发现一处扣0.1分，扣完为止</w:t>
            </w:r>
          </w:p>
        </w:tc>
        <w:tc>
          <w:tcPr>
            <w:tcW w:w="624" w:type="dxa"/>
            <w:shd w:val="clear" w:color="auto" w:fill="auto"/>
            <w:noWrap/>
            <w:vAlign w:val="center"/>
          </w:tcPr>
          <w:p w14:paraId="29719C00">
            <w:pPr>
              <w:rPr>
                <w:rFonts w:hint="eastAsia" w:ascii="宋体" w:hAnsi="宋体" w:eastAsia="宋体" w:cs="宋体"/>
                <w:color w:val="auto"/>
                <w:sz w:val="20"/>
                <w:szCs w:val="20"/>
                <w:highlight w:val="none"/>
              </w:rPr>
            </w:pPr>
          </w:p>
        </w:tc>
      </w:tr>
      <w:tr w14:paraId="0D27A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88" w:type="dxa"/>
            <w:vMerge w:val="continue"/>
            <w:shd w:val="clear" w:color="auto" w:fill="auto"/>
            <w:noWrap/>
            <w:vAlign w:val="center"/>
          </w:tcPr>
          <w:p w14:paraId="742AF6A4">
            <w:pPr>
              <w:jc w:val="center"/>
              <w:rPr>
                <w:rFonts w:hint="eastAsia" w:ascii="宋体" w:hAnsi="宋体" w:eastAsia="宋体" w:cs="宋体"/>
                <w:color w:val="auto"/>
                <w:sz w:val="20"/>
                <w:szCs w:val="20"/>
                <w:highlight w:val="none"/>
              </w:rPr>
            </w:pPr>
          </w:p>
        </w:tc>
        <w:tc>
          <w:tcPr>
            <w:tcW w:w="1044" w:type="dxa"/>
            <w:vMerge w:val="continue"/>
            <w:shd w:val="clear" w:color="auto" w:fill="auto"/>
            <w:vAlign w:val="center"/>
          </w:tcPr>
          <w:p w14:paraId="7750E235">
            <w:pPr>
              <w:jc w:val="center"/>
              <w:rPr>
                <w:rFonts w:hint="eastAsia" w:ascii="宋体" w:hAnsi="宋体" w:eastAsia="宋体" w:cs="宋体"/>
                <w:color w:val="auto"/>
                <w:sz w:val="20"/>
                <w:szCs w:val="20"/>
                <w:highlight w:val="none"/>
              </w:rPr>
            </w:pPr>
          </w:p>
        </w:tc>
        <w:tc>
          <w:tcPr>
            <w:tcW w:w="5892" w:type="dxa"/>
            <w:shd w:val="clear" w:color="auto" w:fill="auto"/>
            <w:vAlign w:val="center"/>
          </w:tcPr>
          <w:p w14:paraId="4185522D">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公厕内墙面、天花板、门窗和隔离板无积灰、污迹、蛛网，无乱涂乱画，配备的照明灯、洗手用具、镜子、冲水设备等应完好，无积灰、污物</w:t>
            </w:r>
          </w:p>
        </w:tc>
        <w:tc>
          <w:tcPr>
            <w:tcW w:w="588" w:type="dxa"/>
            <w:vMerge w:val="continue"/>
            <w:shd w:val="clear" w:color="auto" w:fill="auto"/>
            <w:noWrap/>
            <w:vAlign w:val="center"/>
          </w:tcPr>
          <w:p w14:paraId="6B5BB59E">
            <w:pPr>
              <w:jc w:val="center"/>
              <w:rPr>
                <w:rFonts w:hint="eastAsia" w:ascii="宋体" w:hAnsi="宋体" w:eastAsia="宋体" w:cs="宋体"/>
                <w:color w:val="auto"/>
                <w:sz w:val="20"/>
                <w:szCs w:val="20"/>
                <w:highlight w:val="none"/>
              </w:rPr>
            </w:pPr>
          </w:p>
        </w:tc>
        <w:tc>
          <w:tcPr>
            <w:tcW w:w="1656" w:type="dxa"/>
            <w:vMerge w:val="continue"/>
            <w:shd w:val="clear" w:color="auto" w:fill="auto"/>
            <w:vAlign w:val="center"/>
          </w:tcPr>
          <w:p w14:paraId="50B957FD">
            <w:pPr>
              <w:jc w:val="center"/>
              <w:rPr>
                <w:rFonts w:hint="eastAsia" w:ascii="宋体" w:hAnsi="宋体" w:eastAsia="宋体" w:cs="宋体"/>
                <w:color w:val="auto"/>
                <w:sz w:val="20"/>
                <w:szCs w:val="20"/>
                <w:highlight w:val="none"/>
              </w:rPr>
            </w:pPr>
          </w:p>
        </w:tc>
        <w:tc>
          <w:tcPr>
            <w:tcW w:w="624" w:type="dxa"/>
            <w:shd w:val="clear" w:color="auto" w:fill="auto"/>
            <w:noWrap/>
            <w:vAlign w:val="center"/>
          </w:tcPr>
          <w:p w14:paraId="6703E522">
            <w:pPr>
              <w:rPr>
                <w:rFonts w:hint="eastAsia" w:ascii="宋体" w:hAnsi="宋体" w:eastAsia="宋体" w:cs="宋体"/>
                <w:color w:val="auto"/>
                <w:sz w:val="20"/>
                <w:szCs w:val="20"/>
                <w:highlight w:val="none"/>
              </w:rPr>
            </w:pPr>
          </w:p>
        </w:tc>
      </w:tr>
      <w:tr w14:paraId="0627A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88" w:type="dxa"/>
            <w:vMerge w:val="continue"/>
            <w:shd w:val="clear" w:color="auto" w:fill="auto"/>
            <w:noWrap/>
            <w:vAlign w:val="center"/>
          </w:tcPr>
          <w:p w14:paraId="350AFA5E">
            <w:pPr>
              <w:jc w:val="center"/>
              <w:rPr>
                <w:rFonts w:hint="eastAsia" w:ascii="宋体" w:hAnsi="宋体" w:eastAsia="宋体" w:cs="宋体"/>
                <w:color w:val="auto"/>
                <w:sz w:val="20"/>
                <w:szCs w:val="20"/>
                <w:highlight w:val="none"/>
              </w:rPr>
            </w:pPr>
          </w:p>
        </w:tc>
        <w:tc>
          <w:tcPr>
            <w:tcW w:w="1044" w:type="dxa"/>
            <w:vMerge w:val="continue"/>
            <w:shd w:val="clear" w:color="auto" w:fill="auto"/>
            <w:vAlign w:val="center"/>
          </w:tcPr>
          <w:p w14:paraId="03E27874">
            <w:pPr>
              <w:jc w:val="center"/>
              <w:rPr>
                <w:rFonts w:hint="eastAsia" w:ascii="宋体" w:hAnsi="宋体" w:eastAsia="宋体" w:cs="宋体"/>
                <w:color w:val="auto"/>
                <w:sz w:val="20"/>
                <w:szCs w:val="20"/>
                <w:highlight w:val="none"/>
              </w:rPr>
            </w:pPr>
          </w:p>
        </w:tc>
        <w:tc>
          <w:tcPr>
            <w:tcW w:w="5892" w:type="dxa"/>
            <w:shd w:val="clear" w:color="auto" w:fill="auto"/>
            <w:vAlign w:val="center"/>
          </w:tcPr>
          <w:p w14:paraId="39686F13">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公厕内设施完好,正常运行。水、电通畅,无安全隐患。公厕内所有设施受损、便池堵塞、化粪池江溢、管道破损需及时上报。公共厕所化粪池吸粪作业时应积极主动配合。</w:t>
            </w:r>
          </w:p>
        </w:tc>
        <w:tc>
          <w:tcPr>
            <w:tcW w:w="588" w:type="dxa"/>
            <w:vMerge w:val="continue"/>
            <w:shd w:val="clear" w:color="auto" w:fill="auto"/>
            <w:noWrap/>
            <w:vAlign w:val="center"/>
          </w:tcPr>
          <w:p w14:paraId="02AD41E6">
            <w:pPr>
              <w:jc w:val="center"/>
              <w:rPr>
                <w:rFonts w:hint="eastAsia" w:ascii="宋体" w:hAnsi="宋体" w:eastAsia="宋体" w:cs="宋体"/>
                <w:color w:val="auto"/>
                <w:sz w:val="20"/>
                <w:szCs w:val="20"/>
                <w:highlight w:val="none"/>
              </w:rPr>
            </w:pPr>
          </w:p>
        </w:tc>
        <w:tc>
          <w:tcPr>
            <w:tcW w:w="1656" w:type="dxa"/>
            <w:vMerge w:val="continue"/>
            <w:shd w:val="clear" w:color="auto" w:fill="auto"/>
            <w:vAlign w:val="center"/>
          </w:tcPr>
          <w:p w14:paraId="0D1B57A2">
            <w:pPr>
              <w:jc w:val="center"/>
              <w:rPr>
                <w:rFonts w:hint="eastAsia" w:ascii="宋体" w:hAnsi="宋体" w:eastAsia="宋体" w:cs="宋体"/>
                <w:color w:val="auto"/>
                <w:sz w:val="20"/>
                <w:szCs w:val="20"/>
                <w:highlight w:val="none"/>
              </w:rPr>
            </w:pPr>
          </w:p>
        </w:tc>
        <w:tc>
          <w:tcPr>
            <w:tcW w:w="624" w:type="dxa"/>
            <w:shd w:val="clear" w:color="auto" w:fill="auto"/>
            <w:noWrap/>
            <w:vAlign w:val="center"/>
          </w:tcPr>
          <w:p w14:paraId="72CE4A80">
            <w:pPr>
              <w:rPr>
                <w:rFonts w:hint="eastAsia" w:ascii="宋体" w:hAnsi="宋体" w:eastAsia="宋体" w:cs="宋体"/>
                <w:color w:val="auto"/>
                <w:sz w:val="20"/>
                <w:szCs w:val="20"/>
                <w:highlight w:val="none"/>
              </w:rPr>
            </w:pPr>
          </w:p>
        </w:tc>
      </w:tr>
      <w:tr w14:paraId="78AEA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88" w:type="dxa"/>
            <w:vMerge w:val="continue"/>
            <w:shd w:val="clear" w:color="auto" w:fill="auto"/>
            <w:noWrap/>
            <w:vAlign w:val="center"/>
          </w:tcPr>
          <w:p w14:paraId="000725C9">
            <w:pPr>
              <w:jc w:val="center"/>
              <w:rPr>
                <w:rFonts w:hint="eastAsia" w:ascii="宋体" w:hAnsi="宋体" w:eastAsia="宋体" w:cs="宋体"/>
                <w:color w:val="auto"/>
                <w:sz w:val="20"/>
                <w:szCs w:val="20"/>
                <w:highlight w:val="none"/>
              </w:rPr>
            </w:pPr>
          </w:p>
        </w:tc>
        <w:tc>
          <w:tcPr>
            <w:tcW w:w="1044" w:type="dxa"/>
            <w:vMerge w:val="continue"/>
            <w:shd w:val="clear" w:color="auto" w:fill="auto"/>
            <w:vAlign w:val="center"/>
          </w:tcPr>
          <w:p w14:paraId="0489F294">
            <w:pPr>
              <w:jc w:val="center"/>
              <w:rPr>
                <w:rFonts w:hint="eastAsia" w:ascii="宋体" w:hAnsi="宋体" w:eastAsia="宋体" w:cs="宋体"/>
                <w:color w:val="auto"/>
                <w:sz w:val="20"/>
                <w:szCs w:val="20"/>
                <w:highlight w:val="none"/>
              </w:rPr>
            </w:pPr>
          </w:p>
        </w:tc>
        <w:tc>
          <w:tcPr>
            <w:tcW w:w="5892" w:type="dxa"/>
            <w:shd w:val="clear" w:color="auto" w:fill="auto"/>
            <w:vAlign w:val="center"/>
          </w:tcPr>
          <w:p w14:paraId="6E5E65F3">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公共厕所应无明显臭味，蹲位整洁。女厕位废纸篓不满溢,洁具无残留污垢。男厕小便池内应无水锈、尿垢、垃圾，沟眼、管道保持畅通。</w:t>
            </w:r>
          </w:p>
        </w:tc>
        <w:tc>
          <w:tcPr>
            <w:tcW w:w="588" w:type="dxa"/>
            <w:vMerge w:val="continue"/>
            <w:shd w:val="clear" w:color="auto" w:fill="auto"/>
            <w:noWrap/>
            <w:vAlign w:val="center"/>
          </w:tcPr>
          <w:p w14:paraId="7DFC6DDA">
            <w:pPr>
              <w:jc w:val="center"/>
              <w:rPr>
                <w:rFonts w:hint="eastAsia" w:ascii="宋体" w:hAnsi="宋体" w:eastAsia="宋体" w:cs="宋体"/>
                <w:color w:val="auto"/>
                <w:sz w:val="20"/>
                <w:szCs w:val="20"/>
                <w:highlight w:val="none"/>
              </w:rPr>
            </w:pPr>
          </w:p>
        </w:tc>
        <w:tc>
          <w:tcPr>
            <w:tcW w:w="1656" w:type="dxa"/>
            <w:vMerge w:val="continue"/>
            <w:shd w:val="clear" w:color="auto" w:fill="auto"/>
            <w:vAlign w:val="center"/>
          </w:tcPr>
          <w:p w14:paraId="6344B1D0">
            <w:pPr>
              <w:jc w:val="center"/>
              <w:rPr>
                <w:rFonts w:hint="eastAsia" w:ascii="宋体" w:hAnsi="宋体" w:eastAsia="宋体" w:cs="宋体"/>
                <w:color w:val="auto"/>
                <w:sz w:val="20"/>
                <w:szCs w:val="20"/>
                <w:highlight w:val="none"/>
              </w:rPr>
            </w:pPr>
          </w:p>
        </w:tc>
        <w:tc>
          <w:tcPr>
            <w:tcW w:w="624" w:type="dxa"/>
            <w:shd w:val="clear" w:color="auto" w:fill="auto"/>
            <w:noWrap/>
            <w:vAlign w:val="center"/>
          </w:tcPr>
          <w:p w14:paraId="3C6E5056">
            <w:pPr>
              <w:rPr>
                <w:rFonts w:hint="eastAsia" w:ascii="宋体" w:hAnsi="宋体" w:eastAsia="宋体" w:cs="宋体"/>
                <w:color w:val="auto"/>
                <w:sz w:val="20"/>
                <w:szCs w:val="20"/>
                <w:highlight w:val="none"/>
              </w:rPr>
            </w:pPr>
          </w:p>
        </w:tc>
      </w:tr>
      <w:tr w14:paraId="2486B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88" w:type="dxa"/>
            <w:vMerge w:val="continue"/>
            <w:shd w:val="clear" w:color="auto" w:fill="auto"/>
            <w:noWrap/>
            <w:vAlign w:val="center"/>
          </w:tcPr>
          <w:p w14:paraId="252CF451">
            <w:pPr>
              <w:jc w:val="center"/>
              <w:rPr>
                <w:rFonts w:hint="eastAsia" w:ascii="宋体" w:hAnsi="宋体" w:eastAsia="宋体" w:cs="宋体"/>
                <w:color w:val="auto"/>
                <w:sz w:val="20"/>
                <w:szCs w:val="20"/>
                <w:highlight w:val="none"/>
              </w:rPr>
            </w:pPr>
          </w:p>
        </w:tc>
        <w:tc>
          <w:tcPr>
            <w:tcW w:w="1044" w:type="dxa"/>
            <w:vMerge w:val="continue"/>
            <w:shd w:val="clear" w:color="auto" w:fill="auto"/>
            <w:vAlign w:val="center"/>
          </w:tcPr>
          <w:p w14:paraId="21006DAD">
            <w:pPr>
              <w:jc w:val="center"/>
              <w:rPr>
                <w:rFonts w:hint="eastAsia" w:ascii="宋体" w:hAnsi="宋体" w:eastAsia="宋体" w:cs="宋体"/>
                <w:color w:val="auto"/>
                <w:sz w:val="20"/>
                <w:szCs w:val="20"/>
                <w:highlight w:val="none"/>
              </w:rPr>
            </w:pPr>
          </w:p>
        </w:tc>
        <w:tc>
          <w:tcPr>
            <w:tcW w:w="5892" w:type="dxa"/>
            <w:shd w:val="clear" w:color="auto" w:fill="auto"/>
            <w:vAlign w:val="center"/>
          </w:tcPr>
          <w:p w14:paraId="1848443A">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蝇蚊孳生季节，不定时喷洒灭蝇药物，需有效控制蝇蛆孳生。</w:t>
            </w:r>
          </w:p>
        </w:tc>
        <w:tc>
          <w:tcPr>
            <w:tcW w:w="588" w:type="dxa"/>
            <w:vMerge w:val="continue"/>
            <w:shd w:val="clear" w:color="auto" w:fill="auto"/>
            <w:noWrap/>
            <w:vAlign w:val="center"/>
          </w:tcPr>
          <w:p w14:paraId="55BA764F">
            <w:pPr>
              <w:jc w:val="center"/>
              <w:rPr>
                <w:rFonts w:hint="eastAsia" w:ascii="宋体" w:hAnsi="宋体" w:eastAsia="宋体" w:cs="宋体"/>
                <w:color w:val="auto"/>
                <w:sz w:val="20"/>
                <w:szCs w:val="20"/>
                <w:highlight w:val="none"/>
              </w:rPr>
            </w:pPr>
          </w:p>
        </w:tc>
        <w:tc>
          <w:tcPr>
            <w:tcW w:w="1656" w:type="dxa"/>
            <w:vMerge w:val="continue"/>
            <w:shd w:val="clear" w:color="auto" w:fill="auto"/>
            <w:vAlign w:val="center"/>
          </w:tcPr>
          <w:p w14:paraId="66BA5164">
            <w:pPr>
              <w:jc w:val="center"/>
              <w:rPr>
                <w:rFonts w:hint="eastAsia" w:ascii="宋体" w:hAnsi="宋体" w:eastAsia="宋体" w:cs="宋体"/>
                <w:color w:val="auto"/>
                <w:sz w:val="20"/>
                <w:szCs w:val="20"/>
                <w:highlight w:val="none"/>
              </w:rPr>
            </w:pPr>
          </w:p>
        </w:tc>
        <w:tc>
          <w:tcPr>
            <w:tcW w:w="624" w:type="dxa"/>
            <w:shd w:val="clear" w:color="auto" w:fill="auto"/>
            <w:noWrap/>
            <w:vAlign w:val="center"/>
          </w:tcPr>
          <w:p w14:paraId="0EB52837">
            <w:pPr>
              <w:rPr>
                <w:rFonts w:hint="eastAsia" w:ascii="宋体" w:hAnsi="宋体" w:eastAsia="宋体" w:cs="宋体"/>
                <w:color w:val="auto"/>
                <w:sz w:val="20"/>
                <w:szCs w:val="20"/>
                <w:highlight w:val="none"/>
              </w:rPr>
            </w:pPr>
          </w:p>
        </w:tc>
      </w:tr>
      <w:tr w14:paraId="0450C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88" w:type="dxa"/>
            <w:vMerge w:val="continue"/>
            <w:shd w:val="clear" w:color="auto" w:fill="auto"/>
            <w:noWrap/>
            <w:vAlign w:val="center"/>
          </w:tcPr>
          <w:p w14:paraId="42C336B9">
            <w:pPr>
              <w:jc w:val="center"/>
              <w:rPr>
                <w:rFonts w:hint="eastAsia" w:ascii="宋体" w:hAnsi="宋体" w:eastAsia="宋体" w:cs="宋体"/>
                <w:color w:val="auto"/>
                <w:sz w:val="20"/>
                <w:szCs w:val="20"/>
                <w:highlight w:val="none"/>
              </w:rPr>
            </w:pPr>
          </w:p>
        </w:tc>
        <w:tc>
          <w:tcPr>
            <w:tcW w:w="1044" w:type="dxa"/>
            <w:vMerge w:val="continue"/>
            <w:shd w:val="clear" w:color="auto" w:fill="auto"/>
            <w:vAlign w:val="center"/>
          </w:tcPr>
          <w:p w14:paraId="6E7627C6">
            <w:pPr>
              <w:jc w:val="center"/>
              <w:rPr>
                <w:rFonts w:hint="eastAsia" w:ascii="宋体" w:hAnsi="宋体" w:eastAsia="宋体" w:cs="宋体"/>
                <w:color w:val="auto"/>
                <w:sz w:val="20"/>
                <w:szCs w:val="20"/>
                <w:highlight w:val="none"/>
              </w:rPr>
            </w:pPr>
          </w:p>
        </w:tc>
        <w:tc>
          <w:tcPr>
            <w:tcW w:w="5892" w:type="dxa"/>
            <w:shd w:val="clear" w:color="auto" w:fill="auto"/>
            <w:vAlign w:val="center"/>
          </w:tcPr>
          <w:p w14:paraId="32FFDF08">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公共厕所外墙及外环境应整洁，无乱涂乱画，无乱堆杂物，公厕四周</w:t>
            </w:r>
            <w:r>
              <w:rPr>
                <w:rFonts w:ascii="Calibri" w:hAnsi="Calibri" w:eastAsia="宋体" w:cs="Calibri"/>
                <w:color w:val="auto"/>
                <w:kern w:val="0"/>
                <w:sz w:val="20"/>
                <w:szCs w:val="20"/>
                <w:highlight w:val="none"/>
                <w:lang w:bidi="ar"/>
              </w:rPr>
              <w:t>5</w:t>
            </w:r>
            <w:r>
              <w:rPr>
                <w:rFonts w:hint="eastAsia" w:ascii="宋体" w:hAnsi="宋体" w:eastAsia="宋体" w:cs="宋体"/>
                <w:color w:val="auto"/>
                <w:kern w:val="0"/>
                <w:sz w:val="20"/>
                <w:szCs w:val="20"/>
                <w:highlight w:val="none"/>
                <w:lang w:bidi="ar"/>
              </w:rPr>
              <w:t>米范围内，应无垃圾、粪便、污水等污物。</w:t>
            </w:r>
          </w:p>
        </w:tc>
        <w:tc>
          <w:tcPr>
            <w:tcW w:w="588" w:type="dxa"/>
            <w:vMerge w:val="continue"/>
            <w:shd w:val="clear" w:color="auto" w:fill="auto"/>
            <w:noWrap/>
            <w:vAlign w:val="center"/>
          </w:tcPr>
          <w:p w14:paraId="76E0626C">
            <w:pPr>
              <w:jc w:val="center"/>
              <w:rPr>
                <w:rFonts w:hint="eastAsia" w:ascii="宋体" w:hAnsi="宋体" w:eastAsia="宋体" w:cs="宋体"/>
                <w:color w:val="auto"/>
                <w:sz w:val="20"/>
                <w:szCs w:val="20"/>
                <w:highlight w:val="none"/>
              </w:rPr>
            </w:pPr>
          </w:p>
        </w:tc>
        <w:tc>
          <w:tcPr>
            <w:tcW w:w="1656" w:type="dxa"/>
            <w:vMerge w:val="continue"/>
            <w:shd w:val="clear" w:color="auto" w:fill="auto"/>
            <w:vAlign w:val="center"/>
          </w:tcPr>
          <w:p w14:paraId="44F9F127">
            <w:pPr>
              <w:jc w:val="center"/>
              <w:rPr>
                <w:rFonts w:hint="eastAsia" w:ascii="宋体" w:hAnsi="宋体" w:eastAsia="宋体" w:cs="宋体"/>
                <w:color w:val="auto"/>
                <w:sz w:val="20"/>
                <w:szCs w:val="20"/>
                <w:highlight w:val="none"/>
              </w:rPr>
            </w:pPr>
          </w:p>
        </w:tc>
        <w:tc>
          <w:tcPr>
            <w:tcW w:w="624" w:type="dxa"/>
            <w:shd w:val="clear" w:color="auto" w:fill="auto"/>
            <w:noWrap/>
            <w:vAlign w:val="center"/>
          </w:tcPr>
          <w:p w14:paraId="12E00D50">
            <w:pPr>
              <w:rPr>
                <w:rFonts w:hint="eastAsia" w:ascii="宋体" w:hAnsi="宋体" w:eastAsia="宋体" w:cs="宋体"/>
                <w:color w:val="auto"/>
                <w:sz w:val="20"/>
                <w:szCs w:val="20"/>
                <w:highlight w:val="none"/>
              </w:rPr>
            </w:pPr>
          </w:p>
        </w:tc>
      </w:tr>
      <w:tr w14:paraId="5CD2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88" w:type="dxa"/>
            <w:vMerge w:val="restart"/>
            <w:shd w:val="clear" w:color="auto" w:fill="auto"/>
            <w:noWrap/>
            <w:vAlign w:val="center"/>
          </w:tcPr>
          <w:p w14:paraId="7DF7010B">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9</w:t>
            </w:r>
          </w:p>
        </w:tc>
        <w:tc>
          <w:tcPr>
            <w:tcW w:w="1044" w:type="dxa"/>
            <w:vMerge w:val="restart"/>
            <w:shd w:val="clear" w:color="auto" w:fill="auto"/>
            <w:vAlign w:val="center"/>
          </w:tcPr>
          <w:p w14:paraId="2EF5A871">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应急突击整治（8分）</w:t>
            </w:r>
          </w:p>
        </w:tc>
        <w:tc>
          <w:tcPr>
            <w:tcW w:w="5892" w:type="dxa"/>
            <w:shd w:val="clear" w:color="auto" w:fill="auto"/>
            <w:noWrap/>
            <w:vAlign w:val="center"/>
          </w:tcPr>
          <w:p w14:paraId="723DA582">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应急人员每日落实到位，车辆待命。</w:t>
            </w:r>
          </w:p>
        </w:tc>
        <w:tc>
          <w:tcPr>
            <w:tcW w:w="588" w:type="dxa"/>
            <w:shd w:val="clear" w:color="auto" w:fill="auto"/>
            <w:noWrap/>
            <w:vAlign w:val="center"/>
          </w:tcPr>
          <w:p w14:paraId="2831A772">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4</w:t>
            </w:r>
          </w:p>
        </w:tc>
        <w:tc>
          <w:tcPr>
            <w:tcW w:w="1656" w:type="dxa"/>
            <w:shd w:val="clear" w:color="auto" w:fill="auto"/>
            <w:vAlign w:val="center"/>
          </w:tcPr>
          <w:p w14:paraId="1644AE2D">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人员未落实，发现一处扣1分</w:t>
            </w:r>
          </w:p>
        </w:tc>
        <w:tc>
          <w:tcPr>
            <w:tcW w:w="624" w:type="dxa"/>
            <w:shd w:val="clear" w:color="auto" w:fill="auto"/>
            <w:noWrap/>
            <w:vAlign w:val="center"/>
          </w:tcPr>
          <w:p w14:paraId="222326B2">
            <w:pPr>
              <w:rPr>
                <w:rFonts w:hint="eastAsia" w:ascii="宋体" w:hAnsi="宋体" w:eastAsia="宋体" w:cs="宋体"/>
                <w:color w:val="auto"/>
                <w:sz w:val="20"/>
                <w:szCs w:val="20"/>
                <w:highlight w:val="none"/>
              </w:rPr>
            </w:pPr>
          </w:p>
        </w:tc>
      </w:tr>
      <w:tr w14:paraId="22673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88" w:type="dxa"/>
            <w:vMerge w:val="continue"/>
            <w:shd w:val="clear" w:color="auto" w:fill="auto"/>
            <w:noWrap/>
            <w:vAlign w:val="center"/>
          </w:tcPr>
          <w:p w14:paraId="29E00A63">
            <w:pPr>
              <w:jc w:val="center"/>
              <w:rPr>
                <w:rFonts w:hint="eastAsia" w:ascii="宋体" w:hAnsi="宋体" w:eastAsia="宋体" w:cs="宋体"/>
                <w:color w:val="auto"/>
                <w:sz w:val="20"/>
                <w:szCs w:val="20"/>
                <w:highlight w:val="none"/>
              </w:rPr>
            </w:pPr>
          </w:p>
        </w:tc>
        <w:tc>
          <w:tcPr>
            <w:tcW w:w="1044" w:type="dxa"/>
            <w:vMerge w:val="continue"/>
            <w:shd w:val="clear" w:color="auto" w:fill="auto"/>
            <w:vAlign w:val="center"/>
          </w:tcPr>
          <w:p w14:paraId="1FACDA10">
            <w:pPr>
              <w:jc w:val="center"/>
              <w:rPr>
                <w:rFonts w:hint="eastAsia" w:ascii="宋体" w:hAnsi="宋体" w:eastAsia="宋体" w:cs="宋体"/>
                <w:color w:val="auto"/>
                <w:sz w:val="20"/>
                <w:szCs w:val="20"/>
                <w:highlight w:val="none"/>
              </w:rPr>
            </w:pPr>
          </w:p>
        </w:tc>
        <w:tc>
          <w:tcPr>
            <w:tcW w:w="5892" w:type="dxa"/>
            <w:shd w:val="clear" w:color="auto" w:fill="auto"/>
            <w:noWrap/>
            <w:vAlign w:val="center"/>
          </w:tcPr>
          <w:p w14:paraId="23F1CB75">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接到指令后，安规定时间到位，并听从现场人员指挥。</w:t>
            </w:r>
          </w:p>
        </w:tc>
        <w:tc>
          <w:tcPr>
            <w:tcW w:w="588" w:type="dxa"/>
            <w:shd w:val="clear" w:color="auto" w:fill="auto"/>
            <w:noWrap/>
            <w:vAlign w:val="center"/>
          </w:tcPr>
          <w:p w14:paraId="086EC15E">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w:t>
            </w:r>
          </w:p>
        </w:tc>
        <w:tc>
          <w:tcPr>
            <w:tcW w:w="1656" w:type="dxa"/>
            <w:vMerge w:val="restart"/>
            <w:shd w:val="clear" w:color="auto" w:fill="auto"/>
            <w:vAlign w:val="center"/>
          </w:tcPr>
          <w:p w14:paraId="6D1F1EA9">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每发现一处扣1分；遇有投诉一次扣2分</w:t>
            </w:r>
          </w:p>
        </w:tc>
        <w:tc>
          <w:tcPr>
            <w:tcW w:w="624" w:type="dxa"/>
            <w:shd w:val="clear" w:color="auto" w:fill="auto"/>
            <w:noWrap/>
            <w:vAlign w:val="center"/>
          </w:tcPr>
          <w:p w14:paraId="60408D55">
            <w:pPr>
              <w:rPr>
                <w:rFonts w:hint="eastAsia" w:ascii="宋体" w:hAnsi="宋体" w:eastAsia="宋体" w:cs="宋体"/>
                <w:color w:val="auto"/>
                <w:sz w:val="20"/>
                <w:szCs w:val="20"/>
                <w:highlight w:val="none"/>
              </w:rPr>
            </w:pPr>
          </w:p>
        </w:tc>
      </w:tr>
      <w:tr w14:paraId="20CE7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88" w:type="dxa"/>
            <w:vMerge w:val="continue"/>
            <w:shd w:val="clear" w:color="auto" w:fill="auto"/>
            <w:noWrap/>
            <w:vAlign w:val="center"/>
          </w:tcPr>
          <w:p w14:paraId="45656DD3">
            <w:pPr>
              <w:jc w:val="center"/>
              <w:rPr>
                <w:rFonts w:hint="eastAsia" w:ascii="宋体" w:hAnsi="宋体" w:eastAsia="宋体" w:cs="宋体"/>
                <w:color w:val="auto"/>
                <w:sz w:val="20"/>
                <w:szCs w:val="20"/>
                <w:highlight w:val="none"/>
              </w:rPr>
            </w:pPr>
          </w:p>
        </w:tc>
        <w:tc>
          <w:tcPr>
            <w:tcW w:w="1044" w:type="dxa"/>
            <w:vMerge w:val="continue"/>
            <w:shd w:val="clear" w:color="auto" w:fill="auto"/>
            <w:vAlign w:val="center"/>
          </w:tcPr>
          <w:p w14:paraId="6787679D">
            <w:pPr>
              <w:jc w:val="center"/>
              <w:rPr>
                <w:rFonts w:hint="eastAsia" w:ascii="宋体" w:hAnsi="宋体" w:eastAsia="宋体" w:cs="宋体"/>
                <w:color w:val="auto"/>
                <w:sz w:val="20"/>
                <w:szCs w:val="20"/>
                <w:highlight w:val="none"/>
              </w:rPr>
            </w:pPr>
          </w:p>
        </w:tc>
        <w:tc>
          <w:tcPr>
            <w:tcW w:w="5892" w:type="dxa"/>
            <w:shd w:val="clear" w:color="auto" w:fill="auto"/>
            <w:vAlign w:val="center"/>
          </w:tcPr>
          <w:p w14:paraId="6795C007">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及时处理应急事件，处理后将事件的具体情况进行及时反馈。</w:t>
            </w:r>
          </w:p>
        </w:tc>
        <w:tc>
          <w:tcPr>
            <w:tcW w:w="588" w:type="dxa"/>
            <w:shd w:val="clear" w:color="auto" w:fill="auto"/>
            <w:noWrap/>
            <w:vAlign w:val="center"/>
          </w:tcPr>
          <w:p w14:paraId="05EC0698">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2</w:t>
            </w:r>
          </w:p>
        </w:tc>
        <w:tc>
          <w:tcPr>
            <w:tcW w:w="1656" w:type="dxa"/>
            <w:vMerge w:val="continue"/>
            <w:shd w:val="clear" w:color="auto" w:fill="auto"/>
            <w:vAlign w:val="center"/>
          </w:tcPr>
          <w:p w14:paraId="7162EE45">
            <w:pPr>
              <w:jc w:val="center"/>
              <w:rPr>
                <w:rFonts w:hint="eastAsia" w:ascii="宋体" w:hAnsi="宋体" w:eastAsia="宋体" w:cs="宋体"/>
                <w:color w:val="auto"/>
                <w:sz w:val="20"/>
                <w:szCs w:val="20"/>
                <w:highlight w:val="none"/>
              </w:rPr>
            </w:pPr>
          </w:p>
        </w:tc>
        <w:tc>
          <w:tcPr>
            <w:tcW w:w="624" w:type="dxa"/>
            <w:shd w:val="clear" w:color="auto" w:fill="auto"/>
            <w:noWrap/>
            <w:vAlign w:val="center"/>
          </w:tcPr>
          <w:p w14:paraId="273A6F95">
            <w:pPr>
              <w:rPr>
                <w:rFonts w:hint="eastAsia" w:ascii="宋体" w:hAnsi="宋体" w:eastAsia="宋体" w:cs="宋体"/>
                <w:color w:val="auto"/>
                <w:sz w:val="20"/>
                <w:szCs w:val="20"/>
                <w:highlight w:val="none"/>
              </w:rPr>
            </w:pPr>
          </w:p>
        </w:tc>
      </w:tr>
      <w:tr w14:paraId="09F3A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88" w:type="dxa"/>
            <w:vMerge w:val="restart"/>
            <w:shd w:val="clear" w:color="auto" w:fill="auto"/>
            <w:noWrap/>
            <w:vAlign w:val="center"/>
          </w:tcPr>
          <w:p w14:paraId="07E563BA">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10</w:t>
            </w:r>
          </w:p>
        </w:tc>
        <w:tc>
          <w:tcPr>
            <w:tcW w:w="1044" w:type="dxa"/>
            <w:vMerge w:val="restart"/>
            <w:shd w:val="clear" w:color="auto" w:fill="auto"/>
            <w:vAlign w:val="center"/>
          </w:tcPr>
          <w:p w14:paraId="501EA958">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台账资料</w:t>
            </w:r>
            <w:r>
              <w:rPr>
                <w:rFonts w:hint="eastAsia" w:ascii="宋体" w:hAnsi="宋体" w:eastAsia="宋体" w:cs="宋体"/>
                <w:color w:val="auto"/>
                <w:kern w:val="0"/>
                <w:sz w:val="20"/>
                <w:szCs w:val="20"/>
                <w:highlight w:val="none"/>
                <w:lang w:bidi="ar"/>
              </w:rPr>
              <w:br w:type="textWrapping"/>
            </w:r>
            <w:r>
              <w:rPr>
                <w:rFonts w:hint="eastAsia" w:ascii="宋体" w:hAnsi="宋体" w:eastAsia="宋体" w:cs="宋体"/>
                <w:color w:val="auto"/>
                <w:kern w:val="0"/>
                <w:sz w:val="20"/>
                <w:szCs w:val="20"/>
                <w:highlight w:val="none"/>
                <w:lang w:bidi="ar"/>
              </w:rPr>
              <w:t>（10分）</w:t>
            </w:r>
          </w:p>
        </w:tc>
        <w:tc>
          <w:tcPr>
            <w:tcW w:w="5892" w:type="dxa"/>
            <w:shd w:val="clear" w:color="auto" w:fill="auto"/>
            <w:noWrap/>
            <w:vAlign w:val="center"/>
          </w:tcPr>
          <w:p w14:paraId="09CC973B">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台帐要资料要齐全，不得弄虚作假。</w:t>
            </w:r>
          </w:p>
        </w:tc>
        <w:tc>
          <w:tcPr>
            <w:tcW w:w="588" w:type="dxa"/>
            <w:shd w:val="clear" w:color="auto" w:fill="auto"/>
            <w:noWrap/>
            <w:vAlign w:val="center"/>
          </w:tcPr>
          <w:p w14:paraId="072434E5">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w:t>
            </w:r>
          </w:p>
        </w:tc>
        <w:tc>
          <w:tcPr>
            <w:tcW w:w="1656" w:type="dxa"/>
            <w:shd w:val="clear" w:color="auto" w:fill="auto"/>
            <w:noWrap/>
            <w:vAlign w:val="center"/>
          </w:tcPr>
          <w:p w14:paraId="12E299E8">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少一份扣1分，扣完为止</w:t>
            </w:r>
          </w:p>
        </w:tc>
        <w:tc>
          <w:tcPr>
            <w:tcW w:w="624" w:type="dxa"/>
            <w:shd w:val="clear" w:color="auto" w:fill="auto"/>
            <w:noWrap/>
            <w:vAlign w:val="center"/>
          </w:tcPr>
          <w:p w14:paraId="090B4789">
            <w:pPr>
              <w:rPr>
                <w:rFonts w:hint="eastAsia" w:ascii="宋体" w:hAnsi="宋体" w:eastAsia="宋体" w:cs="宋体"/>
                <w:color w:val="auto"/>
                <w:sz w:val="20"/>
                <w:szCs w:val="20"/>
                <w:highlight w:val="none"/>
              </w:rPr>
            </w:pPr>
          </w:p>
        </w:tc>
      </w:tr>
      <w:tr w14:paraId="5CC3C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588" w:type="dxa"/>
            <w:vMerge w:val="continue"/>
            <w:shd w:val="clear" w:color="auto" w:fill="auto"/>
            <w:noWrap/>
            <w:vAlign w:val="center"/>
          </w:tcPr>
          <w:p w14:paraId="05033CDA">
            <w:pPr>
              <w:jc w:val="center"/>
              <w:rPr>
                <w:rFonts w:hint="eastAsia" w:ascii="宋体" w:hAnsi="宋体" w:eastAsia="宋体" w:cs="宋体"/>
                <w:color w:val="auto"/>
                <w:sz w:val="20"/>
                <w:szCs w:val="20"/>
                <w:highlight w:val="none"/>
              </w:rPr>
            </w:pPr>
          </w:p>
        </w:tc>
        <w:tc>
          <w:tcPr>
            <w:tcW w:w="1044" w:type="dxa"/>
            <w:vMerge w:val="continue"/>
            <w:shd w:val="clear" w:color="auto" w:fill="auto"/>
            <w:vAlign w:val="center"/>
          </w:tcPr>
          <w:p w14:paraId="50F59E4C">
            <w:pPr>
              <w:jc w:val="center"/>
              <w:rPr>
                <w:rFonts w:hint="eastAsia" w:ascii="宋体" w:hAnsi="宋体" w:eastAsia="宋体" w:cs="宋体"/>
                <w:color w:val="auto"/>
                <w:sz w:val="20"/>
                <w:szCs w:val="20"/>
                <w:highlight w:val="none"/>
              </w:rPr>
            </w:pPr>
          </w:p>
        </w:tc>
        <w:tc>
          <w:tcPr>
            <w:tcW w:w="5892" w:type="dxa"/>
            <w:shd w:val="clear" w:color="auto" w:fill="auto"/>
            <w:noWrap/>
            <w:vAlign w:val="center"/>
          </w:tcPr>
          <w:p w14:paraId="48377FE7">
            <w:pPr>
              <w:widowControl/>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每月第三个工作日前上报上月所有台帐资料。</w:t>
            </w:r>
          </w:p>
        </w:tc>
        <w:tc>
          <w:tcPr>
            <w:tcW w:w="588" w:type="dxa"/>
            <w:shd w:val="clear" w:color="auto" w:fill="auto"/>
            <w:noWrap/>
            <w:vAlign w:val="center"/>
          </w:tcPr>
          <w:p w14:paraId="734554B0">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5</w:t>
            </w:r>
          </w:p>
        </w:tc>
        <w:tc>
          <w:tcPr>
            <w:tcW w:w="1656" w:type="dxa"/>
            <w:shd w:val="clear" w:color="auto" w:fill="auto"/>
            <w:vAlign w:val="center"/>
          </w:tcPr>
          <w:p w14:paraId="40976F14">
            <w:pPr>
              <w:widowControl/>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未及时上交台账，一次扣5分</w:t>
            </w:r>
          </w:p>
        </w:tc>
        <w:tc>
          <w:tcPr>
            <w:tcW w:w="624" w:type="dxa"/>
            <w:shd w:val="clear" w:color="auto" w:fill="auto"/>
            <w:noWrap/>
            <w:vAlign w:val="center"/>
          </w:tcPr>
          <w:p w14:paraId="13EAFABB">
            <w:pPr>
              <w:rPr>
                <w:rFonts w:hint="eastAsia" w:ascii="宋体" w:hAnsi="宋体" w:eastAsia="宋体" w:cs="宋体"/>
                <w:color w:val="auto"/>
                <w:sz w:val="20"/>
                <w:szCs w:val="20"/>
                <w:highlight w:val="none"/>
              </w:rPr>
            </w:pPr>
          </w:p>
        </w:tc>
      </w:tr>
    </w:tbl>
    <w:p w14:paraId="62045E64">
      <w:pPr>
        <w:spacing w:line="360" w:lineRule="auto"/>
        <w:outlineLvl w:val="0"/>
        <w:rPr>
          <w:rFonts w:hint="eastAsia" w:eastAsia="宋体"/>
          <w:b/>
          <w:color w:val="auto"/>
          <w:sz w:val="24"/>
          <w:highlight w:val="none"/>
        </w:rPr>
      </w:pPr>
    </w:p>
    <w:p w14:paraId="00A80209">
      <w:pPr>
        <w:spacing w:line="360" w:lineRule="auto"/>
        <w:outlineLvl w:val="0"/>
        <w:rPr>
          <w:rFonts w:hint="eastAsia" w:eastAsia="宋体"/>
          <w:b/>
          <w:color w:val="auto"/>
          <w:sz w:val="24"/>
          <w:highlight w:val="none"/>
        </w:rPr>
      </w:pPr>
      <w:r>
        <w:rPr>
          <w:rFonts w:hint="eastAsia" w:eastAsia="宋体"/>
          <w:b/>
          <w:color w:val="auto"/>
          <w:sz w:val="24"/>
          <w:highlight w:val="none"/>
        </w:rPr>
        <w:t>四、服务承诺</w:t>
      </w:r>
    </w:p>
    <w:p w14:paraId="6A48F9A9">
      <w:pPr>
        <w:pStyle w:val="2"/>
        <w:spacing w:line="360" w:lineRule="auto"/>
        <w:ind w:firstLine="465"/>
        <w:rPr>
          <w:color w:val="auto"/>
          <w:szCs w:val="21"/>
          <w:highlight w:val="none"/>
        </w:rPr>
      </w:pPr>
      <w:r>
        <w:rPr>
          <w:rFonts w:hint="eastAsia" w:ascii="宋体" w:hAnsi="宋体" w:cs="宋体"/>
          <w:color w:val="auto"/>
          <w:szCs w:val="21"/>
          <w:highlight w:val="none"/>
        </w:rPr>
        <w:t>★</w:t>
      </w:r>
      <w:r>
        <w:rPr>
          <w:rFonts w:hint="eastAsia"/>
          <w:color w:val="auto"/>
          <w:szCs w:val="21"/>
          <w:highlight w:val="none"/>
        </w:rPr>
        <w:t>本项目所需车辆、人员（保洁员、驾驶员等），投标人须在合同签订前按照招标需求配足。各投标人须在投标文件中提供承诺书。投标人进场后，其配置的人员未按照承诺，持续、足额到岗常态化作业的；投入的环卫车辆、设备、器具等装备未持续、足额、常态化运行的，每缺一项按中标单价费用的120%扣除当月项目承包费。</w:t>
      </w:r>
    </w:p>
    <w:p w14:paraId="74C3DFDB">
      <w:pPr>
        <w:pStyle w:val="2"/>
        <w:spacing w:line="360" w:lineRule="auto"/>
        <w:ind w:firstLine="210" w:firstLineChars="100"/>
        <w:rPr>
          <w:color w:val="auto"/>
          <w:szCs w:val="21"/>
          <w:highlight w:val="none"/>
        </w:rPr>
      </w:pPr>
    </w:p>
    <w:p w14:paraId="52216274">
      <w:pPr>
        <w:pStyle w:val="2"/>
        <w:spacing w:line="360" w:lineRule="auto"/>
        <w:rPr>
          <w:rFonts w:hint="eastAsia" w:ascii="宋体" w:hAnsi="宋体"/>
          <w:b/>
          <w:color w:val="auto"/>
          <w:sz w:val="24"/>
          <w:szCs w:val="21"/>
          <w:highlight w:val="none"/>
        </w:rPr>
      </w:pPr>
      <w:r>
        <w:rPr>
          <w:rFonts w:hint="eastAsia" w:ascii="宋体" w:hAnsi="宋体"/>
          <w:b/>
          <w:color w:val="auto"/>
          <w:sz w:val="24"/>
          <w:szCs w:val="21"/>
          <w:highlight w:val="none"/>
        </w:rPr>
        <w:t>五、服务期限</w:t>
      </w:r>
    </w:p>
    <w:p w14:paraId="6C4C1380">
      <w:pPr>
        <w:spacing w:line="360" w:lineRule="auto"/>
        <w:ind w:firstLine="480"/>
        <w:rPr>
          <w:rFonts w:hint="eastAsia" w:eastAsia="宋体"/>
          <w:b/>
          <w:color w:val="auto"/>
          <w:sz w:val="24"/>
          <w:highlight w:val="none"/>
        </w:rPr>
      </w:pPr>
      <w:r>
        <w:rPr>
          <w:rFonts w:hint="eastAsia" w:ascii="宋体" w:hAnsi="宋体" w:eastAsia="宋体"/>
          <w:color w:val="auto"/>
          <w:szCs w:val="21"/>
          <w:highlight w:val="none"/>
        </w:rPr>
        <w:t>2025年1月1日至2025年12月31日，若合同到期，服务质量好，在政策允许的情况下，可以续签，续签时间一年，最多续签二次。</w:t>
      </w:r>
      <w:bookmarkStart w:id="3" w:name="_Hlk183158747"/>
      <w:r>
        <w:rPr>
          <w:rFonts w:hint="eastAsia" w:ascii="宋体" w:hAnsi="宋体" w:eastAsia="宋体"/>
          <w:color w:val="auto"/>
          <w:szCs w:val="21"/>
          <w:highlight w:val="none"/>
        </w:rPr>
        <w:t>小干岛三座公厕保洁预计在2026年6月30日后撤出本项目，续签合同时，扣除相应报价。续签期间如测绘面积有改动，按原实际测绘面积进行调整。</w:t>
      </w:r>
      <w:bookmarkEnd w:id="3"/>
      <w:r>
        <w:rPr>
          <w:rFonts w:hint="eastAsia" w:ascii="宋体" w:hAnsi="宋体" w:eastAsia="宋体"/>
          <w:color w:val="auto"/>
          <w:szCs w:val="21"/>
          <w:highlight w:val="none"/>
        </w:rPr>
        <w:t>如合同期间，服务不到位，采购人可中止合同，不再续签，重新招标。另如遇政策调整需要，采购人有权提前取消合作协议，中标人需无条件配合。</w:t>
      </w:r>
    </w:p>
    <w:p w14:paraId="46FD138D">
      <w:pPr>
        <w:spacing w:line="360" w:lineRule="auto"/>
        <w:outlineLvl w:val="0"/>
        <w:rPr>
          <w:rFonts w:hint="eastAsia" w:eastAsia="宋体"/>
          <w:b/>
          <w:color w:val="auto"/>
          <w:sz w:val="24"/>
          <w:highlight w:val="none"/>
        </w:rPr>
      </w:pPr>
    </w:p>
    <w:p w14:paraId="48C2085C">
      <w:pPr>
        <w:spacing w:line="360" w:lineRule="auto"/>
        <w:outlineLvl w:val="0"/>
        <w:rPr>
          <w:rFonts w:hint="eastAsia" w:eastAsia="宋体"/>
          <w:b/>
          <w:color w:val="auto"/>
          <w:sz w:val="24"/>
          <w:highlight w:val="none"/>
        </w:rPr>
      </w:pPr>
      <w:r>
        <w:rPr>
          <w:rFonts w:hint="eastAsia" w:eastAsia="宋体"/>
          <w:b/>
          <w:color w:val="auto"/>
          <w:sz w:val="24"/>
          <w:highlight w:val="none"/>
        </w:rPr>
        <w:t>六、制定项目实施方案</w:t>
      </w:r>
    </w:p>
    <w:p w14:paraId="3F0EAFC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投标人应按照招标要求在投标时提交投标技术方案（包括但不限于以下各项），在中标后按照方案进行实施。</w:t>
      </w:r>
    </w:p>
    <w:p w14:paraId="5F14EF26">
      <w:pPr>
        <w:spacing w:line="360" w:lineRule="auto"/>
        <w:ind w:firstLine="420" w:firstLineChars="200"/>
        <w:rPr>
          <w:rFonts w:hint="eastAsia" w:ascii="宋体" w:hAnsi="宋体" w:eastAsia="宋体" w:cs="Times New Roman"/>
          <w:color w:val="auto"/>
          <w:szCs w:val="21"/>
          <w:highlight w:val="none"/>
        </w:rPr>
      </w:pPr>
      <w:bookmarkStart w:id="4" w:name="_Hlk182472515"/>
      <w:r>
        <w:rPr>
          <w:rFonts w:hint="eastAsia" w:ascii="宋体" w:hAnsi="宋体" w:eastAsia="宋体" w:cs="Times New Roman"/>
          <w:color w:val="auto"/>
          <w:szCs w:val="21"/>
          <w:highlight w:val="none"/>
        </w:rPr>
        <w:t>1.本项目必须配置的人员、车辆、设备及器具方案；</w:t>
      </w:r>
    </w:p>
    <w:p w14:paraId="18342DA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2.针对本项目清扫保洁、垃圾分类收集与运输的现状调查、问题剖析、解决方案；</w:t>
      </w:r>
    </w:p>
    <w:p w14:paraId="2412F32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3.项目管理服务机构设置、运作流程、管理方式、监管方式、规章制度、考核办法、劳动保护、安全措施等方案；</w:t>
      </w:r>
    </w:p>
    <w:p w14:paraId="12627CF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4.制定针对本项目的工作计划、生产要素、作业规程、清扫保洁、道路扬尘和垃圾分类、爱国卫生、环卫设施、应急处置、服务承诺、环卫工人福利待遇及优秀奖励等方案。</w:t>
      </w:r>
    </w:p>
    <w:bookmarkEnd w:id="4"/>
    <w:p w14:paraId="47DACD16">
      <w:pPr>
        <w:spacing w:line="360" w:lineRule="auto"/>
        <w:outlineLvl w:val="0"/>
        <w:rPr>
          <w:rFonts w:hint="eastAsia" w:eastAsia="宋体"/>
          <w:b/>
          <w:color w:val="auto"/>
          <w:sz w:val="24"/>
          <w:highlight w:val="none"/>
        </w:rPr>
      </w:pPr>
    </w:p>
    <w:p w14:paraId="067AF41A">
      <w:pPr>
        <w:spacing w:line="360" w:lineRule="auto"/>
        <w:outlineLvl w:val="0"/>
        <w:rPr>
          <w:rFonts w:hint="eastAsia" w:eastAsia="宋体"/>
          <w:b/>
          <w:color w:val="auto"/>
          <w:sz w:val="24"/>
          <w:highlight w:val="none"/>
        </w:rPr>
      </w:pPr>
      <w:r>
        <w:rPr>
          <w:rFonts w:hint="eastAsia" w:eastAsia="宋体"/>
          <w:b/>
          <w:color w:val="auto"/>
          <w:sz w:val="24"/>
          <w:highlight w:val="none"/>
        </w:rPr>
        <w:t>七、其他注意事项</w:t>
      </w:r>
    </w:p>
    <w:p w14:paraId="60FFE82B">
      <w:pPr>
        <w:spacing w:line="360" w:lineRule="auto"/>
        <w:ind w:firstLine="420" w:firstLineChars="200"/>
        <w:outlineLvl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本项目的服务期限内，合同总价一次性包干，项目期间不作调整（采购人另行委托的保洁任务除外）。请投标人报价时要综合考虑项目三年服务期内浙江省有可能调整最低标准工资的因素和项目用工成本的增长负担。要求投标人承诺及时足额执行最低标准工资的调整，切实保障环卫工人的工资增长得到落实。</w:t>
      </w:r>
    </w:p>
    <w:p w14:paraId="42ACB093">
      <w:pPr>
        <w:spacing w:line="360" w:lineRule="auto"/>
        <w:ind w:firstLine="420" w:firstLineChars="200"/>
        <w:outlineLvl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2.投标人应当按照合同约定提供服务，不得将本项目转包给其他主体。若投标人违反上述政府购买服务的相关规定，采购人有权责令其停止作业，终止合同，由此引起的法律责任及一切经济损失由中标人承担。</w:t>
      </w:r>
    </w:p>
    <w:p w14:paraId="77BA16E5">
      <w:pPr>
        <w:spacing w:line="360" w:lineRule="auto"/>
        <w:ind w:firstLine="420" w:firstLineChars="200"/>
        <w:outlineLvl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投标人应及时与采购人签订车辆租赁合同，明确双方的责任。采购人将车辆无偿租给投标人，租赁期间，车辆除保险以外的一切运营维护（年检、保养维修等）均由投标人负责处理，若租赁期间产生的纠纷和事故责任及赔偿（指保险理赔不足的费用）也由投标人承担。明确租赁车辆在项目合同履行完毕，投标人在结清最后一个月的合同金额前归还给采购人，归还时确保车辆性能合格，外观整洁完好。</w:t>
      </w:r>
    </w:p>
    <w:p w14:paraId="1ECC679B">
      <w:pPr>
        <w:spacing w:line="360" w:lineRule="auto"/>
        <w:ind w:firstLine="420" w:firstLineChars="200"/>
        <w:outlineLvl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4.员工劳动保障</w:t>
      </w:r>
    </w:p>
    <w:p w14:paraId="715E640C">
      <w:pPr>
        <w:spacing w:line="360" w:lineRule="auto"/>
        <w:ind w:firstLine="420" w:firstLineChars="200"/>
        <w:outlineLvl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（1）投标人所用员工需自行向社会招聘，身体健康，符合《劳动法》、《劳动合同法》等相关规定，与员工签订书面劳动（劳务）合同。</w:t>
      </w:r>
    </w:p>
    <w:p w14:paraId="4A081CB5">
      <w:pPr>
        <w:spacing w:line="360" w:lineRule="auto"/>
        <w:ind w:firstLine="420" w:firstLineChars="200"/>
        <w:outlineLvl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每月应按时、足额向用工人员支付相应的工资与加班费，发放环卫津贴、高温费、福利等，保障员工的合法权益。同时，一经发现投标人未及时、足额支付的，在投标人补足欠薪的基础上，采购人将按原欠薪额的200%对投标人进行处罚。</w:t>
      </w:r>
    </w:p>
    <w:p w14:paraId="402B370F">
      <w:pPr>
        <w:spacing w:line="360" w:lineRule="auto"/>
        <w:ind w:firstLine="420" w:firstLineChars="200"/>
        <w:outlineLvl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（3）投标人必须按国家有关规定为员工购买工伤保险等社会保险及人身意外伤害保险，基本工资不能低于舟山市用工当年最低工资标准。要求工伤保险应保尽保，人身意外伤害险全覆盖，纳入月考核。</w:t>
      </w:r>
    </w:p>
    <w:p w14:paraId="34D4EC21">
      <w:pPr>
        <w:spacing w:line="360" w:lineRule="auto"/>
        <w:ind w:firstLine="420" w:firstLineChars="200"/>
        <w:outlineLvl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（4）投标人必须执行《劳动法》、《劳动合同法》等有关员工保障的其它规定。</w:t>
      </w:r>
    </w:p>
    <w:p w14:paraId="4B1355EF">
      <w:pPr>
        <w:spacing w:line="360" w:lineRule="auto"/>
        <w:ind w:firstLine="420" w:firstLineChars="200"/>
        <w:outlineLvl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（5）投标人在项目合同期满，申请支付最后一笔承包款项前，必须结清聘用人员工作期间的工资，福利、社会保险或纠纷等事宜，并应以书面形式向采购人报告上述事项的履行情况。</w:t>
      </w:r>
    </w:p>
    <w:p w14:paraId="4CCD3D69">
      <w:pPr>
        <w:spacing w:line="360" w:lineRule="auto"/>
        <w:ind w:firstLine="420" w:firstLineChars="200"/>
        <w:outlineLvl w:val="0"/>
        <w:rPr>
          <w:rFonts w:hint="eastAsia" w:eastAsia="宋体"/>
          <w:b/>
          <w:color w:val="auto"/>
          <w:sz w:val="24"/>
          <w:highlight w:val="none"/>
        </w:rPr>
      </w:pPr>
      <w:r>
        <w:rPr>
          <w:rFonts w:hint="eastAsia" w:ascii="宋体" w:hAnsi="宋体" w:eastAsia="宋体" w:cs="Times New Roman"/>
          <w:color w:val="auto"/>
          <w:szCs w:val="21"/>
          <w:highlight w:val="none"/>
        </w:rPr>
        <w:t>（6）投标人在合同期内，出现环卫工人集体上访的，当月考核不合格；采购人不再与其续签下一年合同。</w:t>
      </w:r>
    </w:p>
    <w:p w14:paraId="26669C45">
      <w:pPr>
        <w:spacing w:line="360" w:lineRule="auto"/>
        <w:outlineLvl w:val="0"/>
        <w:rPr>
          <w:rFonts w:hint="eastAsia" w:eastAsia="宋体"/>
          <w:b/>
          <w:color w:val="auto"/>
          <w:sz w:val="24"/>
          <w:highlight w:val="none"/>
        </w:rPr>
      </w:pPr>
    </w:p>
    <w:p w14:paraId="6194DC23">
      <w:pPr>
        <w:spacing w:line="360" w:lineRule="auto"/>
        <w:outlineLvl w:val="0"/>
        <w:rPr>
          <w:rFonts w:hint="eastAsia" w:eastAsia="宋体"/>
          <w:b/>
          <w:color w:val="auto"/>
          <w:sz w:val="24"/>
          <w:highlight w:val="none"/>
        </w:rPr>
      </w:pPr>
      <w:r>
        <w:rPr>
          <w:rFonts w:hint="eastAsia" w:eastAsia="宋体"/>
          <w:b/>
          <w:color w:val="auto"/>
          <w:sz w:val="24"/>
          <w:highlight w:val="none"/>
        </w:rPr>
        <w:t>八、付款方式</w:t>
      </w:r>
    </w:p>
    <w:p w14:paraId="7269878F">
      <w:pPr>
        <w:spacing w:line="360" w:lineRule="auto"/>
        <w:ind w:firstLine="420" w:firstLineChars="200"/>
        <w:outlineLvl w:val="0"/>
        <w:rPr>
          <w:rFonts w:hint="eastAsia" w:eastAsia="宋体"/>
          <w:b/>
          <w:color w:val="auto"/>
          <w:sz w:val="24"/>
          <w:highlight w:val="none"/>
        </w:rPr>
      </w:pPr>
      <w:r>
        <w:rPr>
          <w:rFonts w:hint="eastAsia" w:ascii="宋体" w:hAnsi="宋体" w:eastAsia="宋体" w:cs="Times New Roman"/>
          <w:color w:val="auto"/>
          <w:highlight w:val="none"/>
        </w:rPr>
        <w:t>合同生效以及具备实施条件后，根据考核结果和当月的工作签证单，按月支付承包费。</w:t>
      </w:r>
    </w:p>
    <w:p w14:paraId="2FFBE1F2">
      <w:pPr>
        <w:spacing w:line="360" w:lineRule="auto"/>
        <w:outlineLvl w:val="0"/>
        <w:rPr>
          <w:rFonts w:hint="eastAsia" w:eastAsia="宋体"/>
          <w:b/>
          <w:color w:val="auto"/>
          <w:sz w:val="24"/>
          <w:highlight w:val="none"/>
        </w:rPr>
      </w:pPr>
    </w:p>
    <w:p w14:paraId="35335458">
      <w:pPr>
        <w:spacing w:line="360" w:lineRule="auto"/>
        <w:outlineLvl w:val="0"/>
        <w:rPr>
          <w:rFonts w:hint="eastAsia" w:eastAsia="宋体"/>
          <w:b/>
          <w:color w:val="auto"/>
          <w:sz w:val="24"/>
          <w:highlight w:val="none"/>
        </w:rPr>
      </w:pPr>
      <w:r>
        <w:rPr>
          <w:rFonts w:hint="eastAsia" w:eastAsia="宋体"/>
          <w:b/>
          <w:color w:val="auto"/>
          <w:sz w:val="24"/>
          <w:highlight w:val="none"/>
        </w:rPr>
        <w:t>九、报价要求</w:t>
      </w:r>
    </w:p>
    <w:p w14:paraId="56FD7DBC">
      <w:pPr>
        <w:spacing w:line="312"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1.投标人应根据招标文件报出综合单价。价格一旦核实确认，不得再做更改。对投标人漏报致使项目未能达到需求的功能和效果，其费用和后果由投标人自行负责。</w:t>
      </w:r>
    </w:p>
    <w:p w14:paraId="50317F93">
      <w:pPr>
        <w:spacing w:line="312"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2.所有报价均应已包含国家规定的所有税费。</w:t>
      </w:r>
    </w:p>
    <w:p w14:paraId="2BB22B31">
      <w:pPr>
        <w:spacing w:line="312"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3.投标人报价应包含项目过程中发生的所有费用。</w:t>
      </w:r>
    </w:p>
    <w:p w14:paraId="14B2D85F">
      <w:pPr>
        <w:tabs>
          <w:tab w:val="left" w:pos="0"/>
        </w:tabs>
        <w:adjustRightInd w:val="0"/>
        <w:snapToGrid w:val="0"/>
        <w:spacing w:line="312" w:lineRule="auto"/>
        <w:ind w:firstLine="420" w:firstLineChars="200"/>
        <w:jc w:val="left"/>
        <w:rPr>
          <w:rFonts w:hint="eastAsia" w:ascii="宋体" w:hAnsi="宋体" w:eastAsia="宋体" w:cs="Times New Roman"/>
          <w:bCs/>
          <w:color w:val="auto"/>
          <w:szCs w:val="21"/>
          <w:highlight w:val="none"/>
        </w:rPr>
      </w:pPr>
      <w:r>
        <w:rPr>
          <w:rFonts w:hint="eastAsia" w:ascii="宋体" w:hAnsi="宋体" w:eastAsia="宋体" w:cs="Times New Roman"/>
          <w:color w:val="auto"/>
          <w:highlight w:val="none"/>
        </w:rPr>
        <w:t>4.</w:t>
      </w:r>
      <w:r>
        <w:rPr>
          <w:rFonts w:hint="eastAsia" w:ascii="宋体" w:hAnsi="宋体" w:eastAsia="宋体" w:cs="Times New Roman"/>
          <w:bCs/>
          <w:color w:val="auto"/>
          <w:szCs w:val="21"/>
          <w:highlight w:val="none"/>
        </w:rPr>
        <w:t>扶持政策说明：</w:t>
      </w:r>
    </w:p>
    <w:p w14:paraId="17D956FF">
      <w:pPr>
        <w:spacing w:line="312"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（1）中小企业预留份额情况：根据《政府采购促进中小企业发展管理办法》（财库〔2020〕46号），本项目专门面向中小企业。</w:t>
      </w:r>
      <w:r>
        <w:rPr>
          <w:rFonts w:hint="eastAsia" w:ascii="宋体" w:hAnsi="宋体" w:eastAsia="宋体" w:cs="Times New Roman"/>
          <w:b/>
          <w:bCs/>
          <w:color w:val="auto"/>
          <w:highlight w:val="none"/>
        </w:rPr>
        <w:t>本项目对应的中小企业划分标准所属行业：其他未列明行业。</w:t>
      </w:r>
    </w:p>
    <w:p w14:paraId="16B95847">
      <w:pPr>
        <w:spacing w:line="312"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（2）在政府采购活动中，供应商提供的货物、工程或者服务符合下列情形的，享受本办法规定的中小企业扶持政策：</w:t>
      </w:r>
    </w:p>
    <w:p w14:paraId="6B149ACF">
      <w:pPr>
        <w:spacing w:line="312"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①在货物采购项目中，货物由中小企业制造，即货物由中小企业生产且使用该中小企业商号或者注册商标；</w:t>
      </w:r>
    </w:p>
    <w:p w14:paraId="73D47B9F">
      <w:pPr>
        <w:spacing w:line="312"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②在工程采购项目中，工程由中小企业承建，即工程施工单位为中小企业；</w:t>
      </w:r>
    </w:p>
    <w:p w14:paraId="66256138">
      <w:pPr>
        <w:spacing w:line="312"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③在服务采购项目中，服务由中小企业承接，即提供服务的人员为中小企业依照《中华人民共和国劳动合同法》订立劳动合同的从业人员。</w:t>
      </w:r>
    </w:p>
    <w:p w14:paraId="632BE72E">
      <w:pPr>
        <w:spacing w:line="312"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在货物采购项目中，供应商提供的货物既有中小企业制造货物，也有大型企业制造货物的，不享受本办法规定的中小企业扶持政策。</w:t>
      </w:r>
    </w:p>
    <w:p w14:paraId="046D6BB0">
      <w:pPr>
        <w:spacing w:line="312"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以联合体形式参加政府采购活动，联合体各方均为中小企业的，联合体视同中小企业。其中，联合体各方均为小微企业的，联合体视同小微企业。</w:t>
      </w:r>
    </w:p>
    <w:p w14:paraId="4804A1DA">
      <w:pPr>
        <w:spacing w:line="312"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3674A84F">
      <w:pPr>
        <w:spacing w:line="312"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（4）投标人符合《三部门联合发布关于促进残疾人就业政府采购政策的通知》（财库〔2017〕141号）文件要求，并提供《残疾人福利性单位声明函》的，则视同小型、微型企业。</w:t>
      </w:r>
    </w:p>
    <w:p w14:paraId="3E8906AE">
      <w:pPr>
        <w:spacing w:line="312"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本项目专门面向中小企业采购（参加投标供应商须出具《中小企业声明函》，未提供不认定为中小企业，此次投标无效）。</w:t>
      </w:r>
    </w:p>
    <w:p w14:paraId="71286EB2">
      <w:pPr>
        <w:adjustRightInd w:val="0"/>
        <w:spacing w:line="360" w:lineRule="auto"/>
        <w:ind w:firstLine="422" w:firstLineChars="200"/>
        <w:rPr>
          <w:rFonts w:hint="eastAsia" w:ascii="宋体" w:hAnsi="宋体" w:eastAsia="宋体" w:cs="Times New Roman"/>
          <w:b/>
          <w:bCs/>
          <w:color w:val="auto"/>
          <w:highlight w:val="none"/>
        </w:rPr>
      </w:pPr>
      <w:r>
        <w:rPr>
          <w:rFonts w:hint="eastAsia" w:ascii="宋体" w:hAnsi="宋体" w:eastAsia="宋体" w:cs="Times New Roman"/>
          <w:b/>
          <w:bCs/>
          <w:color w:val="auto"/>
          <w:szCs w:val="21"/>
          <w:highlight w:val="none"/>
        </w:rPr>
        <w:t>5.本次项</w:t>
      </w:r>
      <w:r>
        <w:rPr>
          <w:rFonts w:hint="eastAsia" w:ascii="宋体" w:hAnsi="宋体" w:eastAsia="宋体" w:cs="Times New Roman"/>
          <w:b/>
          <w:color w:val="auto"/>
          <w:szCs w:val="21"/>
          <w:highlight w:val="none"/>
        </w:rPr>
        <w:t>目的预算金额为</w:t>
      </w:r>
      <w:r>
        <w:rPr>
          <w:rFonts w:hint="eastAsia" w:ascii="宋体" w:hAnsi="宋体" w:eastAsia="宋体" w:cs="Times New Roman"/>
          <w:b/>
          <w:bCs/>
          <w:color w:val="auto"/>
          <w:highlight w:val="none"/>
        </w:rPr>
        <w:t>：人民币壹仟捌佰伍拾叁万叁仟伍佰元整（18,533,500.00元）。</w:t>
      </w:r>
    </w:p>
    <w:p w14:paraId="7135D8F0">
      <w:pPr>
        <w:spacing w:line="312" w:lineRule="auto"/>
        <w:outlineLvl w:val="0"/>
        <w:rPr>
          <w:rFonts w:ascii="Times New Roman" w:hAnsi="Times New Roman" w:eastAsia="宋体" w:cs="Times New Roman"/>
          <w:b/>
          <w:color w:val="auto"/>
          <w:sz w:val="24"/>
          <w:highlight w:val="none"/>
        </w:rPr>
      </w:pPr>
    </w:p>
    <w:p w14:paraId="4C2BE273">
      <w:pPr>
        <w:pageBreakBefore/>
        <w:snapToGrid w:val="0"/>
        <w:jc w:val="center"/>
        <w:rPr>
          <w:rFonts w:ascii="Times New Roman" w:hAnsi="Times New Roman" w:eastAsia="宋体" w:cs="Times New Roman"/>
          <w:color w:val="auto"/>
          <w:sz w:val="28"/>
          <w:highlight w:val="none"/>
        </w:rPr>
      </w:pPr>
      <w:r>
        <w:rPr>
          <w:rFonts w:hint="eastAsia" w:ascii="Times New Roman" w:hAnsi="Times New Roman" w:eastAsia="宋体" w:cs="Times New Roman"/>
          <w:b/>
          <w:color w:val="auto"/>
          <w:sz w:val="32"/>
          <w:highlight w:val="none"/>
        </w:rPr>
        <w:t>第三章投标人须知</w:t>
      </w:r>
    </w:p>
    <w:p w14:paraId="70E21502">
      <w:pPr>
        <w:snapToGrid w:val="0"/>
        <w:ind w:firstLine="4340" w:firstLineChars="1550"/>
        <w:rPr>
          <w:rFonts w:ascii="Times New Roman" w:hAnsi="Times New Roman" w:eastAsia="宋体" w:cs="Times New Roman"/>
          <w:color w:val="auto"/>
          <w:sz w:val="28"/>
          <w:highlight w:val="none"/>
        </w:rPr>
      </w:pPr>
      <w:r>
        <w:rPr>
          <w:rFonts w:hint="eastAsia" w:ascii="Times New Roman" w:hAnsi="Times New Roman" w:eastAsia="宋体" w:cs="Times New Roman"/>
          <w:color w:val="auto"/>
          <w:sz w:val="28"/>
          <w:highlight w:val="none"/>
        </w:rPr>
        <w:t>前附表</w:t>
      </w:r>
    </w:p>
    <w:tbl>
      <w:tblPr>
        <w:tblStyle w:val="61"/>
        <w:tblW w:w="10730"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178"/>
        <w:gridCol w:w="5205"/>
        <w:gridCol w:w="1098"/>
        <w:gridCol w:w="2740"/>
      </w:tblGrid>
      <w:tr w14:paraId="547F6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54B6B3D">
            <w:pPr>
              <w:snapToGrid w:val="0"/>
              <w:spacing w:line="240" w:lineRule="exact"/>
              <w:jc w:val="center"/>
              <w:rPr>
                <w:rFonts w:ascii="Times New Roman" w:hAnsi="Times New Roman" w:eastAsia="宋体" w:cs="Times New Roman"/>
                <w:b/>
                <w:color w:val="auto"/>
                <w:highlight w:val="none"/>
              </w:rPr>
            </w:pPr>
            <w:r>
              <w:rPr>
                <w:rFonts w:hint="eastAsia" w:ascii="Times New Roman" w:hAnsi="Times New Roman" w:eastAsia="宋体" w:cs="Times New Roman"/>
                <w:b/>
                <w:color w:val="auto"/>
                <w:highlight w:val="none"/>
              </w:rPr>
              <w:t>序号</w:t>
            </w:r>
          </w:p>
        </w:tc>
        <w:tc>
          <w:tcPr>
            <w:tcW w:w="10200" w:type="dxa"/>
            <w:gridSpan w:val="4"/>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0E5A7E8">
            <w:pPr>
              <w:snapToGrid w:val="0"/>
              <w:spacing w:line="240" w:lineRule="exact"/>
              <w:jc w:val="center"/>
              <w:rPr>
                <w:rFonts w:ascii="Times New Roman" w:hAnsi="Times New Roman" w:eastAsia="宋体" w:cs="Times New Roman"/>
                <w:b/>
                <w:color w:val="auto"/>
                <w:highlight w:val="none"/>
              </w:rPr>
            </w:pPr>
            <w:r>
              <w:rPr>
                <w:rFonts w:hint="eastAsia" w:ascii="Times New Roman" w:hAnsi="Times New Roman" w:eastAsia="宋体" w:cs="Times New Roman"/>
                <w:b/>
                <w:color w:val="auto"/>
                <w:highlight w:val="none"/>
              </w:rPr>
              <w:t>内容说明及要求</w:t>
            </w:r>
          </w:p>
        </w:tc>
      </w:tr>
      <w:tr w14:paraId="56EE9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147F7FD">
            <w:pPr>
              <w:snapToGrid w:val="0"/>
              <w:spacing w:line="240" w:lineRule="exact"/>
              <w:jc w:val="center"/>
              <w:rPr>
                <w:rFonts w:ascii="Times New Roman" w:hAnsi="Times New Roman" w:eastAsia="宋体" w:cs="Times New Roman"/>
                <w:b/>
                <w:color w:val="auto"/>
                <w:highlight w:val="none"/>
              </w:rPr>
            </w:pPr>
            <w:r>
              <w:rPr>
                <w:rFonts w:ascii="Times New Roman" w:hAnsi="Times New Roman" w:eastAsia="宋体" w:cs="Times New Roman"/>
                <w:b/>
                <w:color w:val="auto"/>
                <w:highlight w:val="none"/>
              </w:rPr>
              <w:t>1</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3AB79F7">
            <w:pPr>
              <w:spacing w:line="240" w:lineRule="exact"/>
              <w:jc w:val="center"/>
              <w:rPr>
                <w:rFonts w:ascii="Times New Roman" w:hAnsi="Times New Roman" w:eastAsia="宋体" w:cs="Times New Roman"/>
                <w:b/>
                <w:color w:val="auto"/>
                <w:highlight w:val="none"/>
              </w:rPr>
            </w:pPr>
            <w:r>
              <w:rPr>
                <w:rFonts w:hint="eastAsia" w:ascii="Times New Roman" w:hAnsi="Times New Roman" w:eastAsia="宋体" w:cs="Times New Roman"/>
                <w:b/>
                <w:color w:val="auto"/>
                <w:highlight w:val="none"/>
              </w:rPr>
              <w:t>项目名称</w:t>
            </w:r>
          </w:p>
        </w:tc>
        <w:tc>
          <w:tcPr>
            <w:tcW w:w="519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C0EF6E3">
            <w:pPr>
              <w:spacing w:line="240" w:lineRule="exact"/>
              <w:rPr>
                <w:rFonts w:ascii="Times New Roman" w:hAnsi="Times New Roman" w:eastAsia="宋体" w:cs="Times New Roman"/>
                <w:bCs/>
                <w:color w:val="auto"/>
                <w:highlight w:val="none"/>
                <w:lang w:val="zh-CN"/>
              </w:rPr>
            </w:pPr>
            <w:r>
              <w:rPr>
                <w:rFonts w:hint="eastAsia" w:ascii="Times New Roman" w:hAnsi="Times New Roman" w:eastAsia="宋体" w:cs="Times New Roman"/>
                <w:color w:val="auto"/>
                <w:highlight w:val="none"/>
              </w:rPr>
              <w:t>新城千岛路以东、勾山及小干岛区域环境卫生及环卫设施设备保洁管理项目</w:t>
            </w:r>
          </w:p>
        </w:tc>
        <w:tc>
          <w:tcPr>
            <w:tcW w:w="108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F0F503A">
            <w:pPr>
              <w:spacing w:line="240" w:lineRule="exact"/>
              <w:jc w:val="center"/>
              <w:rPr>
                <w:rFonts w:ascii="Times New Roman" w:hAnsi="Times New Roman" w:eastAsia="宋体" w:cs="Times New Roman"/>
                <w:bCs/>
                <w:color w:val="auto"/>
                <w:highlight w:val="none"/>
              </w:rPr>
            </w:pPr>
            <w:r>
              <w:rPr>
                <w:rFonts w:hint="eastAsia" w:ascii="Times New Roman" w:hAnsi="Times New Roman" w:eastAsia="宋体" w:cs="Times New Roman"/>
                <w:b/>
                <w:color w:val="auto"/>
                <w:highlight w:val="none"/>
              </w:rPr>
              <w:t>项目编号</w:t>
            </w:r>
          </w:p>
        </w:tc>
        <w:tc>
          <w:tcPr>
            <w:tcW w:w="27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B629996">
            <w:pPr>
              <w:spacing w:line="240" w:lineRule="exact"/>
              <w:rPr>
                <w:rFonts w:ascii="Times New Roman" w:hAnsi="Times New Roman" w:eastAsia="宋体" w:cs="Times New Roman"/>
                <w:bCs/>
                <w:color w:val="auto"/>
                <w:highlight w:val="none"/>
              </w:rPr>
            </w:pPr>
            <w:r>
              <w:rPr>
                <w:rFonts w:hint="eastAsia" w:ascii="Times New Roman" w:hAnsi="Times New Roman" w:eastAsia="宋体" w:cs="Times New Roman"/>
                <w:color w:val="auto"/>
                <w:highlight w:val="none"/>
              </w:rPr>
              <w:t>SZGXZS2024256</w:t>
            </w:r>
          </w:p>
        </w:tc>
      </w:tr>
      <w:tr w14:paraId="78B2D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0336187">
            <w:pPr>
              <w:snapToGrid w:val="0"/>
              <w:spacing w:line="240" w:lineRule="exact"/>
              <w:jc w:val="center"/>
              <w:rPr>
                <w:rFonts w:ascii="Times New Roman" w:hAnsi="Times New Roman" w:eastAsia="宋体" w:cs="Times New Roman"/>
                <w:b/>
                <w:color w:val="auto"/>
                <w:highlight w:val="none"/>
              </w:rPr>
            </w:pPr>
            <w:r>
              <w:rPr>
                <w:rFonts w:ascii="Times New Roman" w:hAnsi="Times New Roman" w:eastAsia="宋体" w:cs="Times New Roman"/>
                <w:b/>
                <w:color w:val="auto"/>
                <w:highlight w:val="none"/>
              </w:rPr>
              <w:t>2</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2C9128E">
            <w:pPr>
              <w:spacing w:line="240" w:lineRule="exact"/>
              <w:jc w:val="center"/>
              <w:rPr>
                <w:rFonts w:ascii="Times New Roman" w:hAnsi="Times New Roman" w:eastAsia="宋体" w:cs="Times New Roman"/>
                <w:b/>
                <w:color w:val="auto"/>
                <w:highlight w:val="none"/>
              </w:rPr>
            </w:pPr>
            <w:r>
              <w:rPr>
                <w:rFonts w:hint="eastAsia" w:ascii="Times New Roman" w:hAnsi="Times New Roman" w:eastAsia="宋体" w:cs="Times New Roman"/>
                <w:b/>
                <w:color w:val="auto"/>
                <w:highlight w:val="none"/>
              </w:rPr>
              <w:t>采购单位名称</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21530E6">
            <w:pPr>
              <w:spacing w:line="240" w:lineRule="exact"/>
              <w:rPr>
                <w:rFonts w:ascii="Times New Roman" w:hAnsi="Times New Roman" w:eastAsia="宋体" w:cs="Times New Roman"/>
                <w:bCs/>
                <w:color w:val="auto"/>
                <w:highlight w:val="none"/>
              </w:rPr>
            </w:pPr>
            <w:r>
              <w:rPr>
                <w:rFonts w:hint="eastAsia" w:ascii="Times New Roman" w:hAnsi="Times New Roman" w:eastAsia="宋体" w:cs="Times New Roman"/>
                <w:color w:val="auto"/>
                <w:highlight w:val="none"/>
              </w:rPr>
              <w:t>舟山市新城公用事业管理中心</w:t>
            </w:r>
          </w:p>
        </w:tc>
      </w:tr>
      <w:tr w14:paraId="2C767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0379D61">
            <w:pPr>
              <w:snapToGrid w:val="0"/>
              <w:spacing w:line="240" w:lineRule="exact"/>
              <w:jc w:val="center"/>
              <w:rPr>
                <w:rFonts w:ascii="Times New Roman" w:hAnsi="Times New Roman" w:eastAsia="宋体" w:cs="Times New Roman"/>
                <w:b/>
                <w:color w:val="auto"/>
                <w:highlight w:val="none"/>
              </w:rPr>
            </w:pPr>
            <w:r>
              <w:rPr>
                <w:rFonts w:ascii="Times New Roman" w:hAnsi="Times New Roman" w:eastAsia="宋体" w:cs="Times New Roman"/>
                <w:b/>
                <w:color w:val="auto"/>
                <w:highlight w:val="none"/>
              </w:rPr>
              <w:t>3</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0FC6118">
            <w:pPr>
              <w:spacing w:line="240" w:lineRule="exact"/>
              <w:jc w:val="center"/>
              <w:rPr>
                <w:rFonts w:ascii="Times New Roman" w:hAnsi="Times New Roman" w:eastAsia="宋体" w:cs="Times New Roman"/>
                <w:b/>
                <w:color w:val="auto"/>
                <w:highlight w:val="none"/>
              </w:rPr>
            </w:pPr>
            <w:r>
              <w:rPr>
                <w:rFonts w:hint="eastAsia" w:ascii="Times New Roman" w:hAnsi="Times New Roman" w:eastAsia="宋体" w:cs="Times New Roman"/>
                <w:b/>
                <w:color w:val="auto"/>
                <w:highlight w:val="none"/>
              </w:rPr>
              <w:t>采购内容</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tbl>
            <w:tblPr>
              <w:tblStyle w:val="62"/>
              <w:tblpPr w:leftFromText="180" w:rightFromText="180" w:vertAnchor="text" w:horzAnchor="page" w:tblpXSpec="center" w:tblpY="207"/>
              <w:tblOverlap w:val="never"/>
              <w:tblW w:w="85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7"/>
              <w:gridCol w:w="4614"/>
              <w:gridCol w:w="2419"/>
              <w:gridCol w:w="904"/>
            </w:tblGrid>
            <w:tr w14:paraId="659C9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5" w:hRule="atLeast"/>
                <w:jc w:val="center"/>
              </w:trPr>
              <w:tc>
                <w:tcPr>
                  <w:tcW w:w="617" w:type="dxa"/>
                  <w:tcBorders>
                    <w:top w:val="single" w:color="000000" w:sz="4" w:space="0"/>
                    <w:left w:val="single" w:color="000000" w:sz="4" w:space="0"/>
                    <w:bottom w:val="single" w:color="000000" w:sz="4" w:space="0"/>
                    <w:right w:val="single" w:color="000000" w:sz="4" w:space="0"/>
                  </w:tcBorders>
                  <w:vAlign w:val="center"/>
                </w:tcPr>
                <w:p w14:paraId="0AC0B44F">
                  <w:pPr>
                    <w:widowControl/>
                    <w:jc w:val="lef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xml:space="preserve"> </w:t>
                  </w:r>
                </w:p>
              </w:tc>
              <w:tc>
                <w:tcPr>
                  <w:tcW w:w="4614" w:type="dxa"/>
                  <w:tcBorders>
                    <w:top w:val="single" w:color="000000" w:sz="4" w:space="0"/>
                    <w:left w:val="single" w:color="000000" w:sz="4" w:space="0"/>
                    <w:bottom w:val="single" w:color="000000" w:sz="4" w:space="0"/>
                    <w:right w:val="single" w:color="auto" w:sz="4" w:space="0"/>
                  </w:tcBorders>
                  <w:vAlign w:val="center"/>
                </w:tcPr>
                <w:p w14:paraId="1C43CC5D">
                  <w:pPr>
                    <w:widowControl/>
                    <w:ind w:firstLine="630" w:firstLineChars="300"/>
                    <w:jc w:val="lef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项目名称及内容</w:t>
                  </w:r>
                </w:p>
              </w:tc>
              <w:tc>
                <w:tcPr>
                  <w:tcW w:w="2419" w:type="dxa"/>
                  <w:tcBorders>
                    <w:top w:val="single" w:color="000000" w:sz="4" w:space="0"/>
                    <w:left w:val="single" w:color="000000" w:sz="4" w:space="0"/>
                    <w:bottom w:val="single" w:color="000000" w:sz="4" w:space="0"/>
                    <w:right w:val="single" w:color="000000" w:sz="4" w:space="0"/>
                  </w:tcBorders>
                  <w:vAlign w:val="center"/>
                </w:tcPr>
                <w:p w14:paraId="419548DA">
                  <w:pPr>
                    <w:widowControl/>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预算金额（万元 ）</w:t>
                  </w:r>
                </w:p>
              </w:tc>
              <w:tc>
                <w:tcPr>
                  <w:tcW w:w="904" w:type="dxa"/>
                  <w:tcBorders>
                    <w:top w:val="single" w:color="000000" w:sz="4" w:space="0"/>
                    <w:left w:val="single" w:color="000000" w:sz="4" w:space="0"/>
                    <w:bottom w:val="single" w:color="000000" w:sz="4" w:space="0"/>
                    <w:right w:val="single" w:color="000000" w:sz="4" w:space="0"/>
                  </w:tcBorders>
                  <w:vAlign w:val="center"/>
                </w:tcPr>
                <w:p w14:paraId="46A71165">
                  <w:pPr>
                    <w:widowControl/>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备注</w:t>
                  </w:r>
                </w:p>
              </w:tc>
            </w:tr>
            <w:tr w14:paraId="58D7D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617" w:type="dxa"/>
                  <w:tcBorders>
                    <w:top w:val="single" w:color="000000" w:sz="4" w:space="0"/>
                    <w:left w:val="single" w:color="000000" w:sz="4" w:space="0"/>
                    <w:bottom w:val="single" w:color="000000" w:sz="4" w:space="0"/>
                    <w:right w:val="single" w:color="000000" w:sz="4" w:space="0"/>
                  </w:tcBorders>
                  <w:vAlign w:val="center"/>
                </w:tcPr>
                <w:p w14:paraId="76A7C6F6">
                  <w:pPr>
                    <w:widowControl/>
                    <w:jc w:val="lef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w:t>
                  </w:r>
                </w:p>
              </w:tc>
              <w:tc>
                <w:tcPr>
                  <w:tcW w:w="4614" w:type="dxa"/>
                  <w:tcBorders>
                    <w:top w:val="single" w:color="000000" w:sz="4" w:space="0"/>
                    <w:left w:val="single" w:color="000000" w:sz="4" w:space="0"/>
                    <w:bottom w:val="single" w:color="000000" w:sz="4" w:space="0"/>
                    <w:right w:val="single" w:color="auto" w:sz="4" w:space="0"/>
                  </w:tcBorders>
                  <w:vAlign w:val="center"/>
                </w:tcPr>
                <w:p w14:paraId="073FB36A">
                  <w:pPr>
                    <w:widowControl/>
                    <w:jc w:val="lef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新城千岛路以东、勾山及小干岛区域环境卫生及环卫设施设备保洁管理项目</w:t>
                  </w:r>
                </w:p>
              </w:tc>
              <w:tc>
                <w:tcPr>
                  <w:tcW w:w="2419" w:type="dxa"/>
                  <w:tcBorders>
                    <w:top w:val="single" w:color="000000" w:sz="4" w:space="0"/>
                    <w:left w:val="single" w:color="000000" w:sz="4" w:space="0"/>
                    <w:bottom w:val="single" w:color="000000" w:sz="4" w:space="0"/>
                    <w:right w:val="single" w:color="000000" w:sz="4" w:space="0"/>
                  </w:tcBorders>
                  <w:vAlign w:val="center"/>
                </w:tcPr>
                <w:p w14:paraId="00226CA8">
                  <w:pPr>
                    <w:widowControl/>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1853.35</w:t>
                  </w:r>
                </w:p>
              </w:tc>
              <w:tc>
                <w:tcPr>
                  <w:tcW w:w="904" w:type="dxa"/>
                  <w:tcBorders>
                    <w:top w:val="single" w:color="000000" w:sz="4" w:space="0"/>
                    <w:left w:val="single" w:color="000000" w:sz="4" w:space="0"/>
                    <w:bottom w:val="single" w:color="000000" w:sz="4" w:space="0"/>
                    <w:right w:val="single" w:color="000000" w:sz="4" w:space="0"/>
                  </w:tcBorders>
                  <w:vAlign w:val="center"/>
                </w:tcPr>
                <w:p w14:paraId="7CE6F781">
                  <w:pPr>
                    <w:widowControl/>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 xml:space="preserve"> </w:t>
                  </w:r>
                </w:p>
              </w:tc>
            </w:tr>
          </w:tbl>
          <w:p w14:paraId="754C356F">
            <w:pPr>
              <w:spacing w:after="120"/>
              <w:rPr>
                <w:rFonts w:ascii="Times New Roman" w:hAnsi="Times New Roman" w:eastAsia="宋体" w:cs="Times New Roman"/>
                <w:color w:val="auto"/>
                <w:kern w:val="0"/>
                <w:highlight w:val="none"/>
              </w:rPr>
            </w:pPr>
          </w:p>
        </w:tc>
      </w:tr>
      <w:tr w14:paraId="4D25A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46CABB9">
            <w:pPr>
              <w:snapToGrid w:val="0"/>
              <w:spacing w:line="240" w:lineRule="exact"/>
              <w:jc w:val="center"/>
              <w:rPr>
                <w:rFonts w:ascii="Times New Roman" w:hAnsi="Times New Roman" w:eastAsia="宋体" w:cs="Times New Roman"/>
                <w:b/>
                <w:color w:val="auto"/>
                <w:highlight w:val="none"/>
              </w:rPr>
            </w:pPr>
            <w:r>
              <w:rPr>
                <w:rFonts w:ascii="Times New Roman" w:hAnsi="Times New Roman" w:eastAsia="宋体" w:cs="Times New Roman"/>
                <w:b/>
                <w:color w:val="auto"/>
                <w:highlight w:val="none"/>
              </w:rPr>
              <w:t>4</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367BF6F">
            <w:pPr>
              <w:spacing w:line="240" w:lineRule="exact"/>
              <w:jc w:val="center"/>
              <w:rPr>
                <w:rFonts w:ascii="Times New Roman" w:hAnsi="Times New Roman" w:eastAsia="宋体" w:cs="Times New Roman"/>
                <w:b/>
                <w:color w:val="auto"/>
                <w:highlight w:val="none"/>
              </w:rPr>
            </w:pPr>
            <w:r>
              <w:rPr>
                <w:rFonts w:hint="eastAsia" w:ascii="Times New Roman" w:hAnsi="Times New Roman" w:eastAsia="宋体" w:cs="Times New Roman"/>
                <w:b/>
                <w:color w:val="auto"/>
                <w:highlight w:val="none"/>
              </w:rPr>
              <w:t>本项目预算</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7348D33">
            <w:pPr>
              <w:spacing w:line="240" w:lineRule="exact"/>
              <w:jc w:val="left"/>
              <w:rPr>
                <w:rFonts w:ascii="Times New Roman" w:hAnsi="Times New Roman" w:eastAsia="宋体" w:cs="Times New Roman"/>
                <w:bCs/>
                <w:color w:val="auto"/>
                <w:szCs w:val="21"/>
                <w:highlight w:val="none"/>
              </w:rPr>
            </w:pPr>
            <w:r>
              <w:rPr>
                <w:rFonts w:hint="eastAsia" w:ascii="宋体" w:hAnsi="宋体" w:eastAsia="宋体" w:cs="Times New Roman"/>
                <w:b/>
                <w:bCs/>
                <w:color w:val="auto"/>
                <w:highlight w:val="none"/>
              </w:rPr>
              <w:t>人民币壹仟捌佰伍拾叁万叁仟伍佰元整（18,533,500.00元）。</w:t>
            </w:r>
          </w:p>
        </w:tc>
      </w:tr>
      <w:tr w14:paraId="28356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D681A42">
            <w:pPr>
              <w:snapToGrid w:val="0"/>
              <w:spacing w:line="240" w:lineRule="exact"/>
              <w:jc w:val="center"/>
              <w:rPr>
                <w:rFonts w:ascii="Times New Roman" w:hAnsi="Times New Roman" w:eastAsia="宋体" w:cs="Times New Roman"/>
                <w:b/>
                <w:color w:val="auto"/>
                <w:highlight w:val="none"/>
              </w:rPr>
            </w:pPr>
            <w:r>
              <w:rPr>
                <w:rFonts w:ascii="Times New Roman" w:hAnsi="Times New Roman" w:eastAsia="宋体" w:cs="Times New Roman"/>
                <w:b/>
                <w:color w:val="auto"/>
                <w:highlight w:val="none"/>
              </w:rPr>
              <w:t>5</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0551209">
            <w:pPr>
              <w:jc w:val="center"/>
              <w:rPr>
                <w:rFonts w:hint="eastAsia" w:ascii="宋体" w:hAnsi="宋体" w:eastAsia="宋体" w:cs="Times New Roman"/>
                <w:b/>
                <w:color w:val="auto"/>
                <w:highlight w:val="none"/>
              </w:rPr>
            </w:pPr>
            <w:r>
              <w:rPr>
                <w:rFonts w:hint="eastAsia" w:ascii="宋体" w:hAnsi="宋体" w:eastAsia="宋体" w:cs="Times New Roman"/>
                <w:b/>
                <w:color w:val="auto"/>
                <w:highlight w:val="none"/>
              </w:rPr>
              <w:t>服务期限</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79C8A97">
            <w:pPr>
              <w:rPr>
                <w:rFonts w:ascii="Times New Roman" w:hAnsi="Times New Roman" w:eastAsia="宋体" w:cs="Times New Roman"/>
                <w:color w:val="auto"/>
                <w:szCs w:val="21"/>
                <w:highlight w:val="none"/>
              </w:rPr>
            </w:pPr>
            <w:r>
              <w:rPr>
                <w:rFonts w:hint="eastAsia" w:ascii="宋体" w:hAnsi="宋体" w:eastAsia="宋体"/>
                <w:color w:val="auto"/>
                <w:szCs w:val="21"/>
                <w:highlight w:val="none"/>
              </w:rPr>
              <w:t>2025年1月1日至2025年12月31日，若合同到期，服务质量好，在政策允许的情况下，可以续签，续签时间一年，最多续签二次。小干岛三座公厕保洁预计在2026年6月30日后撤出本项目，续签合同时，扣除相应报价。续签期间如测绘面积有改动，按原实际测绘面积进行调整。如合同期间，服务不到位，采购人可中止合同，不再续签，重新招标。另如遇政策调整需要，采购人有权提前取消合作协议，中标人需无条件配合。</w:t>
            </w:r>
          </w:p>
        </w:tc>
      </w:tr>
      <w:tr w14:paraId="25C48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AD6DFCB">
            <w:pPr>
              <w:snapToGrid w:val="0"/>
              <w:spacing w:line="240" w:lineRule="exact"/>
              <w:jc w:val="center"/>
              <w:rPr>
                <w:rFonts w:ascii="Times New Roman" w:hAnsi="Times New Roman" w:eastAsia="宋体" w:cs="Times New Roman"/>
                <w:b/>
                <w:color w:val="auto"/>
                <w:highlight w:val="none"/>
              </w:rPr>
            </w:pPr>
            <w:r>
              <w:rPr>
                <w:rFonts w:ascii="Times New Roman" w:hAnsi="Times New Roman" w:eastAsia="宋体" w:cs="Times New Roman"/>
                <w:b/>
                <w:color w:val="auto"/>
                <w:highlight w:val="none"/>
              </w:rPr>
              <w:t>6</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3869706">
            <w:pPr>
              <w:spacing w:line="240" w:lineRule="exact"/>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投标有效期</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16A4053">
            <w:pPr>
              <w:spacing w:line="240" w:lineRule="exac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u w:val="single"/>
              </w:rPr>
              <w:t>90</w:t>
            </w:r>
            <w:r>
              <w:rPr>
                <w:rFonts w:hint="eastAsia" w:ascii="Times New Roman" w:hAnsi="Times New Roman" w:eastAsia="宋体" w:cs="Times New Roman"/>
                <w:color w:val="auto"/>
                <w:szCs w:val="21"/>
                <w:highlight w:val="none"/>
                <w:u w:val="single"/>
              </w:rPr>
              <w:t>日</w:t>
            </w:r>
            <w:r>
              <w:rPr>
                <w:rFonts w:hint="eastAsia" w:ascii="Times New Roman" w:hAnsi="Times New Roman" w:eastAsia="宋体" w:cs="Times New Roman"/>
                <w:color w:val="auto"/>
                <w:szCs w:val="21"/>
                <w:highlight w:val="none"/>
              </w:rPr>
              <w:t>历天。（从投标截止之日算起）</w:t>
            </w:r>
          </w:p>
        </w:tc>
      </w:tr>
      <w:tr w14:paraId="14DC1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1EF6D35">
            <w:pPr>
              <w:snapToGrid w:val="0"/>
              <w:spacing w:line="240" w:lineRule="exact"/>
              <w:jc w:val="center"/>
              <w:rPr>
                <w:rFonts w:ascii="Times New Roman" w:hAnsi="Times New Roman" w:eastAsia="宋体" w:cs="Times New Roman"/>
                <w:b/>
                <w:color w:val="auto"/>
                <w:highlight w:val="none"/>
              </w:rPr>
            </w:pPr>
            <w:r>
              <w:rPr>
                <w:rFonts w:ascii="Times New Roman" w:hAnsi="Times New Roman" w:eastAsia="宋体" w:cs="Times New Roman"/>
                <w:b/>
                <w:color w:val="auto"/>
                <w:highlight w:val="none"/>
              </w:rPr>
              <w:t>7</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D567A63">
            <w:pPr>
              <w:spacing w:line="240" w:lineRule="exact"/>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评标办法</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DE25E46">
            <w:pPr>
              <w:spacing w:line="24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综合评分法</w:t>
            </w:r>
          </w:p>
        </w:tc>
      </w:tr>
      <w:tr w14:paraId="3C8D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6F17791">
            <w:pPr>
              <w:snapToGrid w:val="0"/>
              <w:spacing w:line="240" w:lineRule="exact"/>
              <w:jc w:val="center"/>
              <w:rPr>
                <w:rFonts w:ascii="Times New Roman" w:hAnsi="Times New Roman" w:eastAsia="宋体" w:cs="Times New Roman"/>
                <w:b/>
                <w:color w:val="auto"/>
                <w:highlight w:val="none"/>
              </w:rPr>
            </w:pPr>
            <w:r>
              <w:rPr>
                <w:rFonts w:ascii="Times New Roman" w:hAnsi="Times New Roman" w:eastAsia="宋体" w:cs="Times New Roman"/>
                <w:b/>
                <w:color w:val="auto"/>
                <w:highlight w:val="none"/>
              </w:rPr>
              <w:t>8</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0BB7DD0">
            <w:pPr>
              <w:spacing w:line="240" w:lineRule="exact"/>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签订合同</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90269F5">
            <w:pPr>
              <w:spacing w:line="24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中标通知书发出后</w:t>
            </w:r>
            <w:r>
              <w:rPr>
                <w:rFonts w:ascii="Times New Roman" w:hAnsi="Times New Roman" w:eastAsia="宋体" w:cs="Times New Roman"/>
                <w:color w:val="auto"/>
                <w:szCs w:val="21"/>
                <w:highlight w:val="none"/>
                <w:u w:val="single"/>
              </w:rPr>
              <w:t>30</w:t>
            </w:r>
            <w:r>
              <w:rPr>
                <w:rFonts w:hint="eastAsia" w:ascii="Times New Roman" w:hAnsi="Times New Roman" w:eastAsia="宋体" w:cs="Times New Roman"/>
                <w:color w:val="auto"/>
                <w:szCs w:val="21"/>
                <w:highlight w:val="none"/>
              </w:rPr>
              <w:t>天内</w:t>
            </w:r>
          </w:p>
        </w:tc>
      </w:tr>
      <w:tr w14:paraId="32A8C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188CFBD">
            <w:pPr>
              <w:snapToGrid w:val="0"/>
              <w:spacing w:line="240" w:lineRule="exact"/>
              <w:jc w:val="center"/>
              <w:rPr>
                <w:rFonts w:ascii="Times New Roman" w:hAnsi="Times New Roman" w:eastAsia="宋体" w:cs="Times New Roman"/>
                <w:b/>
                <w:color w:val="auto"/>
                <w:highlight w:val="none"/>
              </w:rPr>
            </w:pPr>
            <w:r>
              <w:rPr>
                <w:rFonts w:ascii="Times New Roman" w:hAnsi="Times New Roman" w:eastAsia="宋体" w:cs="Times New Roman"/>
                <w:b/>
                <w:color w:val="auto"/>
                <w:highlight w:val="none"/>
              </w:rPr>
              <w:t>9</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0DA8E48">
            <w:pPr>
              <w:spacing w:line="240" w:lineRule="exact"/>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资金结算</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F7FE7B2">
            <w:pPr>
              <w:spacing w:line="240" w:lineRule="exact"/>
              <w:jc w:val="left"/>
              <w:rPr>
                <w:rFonts w:hint="eastAsia"/>
                <w:color w:val="auto"/>
                <w:highlight w:val="none"/>
              </w:rPr>
            </w:pPr>
            <w:r>
              <w:rPr>
                <w:rFonts w:hint="eastAsia" w:ascii="宋体" w:hAnsi="宋体" w:eastAsia="宋体" w:cs="Times New Roman"/>
                <w:color w:val="auto"/>
                <w:highlight w:val="none"/>
              </w:rPr>
              <w:t>合同生效以及具备实施条件后，根据考核结果和当月的工作签证单，按月支付承包费。</w:t>
            </w:r>
          </w:p>
        </w:tc>
      </w:tr>
      <w:tr w14:paraId="7F17C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FAA4E4F">
            <w:pPr>
              <w:snapToGrid w:val="0"/>
              <w:spacing w:line="240" w:lineRule="exact"/>
              <w:jc w:val="center"/>
              <w:rPr>
                <w:rFonts w:ascii="Times New Roman" w:hAnsi="Times New Roman" w:eastAsia="宋体" w:cs="Times New Roman"/>
                <w:b/>
                <w:color w:val="auto"/>
                <w:highlight w:val="none"/>
              </w:rPr>
            </w:pPr>
            <w:r>
              <w:rPr>
                <w:rFonts w:ascii="Times New Roman" w:hAnsi="Times New Roman" w:eastAsia="宋体" w:cs="Times New Roman"/>
                <w:b/>
                <w:color w:val="auto"/>
                <w:highlight w:val="none"/>
              </w:rPr>
              <w:t>10</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AC09510">
            <w:pPr>
              <w:spacing w:line="240" w:lineRule="exact"/>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投标报价</w:t>
            </w:r>
          </w:p>
          <w:p w14:paraId="1FE2721D">
            <w:pPr>
              <w:spacing w:line="240" w:lineRule="exact"/>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与费用</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8A16F26">
            <w:pPr>
              <w:spacing w:line="240" w:lineRule="exac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rPr>
              <w:t>本项目的投标应以人民币报价，投标报价应包括所有费用。</w:t>
            </w:r>
          </w:p>
          <w:p w14:paraId="5ACA79C5">
            <w:pPr>
              <w:spacing w:line="240" w:lineRule="exact"/>
              <w:rPr>
                <w:rFonts w:ascii="Times New Roman" w:hAnsi="Times New Roman" w:eastAsia="宋体" w:cs="Times New Roman"/>
                <w:bCs/>
                <w:color w:val="auto"/>
                <w:szCs w:val="21"/>
                <w:highlight w:val="none"/>
              </w:rPr>
            </w:pPr>
            <w:r>
              <w:rPr>
                <w:rFonts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rPr>
              <w:t>投</w:t>
            </w:r>
            <w:r>
              <w:rPr>
                <w:rFonts w:hint="eastAsia" w:ascii="Times New Roman" w:hAnsi="Times New Roman" w:eastAsia="宋体" w:cs="Times New Roman"/>
                <w:bCs/>
                <w:color w:val="auto"/>
                <w:szCs w:val="21"/>
                <w:highlight w:val="none"/>
              </w:rPr>
              <w:t xml:space="preserve">标人应承担其参加本招标活动自身所发生的费用。 </w:t>
            </w:r>
          </w:p>
          <w:p w14:paraId="0CBB2DD1">
            <w:pPr>
              <w:spacing w:line="240" w:lineRule="exact"/>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3.</w:t>
            </w:r>
            <w:r>
              <w:rPr>
                <w:rFonts w:hint="eastAsia" w:ascii="Times New Roman" w:hAnsi="Times New Roman" w:eastAsia="宋体" w:cs="Times New Roman"/>
                <w:bCs/>
                <w:color w:val="auto"/>
                <w:szCs w:val="21"/>
                <w:highlight w:val="none"/>
              </w:rPr>
              <w:t>中标人须缴纳招标代理费，收费标准为：</w:t>
            </w:r>
            <w:r>
              <w:rPr>
                <w:rFonts w:hint="eastAsia" w:ascii="Times New Roman" w:hAnsi="Times New Roman" w:eastAsia="宋体" w:cs="Times New Roman"/>
                <w:b/>
                <w:color w:val="auto"/>
                <w:szCs w:val="21"/>
                <w:highlight w:val="none"/>
              </w:rPr>
              <w:t>人民币肆万伍仟肆佰元整（45400.00元）</w:t>
            </w:r>
            <w:r>
              <w:rPr>
                <w:rFonts w:hint="eastAsia" w:ascii="Times New Roman" w:hAnsi="Times New Roman" w:eastAsia="宋体" w:cs="Times New Roman"/>
                <w:bCs/>
                <w:color w:val="auto"/>
                <w:szCs w:val="21"/>
                <w:highlight w:val="none"/>
              </w:rPr>
              <w:t>。</w:t>
            </w:r>
          </w:p>
          <w:p w14:paraId="24D8FABD">
            <w:pPr>
              <w:spacing w:line="240" w:lineRule="exact"/>
              <w:rPr>
                <w:rFonts w:ascii="Times New Roman" w:hAnsi="Times New Roman" w:eastAsia="宋体" w:cs="Times New Roman"/>
                <w:color w:val="auto"/>
                <w:highlight w:val="none"/>
              </w:rPr>
            </w:pPr>
            <w:r>
              <w:rPr>
                <w:rFonts w:ascii="Times New Roman" w:hAnsi="Times New Roman" w:eastAsia="宋体" w:cs="Times New Roman"/>
                <w:color w:val="auto"/>
                <w:highlight w:val="none"/>
              </w:rPr>
              <w:t>4.</w:t>
            </w:r>
            <w:r>
              <w:rPr>
                <w:rFonts w:hint="eastAsia" w:ascii="Times New Roman" w:hAnsi="Times New Roman" w:eastAsia="宋体" w:cs="Times New Roman"/>
                <w:color w:val="auto"/>
                <w:highlight w:val="none"/>
              </w:rPr>
              <w:t>中标通知书发出的同时，中标人应及时支付招标代理费，收到服务费后提供全额发票。</w:t>
            </w:r>
            <w:r>
              <w:rPr>
                <w:rFonts w:hint="eastAsia" w:ascii="宋体" w:hAnsi="宋体" w:eastAsia="宋体" w:cs="宋体"/>
                <w:color w:val="auto"/>
                <w:highlight w:val="none"/>
              </w:rPr>
              <w:t>中标结果确认后，因中标单位自身原因退出中标，招标代理费不予退回。</w:t>
            </w:r>
          </w:p>
        </w:tc>
      </w:tr>
      <w:tr w14:paraId="15B8C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DDB2800">
            <w:pPr>
              <w:snapToGrid w:val="0"/>
              <w:spacing w:line="240" w:lineRule="exact"/>
              <w:jc w:val="center"/>
              <w:rPr>
                <w:rFonts w:ascii="Times New Roman" w:hAnsi="Times New Roman" w:eastAsia="宋体" w:cs="Times New Roman"/>
                <w:b/>
                <w:color w:val="auto"/>
                <w:highlight w:val="none"/>
              </w:rPr>
            </w:pPr>
            <w:r>
              <w:rPr>
                <w:rFonts w:ascii="Times New Roman" w:hAnsi="Times New Roman" w:eastAsia="宋体" w:cs="Times New Roman"/>
                <w:b/>
                <w:color w:val="auto"/>
                <w:highlight w:val="none"/>
              </w:rPr>
              <w:t>11</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0F1305C">
            <w:pPr>
              <w:spacing w:line="240" w:lineRule="exact"/>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银行账号</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CE88AD9">
            <w:pPr>
              <w:spacing w:line="24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收款单位：深圳市国信招标有限公司舟山分公司</w:t>
            </w:r>
          </w:p>
          <w:p w14:paraId="6A9F287A">
            <w:pPr>
              <w:spacing w:line="24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开户银行：中国工商银行舟山市定海区支行</w:t>
            </w:r>
          </w:p>
          <w:p w14:paraId="5185FF6F">
            <w:pPr>
              <w:spacing w:line="240" w:lineRule="exact"/>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银行账号：</w:t>
            </w:r>
            <w:r>
              <w:rPr>
                <w:rFonts w:ascii="Times New Roman" w:hAnsi="Times New Roman" w:eastAsia="宋体" w:cs="Times New Roman"/>
                <w:color w:val="auto"/>
                <w:szCs w:val="21"/>
                <w:highlight w:val="none"/>
              </w:rPr>
              <w:t>1206020209200081758</w:t>
            </w:r>
          </w:p>
        </w:tc>
      </w:tr>
      <w:tr w14:paraId="2919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E00800B">
            <w:pPr>
              <w:snapToGrid w:val="0"/>
              <w:spacing w:line="240" w:lineRule="exact"/>
              <w:jc w:val="center"/>
              <w:rPr>
                <w:rFonts w:ascii="Times New Roman" w:hAnsi="Times New Roman" w:eastAsia="宋体" w:cs="Times New Roman"/>
                <w:b/>
                <w:color w:val="auto"/>
                <w:highlight w:val="none"/>
              </w:rPr>
            </w:pPr>
            <w:r>
              <w:rPr>
                <w:rFonts w:ascii="Times New Roman" w:hAnsi="Times New Roman" w:eastAsia="宋体" w:cs="Times New Roman"/>
                <w:b/>
                <w:color w:val="auto"/>
                <w:highlight w:val="none"/>
              </w:rPr>
              <w:t>12</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E41BB5A">
            <w:pPr>
              <w:spacing w:line="240" w:lineRule="exact"/>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质量标准</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FC2DC60">
            <w:pPr>
              <w:spacing w:line="240" w:lineRule="exact"/>
              <w:rPr>
                <w:rFonts w:ascii="Times New Roman" w:hAnsi="Times New Roman" w:eastAsia="宋体" w:cs="Times New Roman"/>
                <w:color w:val="auto"/>
                <w:szCs w:val="21"/>
                <w:highlight w:val="none"/>
              </w:rPr>
            </w:pPr>
            <w:r>
              <w:rPr>
                <w:rFonts w:hint="eastAsia" w:ascii="宋体" w:hAnsi="宋体" w:eastAsia="宋体" w:cs="Times New Roman"/>
                <w:color w:val="auto"/>
                <w:highlight w:val="none"/>
              </w:rPr>
              <w:t>合同约定，经验收合格</w:t>
            </w:r>
          </w:p>
        </w:tc>
      </w:tr>
      <w:tr w14:paraId="502CD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97ED855">
            <w:pPr>
              <w:snapToGrid w:val="0"/>
              <w:spacing w:line="240" w:lineRule="exact"/>
              <w:jc w:val="center"/>
              <w:rPr>
                <w:rFonts w:ascii="Times New Roman" w:hAnsi="Times New Roman" w:eastAsia="宋体" w:cs="Times New Roman"/>
                <w:b/>
                <w:color w:val="auto"/>
                <w:highlight w:val="none"/>
              </w:rPr>
            </w:pPr>
            <w:r>
              <w:rPr>
                <w:rFonts w:hint="eastAsia" w:ascii="Times New Roman" w:hAnsi="Times New Roman" w:eastAsia="宋体" w:cs="Times New Roman"/>
                <w:b/>
                <w:color w:val="auto"/>
                <w:highlight w:val="none"/>
              </w:rPr>
              <w:t>13</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8B35403">
            <w:pPr>
              <w:spacing w:line="240" w:lineRule="exact"/>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履约保证金</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E00C81C">
            <w:pP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无</w:t>
            </w:r>
          </w:p>
        </w:tc>
      </w:tr>
      <w:tr w14:paraId="2C397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78FD757">
            <w:pPr>
              <w:snapToGrid w:val="0"/>
              <w:spacing w:line="240" w:lineRule="exact"/>
              <w:jc w:val="center"/>
              <w:rPr>
                <w:rFonts w:ascii="Times New Roman" w:hAnsi="Times New Roman" w:eastAsia="宋体" w:cs="Times New Roman"/>
                <w:b/>
                <w:color w:val="auto"/>
                <w:highlight w:val="none"/>
              </w:rPr>
            </w:pPr>
            <w:r>
              <w:rPr>
                <w:rFonts w:ascii="Times New Roman" w:hAnsi="Times New Roman" w:eastAsia="宋体" w:cs="Times New Roman"/>
                <w:b/>
                <w:color w:val="auto"/>
                <w:highlight w:val="none"/>
              </w:rPr>
              <w:t>1</w:t>
            </w:r>
            <w:r>
              <w:rPr>
                <w:rFonts w:hint="eastAsia" w:ascii="Times New Roman" w:hAnsi="Times New Roman" w:eastAsia="宋体" w:cs="Times New Roman"/>
                <w:b/>
                <w:color w:val="auto"/>
                <w:highlight w:val="none"/>
              </w:rPr>
              <w:t>4</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A5D6C9E">
            <w:pPr>
              <w:spacing w:line="240" w:lineRule="exact"/>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投标文件的</w:t>
            </w:r>
          </w:p>
          <w:p w14:paraId="193C7A93">
            <w:pPr>
              <w:spacing w:line="240" w:lineRule="exact"/>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组成</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D5EC03F">
            <w:pPr>
              <w:snapToGrid w:val="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投标文件由资格响应文件、商务及技术响应文件、报价文件组成。</w:t>
            </w:r>
          </w:p>
        </w:tc>
      </w:tr>
      <w:tr w14:paraId="5D526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CBF3EBD">
            <w:pPr>
              <w:snapToGrid w:val="0"/>
              <w:spacing w:line="240" w:lineRule="exact"/>
              <w:jc w:val="center"/>
              <w:rPr>
                <w:rFonts w:ascii="Times New Roman" w:hAnsi="Times New Roman" w:eastAsia="宋体" w:cs="Times New Roman"/>
                <w:b/>
                <w:color w:val="auto"/>
                <w:highlight w:val="none"/>
              </w:rPr>
            </w:pPr>
            <w:r>
              <w:rPr>
                <w:rFonts w:ascii="Times New Roman" w:hAnsi="Times New Roman" w:eastAsia="宋体" w:cs="Times New Roman"/>
                <w:b/>
                <w:color w:val="auto"/>
                <w:highlight w:val="none"/>
              </w:rPr>
              <w:t>1</w:t>
            </w:r>
            <w:r>
              <w:rPr>
                <w:rFonts w:hint="eastAsia" w:ascii="Times New Roman" w:hAnsi="Times New Roman" w:eastAsia="宋体" w:cs="Times New Roman"/>
                <w:b/>
                <w:color w:val="auto"/>
                <w:highlight w:val="none"/>
              </w:rPr>
              <w:t>5</w:t>
            </w: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0D4811EC">
            <w:pPr>
              <w:snapToGrid w:val="0"/>
              <w:jc w:val="center"/>
              <w:rPr>
                <w:rFonts w:ascii="Times New Roman" w:hAnsi="Times New Roman" w:eastAsia="宋体" w:cs="Times New Roman"/>
                <w:b/>
                <w:color w:val="auto"/>
                <w:highlight w:val="none"/>
              </w:rPr>
            </w:pPr>
            <w:r>
              <w:rPr>
                <w:rFonts w:hint="eastAsia" w:ascii="Times New Roman" w:hAnsi="Times New Roman" w:eastAsia="宋体" w:cs="Times New Roman"/>
                <w:b/>
                <w:color w:val="auto"/>
                <w:highlight w:val="none"/>
              </w:rPr>
              <w:t>投标文件的</w:t>
            </w:r>
          </w:p>
          <w:p w14:paraId="290E9381">
            <w:pPr>
              <w:ind w:firstLine="517" w:firstLineChars="245"/>
              <w:rPr>
                <w:rFonts w:ascii="Times New Roman" w:hAnsi="Times New Roman" w:eastAsia="宋体" w:cs="Times New Roman"/>
                <w:b/>
                <w:color w:val="auto"/>
                <w:szCs w:val="21"/>
                <w:highlight w:val="none"/>
                <w:shd w:val="pct10" w:color="auto" w:fill="FFFFFF"/>
              </w:rPr>
            </w:pPr>
            <w:r>
              <w:rPr>
                <w:rFonts w:hint="eastAsia" w:ascii="Times New Roman" w:hAnsi="Times New Roman" w:eastAsia="宋体" w:cs="Times New Roman"/>
                <w:b/>
                <w:color w:val="auto"/>
                <w:highlight w:val="none"/>
              </w:rPr>
              <w:t>制作</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ED71722">
            <w:pP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本项目实行电子投标。</w:t>
            </w:r>
          </w:p>
          <w:p w14:paraId="5BB7EB51">
            <w:pP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投标人应准备电子投标文件、以介质存储的数据电文形式的备份投标文件：</w:t>
            </w:r>
          </w:p>
          <w:p w14:paraId="50BDF58D">
            <w:pP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rPr>
              <w:t>）电子投标文件，按政采云平台项目采购</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电子交易操作指南及本招标文件要求递交。</w:t>
            </w:r>
          </w:p>
          <w:p w14:paraId="62A56708">
            <w:pP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rPr>
              <w:t>）以介质存储的数据电文形式的备份投标文件，按政采云平台项目采购</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电子交易操作指南中上传的电子投标文件格式，以</w:t>
            </w:r>
            <w:r>
              <w:rPr>
                <w:rFonts w:ascii="Times New Roman" w:hAnsi="Times New Roman" w:eastAsia="宋体" w:cs="Times New Roman"/>
                <w:color w:val="auto"/>
                <w:szCs w:val="21"/>
                <w:highlight w:val="none"/>
              </w:rPr>
              <w:t>U</w:t>
            </w:r>
            <w:r>
              <w:rPr>
                <w:rFonts w:hint="eastAsia" w:ascii="Times New Roman" w:hAnsi="Times New Roman" w:eastAsia="宋体" w:cs="Times New Roman"/>
                <w:color w:val="auto"/>
                <w:szCs w:val="21"/>
                <w:highlight w:val="none"/>
              </w:rPr>
              <w:t>盘形式存储提供。数量为</w:t>
            </w: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rPr>
              <w:t>份。</w:t>
            </w:r>
          </w:p>
          <w:p w14:paraId="29A88D2A">
            <w:pP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投标文件均由资格响应文件、商务及技术响应文件、报价文件组成。</w:t>
            </w:r>
          </w:p>
        </w:tc>
      </w:tr>
      <w:tr w14:paraId="3AF3D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9FB6919">
            <w:pPr>
              <w:snapToGrid w:val="0"/>
              <w:spacing w:line="240" w:lineRule="exact"/>
              <w:jc w:val="center"/>
              <w:rPr>
                <w:rFonts w:ascii="Times New Roman" w:hAnsi="Times New Roman" w:eastAsia="宋体" w:cs="Times New Roman"/>
                <w:b/>
                <w:color w:val="auto"/>
                <w:highlight w:val="none"/>
              </w:rPr>
            </w:pPr>
            <w:r>
              <w:rPr>
                <w:rFonts w:ascii="Times New Roman" w:hAnsi="Times New Roman" w:eastAsia="宋体" w:cs="Times New Roman"/>
                <w:b/>
                <w:color w:val="auto"/>
                <w:highlight w:val="none"/>
              </w:rPr>
              <w:t>1</w:t>
            </w:r>
            <w:r>
              <w:rPr>
                <w:rFonts w:hint="eastAsia" w:ascii="Times New Roman" w:hAnsi="Times New Roman" w:eastAsia="宋体" w:cs="Times New Roman"/>
                <w:b/>
                <w:color w:val="auto"/>
                <w:highlight w:val="none"/>
              </w:rPr>
              <w:t>6</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BFF4588">
            <w:pPr>
              <w:snapToGrid w:val="0"/>
              <w:jc w:val="center"/>
              <w:rPr>
                <w:rFonts w:ascii="Times New Roman" w:hAnsi="Times New Roman" w:eastAsia="宋体" w:cs="Times New Roman"/>
                <w:b/>
                <w:color w:val="auto"/>
                <w:highlight w:val="none"/>
              </w:rPr>
            </w:pPr>
            <w:r>
              <w:rPr>
                <w:rFonts w:hint="eastAsia" w:ascii="Times New Roman" w:hAnsi="Times New Roman" w:eastAsia="宋体" w:cs="Times New Roman"/>
                <w:b/>
                <w:color w:val="auto"/>
                <w:highlight w:val="none"/>
              </w:rPr>
              <w:t>投标文件的</w:t>
            </w:r>
          </w:p>
          <w:p w14:paraId="2323C79E">
            <w:pPr>
              <w:jc w:val="center"/>
              <w:rPr>
                <w:rFonts w:ascii="Times New Roman" w:hAnsi="Times New Roman" w:eastAsia="宋体" w:cs="Times New Roman"/>
                <w:b/>
                <w:color w:val="auto"/>
                <w:sz w:val="22"/>
                <w:highlight w:val="none"/>
                <w:shd w:val="pct10" w:color="auto" w:fill="FFFFFF"/>
              </w:rPr>
            </w:pPr>
            <w:r>
              <w:rPr>
                <w:rFonts w:hint="eastAsia" w:ascii="Times New Roman" w:hAnsi="Times New Roman" w:eastAsia="宋体" w:cs="Times New Roman"/>
                <w:b/>
                <w:color w:val="auto"/>
                <w:highlight w:val="none"/>
              </w:rPr>
              <w:t>组成</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8D9491E">
            <w:pPr>
              <w:rPr>
                <w:rFonts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1ED450B1">
            <w:pPr>
              <w:rPr>
                <w:rFonts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rPr>
              <w:t>投标人应当在规定时间前将以介质存储的数据电文形式的备份投标文件寄到或送达采购代理公司：舟山市定海区昌国路</w:t>
            </w:r>
            <w:r>
              <w:rPr>
                <w:rFonts w:ascii="Times New Roman" w:hAnsi="Times New Roman" w:eastAsia="宋体" w:cs="Times New Roman"/>
                <w:color w:val="auto"/>
                <w:sz w:val="22"/>
                <w:highlight w:val="none"/>
              </w:rPr>
              <w:t>232</w:t>
            </w:r>
            <w:r>
              <w:rPr>
                <w:rFonts w:hint="eastAsia" w:ascii="Times New Roman" w:hAnsi="Times New Roman" w:eastAsia="宋体" w:cs="Times New Roman"/>
                <w:color w:val="auto"/>
                <w:sz w:val="22"/>
                <w:highlight w:val="none"/>
              </w:rPr>
              <w:t>号中楼</w:t>
            </w:r>
            <w:r>
              <w:rPr>
                <w:rFonts w:ascii="Times New Roman" w:hAnsi="Times New Roman" w:eastAsia="宋体" w:cs="Times New Roman"/>
                <w:color w:val="auto"/>
                <w:sz w:val="22"/>
                <w:highlight w:val="none"/>
              </w:rPr>
              <w:t>202</w:t>
            </w:r>
            <w:r>
              <w:rPr>
                <w:rFonts w:hint="eastAsia" w:ascii="Times New Roman" w:hAnsi="Times New Roman" w:eastAsia="宋体" w:cs="Times New Roman"/>
                <w:color w:val="auto"/>
                <w:sz w:val="22"/>
                <w:highlight w:val="none"/>
              </w:rPr>
              <w:t>(收件人：任女士，联系电话：13567673203）。逾期送达或未密封将被拒收。也可现场递交。</w:t>
            </w:r>
          </w:p>
          <w:p w14:paraId="448DC1AD">
            <w:pPr>
              <w:rPr>
                <w:rFonts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rPr>
              <w:t>投标人递交以介质存储的数据电文形式的备份投标文件时，如出现下列情况之一的，将被拒收：</w:t>
            </w:r>
          </w:p>
          <w:p w14:paraId="1A878040">
            <w:pPr>
              <w:rPr>
                <w:rFonts w:ascii="Times New Roman" w:hAnsi="Times New Roman" w:eastAsia="宋体" w:cs="Times New Roman"/>
                <w:color w:val="auto"/>
                <w:sz w:val="22"/>
                <w:highlight w:val="none"/>
              </w:rPr>
            </w:pPr>
            <w:r>
              <w:rPr>
                <w:rFonts w:ascii="Times New Roman" w:hAnsi="Times New Roman" w:eastAsia="宋体" w:cs="Times New Roman"/>
                <w:color w:val="auto"/>
                <w:sz w:val="22"/>
                <w:highlight w:val="none"/>
              </w:rPr>
              <w:t>1.</w:t>
            </w:r>
            <w:r>
              <w:rPr>
                <w:rFonts w:hint="eastAsia" w:ascii="Times New Roman" w:hAnsi="Times New Roman" w:eastAsia="宋体" w:cs="Times New Roman"/>
                <w:color w:val="auto"/>
                <w:sz w:val="22"/>
                <w:highlight w:val="none"/>
              </w:rPr>
              <w:t>未按规定密封或标记的投标文件；</w:t>
            </w:r>
          </w:p>
          <w:p w14:paraId="2994E16B">
            <w:pPr>
              <w:rPr>
                <w:rFonts w:ascii="Times New Roman" w:hAnsi="Times New Roman" w:eastAsia="宋体" w:cs="Times New Roman"/>
                <w:color w:val="auto"/>
                <w:sz w:val="22"/>
                <w:highlight w:val="none"/>
              </w:rPr>
            </w:pPr>
            <w:r>
              <w:rPr>
                <w:rFonts w:ascii="Times New Roman" w:hAnsi="Times New Roman" w:eastAsia="宋体" w:cs="Times New Roman"/>
                <w:color w:val="auto"/>
                <w:sz w:val="22"/>
                <w:highlight w:val="none"/>
              </w:rPr>
              <w:t>2.</w:t>
            </w:r>
            <w:r>
              <w:rPr>
                <w:rFonts w:hint="eastAsia" w:ascii="Times New Roman" w:hAnsi="Times New Roman" w:eastAsia="宋体" w:cs="Times New Roman"/>
                <w:color w:val="auto"/>
                <w:sz w:val="22"/>
                <w:highlight w:val="none"/>
              </w:rPr>
              <w:t>由于包装不妥，在送交途中严重破损或失散的；</w:t>
            </w:r>
          </w:p>
          <w:p w14:paraId="416C7E4D">
            <w:pPr>
              <w:rPr>
                <w:rFonts w:ascii="Times New Roman" w:hAnsi="Times New Roman" w:eastAsia="宋体" w:cs="Times New Roman"/>
                <w:color w:val="auto"/>
                <w:sz w:val="22"/>
                <w:highlight w:val="none"/>
              </w:rPr>
            </w:pPr>
            <w:r>
              <w:rPr>
                <w:rFonts w:ascii="Times New Roman" w:hAnsi="Times New Roman" w:eastAsia="宋体" w:cs="Times New Roman"/>
                <w:color w:val="auto"/>
                <w:sz w:val="22"/>
                <w:highlight w:val="none"/>
              </w:rPr>
              <w:t>3.</w:t>
            </w:r>
            <w:r>
              <w:rPr>
                <w:rFonts w:hint="eastAsia" w:ascii="Times New Roman" w:hAnsi="Times New Roman" w:eastAsia="宋体" w:cs="Times New Roman"/>
                <w:color w:val="auto"/>
                <w:sz w:val="22"/>
                <w:highlight w:val="none"/>
              </w:rPr>
              <w:t>未成功办理投标人报名手续的；</w:t>
            </w:r>
          </w:p>
          <w:p w14:paraId="454AE298">
            <w:pPr>
              <w:rPr>
                <w:rFonts w:ascii="Times New Roman" w:hAnsi="Times New Roman" w:eastAsia="宋体" w:cs="Times New Roman"/>
                <w:color w:val="auto"/>
                <w:sz w:val="22"/>
                <w:highlight w:val="none"/>
              </w:rPr>
            </w:pPr>
            <w:r>
              <w:rPr>
                <w:rFonts w:ascii="Times New Roman" w:hAnsi="Times New Roman" w:eastAsia="宋体" w:cs="Times New Roman"/>
                <w:color w:val="auto"/>
                <w:sz w:val="22"/>
                <w:highlight w:val="none"/>
              </w:rPr>
              <w:t>4.</w:t>
            </w:r>
            <w:r>
              <w:rPr>
                <w:rFonts w:hint="eastAsia" w:ascii="Times New Roman" w:hAnsi="Times New Roman" w:eastAsia="宋体" w:cs="Times New Roman"/>
                <w:color w:val="auto"/>
                <w:sz w:val="22"/>
                <w:highlight w:val="none"/>
              </w:rPr>
              <w:t>超过截止时间送达的；</w:t>
            </w:r>
          </w:p>
          <w:p w14:paraId="5D70B924">
            <w:pPr>
              <w:rPr>
                <w:rFonts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rPr>
              <w:t>仅提供备份投标文件的，投标无效。</w:t>
            </w:r>
          </w:p>
          <w:p w14:paraId="253FF756">
            <w:pPr>
              <w:rPr>
                <w:rFonts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rPr>
              <w:t>投标人可以不提供备份投标文件，造成项目开评标活动无法进行下去的，投标无效，相关风险由投标人自行承担。</w:t>
            </w:r>
          </w:p>
        </w:tc>
      </w:tr>
      <w:tr w14:paraId="69009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860DD30">
            <w:pPr>
              <w:snapToGrid w:val="0"/>
              <w:jc w:val="center"/>
              <w:rPr>
                <w:rFonts w:ascii="Times New Roman" w:hAnsi="Times New Roman" w:eastAsia="宋体" w:cs="Times New Roman"/>
                <w:b/>
                <w:color w:val="auto"/>
                <w:highlight w:val="none"/>
              </w:rPr>
            </w:pPr>
            <w:r>
              <w:rPr>
                <w:rFonts w:ascii="Times New Roman" w:hAnsi="Times New Roman" w:eastAsia="宋体" w:cs="Times New Roman"/>
                <w:b/>
                <w:color w:val="auto"/>
                <w:highlight w:val="none"/>
              </w:rPr>
              <w:t>1</w:t>
            </w:r>
            <w:r>
              <w:rPr>
                <w:rFonts w:hint="eastAsia" w:ascii="Times New Roman" w:hAnsi="Times New Roman" w:eastAsia="宋体" w:cs="Times New Roman"/>
                <w:b/>
                <w:color w:val="auto"/>
                <w:highlight w:val="none"/>
              </w:rPr>
              <w:t>7</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0A78069">
            <w:pPr>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投标人注册</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216DC2D">
            <w:pPr>
              <w:spacing w:before="24" w:beforeLines="10"/>
              <w:jc w:val="left"/>
              <w:rPr>
                <w:rFonts w:ascii="Times New Roman" w:hAnsi="Times New Roman" w:eastAsia="宋体" w:cs="Times New Roman"/>
                <w:bCs/>
                <w:snapToGrid w:val="0"/>
                <w:color w:val="auto"/>
                <w:kern w:val="0"/>
                <w:highlight w:val="none"/>
              </w:rPr>
            </w:pPr>
            <w:r>
              <w:rPr>
                <w:rFonts w:hint="eastAsia" w:ascii="Times New Roman" w:hAnsi="Times New Roman" w:eastAsia="宋体" w:cs="Times New Roman"/>
                <w:bCs/>
                <w:snapToGrid w:val="0"/>
                <w:color w:val="auto"/>
                <w:kern w:val="0"/>
                <w:highlight w:val="none"/>
              </w:rPr>
              <w:t>各投标人须在投标截止时间前根据浙江省财政厅《关于开展政府采购投标人网上注册登记和诚信管理工作的通知》（浙财采监【</w:t>
            </w:r>
            <w:r>
              <w:rPr>
                <w:rFonts w:ascii="Times New Roman" w:hAnsi="Times New Roman" w:eastAsia="宋体" w:cs="Times New Roman"/>
                <w:bCs/>
                <w:snapToGrid w:val="0"/>
                <w:color w:val="auto"/>
                <w:kern w:val="0"/>
                <w:highlight w:val="none"/>
              </w:rPr>
              <w:t>2010</w:t>
            </w:r>
            <w:r>
              <w:rPr>
                <w:rFonts w:hint="eastAsia" w:ascii="Times New Roman" w:hAnsi="Times New Roman" w:eastAsia="宋体" w:cs="Times New Roman"/>
                <w:bCs/>
                <w:snapToGrid w:val="0"/>
                <w:color w:val="auto"/>
                <w:kern w:val="0"/>
                <w:highlight w:val="none"/>
              </w:rPr>
              <w:t>】</w:t>
            </w:r>
            <w:r>
              <w:rPr>
                <w:rFonts w:ascii="Times New Roman" w:hAnsi="Times New Roman" w:eastAsia="宋体" w:cs="Times New Roman"/>
                <w:bCs/>
                <w:snapToGrid w:val="0"/>
                <w:color w:val="auto"/>
                <w:kern w:val="0"/>
                <w:highlight w:val="none"/>
              </w:rPr>
              <w:t>8</w:t>
            </w:r>
            <w:r>
              <w:rPr>
                <w:rFonts w:hint="eastAsia" w:ascii="Times New Roman" w:hAnsi="Times New Roman" w:eastAsia="宋体" w:cs="Times New Roman"/>
                <w:bCs/>
                <w:snapToGrid w:val="0"/>
                <w:color w:val="auto"/>
                <w:kern w:val="0"/>
                <w:highlight w:val="none"/>
              </w:rPr>
              <w:t>号文）的要求，通过浙江政府采购网申请注册加入政府采购投标人库。以免影响享受相关政策优惠及成交后的款项支付。</w:t>
            </w:r>
          </w:p>
          <w:p w14:paraId="74106C8E">
            <w:pPr>
              <w:spacing w:before="24" w:beforeLines="10"/>
              <w:jc w:val="left"/>
              <w:rPr>
                <w:rFonts w:ascii="Times New Roman" w:hAnsi="Times New Roman" w:eastAsia="宋体" w:cs="Times New Roman"/>
                <w:color w:val="auto"/>
                <w:szCs w:val="21"/>
                <w:highlight w:val="none"/>
              </w:rPr>
            </w:pPr>
            <w:r>
              <w:rPr>
                <w:rFonts w:hint="eastAsia" w:ascii="Times New Roman" w:hAnsi="Times New Roman" w:eastAsia="宋体" w:cs="Times New Roman"/>
                <w:bCs/>
                <w:snapToGrid w:val="0"/>
                <w:color w:val="auto"/>
                <w:kern w:val="0"/>
                <w:highlight w:val="none"/>
              </w:rPr>
              <w:t>投标人在申请注册前，请认真阅读，学习《中华人民共和国政府采购法》和《浙江省政府采购投标人注册及诚信管理暂行办法》等相关法规规定。</w:t>
            </w:r>
          </w:p>
        </w:tc>
      </w:tr>
      <w:tr w14:paraId="66737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7FA8A91">
            <w:pPr>
              <w:snapToGrid w:val="0"/>
              <w:spacing w:line="240" w:lineRule="exact"/>
              <w:jc w:val="center"/>
              <w:rPr>
                <w:rFonts w:ascii="Times New Roman" w:hAnsi="Times New Roman" w:eastAsia="宋体" w:cs="Times New Roman"/>
                <w:b/>
                <w:color w:val="auto"/>
                <w:highlight w:val="none"/>
              </w:rPr>
            </w:pPr>
            <w:r>
              <w:rPr>
                <w:rFonts w:ascii="Times New Roman" w:hAnsi="Times New Roman" w:eastAsia="宋体" w:cs="Times New Roman"/>
                <w:b/>
                <w:color w:val="auto"/>
                <w:highlight w:val="none"/>
              </w:rPr>
              <w:t>1</w:t>
            </w:r>
            <w:r>
              <w:rPr>
                <w:rFonts w:hint="eastAsia" w:ascii="Times New Roman" w:hAnsi="Times New Roman" w:eastAsia="宋体" w:cs="Times New Roman"/>
                <w:b/>
                <w:color w:val="auto"/>
                <w:highlight w:val="none"/>
              </w:rPr>
              <w:t>8</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CBE1EE5">
            <w:pPr>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不良信用记录查询</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A495DD0">
            <w:pP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根据财库</w:t>
            </w:r>
            <w:r>
              <w:rPr>
                <w:rFonts w:ascii="Times New Roman" w:hAnsi="Times New Roman" w:eastAsia="宋体" w:cs="Times New Roman"/>
                <w:color w:val="auto"/>
                <w:szCs w:val="21"/>
                <w:highlight w:val="none"/>
              </w:rPr>
              <w:t>[2016]125</w:t>
            </w:r>
            <w:r>
              <w:rPr>
                <w:rFonts w:hint="eastAsia" w:ascii="Times New Roman" w:hAnsi="Times New Roman" w:eastAsia="宋体" w:cs="Times New Roman"/>
                <w:color w:val="auto"/>
                <w:szCs w:val="21"/>
                <w:highlight w:val="none"/>
              </w:rPr>
              <w:t>号文件：</w:t>
            </w:r>
          </w:p>
          <w:p w14:paraId="33C9051B">
            <w:pP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rPr>
              <w:t>至本项目投标截止前未被列入</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信用中国</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网站</w:t>
            </w:r>
            <w:r>
              <w:rPr>
                <w:rFonts w:ascii="Times New Roman" w:hAnsi="Times New Roman" w:eastAsia="宋体" w:cs="Times New Roman"/>
                <w:color w:val="auto"/>
                <w:szCs w:val="21"/>
                <w:highlight w:val="none"/>
              </w:rPr>
              <w:t>(www.creditchina.gov.cn)“</w:t>
            </w:r>
            <w:r>
              <w:rPr>
                <w:rFonts w:hint="eastAsia" w:ascii="Times New Roman" w:hAnsi="Times New Roman" w:eastAsia="宋体" w:cs="Times New Roman"/>
                <w:color w:val="auto"/>
                <w:szCs w:val="21"/>
                <w:highlight w:val="none"/>
              </w:rPr>
              <w:t>记录失信被执行人或重大税收违法案件当事人名单</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记录名单。</w:t>
            </w:r>
          </w:p>
          <w:p w14:paraId="055D0528">
            <w:pP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rPr>
              <w:t>至本项目投标截止前不处于中国政府采购网</w:t>
            </w:r>
            <w:r>
              <w:rPr>
                <w:rFonts w:ascii="Times New Roman" w:hAnsi="Times New Roman" w:eastAsia="宋体" w:cs="Times New Roman"/>
                <w:color w:val="auto"/>
                <w:szCs w:val="21"/>
                <w:highlight w:val="none"/>
              </w:rPr>
              <w:t>(www.ccgp.gov.cn)“</w:t>
            </w:r>
            <w:r>
              <w:rPr>
                <w:rFonts w:hint="eastAsia" w:ascii="Times New Roman" w:hAnsi="Times New Roman" w:eastAsia="宋体" w:cs="Times New Roman"/>
                <w:color w:val="auto"/>
                <w:szCs w:val="21"/>
                <w:highlight w:val="none"/>
              </w:rPr>
              <w:t>政府采购严重违法失信行为信息记录</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中的禁止参加政府采购活动期间。</w:t>
            </w:r>
          </w:p>
          <w:p w14:paraId="47D18FE3">
            <w:pPr>
              <w:rPr>
                <w:rFonts w:ascii="Times New Roman" w:hAnsi="Times New Roman" w:eastAsia="宋体" w:cs="Times New Roman"/>
                <w:color w:val="auto"/>
                <w:highlight w:val="none"/>
              </w:rPr>
            </w:pPr>
            <w:r>
              <w:rPr>
                <w:rFonts w:hint="eastAsia" w:ascii="Times New Roman" w:hAnsi="Times New Roman" w:eastAsia="宋体" w:cs="Times New Roman"/>
                <w:color w:val="auto"/>
                <w:szCs w:val="21"/>
                <w:highlight w:val="none"/>
              </w:rPr>
              <w:t>提供</w:t>
            </w:r>
            <w:r>
              <w:rPr>
                <w:rFonts w:hint="eastAsia" w:ascii="Times New Roman" w:hAnsi="Times New Roman" w:eastAsia="宋体" w:cs="Times New Roman"/>
                <w:b/>
                <w:color w:val="auto"/>
                <w:highlight w:val="none"/>
              </w:rPr>
              <w:t>查询截图，（截图查询网站时间须在开标截止前二个星期内）。</w:t>
            </w:r>
            <w:r>
              <w:rPr>
                <w:rFonts w:hint="eastAsia" w:ascii="Times New Roman" w:hAnsi="Times New Roman" w:eastAsia="宋体" w:cs="Times New Roman"/>
                <w:color w:val="auto"/>
                <w:szCs w:val="21"/>
                <w:highlight w:val="none"/>
              </w:rPr>
              <w:t>对列入失信被执行人、重大税收违法案件当事人名单、政府采购严重违法失信行为记录名单的供应商，</w:t>
            </w:r>
            <w:r>
              <w:rPr>
                <w:rFonts w:hint="eastAsia" w:ascii="Times New Roman" w:hAnsi="Times New Roman" w:eastAsia="宋体" w:cs="Times New Roman"/>
                <w:b/>
                <w:color w:val="auto"/>
                <w:szCs w:val="21"/>
                <w:highlight w:val="none"/>
              </w:rPr>
              <w:t>其投标将作无效标处理</w:t>
            </w:r>
            <w:r>
              <w:rPr>
                <w:rFonts w:hint="eastAsia" w:ascii="Times New Roman" w:hAnsi="Times New Roman" w:eastAsia="宋体" w:cs="Times New Roman"/>
                <w:color w:val="auto"/>
                <w:szCs w:val="21"/>
                <w:highlight w:val="none"/>
              </w:rPr>
              <w:t>。</w:t>
            </w:r>
          </w:p>
        </w:tc>
      </w:tr>
      <w:tr w14:paraId="1AEA3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4A94663">
            <w:pPr>
              <w:snapToGrid w:val="0"/>
              <w:spacing w:line="240" w:lineRule="exact"/>
              <w:jc w:val="center"/>
              <w:rPr>
                <w:rFonts w:ascii="Times New Roman" w:hAnsi="Times New Roman" w:eastAsia="宋体" w:cs="Times New Roman"/>
                <w:b/>
                <w:color w:val="auto"/>
                <w:highlight w:val="none"/>
              </w:rPr>
            </w:pPr>
            <w:r>
              <w:rPr>
                <w:rFonts w:ascii="Times New Roman" w:hAnsi="Times New Roman" w:eastAsia="宋体" w:cs="Times New Roman"/>
                <w:b/>
                <w:color w:val="auto"/>
                <w:highlight w:val="none"/>
              </w:rPr>
              <w:t>1</w:t>
            </w:r>
            <w:r>
              <w:rPr>
                <w:rFonts w:hint="eastAsia" w:ascii="Times New Roman" w:hAnsi="Times New Roman" w:eastAsia="宋体" w:cs="Times New Roman"/>
                <w:b/>
                <w:color w:val="auto"/>
                <w:highlight w:val="none"/>
              </w:rPr>
              <w:t>9</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B7F24CD">
            <w:pPr>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中小企业有关政策</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7D044BB">
            <w:pPr>
              <w:snapToGrid w:val="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1）中小企业预留份额情况：根据《政府采购促进中小企业发展管理办法》（财库〔2020〕46号），本项目专门面向中小企业。</w:t>
            </w:r>
            <w:r>
              <w:rPr>
                <w:rFonts w:ascii="Times New Roman" w:hAnsi="Times New Roman" w:eastAsia="宋体" w:cs="Times New Roman"/>
                <w:b/>
                <w:bCs/>
                <w:color w:val="auto"/>
                <w:szCs w:val="21"/>
                <w:highlight w:val="none"/>
              </w:rPr>
              <w:t>本项目对应的中小企业划分标准所属行业：其他未列明行业。</w:t>
            </w:r>
          </w:p>
          <w:p w14:paraId="2F75F60F">
            <w:pPr>
              <w:snapToGrid w:val="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2）在政府采购活动中，供应商提供的货物、工程或者服务符合下列情形的，享受本办法规定的中小企业扶持政策：</w:t>
            </w:r>
          </w:p>
          <w:p w14:paraId="48C17434">
            <w:pPr>
              <w:snapToGrid w:val="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①在货物采购项目中，货物由中小企业制造，即货物由中小企业生产且使用该中小企业商号或者注册商标；</w:t>
            </w:r>
          </w:p>
          <w:p w14:paraId="0EDB8447">
            <w:pPr>
              <w:snapToGrid w:val="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②在工程采购项目中，工程由中小企业承建，即工程施工单位为中小企业；</w:t>
            </w:r>
          </w:p>
          <w:p w14:paraId="320811E3">
            <w:pPr>
              <w:snapToGrid w:val="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③在服务采购项目中，服务由中小企业承接，即提供服务的人员为中小企业依照《中华人民共和国劳动合同法》订立劳动合同的从业人员。</w:t>
            </w:r>
          </w:p>
          <w:p w14:paraId="3409245B">
            <w:pPr>
              <w:snapToGrid w:val="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在货物采购项目中，供应商提供的货物既有中小企业制造货物，也有大型企业制造货物的，不享受本办法规定的中小企业扶持政策。</w:t>
            </w:r>
          </w:p>
          <w:p w14:paraId="4C48AFB7">
            <w:pPr>
              <w:snapToGrid w:val="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以联合体形式参加政府采购活动，联合体各方均为中小企业的，联合体视同中小企业。其中，联合体各方均为小微企业的，联合体视同小微企业。</w:t>
            </w:r>
          </w:p>
          <w:p w14:paraId="6657A51D">
            <w:pPr>
              <w:snapToGrid w:val="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28D34C99">
            <w:pPr>
              <w:snapToGrid w:val="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rPr>
              <w:t>4）投标人符合《三部门联合发布关于促进残疾人就业政府采购政策的通知》（财库〔2017〕141号）文件要求，并提供《残疾人福利性单位声明函》的，则视同小型、微型企业。</w:t>
            </w:r>
          </w:p>
          <w:p w14:paraId="626C9B34">
            <w:pPr>
              <w:snapToGrid w:val="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本项目专门面向中小企业采购（参加投标供应商须出具《中小企业声明函》，未提供不认定为中小企业，此次投标无效）。</w:t>
            </w:r>
          </w:p>
        </w:tc>
      </w:tr>
    </w:tbl>
    <w:p w14:paraId="58EF4679">
      <w:pPr>
        <w:snapToGrid w:val="0"/>
        <w:spacing w:before="120" w:line="312" w:lineRule="auto"/>
        <w:jc w:val="center"/>
        <w:rPr>
          <w:rFonts w:ascii="Times New Roman" w:hAnsi="Times New Roman" w:eastAsia="宋体" w:cs="Times New Roman"/>
          <w:b/>
          <w:color w:val="auto"/>
          <w:highlight w:val="none"/>
        </w:rPr>
      </w:pPr>
      <w:r>
        <w:rPr>
          <w:rFonts w:hint="eastAsia" w:ascii="Times New Roman" w:hAnsi="Times New Roman" w:eastAsia="宋体" w:cs="Times New Roman"/>
          <w:b/>
          <w:color w:val="auto"/>
          <w:sz w:val="28"/>
          <w:highlight w:val="none"/>
        </w:rPr>
        <w:t>一、总  则</w:t>
      </w:r>
    </w:p>
    <w:p w14:paraId="775CC70C">
      <w:pPr>
        <w:snapToGrid w:val="0"/>
        <w:spacing w:before="120" w:line="360" w:lineRule="auto"/>
        <w:ind w:right="55" w:rightChars="26"/>
        <w:rPr>
          <w:rFonts w:ascii="Times New Roman" w:hAnsi="Times New Roman" w:eastAsia="宋体" w:cs="Times New Roman"/>
          <w:b/>
          <w:color w:val="auto"/>
          <w:highlight w:val="none"/>
        </w:rPr>
      </w:pPr>
    </w:p>
    <w:p w14:paraId="067DA13A">
      <w:pPr>
        <w:snapToGrid w:val="0"/>
        <w:spacing w:before="120" w:line="360" w:lineRule="auto"/>
        <w:ind w:right="55" w:rightChars="26"/>
        <w:rPr>
          <w:rFonts w:ascii="Times New Roman" w:hAnsi="Times New Roman" w:eastAsia="宋体" w:cs="Times New Roman"/>
          <w:b/>
          <w:color w:val="auto"/>
          <w:sz w:val="28"/>
          <w:highlight w:val="none"/>
        </w:rPr>
      </w:pPr>
      <w:r>
        <w:rPr>
          <w:rFonts w:hint="eastAsia" w:ascii="Times New Roman" w:hAnsi="Times New Roman" w:eastAsia="宋体" w:cs="Times New Roman"/>
          <w:b/>
          <w:color w:val="auto"/>
          <w:highlight w:val="none"/>
        </w:rPr>
        <w:t>（一）适用范围</w:t>
      </w:r>
    </w:p>
    <w:p w14:paraId="472CAF43">
      <w:pPr>
        <w:snapToGrid w:val="0"/>
        <w:spacing w:line="360" w:lineRule="auto"/>
        <w:ind w:right="55" w:rightChars="26" w:firstLine="420" w:firstLineChars="200"/>
        <w:jc w:val="left"/>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本招标文件适用于</w:t>
      </w:r>
      <w:r>
        <w:rPr>
          <w:rFonts w:hint="eastAsia" w:ascii="Times New Roman" w:hAnsi="Times New Roman" w:eastAsia="宋体" w:cs="Times New Roman"/>
          <w:bCs/>
          <w:color w:val="auto"/>
          <w:highlight w:val="none"/>
        </w:rPr>
        <w:t>新城千岛路以东、勾山及小干岛区域环境卫生及环卫设施设备保洁管理项目</w:t>
      </w:r>
      <w:r>
        <w:rPr>
          <w:rFonts w:hint="eastAsia" w:ascii="Times New Roman" w:hAnsi="Times New Roman" w:eastAsia="宋体" w:cs="Times New Roman"/>
          <w:color w:val="auto"/>
          <w:highlight w:val="none"/>
        </w:rPr>
        <w:t>的招标、投标、评标、定标、验收、合同履约、付款等行为（法律、法规另有规定的，从其规定）。</w:t>
      </w:r>
    </w:p>
    <w:p w14:paraId="565995BD">
      <w:pPr>
        <w:snapToGrid w:val="0"/>
        <w:spacing w:line="360" w:lineRule="auto"/>
        <w:ind w:right="55" w:rightChars="26"/>
        <w:jc w:val="left"/>
        <w:outlineLvl w:val="1"/>
        <w:rPr>
          <w:rFonts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rPr>
        <w:t>（二）定义</w:t>
      </w:r>
    </w:p>
    <w:p w14:paraId="2B587BD6">
      <w:pPr>
        <w:snapToGrid w:val="0"/>
        <w:spacing w:line="360" w:lineRule="auto"/>
        <w:ind w:right="55" w:rightChars="26" w:firstLine="420" w:firstLineChars="200"/>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t>1.</w:t>
      </w:r>
      <w:r>
        <w:rPr>
          <w:rFonts w:hint="eastAsia" w:ascii="Times New Roman" w:hAnsi="Times New Roman" w:eastAsia="宋体" w:cs="Times New Roman"/>
          <w:color w:val="auto"/>
          <w:highlight w:val="none"/>
        </w:rPr>
        <w:t>“采购人”系指</w:t>
      </w:r>
      <w:r>
        <w:rPr>
          <w:rFonts w:hint="eastAsia" w:ascii="Times New Roman" w:hAnsi="Times New Roman" w:eastAsia="宋体" w:cs="Times New Roman"/>
          <w:bCs/>
          <w:color w:val="auto"/>
          <w:highlight w:val="none"/>
        </w:rPr>
        <w:t>舟山市新城公用事业管理中心</w:t>
      </w:r>
      <w:r>
        <w:rPr>
          <w:rFonts w:hint="eastAsia" w:ascii="Times New Roman" w:hAnsi="Times New Roman" w:eastAsia="宋体" w:cs="Times New Roman"/>
          <w:color w:val="auto"/>
          <w:highlight w:val="none"/>
        </w:rPr>
        <w:t>。</w:t>
      </w:r>
    </w:p>
    <w:p w14:paraId="16C8ED81">
      <w:pPr>
        <w:spacing w:after="120"/>
        <w:ind w:firstLine="420" w:firstLineChars="200"/>
        <w:rPr>
          <w:rFonts w:ascii="Times New Roman" w:hAnsi="Calibri" w:eastAsia="宋体" w:cs="Times New Roman"/>
          <w:color w:val="auto"/>
          <w:kern w:val="0"/>
          <w:highlight w:val="none"/>
        </w:rPr>
      </w:pPr>
      <w:r>
        <w:rPr>
          <w:rFonts w:ascii="Times New Roman" w:hAnsi="Calibri" w:eastAsia="宋体" w:cs="Times New Roman"/>
          <w:color w:val="auto"/>
          <w:kern w:val="0"/>
          <w:highlight w:val="none"/>
        </w:rPr>
        <w:t>2.</w:t>
      </w:r>
      <w:r>
        <w:rPr>
          <w:rFonts w:hint="eastAsia" w:ascii="Times New Roman" w:hAnsi="Calibri" w:eastAsia="宋体" w:cs="Times New Roman"/>
          <w:color w:val="auto"/>
          <w:kern w:val="0"/>
          <w:highlight w:val="none"/>
        </w:rPr>
        <w:t>“采购代理机构”系指组织本次招标的深圳市国信招标有限公司。</w:t>
      </w:r>
    </w:p>
    <w:p w14:paraId="47F24BDF">
      <w:pPr>
        <w:snapToGrid w:val="0"/>
        <w:spacing w:line="360" w:lineRule="auto"/>
        <w:ind w:right="55" w:rightChars="26" w:firstLine="420" w:firstLineChars="200"/>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t>3.</w:t>
      </w:r>
      <w:r>
        <w:rPr>
          <w:rFonts w:hint="eastAsia" w:ascii="Times New Roman" w:hAnsi="Times New Roman" w:eastAsia="宋体" w:cs="Times New Roman"/>
          <w:color w:val="auto"/>
          <w:highlight w:val="none"/>
        </w:rPr>
        <w:t>“投标人”系指向采购人提交投标文件的单位或个人。</w:t>
      </w:r>
    </w:p>
    <w:p w14:paraId="35AE611B">
      <w:pPr>
        <w:snapToGrid w:val="0"/>
        <w:spacing w:line="360" w:lineRule="auto"/>
        <w:ind w:right="-506" w:rightChars="-241" w:firstLine="420" w:firstLineChars="200"/>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t>4.</w:t>
      </w:r>
      <w:r>
        <w:rPr>
          <w:rFonts w:hint="eastAsia" w:ascii="Times New Roman" w:hAnsi="Times New Roman" w:eastAsia="宋体" w:cs="Times New Roman"/>
          <w:color w:val="auto"/>
          <w:highlight w:val="none"/>
        </w:rPr>
        <w:t>“产品”系指投标人按招标文件规定，须向采购人提供的一切设备、保险、税金、备品备件、工具、手册及其它有关技术资料和材料。</w:t>
      </w:r>
    </w:p>
    <w:p w14:paraId="7670AA7C">
      <w:pPr>
        <w:snapToGrid w:val="0"/>
        <w:spacing w:line="360" w:lineRule="auto"/>
        <w:ind w:right="-506" w:rightChars="-241" w:firstLine="420" w:firstLineChars="200"/>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t>5.</w:t>
      </w:r>
      <w:r>
        <w:rPr>
          <w:rFonts w:hint="eastAsia" w:ascii="Times New Roman" w:hAnsi="Times New Roman" w:eastAsia="宋体" w:cs="Times New Roman"/>
          <w:color w:val="auto"/>
          <w:highlight w:val="none"/>
        </w:rPr>
        <w:t>“服务”系指招标文件规定投标人须承担的安装、调试、技术协助、校准、培训、技术指导以及其他类似的义务。</w:t>
      </w:r>
    </w:p>
    <w:p w14:paraId="02E51505">
      <w:pPr>
        <w:snapToGrid w:val="0"/>
        <w:spacing w:line="360" w:lineRule="auto"/>
        <w:ind w:firstLine="420" w:firstLineChars="200"/>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t>6.</w:t>
      </w:r>
      <w:r>
        <w:rPr>
          <w:rFonts w:hint="eastAsia" w:ascii="Times New Roman" w:hAnsi="Times New Roman" w:eastAsia="宋体" w:cs="Times New Roman"/>
          <w:color w:val="auto"/>
          <w:highlight w:val="none"/>
        </w:rPr>
        <w:t>“项目”系指投标人按招标文件规定向采购人提供的产品和服务。</w:t>
      </w:r>
    </w:p>
    <w:p w14:paraId="2F578072">
      <w:pPr>
        <w:snapToGrid w:val="0"/>
        <w:spacing w:line="360" w:lineRule="auto"/>
        <w:ind w:firstLine="420" w:firstLineChars="200"/>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t>7.</w:t>
      </w:r>
      <w:r>
        <w:rPr>
          <w:rFonts w:hint="eastAsia" w:ascii="Times New Roman" w:hAnsi="Times New Roman" w:eastAsia="宋体" w:cs="Times New Roman"/>
          <w:color w:val="auto"/>
          <w:highlight w:val="none"/>
        </w:rPr>
        <w:t>“书面形式”包括信函、传真、邮件、电子文档等。</w:t>
      </w:r>
    </w:p>
    <w:p w14:paraId="7BF0ECAC">
      <w:pPr>
        <w:snapToGrid w:val="0"/>
        <w:spacing w:line="360" w:lineRule="auto"/>
        <w:ind w:firstLine="420" w:firstLineChars="200"/>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t>8.</w:t>
      </w:r>
      <w:r>
        <w:rPr>
          <w:rFonts w:hint="eastAsia" w:ascii="Times New Roman" w:hAnsi="Times New Roman" w:eastAsia="宋体" w:cs="Times New Roman"/>
          <w:color w:val="auto"/>
          <w:highlight w:val="none"/>
        </w:rPr>
        <w:t>“★”系指实质性要求条款，未响应的作无效标处理。</w:t>
      </w:r>
    </w:p>
    <w:p w14:paraId="5E4FE4F2">
      <w:pPr>
        <w:snapToGrid w:val="0"/>
        <w:spacing w:line="312" w:lineRule="auto"/>
        <w:jc w:val="left"/>
        <w:outlineLvl w:val="1"/>
        <w:rPr>
          <w:rFonts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rPr>
        <w:t>（三）招标方式</w:t>
      </w:r>
    </w:p>
    <w:p w14:paraId="6884B2B2">
      <w:pPr>
        <w:snapToGrid w:val="0"/>
        <w:spacing w:line="312" w:lineRule="auto"/>
        <w:ind w:firstLine="420" w:firstLineChars="200"/>
        <w:jc w:val="left"/>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本次招标采用公开招标。</w:t>
      </w:r>
    </w:p>
    <w:p w14:paraId="1195AB8B">
      <w:pPr>
        <w:snapToGrid w:val="0"/>
        <w:spacing w:line="312" w:lineRule="auto"/>
        <w:ind w:right="55" w:rightChars="26"/>
        <w:jc w:val="left"/>
        <w:outlineLvl w:val="1"/>
        <w:rPr>
          <w:rFonts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rPr>
        <w:t>（四）投标费用</w:t>
      </w:r>
    </w:p>
    <w:p w14:paraId="34392730">
      <w:pPr>
        <w:snapToGrid w:val="0"/>
        <w:spacing w:line="312" w:lineRule="auto"/>
        <w:ind w:right="55" w:rightChars="26" w:firstLine="420" w:firstLineChars="200"/>
        <w:jc w:val="left"/>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不论投标结果如何，投标人均应自行承担所有与投标有关的全部费用（招标文件另有规定除外）。</w:t>
      </w:r>
    </w:p>
    <w:p w14:paraId="584045FD">
      <w:pPr>
        <w:snapToGrid w:val="0"/>
        <w:spacing w:line="360" w:lineRule="auto"/>
        <w:ind w:right="55" w:rightChars="26"/>
        <w:rPr>
          <w:rFonts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rPr>
        <w:t>（五）关于联合体</w:t>
      </w:r>
    </w:p>
    <w:p w14:paraId="61EF1365">
      <w:pPr>
        <w:snapToGrid w:val="0"/>
        <w:spacing w:line="360" w:lineRule="auto"/>
        <w:ind w:right="55" w:rightChars="26" w:firstLine="420" w:firstLineChars="200"/>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本项目不接受联合体投标</w:t>
      </w:r>
    </w:p>
    <w:p w14:paraId="6879E41F">
      <w:pPr>
        <w:snapToGrid w:val="0"/>
        <w:spacing w:line="360" w:lineRule="auto"/>
        <w:ind w:right="55" w:rightChars="26"/>
        <w:rPr>
          <w:rFonts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rPr>
        <w:t>（六）关于分包、转包</w:t>
      </w:r>
    </w:p>
    <w:p w14:paraId="77887D63">
      <w:pPr>
        <w:snapToGrid w:val="0"/>
        <w:spacing w:line="360" w:lineRule="auto"/>
        <w:ind w:right="55" w:rightChars="26"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本项目不允许分包；</w:t>
      </w:r>
    </w:p>
    <w:p w14:paraId="7A4DAFA8">
      <w:pPr>
        <w:spacing w:line="360" w:lineRule="auto"/>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本项目不允许转包。</w:t>
      </w:r>
    </w:p>
    <w:p w14:paraId="457ED604">
      <w:pPr>
        <w:snapToGrid w:val="0"/>
        <w:spacing w:line="360" w:lineRule="auto"/>
        <w:ind w:right="55" w:rightChars="26"/>
        <w:rPr>
          <w:rFonts w:ascii="Times New Roman" w:hAnsi="Times New Roman" w:eastAsia="宋体" w:cs="Times New Roman"/>
          <w:b/>
          <w:color w:val="auto"/>
          <w:spacing w:val="-4"/>
          <w:kern w:val="0"/>
          <w:sz w:val="24"/>
          <w:szCs w:val="24"/>
          <w:highlight w:val="none"/>
        </w:rPr>
      </w:pPr>
      <w:r>
        <w:rPr>
          <w:rFonts w:hint="eastAsia" w:ascii="Times New Roman" w:hAnsi="Times New Roman" w:eastAsia="宋体" w:cs="Times New Roman"/>
          <w:b/>
          <w:color w:val="auto"/>
          <w:spacing w:val="-4"/>
          <w:kern w:val="0"/>
          <w:sz w:val="24"/>
          <w:szCs w:val="24"/>
          <w:highlight w:val="none"/>
        </w:rPr>
        <w:t>（七）特别说明：</w:t>
      </w:r>
    </w:p>
    <w:p w14:paraId="5BD72352">
      <w:pPr>
        <w:snapToGrid w:val="0"/>
        <w:spacing w:line="360" w:lineRule="auto"/>
        <w:ind w:firstLine="420" w:firstLineChars="200"/>
        <w:jc w:val="left"/>
        <w:rPr>
          <w:rFonts w:hint="eastAsia" w:ascii="宋体" w:hAnsi="宋体" w:eastAsia="宋体" w:cs="Times New Roman"/>
          <w:color w:val="auto"/>
          <w:highlight w:val="none"/>
        </w:rPr>
      </w:pPr>
      <w:r>
        <w:rPr>
          <w:rFonts w:hint="eastAsia" w:ascii="Times New Roman" w:hAnsi="Times New Roman" w:eastAsia="宋体" w:cs="Times New Roman"/>
          <w:bCs/>
          <w:color w:val="auto"/>
          <w:highlight w:val="none"/>
        </w:rPr>
        <w:t>1.</w:t>
      </w:r>
      <w:r>
        <w:rPr>
          <w:rFonts w:hint="eastAsia" w:ascii="宋体" w:hAnsi="宋体" w:eastAsia="宋体" w:cs="Times New Roman"/>
          <w:color w:val="auto"/>
          <w:highlight w:val="none"/>
        </w:rPr>
        <w:t>单位负责人为同一人或者存在直接控股、管理关系的不同供应商，不得同时参加同一合同项下的投标。</w:t>
      </w:r>
    </w:p>
    <w:p w14:paraId="390C712D">
      <w:pPr>
        <w:snapToGrid w:val="0"/>
        <w:spacing w:line="360" w:lineRule="auto"/>
        <w:ind w:firstLine="420" w:firstLineChars="200"/>
        <w:jc w:val="left"/>
        <w:rPr>
          <w:rFonts w:hint="eastAsia" w:ascii="宋体" w:hAnsi="宋体" w:eastAsia="宋体" w:cs="Times New Roman"/>
          <w:color w:val="auto"/>
          <w:highlight w:val="none"/>
        </w:rPr>
      </w:pPr>
      <w:r>
        <w:rPr>
          <w:rFonts w:hint="eastAsia" w:ascii="宋体" w:hAnsi="宋体" w:eastAsia="宋体" w:cs="Times New Roman"/>
          <w:color w:val="auto"/>
          <w:highlight w:val="none"/>
        </w:rPr>
        <w:t>为项目提供整体设计、规范编制或者项目管理、监理、检测等服务的供应商，不得参加该项目的投标。</w:t>
      </w:r>
    </w:p>
    <w:p w14:paraId="14AD7080">
      <w:pPr>
        <w:snapToGrid w:val="0"/>
        <w:spacing w:line="360" w:lineRule="auto"/>
        <w:ind w:right="-86" w:rightChars="-41" w:firstLine="401" w:firstLineChars="199"/>
        <w:rPr>
          <w:rFonts w:ascii="Times New Roman" w:hAnsi="Times New Roman" w:eastAsia="宋体" w:cs="Times New Roman"/>
          <w:bCs/>
          <w:color w:val="auto"/>
          <w:spacing w:val="-4"/>
          <w:kern w:val="0"/>
          <w:highlight w:val="none"/>
        </w:rPr>
      </w:pPr>
      <w:r>
        <w:rPr>
          <w:rFonts w:hint="eastAsia" w:ascii="Times New Roman" w:hAnsi="Times New Roman" w:eastAsia="宋体" w:cs="Times New Roman"/>
          <w:bCs/>
          <w:color w:val="auto"/>
          <w:spacing w:val="-4"/>
          <w:kern w:val="0"/>
          <w:highlight w:val="none"/>
        </w:rPr>
        <w:t>2.投标人投标所使用的资格、信誉、荣誉、业绩与企业认证必须为本法人所拥有。投标人投标所使用的采购项目实施人员必须为本法人员工。</w:t>
      </w:r>
    </w:p>
    <w:p w14:paraId="6C58DC7B">
      <w:pPr>
        <w:snapToGrid w:val="0"/>
        <w:spacing w:line="360" w:lineRule="auto"/>
        <w:ind w:right="-86" w:rightChars="-41" w:firstLine="404" w:firstLineChars="200"/>
        <w:rPr>
          <w:rFonts w:ascii="Times New Roman" w:hAnsi="Times New Roman" w:eastAsia="宋体" w:cs="Times New Roman"/>
          <w:bCs/>
          <w:color w:val="auto"/>
          <w:spacing w:val="-4"/>
          <w:kern w:val="0"/>
          <w:highlight w:val="none"/>
        </w:rPr>
      </w:pPr>
      <w:r>
        <w:rPr>
          <w:rFonts w:hint="eastAsia" w:ascii="Times New Roman" w:hAnsi="Times New Roman" w:eastAsia="宋体" w:cs="Times New Roman"/>
          <w:bCs/>
          <w:color w:val="auto"/>
          <w:spacing w:val="-4"/>
          <w:kern w:val="0"/>
          <w:highlight w:val="none"/>
        </w:rPr>
        <w:t>3.投标人应仔细阅读招标文件的所有内容，按照招标文件的要求提交投标文件，并对所提供的全部资料的真实性承担法律责任。</w:t>
      </w:r>
    </w:p>
    <w:p w14:paraId="30A8D990">
      <w:pPr>
        <w:snapToGrid w:val="0"/>
        <w:spacing w:before="120" w:line="360" w:lineRule="auto"/>
        <w:outlineLvl w:val="1"/>
        <w:rPr>
          <w:rFonts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（八）质疑</w:t>
      </w:r>
    </w:p>
    <w:p w14:paraId="6CAB7646">
      <w:pPr>
        <w:widowControl/>
        <w:snapToGrid w:val="0"/>
        <w:spacing w:before="120" w:line="360" w:lineRule="auto"/>
        <w:ind w:firstLine="420" w:firstLineChars="200"/>
        <w:outlineLvl w:val="1"/>
        <w:rPr>
          <w:rFonts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投标人应当自知道或者应当知道其合法权益受到损害之日起七个工作日内提出质疑。</w:t>
      </w:r>
    </w:p>
    <w:p w14:paraId="693936E5">
      <w:pPr>
        <w:widowControl/>
        <w:snapToGrid w:val="0"/>
        <w:spacing w:before="120" w:line="360" w:lineRule="auto"/>
        <w:ind w:firstLine="420" w:firstLineChars="200"/>
        <w:outlineLvl w:val="1"/>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1.</w:t>
      </w:r>
      <w:r>
        <w:rPr>
          <w:rFonts w:hint="eastAsia" w:ascii="Times New Roman" w:hAnsi="Times New Roman" w:eastAsia="宋体" w:cs="Times New Roman"/>
          <w:bCs/>
          <w:color w:val="auto"/>
          <w:szCs w:val="21"/>
          <w:highlight w:val="none"/>
        </w:rPr>
        <w:t>对可以质疑的采购文件提出质疑的，为收到采购文件之日或者采购文件公告期限届满之日；</w:t>
      </w:r>
    </w:p>
    <w:p w14:paraId="05CA90DE">
      <w:pPr>
        <w:widowControl/>
        <w:snapToGrid w:val="0"/>
        <w:spacing w:before="120" w:line="360" w:lineRule="auto"/>
        <w:ind w:firstLine="420" w:firstLineChars="200"/>
        <w:outlineLvl w:val="1"/>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2.</w:t>
      </w:r>
      <w:r>
        <w:rPr>
          <w:rFonts w:hint="eastAsia" w:ascii="Times New Roman" w:hAnsi="Times New Roman" w:eastAsia="宋体" w:cs="Times New Roman"/>
          <w:bCs/>
          <w:color w:val="auto"/>
          <w:szCs w:val="21"/>
          <w:highlight w:val="none"/>
        </w:rPr>
        <w:t>对采购过程提出质疑的，为各采购程序环节结束之日；</w:t>
      </w:r>
    </w:p>
    <w:p w14:paraId="0C0F4FAF">
      <w:pPr>
        <w:widowControl/>
        <w:snapToGrid w:val="0"/>
        <w:spacing w:before="120" w:line="360" w:lineRule="auto"/>
        <w:ind w:firstLine="420" w:firstLineChars="200"/>
        <w:outlineLvl w:val="1"/>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3.</w:t>
      </w:r>
      <w:r>
        <w:rPr>
          <w:rFonts w:hint="eastAsia" w:ascii="Times New Roman" w:hAnsi="Times New Roman" w:eastAsia="宋体" w:cs="Times New Roman"/>
          <w:bCs/>
          <w:color w:val="auto"/>
          <w:szCs w:val="21"/>
          <w:highlight w:val="none"/>
        </w:rPr>
        <w:t>对中标或者成交结果提出质疑的，为中标或者成交结果公告期限届满之日。</w:t>
      </w:r>
    </w:p>
    <w:p w14:paraId="57D2ED2B">
      <w:pPr>
        <w:widowControl/>
        <w:snapToGrid w:val="0"/>
        <w:spacing w:before="120" w:line="360" w:lineRule="auto"/>
        <w:ind w:firstLine="420" w:firstLineChars="200"/>
        <w:outlineLvl w:val="1"/>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4.</w:t>
      </w:r>
      <w:r>
        <w:rPr>
          <w:rFonts w:hint="eastAsia" w:ascii="Times New Roman" w:hAnsi="Times New Roman" w:eastAsia="宋体" w:cs="Times New Roman"/>
          <w:bCs/>
          <w:color w:val="auto"/>
          <w:szCs w:val="21"/>
          <w:highlight w:val="none"/>
        </w:rPr>
        <w:t>质疑书应包括下列主要内容：</w:t>
      </w:r>
    </w:p>
    <w:p w14:paraId="41CDFE28">
      <w:pPr>
        <w:widowControl/>
        <w:snapToGrid w:val="0"/>
        <w:spacing w:before="120" w:line="360" w:lineRule="auto"/>
        <w:ind w:firstLine="420" w:firstLineChars="200"/>
        <w:outlineLvl w:val="1"/>
        <w:rPr>
          <w:rFonts w:ascii="Times New Roman" w:hAnsi="Times New Roman" w:eastAsia="宋体" w:cs="Times New Roman"/>
          <w:bCs/>
          <w:color w:val="auto"/>
          <w:szCs w:val="21"/>
          <w:highlight w:val="none"/>
        </w:rPr>
      </w:pPr>
      <w:r>
        <w:rPr>
          <w:rFonts w:hint="eastAsia" w:ascii="宋体" w:hAnsi="宋体" w:eastAsia="宋体" w:cs="宋体"/>
          <w:bCs/>
          <w:color w:val="auto"/>
          <w:szCs w:val="21"/>
          <w:highlight w:val="none"/>
        </w:rPr>
        <w:t>①</w:t>
      </w:r>
      <w:r>
        <w:rPr>
          <w:rFonts w:hint="eastAsia" w:ascii="Times New Roman" w:hAnsi="Times New Roman" w:eastAsia="宋体" w:cs="Times New Roman"/>
          <w:bCs/>
          <w:color w:val="auto"/>
          <w:szCs w:val="21"/>
          <w:highlight w:val="none"/>
        </w:rPr>
        <w:t>质疑人的名称、地址、邮政编码、联系人、联系电话，以及被质疑人名称及联系方式；</w:t>
      </w:r>
    </w:p>
    <w:p w14:paraId="365464ED">
      <w:pPr>
        <w:widowControl/>
        <w:snapToGrid w:val="0"/>
        <w:spacing w:before="120" w:line="360" w:lineRule="auto"/>
        <w:ind w:firstLine="420" w:firstLineChars="200"/>
        <w:outlineLvl w:val="1"/>
        <w:rPr>
          <w:rFonts w:ascii="Times New Roman" w:hAnsi="Times New Roman" w:eastAsia="宋体" w:cs="Times New Roman"/>
          <w:bCs/>
          <w:color w:val="auto"/>
          <w:szCs w:val="21"/>
          <w:highlight w:val="none"/>
        </w:rPr>
      </w:pPr>
      <w:r>
        <w:rPr>
          <w:rFonts w:hint="eastAsia" w:ascii="宋体" w:hAnsi="宋体" w:eastAsia="宋体" w:cs="宋体"/>
          <w:bCs/>
          <w:color w:val="auto"/>
          <w:szCs w:val="21"/>
          <w:highlight w:val="none"/>
        </w:rPr>
        <w:t>②</w:t>
      </w:r>
      <w:r>
        <w:rPr>
          <w:rFonts w:hint="eastAsia" w:ascii="Times New Roman" w:hAnsi="Times New Roman" w:eastAsia="宋体" w:cs="Times New Roman"/>
          <w:bCs/>
          <w:color w:val="auto"/>
          <w:szCs w:val="21"/>
          <w:highlight w:val="none"/>
        </w:rPr>
        <w:t>被质疑采购项目名称、编号及采购内容；</w:t>
      </w:r>
    </w:p>
    <w:p w14:paraId="4BA49D9C">
      <w:pPr>
        <w:widowControl/>
        <w:snapToGrid w:val="0"/>
        <w:spacing w:before="120" w:line="360" w:lineRule="auto"/>
        <w:ind w:firstLine="420" w:firstLineChars="200"/>
        <w:outlineLvl w:val="1"/>
        <w:rPr>
          <w:rFonts w:ascii="Times New Roman" w:hAnsi="Times New Roman" w:eastAsia="宋体" w:cs="Times New Roman"/>
          <w:bCs/>
          <w:color w:val="auto"/>
          <w:szCs w:val="21"/>
          <w:highlight w:val="none"/>
        </w:rPr>
      </w:pPr>
      <w:r>
        <w:rPr>
          <w:rFonts w:hint="eastAsia" w:ascii="宋体" w:hAnsi="宋体" w:eastAsia="宋体" w:cs="宋体"/>
          <w:bCs/>
          <w:color w:val="auto"/>
          <w:szCs w:val="21"/>
          <w:highlight w:val="none"/>
        </w:rPr>
        <w:t>③</w:t>
      </w:r>
      <w:r>
        <w:rPr>
          <w:rFonts w:hint="eastAsia" w:ascii="Times New Roman" w:hAnsi="Times New Roman" w:eastAsia="宋体" w:cs="Times New Roman"/>
          <w:bCs/>
          <w:color w:val="auto"/>
          <w:szCs w:val="21"/>
          <w:highlight w:val="none"/>
        </w:rPr>
        <w:t>具体的质疑事项及事实依据；</w:t>
      </w:r>
    </w:p>
    <w:p w14:paraId="3DCA245B">
      <w:pPr>
        <w:widowControl/>
        <w:snapToGrid w:val="0"/>
        <w:spacing w:before="120" w:line="360" w:lineRule="auto"/>
        <w:ind w:firstLine="420" w:firstLineChars="200"/>
        <w:outlineLvl w:val="1"/>
        <w:rPr>
          <w:rFonts w:ascii="Times New Roman" w:hAnsi="Times New Roman" w:eastAsia="宋体" w:cs="Times New Roman"/>
          <w:bCs/>
          <w:color w:val="auto"/>
          <w:szCs w:val="21"/>
          <w:highlight w:val="none"/>
        </w:rPr>
      </w:pPr>
      <w:r>
        <w:rPr>
          <w:rFonts w:hint="eastAsia" w:ascii="宋体" w:hAnsi="宋体" w:eastAsia="宋体" w:cs="宋体"/>
          <w:bCs/>
          <w:color w:val="auto"/>
          <w:szCs w:val="21"/>
          <w:highlight w:val="none"/>
        </w:rPr>
        <w:t>④</w:t>
      </w:r>
      <w:r>
        <w:rPr>
          <w:rFonts w:hint="eastAsia" w:ascii="Times New Roman" w:hAnsi="Times New Roman" w:eastAsia="宋体" w:cs="Times New Roman"/>
          <w:bCs/>
          <w:color w:val="auto"/>
          <w:szCs w:val="21"/>
          <w:highlight w:val="none"/>
        </w:rPr>
        <w:t>认为自己合法权益受到损害或可能受到损害的相关证据材料；</w:t>
      </w:r>
    </w:p>
    <w:p w14:paraId="417DF04B">
      <w:pPr>
        <w:widowControl/>
        <w:snapToGrid w:val="0"/>
        <w:spacing w:before="120" w:line="360" w:lineRule="auto"/>
        <w:ind w:firstLine="420" w:firstLineChars="200"/>
        <w:outlineLvl w:val="1"/>
        <w:rPr>
          <w:rFonts w:ascii="Times New Roman" w:hAnsi="Times New Roman" w:eastAsia="宋体" w:cs="Times New Roman"/>
          <w:bCs/>
          <w:color w:val="auto"/>
          <w:szCs w:val="21"/>
          <w:highlight w:val="none"/>
        </w:rPr>
      </w:pPr>
      <w:r>
        <w:rPr>
          <w:rFonts w:hint="eastAsia" w:ascii="宋体" w:hAnsi="宋体" w:eastAsia="宋体" w:cs="宋体"/>
          <w:bCs/>
          <w:color w:val="auto"/>
          <w:szCs w:val="21"/>
          <w:highlight w:val="none"/>
        </w:rPr>
        <w:t>⑤</w:t>
      </w:r>
      <w:r>
        <w:rPr>
          <w:rFonts w:hint="eastAsia" w:ascii="Times New Roman" w:hAnsi="Times New Roman" w:eastAsia="宋体" w:cs="Times New Roman"/>
          <w:bCs/>
          <w:color w:val="auto"/>
          <w:szCs w:val="21"/>
          <w:highlight w:val="none"/>
        </w:rPr>
        <w:t>提出质疑的日期。</w:t>
      </w:r>
    </w:p>
    <w:p w14:paraId="1F11825C">
      <w:pPr>
        <w:widowControl/>
        <w:snapToGrid w:val="0"/>
        <w:spacing w:before="120" w:line="360" w:lineRule="auto"/>
        <w:ind w:firstLine="420" w:firstLineChars="200"/>
        <w:outlineLvl w:val="1"/>
        <w:rPr>
          <w:rFonts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rPr>
        <w:t>供应商为自然人的，应当由本人签字：供应商为法人或者其他组织的，应当由法定代表人、主要负责人，或者其授权代表签字或者盖章，并加盖公章。</w:t>
      </w:r>
    </w:p>
    <w:p w14:paraId="683D84AF">
      <w:pPr>
        <w:widowControl/>
        <w:snapToGrid w:val="0"/>
        <w:spacing w:before="120" w:line="360" w:lineRule="auto"/>
        <w:ind w:firstLine="420" w:firstLineChars="200"/>
        <w:outlineLvl w:val="1"/>
        <w:rPr>
          <w:rFonts w:ascii="Times New Roman" w:hAnsi="Times New Roman" w:eastAsia="宋体" w:cs="Times New Roman"/>
          <w:b/>
          <w:color w:val="auto"/>
          <w:sz w:val="28"/>
          <w:highlight w:val="none"/>
        </w:rPr>
      </w:pPr>
      <w:r>
        <w:rPr>
          <w:rFonts w:hint="eastAsia" w:ascii="Times New Roman" w:hAnsi="Times New Roman" w:eastAsia="宋体" w:cs="Times New Roman"/>
          <w:bCs/>
          <w:color w:val="auto"/>
          <w:szCs w:val="21"/>
          <w:highlight w:val="none"/>
        </w:rPr>
        <w:t>供应商在法定质疑期内一次性提出针对同一采购程序环节的质疑。</w:t>
      </w:r>
    </w:p>
    <w:p w14:paraId="271FF427">
      <w:pPr>
        <w:snapToGrid w:val="0"/>
        <w:spacing w:before="120" w:line="312" w:lineRule="auto"/>
        <w:ind w:right="-506" w:rightChars="-241" w:firstLine="3795" w:firstLineChars="1350"/>
        <w:rPr>
          <w:rFonts w:ascii="Times New Roman" w:hAnsi="Times New Roman" w:eastAsia="宋体" w:cs="Times New Roman"/>
          <w:b/>
          <w:color w:val="auto"/>
          <w:sz w:val="28"/>
          <w:highlight w:val="none"/>
        </w:rPr>
      </w:pPr>
      <w:r>
        <w:rPr>
          <w:rFonts w:hint="eastAsia" w:ascii="Times New Roman" w:hAnsi="Times New Roman" w:eastAsia="宋体" w:cs="Times New Roman"/>
          <w:b/>
          <w:color w:val="auto"/>
          <w:sz w:val="28"/>
          <w:highlight w:val="none"/>
        </w:rPr>
        <w:t>二、招标文件</w:t>
      </w:r>
    </w:p>
    <w:p w14:paraId="3F4C8FB1">
      <w:pPr>
        <w:snapToGrid w:val="0"/>
        <w:spacing w:line="360" w:lineRule="auto"/>
        <w:ind w:right="-341"/>
        <w:jc w:val="left"/>
        <w:rPr>
          <w:rFonts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rPr>
        <w:t>（一）招标文件的构成。本招标文件由以下部份组成：</w:t>
      </w:r>
    </w:p>
    <w:p w14:paraId="3049045A">
      <w:pPr>
        <w:snapToGrid w:val="0"/>
        <w:spacing w:line="360" w:lineRule="auto"/>
        <w:ind w:right="-341" w:firstLine="420" w:firstLineChars="200"/>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t>1.</w:t>
      </w:r>
      <w:r>
        <w:rPr>
          <w:rFonts w:hint="eastAsia" w:ascii="Times New Roman" w:hAnsi="Times New Roman" w:eastAsia="宋体" w:cs="Times New Roman"/>
          <w:color w:val="auto"/>
          <w:highlight w:val="none"/>
        </w:rPr>
        <w:t>招标公告</w:t>
      </w:r>
    </w:p>
    <w:p w14:paraId="3C1A7357">
      <w:pPr>
        <w:snapToGrid w:val="0"/>
        <w:spacing w:line="360" w:lineRule="auto"/>
        <w:ind w:right="-341" w:firstLine="420" w:firstLineChars="200"/>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t>2.</w:t>
      </w:r>
      <w:r>
        <w:rPr>
          <w:rFonts w:hint="eastAsia" w:ascii="Times New Roman" w:hAnsi="Times New Roman" w:eastAsia="宋体" w:cs="Times New Roman"/>
          <w:color w:val="auto"/>
          <w:highlight w:val="none"/>
        </w:rPr>
        <w:t>招标需求</w:t>
      </w:r>
    </w:p>
    <w:p w14:paraId="07DEFDE7">
      <w:pPr>
        <w:snapToGrid w:val="0"/>
        <w:spacing w:line="360" w:lineRule="auto"/>
        <w:ind w:right="-341" w:firstLine="420" w:firstLineChars="200"/>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t>3.</w:t>
      </w:r>
      <w:r>
        <w:rPr>
          <w:rFonts w:hint="eastAsia" w:ascii="Times New Roman" w:hAnsi="Times New Roman" w:eastAsia="宋体" w:cs="Times New Roman"/>
          <w:color w:val="auto"/>
          <w:highlight w:val="none"/>
        </w:rPr>
        <w:t>投标人须知</w:t>
      </w:r>
    </w:p>
    <w:p w14:paraId="13263AB5">
      <w:pPr>
        <w:snapToGrid w:val="0"/>
        <w:spacing w:line="360" w:lineRule="auto"/>
        <w:ind w:right="-341" w:firstLine="420" w:firstLineChars="200"/>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t>4.</w:t>
      </w:r>
      <w:r>
        <w:rPr>
          <w:rFonts w:hint="eastAsia" w:ascii="Times New Roman" w:hAnsi="Times New Roman" w:eastAsia="宋体" w:cs="Times New Roman"/>
          <w:color w:val="auto"/>
          <w:highlight w:val="none"/>
        </w:rPr>
        <w:t>评标办法及标准</w:t>
      </w:r>
    </w:p>
    <w:p w14:paraId="3C23E287">
      <w:pPr>
        <w:snapToGrid w:val="0"/>
        <w:spacing w:line="360" w:lineRule="auto"/>
        <w:ind w:right="-341" w:firstLine="420" w:firstLineChars="200"/>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t>5.</w:t>
      </w:r>
      <w:r>
        <w:rPr>
          <w:rFonts w:hint="eastAsia" w:ascii="Times New Roman" w:hAnsi="Times New Roman" w:eastAsia="宋体" w:cs="Times New Roman"/>
          <w:color w:val="auto"/>
          <w:highlight w:val="none"/>
        </w:rPr>
        <w:t>合同主要条款</w:t>
      </w:r>
    </w:p>
    <w:p w14:paraId="35416F71">
      <w:pPr>
        <w:snapToGrid w:val="0"/>
        <w:spacing w:line="360" w:lineRule="auto"/>
        <w:ind w:right="-341" w:firstLine="420" w:firstLineChars="200"/>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t>6.</w:t>
      </w:r>
      <w:r>
        <w:rPr>
          <w:rFonts w:hint="eastAsia" w:ascii="Times New Roman" w:hAnsi="Times New Roman" w:eastAsia="宋体" w:cs="Times New Roman"/>
          <w:color w:val="auto"/>
          <w:highlight w:val="none"/>
        </w:rPr>
        <w:t>投标文件格式</w:t>
      </w:r>
    </w:p>
    <w:p w14:paraId="3530F11C">
      <w:pPr>
        <w:snapToGrid w:val="0"/>
        <w:spacing w:line="360" w:lineRule="auto"/>
        <w:ind w:right="-341" w:firstLine="420" w:firstLineChars="200"/>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t>7.</w:t>
      </w:r>
      <w:r>
        <w:rPr>
          <w:rFonts w:hint="eastAsia" w:ascii="Times New Roman" w:hAnsi="Times New Roman" w:eastAsia="宋体" w:cs="Times New Roman"/>
          <w:color w:val="auto"/>
          <w:highlight w:val="none"/>
        </w:rPr>
        <w:t>本项目招标文件的澄清、答复、修改、补充的内容</w:t>
      </w:r>
    </w:p>
    <w:p w14:paraId="325D9289">
      <w:pPr>
        <w:snapToGrid w:val="0"/>
        <w:spacing w:line="360" w:lineRule="auto"/>
        <w:ind w:right="-87"/>
        <w:jc w:val="left"/>
        <w:rPr>
          <w:rFonts w:ascii="Times New Roman" w:hAnsi="Times New Roman" w:eastAsia="宋体" w:cs="Times New Roman"/>
          <w:b/>
          <w:color w:val="auto"/>
          <w:sz w:val="24"/>
          <w:highlight w:val="none"/>
        </w:rPr>
      </w:pPr>
    </w:p>
    <w:p w14:paraId="2ECCB103">
      <w:pPr>
        <w:snapToGrid w:val="0"/>
        <w:spacing w:line="360" w:lineRule="auto"/>
        <w:ind w:right="-87"/>
        <w:jc w:val="left"/>
        <w:rPr>
          <w:rFonts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rPr>
        <w:t>（二）投标人的风险</w:t>
      </w:r>
    </w:p>
    <w:p w14:paraId="54F86F12">
      <w:pPr>
        <w:spacing w:line="360" w:lineRule="auto"/>
        <w:ind w:right="-506" w:rightChars="-241" w:firstLine="42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投标人没有按照招标文件要求提供全部资料，或者投标人没有对招标文件在各方面作出实质性响应是投标人的风险，并可能导致其投标被拒绝。</w:t>
      </w:r>
    </w:p>
    <w:p w14:paraId="13645699">
      <w:pPr>
        <w:tabs>
          <w:tab w:val="left" w:pos="454"/>
          <w:tab w:val="left" w:pos="720"/>
          <w:tab w:val="left" w:pos="900"/>
        </w:tabs>
        <w:snapToGrid w:val="0"/>
        <w:spacing w:line="360" w:lineRule="auto"/>
        <w:ind w:left="247" w:right="-87" w:hanging="247" w:hangingChars="117"/>
        <w:rPr>
          <w:rFonts w:ascii="Times New Roman" w:hAnsi="Times New Roman" w:eastAsia="宋体" w:cs="Times New Roman"/>
          <w:b/>
          <w:color w:val="auto"/>
          <w:highlight w:val="none"/>
        </w:rPr>
      </w:pPr>
      <w:r>
        <w:rPr>
          <w:rFonts w:hint="eastAsia" w:ascii="Times New Roman" w:hAnsi="Times New Roman" w:eastAsia="宋体" w:cs="Times New Roman"/>
          <w:b/>
          <w:color w:val="auto"/>
          <w:highlight w:val="none"/>
        </w:rPr>
        <w:t>（三）招标文件的澄清与修改</w:t>
      </w:r>
    </w:p>
    <w:p w14:paraId="53D61DF0">
      <w:pPr>
        <w:widowControl/>
        <w:snapToGrid w:val="0"/>
        <w:spacing w:before="120" w:line="360" w:lineRule="auto"/>
        <w:ind w:right="-87" w:firstLine="415" w:firstLineChars="198"/>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rPr>
        <w:t>投标人应认真阅读本招标文件，发现其中有误或有要求不合理的，投标人必须在投标截止前</w:t>
      </w:r>
      <w:r>
        <w:rPr>
          <w:rFonts w:ascii="Times New Roman" w:hAnsi="Times New Roman" w:eastAsia="宋体" w:cs="Times New Roman"/>
          <w:color w:val="auto"/>
          <w:szCs w:val="21"/>
          <w:highlight w:val="none"/>
        </w:rPr>
        <w:t>15</w:t>
      </w:r>
      <w:r>
        <w:rPr>
          <w:rFonts w:hint="eastAsia" w:ascii="Times New Roman" w:hAnsi="Times New Roman" w:eastAsia="宋体" w:cs="Times New Roman"/>
          <w:color w:val="auto"/>
          <w:szCs w:val="21"/>
          <w:highlight w:val="none"/>
        </w:rPr>
        <w:t>天内以书面形式要求招标采购单位澄清。招标采购单位对已发出的招标文件进行必要澄清、答复、修改或补充的，应当在招标文件要求提交投标文件截止时间</w:t>
      </w:r>
      <w:r>
        <w:rPr>
          <w:rFonts w:ascii="Times New Roman" w:hAnsi="Times New Roman" w:eastAsia="宋体" w:cs="Times New Roman"/>
          <w:color w:val="auto"/>
          <w:szCs w:val="21"/>
          <w:highlight w:val="none"/>
        </w:rPr>
        <w:t>15</w:t>
      </w:r>
      <w:r>
        <w:rPr>
          <w:rFonts w:hint="eastAsia" w:ascii="Times New Roman" w:hAnsi="Times New Roman" w:eastAsia="宋体" w:cs="Times New Roman"/>
          <w:color w:val="auto"/>
          <w:szCs w:val="21"/>
          <w:highlight w:val="none"/>
        </w:rPr>
        <w:t>天前，在财政部门指定的政府采购信息发布媒体上发布更正公告，并通知所有已报名的潜在投标人。</w:t>
      </w:r>
    </w:p>
    <w:p w14:paraId="7037B698">
      <w:pPr>
        <w:widowControl/>
        <w:snapToGrid w:val="0"/>
        <w:spacing w:before="120" w:line="360" w:lineRule="auto"/>
        <w:ind w:right="-87" w:firstLine="415" w:firstLineChars="198"/>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rPr>
        <w:t>招标文件的答复、澄清、修改、补充通知实质上改变采购需求相关内容，且自招标文件的答复、澄清、修改、补充通知发出之日起至投标截止时间止不足</w:t>
      </w:r>
      <w:r>
        <w:rPr>
          <w:rFonts w:ascii="Times New Roman" w:hAnsi="Times New Roman" w:eastAsia="宋体" w:cs="Times New Roman"/>
          <w:color w:val="auto"/>
          <w:szCs w:val="21"/>
          <w:highlight w:val="none"/>
        </w:rPr>
        <w:t>15</w:t>
      </w:r>
      <w:r>
        <w:rPr>
          <w:rFonts w:hint="eastAsia" w:ascii="Times New Roman" w:hAnsi="Times New Roman" w:eastAsia="宋体" w:cs="Times New Roman"/>
          <w:color w:val="auto"/>
          <w:szCs w:val="21"/>
          <w:highlight w:val="none"/>
        </w:rPr>
        <w:t>天的，招标采购单位可视情况推迟投标截止时间和开标时间，按规定在财政部门指定的政府采购信息发布媒体上发布变更公告，并将变更后的时间通知所有已报名的潜在投标人。</w:t>
      </w:r>
    </w:p>
    <w:p w14:paraId="0474BBC2">
      <w:pPr>
        <w:widowControl/>
        <w:snapToGrid w:val="0"/>
        <w:spacing w:before="120" w:line="360" w:lineRule="auto"/>
        <w:ind w:right="-87" w:firstLine="415" w:firstLineChars="198"/>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w:t>
      </w:r>
      <w:r>
        <w:rPr>
          <w:rFonts w:hint="eastAsia" w:ascii="Times New Roman" w:hAnsi="Times New Roman" w:eastAsia="宋体" w:cs="Times New Roman"/>
          <w:color w:val="auto"/>
          <w:szCs w:val="21"/>
          <w:highlight w:val="none"/>
        </w:rPr>
        <w:t>招标文件澄清、答复、修改、补充的内容为采购文件的组成部分。当招标文件与招标文件的答复、澄清、修改、补充通知就同一内容的表述不一致时，以最后发出的变更公告为准。</w:t>
      </w:r>
    </w:p>
    <w:p w14:paraId="4ECADED3">
      <w:pPr>
        <w:snapToGrid w:val="0"/>
        <w:spacing w:before="120" w:line="360" w:lineRule="auto"/>
        <w:ind w:right="-506" w:rightChars="-241"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w:t>
      </w:r>
      <w:r>
        <w:rPr>
          <w:rFonts w:hint="eastAsia" w:ascii="Times New Roman" w:hAnsi="Times New Roman" w:eastAsia="宋体" w:cs="Times New Roman"/>
          <w:color w:val="auto"/>
          <w:szCs w:val="21"/>
          <w:highlight w:val="none"/>
        </w:rPr>
        <w:t>招标文件的澄清、答复、修改或补充都应该通过本代理机构以法定形式发布。</w:t>
      </w:r>
    </w:p>
    <w:p w14:paraId="19A73A01">
      <w:pPr>
        <w:snapToGrid w:val="0"/>
        <w:spacing w:before="120" w:line="360" w:lineRule="auto"/>
        <w:ind w:right="-87" w:firstLine="2923" w:firstLineChars="1040"/>
        <w:outlineLvl w:val="1"/>
        <w:rPr>
          <w:rFonts w:ascii="Times New Roman" w:hAnsi="Times New Roman" w:eastAsia="宋体" w:cs="Times New Roman"/>
          <w:b/>
          <w:color w:val="auto"/>
          <w:sz w:val="28"/>
          <w:highlight w:val="none"/>
        </w:rPr>
      </w:pPr>
      <w:r>
        <w:rPr>
          <w:rFonts w:hint="eastAsia" w:ascii="Times New Roman" w:hAnsi="Times New Roman" w:eastAsia="宋体" w:cs="Times New Roman"/>
          <w:b/>
          <w:color w:val="auto"/>
          <w:sz w:val="28"/>
          <w:highlight w:val="none"/>
        </w:rPr>
        <w:t>三、投标文件的编制</w:t>
      </w:r>
    </w:p>
    <w:p w14:paraId="217262CF">
      <w:pPr>
        <w:spacing w:line="336" w:lineRule="auto"/>
        <w:ind w:firstLine="211" w:firstLineChars="100"/>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（一）投标文件的签署</w:t>
      </w:r>
    </w:p>
    <w:p w14:paraId="0C9B029B">
      <w:pPr>
        <w:spacing w:line="336" w:lineRule="auto"/>
        <w:ind w:firstLine="420"/>
        <w:rPr>
          <w:rFonts w:ascii="Times New Roman" w:hAnsi="Times New Roman" w:eastAsia="宋体" w:cs="Times New Roman"/>
          <w:b/>
          <w:bCs/>
          <w:color w:val="auto"/>
          <w:szCs w:val="21"/>
          <w:highlight w:val="none"/>
        </w:rPr>
      </w:pPr>
      <w:r>
        <w:rPr>
          <w:rFonts w:ascii="Times New Roman" w:hAnsi="Times New Roman" w:eastAsia="宋体" w:cs="Times New Roman"/>
          <w:b/>
          <w:bCs/>
          <w:color w:val="auto"/>
          <w:szCs w:val="21"/>
          <w:highlight w:val="none"/>
        </w:rPr>
        <w:t>1.</w:t>
      </w:r>
      <w:r>
        <w:rPr>
          <w:rFonts w:hint="eastAsia" w:ascii="Times New Roman" w:hAnsi="Times New Roman" w:eastAsia="宋体" w:cs="Times New Roman"/>
          <w:b/>
          <w:bCs/>
          <w:color w:val="auto"/>
          <w:szCs w:val="21"/>
          <w:highlight w:val="none"/>
        </w:rPr>
        <w:t>电子投标文件部分：</w:t>
      </w:r>
    </w:p>
    <w:p w14:paraId="1F5119FD">
      <w:pPr>
        <w:spacing w:line="336" w:lineRule="auto"/>
        <w:ind w:firstLine="42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投标人应根据</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政采云供应商项目采购</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电子交易操作指南</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及本招标文件规定的格式和顺序编制电子投标文件并进行关联定位。</w:t>
      </w:r>
    </w:p>
    <w:p w14:paraId="53C467A7">
      <w:pPr>
        <w:spacing w:line="336" w:lineRule="auto"/>
        <w:ind w:firstLine="420"/>
        <w:rPr>
          <w:rFonts w:ascii="Times New Roman" w:hAnsi="Times New Roman" w:eastAsia="宋体" w:cs="Times New Roman"/>
          <w:b/>
          <w:bCs/>
          <w:color w:val="auto"/>
          <w:szCs w:val="21"/>
          <w:highlight w:val="none"/>
        </w:rPr>
      </w:pPr>
      <w:r>
        <w:rPr>
          <w:rFonts w:ascii="Times New Roman" w:hAnsi="Times New Roman" w:eastAsia="宋体" w:cs="Times New Roman"/>
          <w:b/>
          <w:bCs/>
          <w:color w:val="auto"/>
          <w:szCs w:val="21"/>
          <w:highlight w:val="none"/>
        </w:rPr>
        <w:t>2.</w:t>
      </w:r>
      <w:r>
        <w:rPr>
          <w:rFonts w:hint="eastAsia" w:ascii="Times New Roman" w:hAnsi="Times New Roman" w:eastAsia="宋体" w:cs="Times New Roman"/>
          <w:b/>
          <w:bCs/>
          <w:color w:val="auto"/>
          <w:szCs w:val="21"/>
          <w:highlight w:val="none"/>
        </w:rPr>
        <w:t>备份投标文件部分：</w:t>
      </w:r>
    </w:p>
    <w:p w14:paraId="310FFB0A">
      <w:pPr>
        <w:snapToGrid w:val="0"/>
        <w:spacing w:before="120" w:beforeLines="50" w:after="120" w:afterLines="50" w:line="336" w:lineRule="auto"/>
        <w:ind w:right="-506" w:rightChars="-241"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2.1</w:t>
      </w:r>
      <w:r>
        <w:rPr>
          <w:rFonts w:hint="eastAsia" w:ascii="Times New Roman" w:hAnsi="Times New Roman" w:eastAsia="宋体" w:cs="Times New Roman"/>
          <w:color w:val="auto"/>
          <w:szCs w:val="21"/>
          <w:highlight w:val="none"/>
        </w:rPr>
        <w:t>以介质存储的数据电文形式的备份投标文件，按政采云平台项目采购</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电子交易操作指南中上传的电子投标文件格式，以</w:t>
      </w:r>
      <w:r>
        <w:rPr>
          <w:rFonts w:ascii="Times New Roman" w:hAnsi="Times New Roman" w:eastAsia="宋体" w:cs="Times New Roman"/>
          <w:color w:val="auto"/>
          <w:szCs w:val="21"/>
          <w:highlight w:val="none"/>
        </w:rPr>
        <w:t>U</w:t>
      </w:r>
      <w:r>
        <w:rPr>
          <w:rFonts w:hint="eastAsia" w:ascii="Times New Roman" w:hAnsi="Times New Roman" w:eastAsia="宋体" w:cs="Times New Roman"/>
          <w:color w:val="auto"/>
          <w:szCs w:val="21"/>
          <w:highlight w:val="none"/>
        </w:rPr>
        <w:t>盘形式存储提供。数量为</w:t>
      </w: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rPr>
        <w:t>份。</w:t>
      </w:r>
    </w:p>
    <w:p w14:paraId="7CC68CB7">
      <w:pPr>
        <w:tabs>
          <w:tab w:val="left" w:pos="0"/>
        </w:tabs>
        <w:spacing w:line="360" w:lineRule="auto"/>
        <w:ind w:firstLine="211" w:firstLineChars="100"/>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（二）投标文件的组成</w:t>
      </w:r>
    </w:p>
    <w:p w14:paraId="768523FD">
      <w:pPr>
        <w:spacing w:line="360" w:lineRule="auto"/>
        <w:ind w:firstLine="413" w:firstLineChars="196"/>
        <w:rPr>
          <w:rFonts w:ascii="宋体" w:hAnsi="Courier New" w:eastAsia="宋体" w:cs="Times New Roman"/>
          <w:color w:val="auto"/>
          <w:szCs w:val="21"/>
          <w:highlight w:val="none"/>
        </w:rPr>
      </w:pPr>
      <w:r>
        <w:rPr>
          <w:rFonts w:hint="eastAsia" w:ascii="宋体" w:hAnsi="Courier New" w:eastAsia="宋体" w:cs="Times New Roman"/>
          <w:b/>
          <w:bCs/>
          <w:color w:val="auto"/>
          <w:szCs w:val="21"/>
          <w:highlight w:val="none"/>
        </w:rPr>
        <w:t>投标文件由资格响应文件、商务及技术响应文件、报价文件三部份组成。</w:t>
      </w:r>
      <w:r>
        <w:rPr>
          <w:rFonts w:hint="eastAsia" w:ascii="宋体" w:hAnsi="Courier New" w:eastAsia="宋体" w:cs="Times New Roman"/>
          <w:color w:val="auto"/>
          <w:szCs w:val="21"/>
          <w:highlight w:val="none"/>
        </w:rPr>
        <w:t>电子投标文件中所须加盖公章部分均采用CA签章。（以下投标文件的部分格式详见本招标文件第六章，如本招标文件没有提供相应的格式，投标人可自行制表填写）</w:t>
      </w:r>
    </w:p>
    <w:p w14:paraId="11D82F74">
      <w:pPr>
        <w:spacing w:line="360" w:lineRule="auto"/>
        <w:ind w:firstLine="422" w:firstLineChars="200"/>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资格响应部分：</w:t>
      </w:r>
    </w:p>
    <w:p w14:paraId="1519CCFD">
      <w:pPr>
        <w:spacing w:line="360" w:lineRule="auto"/>
        <w:ind w:left="417"/>
        <w:rPr>
          <w:rFonts w:ascii="Times New Roman" w:hAnsi="Times New Roman" w:eastAsia="宋体" w:cs="Times New Roman"/>
          <w:color w:val="auto"/>
          <w:highlight w:val="none"/>
        </w:rPr>
      </w:pPr>
      <w:r>
        <w:rPr>
          <w:rFonts w:ascii="Times New Roman" w:hAnsi="Times New Roman" w:eastAsia="宋体" w:cs="Times New Roman"/>
          <w:color w:val="auto"/>
          <w:highlight w:val="none"/>
        </w:rPr>
        <w:t>1.</w:t>
      </w:r>
      <w:r>
        <w:rPr>
          <w:rFonts w:hint="eastAsia" w:ascii="Times New Roman" w:hAnsi="Times New Roman" w:eastAsia="宋体" w:cs="Times New Roman"/>
          <w:color w:val="auto"/>
          <w:highlight w:val="none"/>
        </w:rPr>
        <w:t>基本资格条件：符合《中华人民共和国政府采购法》第二十二条的规定；</w:t>
      </w:r>
    </w:p>
    <w:p w14:paraId="07DCC1E0">
      <w:pPr>
        <w:spacing w:line="360" w:lineRule="auto"/>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（以下</w:t>
      </w:r>
      <w:r>
        <w:rPr>
          <w:rFonts w:ascii="Times New Roman" w:hAnsi="Times New Roman" w:eastAsia="宋体" w:cs="Times New Roman"/>
          <w:color w:val="auto"/>
          <w:highlight w:val="none"/>
        </w:rPr>
        <w:t>A~E</w:t>
      </w:r>
      <w:r>
        <w:rPr>
          <w:rFonts w:hint="eastAsia" w:ascii="Times New Roman" w:hAnsi="Times New Roman" w:eastAsia="宋体" w:cs="Times New Roman"/>
          <w:color w:val="auto"/>
          <w:highlight w:val="none"/>
        </w:rPr>
        <w:t>项是第二十二条要求及对应证明材料的具体内容，各投标人须在投标文件中出具对应证明材料）</w:t>
      </w:r>
    </w:p>
    <w:p w14:paraId="054370B9">
      <w:pPr>
        <w:spacing w:line="360" w:lineRule="auto"/>
        <w:ind w:firstLine="482" w:firstLineChars="200"/>
        <w:rPr>
          <w:rFonts w:ascii="Times New Roman" w:hAnsi="Times New Roman" w:eastAsia="宋体" w:cs="Times New Roman"/>
          <w:b/>
          <w:bCs/>
          <w:color w:val="auto"/>
          <w:highlight w:val="none"/>
        </w:rPr>
      </w:pPr>
      <w:r>
        <w:rPr>
          <w:rFonts w:ascii="Times New Roman" w:hAnsi="Times New Roman" w:eastAsia="宋体" w:cs="Times New Roman"/>
          <w:b/>
          <w:bCs/>
          <w:color w:val="auto"/>
          <w:sz w:val="24"/>
          <w:highlight w:val="none"/>
        </w:rPr>
        <w:t>A.</w:t>
      </w:r>
      <w:r>
        <w:rPr>
          <w:rFonts w:hint="eastAsia" w:ascii="Times New Roman" w:hAnsi="Times New Roman" w:eastAsia="宋体" w:cs="Times New Roman"/>
          <w:b/>
          <w:bCs/>
          <w:color w:val="auto"/>
          <w:highlight w:val="none"/>
        </w:rPr>
        <w:t>具有独立承担民事责任的能力：</w:t>
      </w:r>
    </w:p>
    <w:p w14:paraId="6AA18CBB">
      <w:pPr>
        <w:spacing w:line="360" w:lineRule="auto"/>
        <w:ind w:firstLine="420" w:firstLineChars="200"/>
        <w:rPr>
          <w:rFonts w:ascii="Times New Roman" w:hAnsi="Times New Roman" w:eastAsia="宋体" w:cs="Times New Roman"/>
          <w:b/>
          <w:bCs/>
          <w:color w:val="auto"/>
          <w:highlight w:val="none"/>
        </w:rPr>
      </w:pPr>
      <w:r>
        <w:rPr>
          <w:rFonts w:hint="eastAsia" w:ascii="Times New Roman" w:hAnsi="Times New Roman" w:eastAsia="宋体" w:cs="Times New Roman"/>
          <w:color w:val="auto"/>
          <w:highlight w:val="none"/>
        </w:rPr>
        <w:t>投标人须在投标文件中出具符合以下情况的证明材料复印件</w:t>
      </w:r>
      <w:r>
        <w:rPr>
          <w:rFonts w:hint="eastAsia" w:ascii="Times New Roman" w:hAnsi="Times New Roman" w:eastAsia="宋体" w:cs="Times New Roman"/>
          <w:b/>
          <w:bCs/>
          <w:color w:val="auto"/>
          <w:highlight w:val="none"/>
        </w:rPr>
        <w:t>（五选一）：</w:t>
      </w:r>
    </w:p>
    <w:p w14:paraId="6629FBDB">
      <w:pPr>
        <w:spacing w:line="360" w:lineRule="auto"/>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①如投标人是企业（包括合伙企业），提供在工商部门注册的有效</w:t>
      </w: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rPr>
        <w:t>企业法人营业执照</w:t>
      </w: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rPr>
        <w:t>或</w:t>
      </w: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rPr>
        <w:t>营业执照</w:t>
      </w: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rPr>
        <w:t>；</w:t>
      </w:r>
    </w:p>
    <w:p w14:paraId="7730622C">
      <w:pPr>
        <w:spacing w:line="360" w:lineRule="auto"/>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②如投标人是事业单位，提供有效的</w:t>
      </w: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rPr>
        <w:t>事业单位法人证书</w:t>
      </w: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rPr>
        <w:t>；</w:t>
      </w:r>
    </w:p>
    <w:p w14:paraId="253E9860">
      <w:pPr>
        <w:spacing w:line="360" w:lineRule="auto"/>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③如投标人是非企业专业服务机构的，提供执业许可证等证明文件；</w:t>
      </w:r>
    </w:p>
    <w:p w14:paraId="3F83353B">
      <w:pPr>
        <w:spacing w:line="360" w:lineRule="auto"/>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④如投标人是个体工商户，提供有效的</w:t>
      </w: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rPr>
        <w:t>个体工商户营业执照</w:t>
      </w: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rPr>
        <w:t>；</w:t>
      </w:r>
    </w:p>
    <w:p w14:paraId="30D3CF03">
      <w:pPr>
        <w:spacing w:line="360" w:lineRule="auto"/>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⑤如投标人是自然人，提供有效的自然人身份证明（居民身份证正反面或公安机关出具的临时居民身份证正反面或港澳台胞证或证照）。</w:t>
      </w:r>
    </w:p>
    <w:p w14:paraId="3679179F">
      <w:pPr>
        <w:spacing w:line="360" w:lineRule="auto"/>
        <w:ind w:firstLine="422" w:firstLineChars="200"/>
        <w:rPr>
          <w:rFonts w:ascii="Times New Roman" w:hAnsi="Times New Roman" w:eastAsia="宋体" w:cs="Times New Roman"/>
          <w:b/>
          <w:bCs/>
          <w:color w:val="auto"/>
          <w:highlight w:val="none"/>
        </w:rPr>
      </w:pPr>
      <w:r>
        <w:rPr>
          <w:rFonts w:ascii="Times New Roman" w:hAnsi="Times New Roman" w:eastAsia="宋体" w:cs="Times New Roman"/>
          <w:b/>
          <w:bCs/>
          <w:color w:val="auto"/>
          <w:szCs w:val="21"/>
          <w:highlight w:val="none"/>
        </w:rPr>
        <w:t>B.</w:t>
      </w:r>
      <w:r>
        <w:rPr>
          <w:rFonts w:hint="eastAsia" w:ascii="Times New Roman" w:hAnsi="Times New Roman" w:eastAsia="宋体" w:cs="Times New Roman"/>
          <w:b/>
          <w:bCs/>
          <w:color w:val="auto"/>
          <w:highlight w:val="none"/>
        </w:rPr>
        <w:t>具有良好的商业信誉和健全的财务会计制度：</w:t>
      </w:r>
    </w:p>
    <w:p w14:paraId="63A9996F">
      <w:pPr>
        <w:spacing w:line="360" w:lineRule="auto"/>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①良好的商业信誉：</w:t>
      </w:r>
    </w:p>
    <w:p w14:paraId="42F7B800">
      <w:pPr>
        <w:spacing w:line="360" w:lineRule="auto"/>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至本项目投标截止时间止未被</w:t>
      </w: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rPr>
        <w:t>信用中国</w:t>
      </w: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www.creditchina.gov.cn</w:t>
      </w:r>
      <w:r>
        <w:rPr>
          <w:rFonts w:hint="eastAsia" w:ascii="Times New Roman" w:hAnsi="Times New Roman" w:eastAsia="宋体" w:cs="Times New Roman"/>
          <w:color w:val="auto"/>
          <w:highlight w:val="none"/>
        </w:rPr>
        <w:t>）、中国政府采购网（</w:t>
      </w:r>
      <w:r>
        <w:rPr>
          <w:rFonts w:ascii="Times New Roman" w:hAnsi="Times New Roman" w:eastAsia="宋体" w:cs="Times New Roman"/>
          <w:color w:val="auto"/>
          <w:highlight w:val="none"/>
        </w:rPr>
        <w:t>www.ccgp.gov.cn</w:t>
      </w:r>
      <w:r>
        <w:rPr>
          <w:rFonts w:hint="eastAsia" w:ascii="Times New Roman" w:hAnsi="Times New Roman" w:eastAsia="宋体" w:cs="Times New Roman"/>
          <w:color w:val="auto"/>
          <w:highlight w:val="none"/>
        </w:rPr>
        <w:t>）列入失信被执行人、重大税收违法案件当事人名单、政府采购严重违法失信行为记录名单网页查询记录截图。</w:t>
      </w:r>
    </w:p>
    <w:p w14:paraId="161DB9C1">
      <w:pPr>
        <w:spacing w:line="360" w:lineRule="auto"/>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szCs w:val="21"/>
          <w:highlight w:val="none"/>
        </w:rPr>
        <w:t>提供</w:t>
      </w:r>
      <w:r>
        <w:rPr>
          <w:rFonts w:hint="eastAsia" w:ascii="Times New Roman" w:hAnsi="Times New Roman" w:eastAsia="宋体" w:cs="Times New Roman"/>
          <w:color w:val="auto"/>
          <w:highlight w:val="none"/>
        </w:rPr>
        <w:t>查询截图，（截图查询网站时间须在开标截止前二个星期内）</w:t>
      </w:r>
    </w:p>
    <w:p w14:paraId="5C162A70">
      <w:pPr>
        <w:spacing w:line="360" w:lineRule="auto"/>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szCs w:val="21"/>
          <w:highlight w:val="none"/>
        </w:rPr>
        <w:t>对</w:t>
      </w:r>
      <w:r>
        <w:rPr>
          <w:rFonts w:hint="eastAsia" w:ascii="Times New Roman" w:hAnsi="Times New Roman" w:eastAsia="宋体" w:cs="Times New Roman"/>
          <w:color w:val="auto"/>
          <w:highlight w:val="none"/>
        </w:rPr>
        <w:t>列入失信被执行人、重大税收违法案件当事人名单、政府采购严重违法失信行为记录名单的投标人，其投标将作无效标处理。</w:t>
      </w:r>
    </w:p>
    <w:p w14:paraId="7CAD2273">
      <w:pPr>
        <w:spacing w:line="360" w:lineRule="auto"/>
        <w:ind w:firstLine="420" w:firstLineChars="200"/>
        <w:rPr>
          <w:rFonts w:ascii="Times New Roman" w:hAnsi="Times New Roman" w:eastAsia="宋体" w:cs="Times New Roman"/>
          <w:color w:val="auto"/>
          <w:highlight w:val="none"/>
        </w:rPr>
      </w:pPr>
      <w:r>
        <w:rPr>
          <w:rFonts w:hint="eastAsia" w:ascii="宋体" w:hAnsi="宋体" w:eastAsia="宋体" w:cs="宋体"/>
          <w:color w:val="auto"/>
          <w:highlight w:val="none"/>
        </w:rPr>
        <w:t>②</w:t>
      </w:r>
      <w:r>
        <w:rPr>
          <w:rFonts w:hint="eastAsia" w:ascii="Times New Roman" w:hAnsi="Times New Roman" w:eastAsia="宋体" w:cs="Times New Roman"/>
          <w:color w:val="auto"/>
          <w:highlight w:val="none"/>
        </w:rPr>
        <w:t>健全的财务会计制度：</w:t>
      </w:r>
    </w:p>
    <w:p w14:paraId="340BE2C6">
      <w:pPr>
        <w:spacing w:line="360" w:lineRule="auto"/>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投标人须在投标文件中出具符合以下情况的证明材料复印件</w:t>
      </w:r>
      <w:r>
        <w:rPr>
          <w:rFonts w:hint="eastAsia" w:ascii="Times New Roman" w:hAnsi="Times New Roman" w:eastAsia="宋体" w:cs="Times New Roman"/>
          <w:b/>
          <w:bCs/>
          <w:color w:val="auto"/>
          <w:highlight w:val="none"/>
        </w:rPr>
        <w:t>（三选一）</w:t>
      </w:r>
      <w:r>
        <w:rPr>
          <w:rFonts w:hint="eastAsia" w:ascii="Times New Roman" w:hAnsi="Times New Roman" w:eastAsia="宋体" w:cs="Times New Roman"/>
          <w:color w:val="auto"/>
          <w:highlight w:val="none"/>
        </w:rPr>
        <w:t>：</w:t>
      </w:r>
    </w:p>
    <w:p w14:paraId="334C61BE">
      <w:pPr>
        <w:tabs>
          <w:tab w:val="left" w:pos="735"/>
        </w:tabs>
        <w:spacing w:line="360" w:lineRule="auto"/>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（一）投标人是法人的，应提供最近一个年度经审计的财务报告，包括资产负债表、利润表、现金流量表</w:t>
      </w:r>
      <w:bookmarkStart w:id="5" w:name="_Hlk172274234"/>
      <w:r>
        <w:rPr>
          <w:rFonts w:hint="eastAsia" w:ascii="Times New Roman" w:hAnsi="Times New Roman" w:eastAsia="宋体" w:cs="Times New Roman"/>
          <w:color w:val="auto"/>
          <w:highlight w:val="none"/>
        </w:rPr>
        <w:t>（执行《小企业会计准则》的提供资产负债表和利润表两张基本报表，执行《政府会计准则》的提供资产负债表、收入费用表和现金流量表）</w:t>
      </w:r>
      <w:bookmarkEnd w:id="5"/>
      <w:r>
        <w:rPr>
          <w:rFonts w:hint="eastAsia" w:ascii="Times New Roman" w:hAnsi="Times New Roman" w:eastAsia="宋体" w:cs="Times New Roman"/>
          <w:color w:val="auto"/>
          <w:highlight w:val="none"/>
        </w:rPr>
        <w:t>，未经审计的，提供资产负债表、利润表或损益表。</w:t>
      </w:r>
    </w:p>
    <w:p w14:paraId="4E8EAF13">
      <w:pPr>
        <w:numPr>
          <w:ilvl w:val="0"/>
          <w:numId w:val="10"/>
        </w:numPr>
        <w:tabs>
          <w:tab w:val="left" w:pos="735"/>
        </w:tabs>
        <w:spacing w:line="360" w:lineRule="auto"/>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其他组织和自然人如没有经审计的财务报告的，可以提供资产负债表、利润表、现金</w:t>
      </w:r>
    </w:p>
    <w:p w14:paraId="79037CB5">
      <w:pPr>
        <w:tabs>
          <w:tab w:val="left" w:pos="735"/>
        </w:tabs>
        <w:spacing w:line="360" w:lineRule="auto"/>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流量表。</w:t>
      </w:r>
    </w:p>
    <w:p w14:paraId="22FD5275">
      <w:pPr>
        <w:numPr>
          <w:ilvl w:val="0"/>
          <w:numId w:val="10"/>
        </w:numPr>
        <w:tabs>
          <w:tab w:val="left" w:pos="735"/>
        </w:tabs>
        <w:spacing w:line="360" w:lineRule="auto"/>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新成立不足一年的公司须出具情况说明。</w:t>
      </w:r>
    </w:p>
    <w:p w14:paraId="1E7B3B75">
      <w:pPr>
        <w:spacing w:line="360" w:lineRule="auto"/>
        <w:ind w:firstLine="413" w:firstLineChars="196"/>
        <w:rPr>
          <w:rFonts w:ascii="Times New Roman" w:hAnsi="Times New Roman" w:eastAsia="宋体" w:cs="Times New Roman"/>
          <w:b/>
          <w:bCs/>
          <w:color w:val="auto"/>
          <w:szCs w:val="21"/>
          <w:highlight w:val="none"/>
        </w:rPr>
      </w:pPr>
      <w:r>
        <w:rPr>
          <w:rFonts w:ascii="Times New Roman" w:hAnsi="Times New Roman" w:eastAsia="宋体" w:cs="Times New Roman"/>
          <w:b/>
          <w:bCs/>
          <w:color w:val="auto"/>
          <w:szCs w:val="21"/>
          <w:highlight w:val="none"/>
        </w:rPr>
        <w:t>C.</w:t>
      </w:r>
      <w:r>
        <w:rPr>
          <w:rFonts w:hint="eastAsia" w:ascii="Times New Roman" w:hAnsi="Times New Roman" w:eastAsia="宋体" w:cs="Times New Roman"/>
          <w:b/>
          <w:bCs/>
          <w:color w:val="auto"/>
          <w:szCs w:val="21"/>
          <w:highlight w:val="none"/>
        </w:rPr>
        <w:t>具有履行合同所必需的设备和专业技术能力：</w:t>
      </w:r>
    </w:p>
    <w:p w14:paraId="5BE08716">
      <w:pPr>
        <w:spacing w:line="360" w:lineRule="auto"/>
        <w:ind w:left="420"/>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投标人须在投标文件中出具具有履行合同所必需的设备和专业技术能力的《投标函》。</w:t>
      </w:r>
    </w:p>
    <w:p w14:paraId="7281FC81">
      <w:pPr>
        <w:spacing w:line="360" w:lineRule="auto"/>
        <w:ind w:firstLine="413" w:firstLineChars="196"/>
        <w:rPr>
          <w:rFonts w:ascii="Times New Roman" w:hAnsi="Times New Roman" w:eastAsia="宋体" w:cs="Times New Roman"/>
          <w:b/>
          <w:bCs/>
          <w:color w:val="auto"/>
          <w:szCs w:val="21"/>
          <w:highlight w:val="none"/>
        </w:rPr>
      </w:pPr>
      <w:r>
        <w:rPr>
          <w:rFonts w:ascii="Times New Roman" w:hAnsi="Times New Roman" w:eastAsia="宋体" w:cs="Times New Roman"/>
          <w:b/>
          <w:bCs/>
          <w:color w:val="auto"/>
          <w:szCs w:val="21"/>
          <w:highlight w:val="none"/>
        </w:rPr>
        <w:t>D.</w:t>
      </w:r>
      <w:r>
        <w:rPr>
          <w:rFonts w:hint="eastAsia" w:ascii="Times New Roman" w:hAnsi="Times New Roman" w:eastAsia="宋体" w:cs="Times New Roman"/>
          <w:b/>
          <w:bCs/>
          <w:color w:val="auto"/>
          <w:szCs w:val="21"/>
          <w:highlight w:val="none"/>
        </w:rPr>
        <w:t>有依法缴纳税收和社会保障资金的良好记录：（如有）</w:t>
      </w:r>
    </w:p>
    <w:p w14:paraId="044454DF">
      <w:pPr>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1.</w:t>
      </w:r>
      <w:r>
        <w:rPr>
          <w:rFonts w:hint="eastAsia" w:ascii="Times New Roman" w:hAnsi="Times New Roman" w:eastAsia="宋体" w:cs="Times New Roman"/>
          <w:color w:val="auto"/>
          <w:highlight w:val="none"/>
        </w:rPr>
        <w:t>投标人须在投标文件中同时出具满足以下要求的证明材料复印件：</w:t>
      </w:r>
    </w:p>
    <w:p w14:paraId="4F802FA1">
      <w:pPr>
        <w:spacing w:line="360" w:lineRule="auto"/>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①投标人须提供由税务部门出具的最近一季度缴纳增值税和企业所得税的纳税证明。</w:t>
      </w:r>
    </w:p>
    <w:p w14:paraId="6C01EDAF">
      <w:pPr>
        <w:spacing w:line="360" w:lineRule="auto"/>
        <w:ind w:firstLine="420" w:firstLineChars="200"/>
        <w:rPr>
          <w:rFonts w:ascii="Times New Roman" w:hAnsi="Times New Roman" w:eastAsia="宋体" w:cs="Times New Roman"/>
          <w:color w:val="auto"/>
          <w:highlight w:val="none"/>
        </w:rPr>
      </w:pPr>
      <w:r>
        <w:rPr>
          <w:rFonts w:hint="eastAsia" w:ascii="宋体" w:hAnsi="宋体" w:eastAsia="宋体" w:cs="宋体"/>
          <w:color w:val="auto"/>
          <w:highlight w:val="none"/>
        </w:rPr>
        <w:t>②</w:t>
      </w:r>
      <w:r>
        <w:rPr>
          <w:rFonts w:hint="eastAsia" w:ascii="Times New Roman" w:hAnsi="Times New Roman" w:eastAsia="宋体" w:cs="Times New Roman"/>
          <w:color w:val="auto"/>
          <w:highlight w:val="none"/>
        </w:rPr>
        <w:t>投标人须提供最近三个月内缴纳社会保险的凭据（缴税付款凭证或社会保险缴纳证明）</w:t>
      </w:r>
    </w:p>
    <w:p w14:paraId="1AED08A8">
      <w:pPr>
        <w:spacing w:line="360" w:lineRule="auto"/>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依法免税或不需要缴纳社会保障资金的投标人，应提供相应文件证明其依法免税或不需要缴纳社会保障资金。</w:t>
      </w:r>
    </w:p>
    <w:p w14:paraId="4DFA13F7">
      <w:pPr>
        <w:spacing w:line="360" w:lineRule="auto"/>
        <w:ind w:firstLine="422" w:firstLineChars="200"/>
        <w:rPr>
          <w:rFonts w:ascii="Times New Roman" w:hAnsi="Times New Roman" w:eastAsia="宋体" w:cs="Times New Roman"/>
          <w:b/>
          <w:bCs/>
          <w:color w:val="auto"/>
          <w:highlight w:val="none"/>
        </w:rPr>
      </w:pPr>
      <w:r>
        <w:rPr>
          <w:rFonts w:ascii="Times New Roman" w:hAnsi="Times New Roman" w:eastAsia="宋体" w:cs="Times New Roman"/>
          <w:b/>
          <w:bCs/>
          <w:color w:val="auto"/>
          <w:highlight w:val="none"/>
        </w:rPr>
        <w:t>E.</w:t>
      </w:r>
      <w:r>
        <w:rPr>
          <w:rFonts w:hint="eastAsia" w:ascii="Times New Roman" w:hAnsi="Times New Roman" w:eastAsia="宋体" w:cs="Times New Roman"/>
          <w:b/>
          <w:bCs/>
          <w:color w:val="auto"/>
          <w:highlight w:val="none"/>
        </w:rPr>
        <w:t>参加政府采购活动前三年内，在经营活动中没有重大违法记录：</w:t>
      </w:r>
    </w:p>
    <w:p w14:paraId="1C9A66CF">
      <w:pPr>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投标人须在投标文件中出具《声明函》、廉政承诺书。（格式见附件）</w:t>
      </w:r>
    </w:p>
    <w:p w14:paraId="17870270">
      <w:pPr>
        <w:snapToGrid w:val="0"/>
        <w:spacing w:before="120" w:beforeLines="50"/>
        <w:ind w:firstLine="415" w:firstLineChars="198"/>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注：证明材料均需加盖签章。</w:t>
      </w:r>
    </w:p>
    <w:p w14:paraId="0985D422">
      <w:pPr>
        <w:snapToGrid w:val="0"/>
        <w:spacing w:before="120" w:beforeLines="50"/>
        <w:ind w:firstLine="415" w:firstLineChars="198"/>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中小企业声明函；</w:t>
      </w:r>
    </w:p>
    <w:p w14:paraId="39761106">
      <w:pPr>
        <w:snapToGrid w:val="0"/>
        <w:spacing w:before="120" w:beforeLines="50"/>
        <w:ind w:firstLine="415" w:firstLineChars="198"/>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监狱企业声明函（如是）；</w:t>
      </w:r>
    </w:p>
    <w:p w14:paraId="635BC591">
      <w:pPr>
        <w:snapToGrid w:val="0"/>
        <w:spacing w:before="120" w:beforeLines="50" w:line="360" w:lineRule="auto"/>
        <w:ind w:firstLine="415" w:firstLineChars="198"/>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残疾人福利性单位声明函（如是）；</w:t>
      </w:r>
    </w:p>
    <w:p w14:paraId="78B82C4E">
      <w:pPr>
        <w:snapToGrid w:val="0"/>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2.商务及技术部分：</w:t>
      </w:r>
    </w:p>
    <w:p w14:paraId="6CF83A6E">
      <w:pPr>
        <w:snapToGrid w:val="0"/>
        <w:spacing w:line="360" w:lineRule="auto"/>
        <w:ind w:firstLine="411" w:firstLineChars="196"/>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2.1投标人基本情况表（如有）；</w:t>
      </w:r>
    </w:p>
    <w:p w14:paraId="0D9A6226">
      <w:pPr>
        <w:snapToGrid w:val="0"/>
        <w:spacing w:line="360" w:lineRule="auto"/>
        <w:ind w:firstLine="411" w:firstLineChars="196"/>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2.2成功案例及业绩；</w:t>
      </w:r>
    </w:p>
    <w:p w14:paraId="321BD471">
      <w:pPr>
        <w:snapToGrid w:val="0"/>
        <w:spacing w:line="360" w:lineRule="auto"/>
        <w:ind w:firstLine="411" w:firstLineChars="196"/>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2.3 项目负责人简历表（须附相关证明材料）；项目实施人员一览表（须附职称证书复印件）；</w:t>
      </w:r>
    </w:p>
    <w:p w14:paraId="6184D54B">
      <w:pPr>
        <w:snapToGrid w:val="0"/>
        <w:spacing w:line="360" w:lineRule="auto"/>
        <w:ind w:firstLine="411" w:firstLineChars="196"/>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2.4商务响应表；</w:t>
      </w:r>
    </w:p>
    <w:p w14:paraId="30D0E6AC">
      <w:pPr>
        <w:snapToGrid w:val="0"/>
        <w:spacing w:line="360" w:lineRule="auto"/>
        <w:ind w:firstLine="411" w:firstLineChars="196"/>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2.5 对本项目总体要求的理解；</w:t>
      </w:r>
    </w:p>
    <w:p w14:paraId="3525FD29">
      <w:pPr>
        <w:snapToGrid w:val="0"/>
        <w:spacing w:line="360" w:lineRule="auto"/>
        <w:ind w:firstLine="411" w:firstLineChars="196"/>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2.6针对本项目清扫保洁、垃圾分类收集与运输的现状调查、问题剖析、解决方案；</w:t>
      </w:r>
    </w:p>
    <w:p w14:paraId="32220A34">
      <w:pPr>
        <w:snapToGrid w:val="0"/>
        <w:spacing w:line="360" w:lineRule="auto"/>
        <w:ind w:firstLine="411" w:firstLineChars="196"/>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2.7项目管理服务机构设置、运作流程、管理方式、监管方式、规章制度、考核办法、劳动保护、安全措施等方案；</w:t>
      </w:r>
    </w:p>
    <w:p w14:paraId="3FF37204">
      <w:pPr>
        <w:snapToGrid w:val="0"/>
        <w:spacing w:line="360" w:lineRule="auto"/>
        <w:ind w:firstLine="411" w:firstLineChars="196"/>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2.8本项目必须配置的人员、车辆、设备及器具方案；</w:t>
      </w:r>
    </w:p>
    <w:p w14:paraId="4276E713">
      <w:pPr>
        <w:snapToGrid w:val="0"/>
        <w:spacing w:line="360" w:lineRule="auto"/>
        <w:ind w:firstLine="411" w:firstLineChars="196"/>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2.9制定针对本项目的工作计划、生产要素、作业规程、清扫保洁、道路扬尘和垃圾分类、爱国卫生、环卫设施、应急处置、服务承诺、环卫工人福利待遇等方案。</w:t>
      </w:r>
    </w:p>
    <w:p w14:paraId="13D6405F">
      <w:pPr>
        <w:snapToGrid w:val="0"/>
        <w:spacing w:line="360" w:lineRule="auto"/>
        <w:ind w:firstLine="411" w:firstLineChars="196"/>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2.10 投标人建议的验收方法或方案；</w:t>
      </w:r>
    </w:p>
    <w:p w14:paraId="26B35221">
      <w:pPr>
        <w:snapToGrid w:val="0"/>
        <w:spacing w:line="360" w:lineRule="auto"/>
        <w:ind w:firstLine="411" w:firstLineChars="196"/>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2.11 技术服务、技术培训、服务点的情况介绍以及服务承诺和保障措施；</w:t>
      </w:r>
    </w:p>
    <w:p w14:paraId="54B120A7">
      <w:pPr>
        <w:snapToGrid w:val="0"/>
        <w:spacing w:line="360" w:lineRule="auto"/>
        <w:ind w:firstLine="411" w:firstLineChars="196"/>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2.12 技术响应表</w:t>
      </w:r>
    </w:p>
    <w:p w14:paraId="5CE5EEC8">
      <w:pPr>
        <w:snapToGrid w:val="0"/>
        <w:spacing w:line="360" w:lineRule="auto"/>
        <w:ind w:firstLine="411" w:firstLineChars="196"/>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2.13 投标人对本项目的合理化建议和改进措施；</w:t>
      </w:r>
    </w:p>
    <w:p w14:paraId="65A3B8C9">
      <w:pPr>
        <w:snapToGrid w:val="0"/>
        <w:spacing w:line="360" w:lineRule="auto"/>
        <w:ind w:left="412" w:leftChars="196"/>
        <w:jc w:val="left"/>
        <w:rPr>
          <w:rFonts w:hint="eastAsia" w:ascii="宋体" w:hAnsi="宋体" w:eastAsia="宋体" w:cs="Times New Roman"/>
          <w:b/>
          <w:color w:val="auto"/>
          <w:szCs w:val="21"/>
          <w:highlight w:val="none"/>
        </w:rPr>
      </w:pPr>
      <w:r>
        <w:rPr>
          <w:rFonts w:hint="eastAsia" w:ascii="宋体" w:hAnsi="宋体" w:eastAsia="宋体" w:cs="Times New Roman"/>
          <w:bCs/>
          <w:color w:val="auto"/>
          <w:szCs w:val="21"/>
          <w:highlight w:val="none"/>
        </w:rPr>
        <w:t>2.14 评分规则中涉及的所需提交的材料（如有），投标人需要说明的其他文件和说明（如有）。</w:t>
      </w:r>
      <w:r>
        <w:rPr>
          <w:rFonts w:hint="eastAsia" w:ascii="宋体" w:hAnsi="宋体" w:eastAsia="宋体" w:cs="Times New Roman"/>
          <w:b/>
          <w:color w:val="auto"/>
          <w:szCs w:val="21"/>
          <w:highlight w:val="none"/>
        </w:rPr>
        <w:t>3.报价部分：</w:t>
      </w:r>
    </w:p>
    <w:p w14:paraId="737B2D2E">
      <w:pPr>
        <w:snapToGrid w:val="0"/>
        <w:spacing w:line="336"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3.1投标报价一览表；</w:t>
      </w:r>
    </w:p>
    <w:p w14:paraId="5B70F24D">
      <w:pPr>
        <w:tabs>
          <w:tab w:val="left" w:pos="3870"/>
          <w:tab w:val="left" w:pos="4085"/>
        </w:tabs>
        <w:snapToGrid w:val="0"/>
        <w:spacing w:line="336"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3.2报价明细表；</w:t>
      </w:r>
    </w:p>
    <w:p w14:paraId="331C56BD">
      <w:pPr>
        <w:snapToGrid w:val="0"/>
        <w:spacing w:line="336"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3.3投标人针对报价需要说明的其他文件和说明。</w:t>
      </w:r>
    </w:p>
    <w:p w14:paraId="2D58D670">
      <w:pPr>
        <w:snapToGrid w:val="0"/>
        <w:spacing w:line="360" w:lineRule="auto"/>
        <w:ind w:right="55"/>
        <w:jc w:val="left"/>
        <w:outlineLvl w:val="0"/>
        <w:rPr>
          <w:rFonts w:ascii="Times New Roman" w:hAnsi="Times New Roman" w:eastAsia="宋体" w:cs="Times New Roman"/>
          <w:b/>
          <w:color w:val="auto"/>
          <w:sz w:val="24"/>
          <w:highlight w:val="none"/>
        </w:rPr>
      </w:pPr>
      <w:r>
        <w:rPr>
          <w:rFonts w:hint="eastAsia" w:ascii="Times New Roman" w:hAnsi="Times New Roman" w:eastAsia="宋体" w:cs="Times New Roman"/>
          <w:b/>
          <w:color w:val="auto"/>
          <w:szCs w:val="21"/>
          <w:highlight w:val="none"/>
        </w:rPr>
        <w:t>（二）投标文件的语言及计量</w:t>
      </w:r>
    </w:p>
    <w:p w14:paraId="16321416">
      <w:pPr>
        <w:snapToGrid w:val="0"/>
        <w:spacing w:line="360" w:lineRule="auto"/>
        <w:ind w:firstLine="420" w:firstLineChars="20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rPr>
        <w:t>投标文件以及投标人与采购人就有关投标事宜的所有来往函电，均应以中文汉语书写。除签名、盖章、专用名称等特殊情形外，以中文汉语以外的文字表述的投标文件视同未提供。</w:t>
      </w:r>
    </w:p>
    <w:p w14:paraId="4BDE3FD4">
      <w:pPr>
        <w:snapToGrid w:val="0"/>
        <w:spacing w:line="360" w:lineRule="auto"/>
        <w:ind w:firstLine="420" w:firstLineChars="20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rPr>
        <w:t>投标计量单位，采购文件已有明确规定的，使用采购文件规定的计量单位；采购文件没有规定的，应采用中华人民共和国法定计量单位（货币单位：人民币元），否则视同未响应。</w:t>
      </w:r>
    </w:p>
    <w:p w14:paraId="2EB984C1">
      <w:pPr>
        <w:tabs>
          <w:tab w:val="left" w:pos="0"/>
        </w:tabs>
        <w:spacing w:line="360" w:lineRule="auto"/>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（三）响应报价</w:t>
      </w:r>
    </w:p>
    <w:p w14:paraId="1866E00A">
      <w:pPr>
        <w:snapToGrid w:val="0"/>
        <w:spacing w:line="360" w:lineRule="auto"/>
        <w:ind w:firstLine="422" w:firstLineChars="200"/>
        <w:rPr>
          <w:rFonts w:ascii="Times New Roman" w:hAnsi="Times New Roman" w:eastAsia="宋体" w:cs="Times New Roman"/>
          <w:b/>
          <w:bCs/>
          <w:color w:val="auto"/>
          <w:szCs w:val="21"/>
          <w:highlight w:val="none"/>
        </w:rPr>
      </w:pPr>
      <w:r>
        <w:rPr>
          <w:rFonts w:ascii="Times New Roman" w:hAnsi="Times New Roman" w:eastAsia="宋体" w:cs="Times New Roman"/>
          <w:b/>
          <w:bCs/>
          <w:color w:val="auto"/>
          <w:szCs w:val="21"/>
          <w:highlight w:val="none"/>
        </w:rPr>
        <w:t>1.</w:t>
      </w:r>
      <w:r>
        <w:rPr>
          <w:rFonts w:hint="eastAsia" w:ascii="Times New Roman" w:hAnsi="Times New Roman" w:eastAsia="宋体" w:cs="Times New Roman"/>
          <w:b/>
          <w:bCs/>
          <w:color w:val="auto"/>
          <w:szCs w:val="21"/>
          <w:highlight w:val="none"/>
        </w:rPr>
        <w:t>投标报价应以人民币报价，投标人报价应是包括为完成本项目服务、设备供应可能发生的全部费用及中标人的利润和应交纳的税金等一切费用。</w:t>
      </w:r>
    </w:p>
    <w:p w14:paraId="551E6A34">
      <w:pPr>
        <w:spacing w:line="360" w:lineRule="auto"/>
        <w:ind w:firstLine="420"/>
        <w:rPr>
          <w:rFonts w:ascii="Times New Roman" w:hAnsi="Times New Roman" w:eastAsia="宋体" w:cs="Times New Roman"/>
          <w:color w:val="auto"/>
          <w:highlight w:val="none"/>
        </w:rPr>
      </w:pPr>
      <w:r>
        <w:rPr>
          <w:rFonts w:ascii="Times New Roman" w:hAnsi="Times New Roman" w:eastAsia="宋体" w:cs="Times New Roman"/>
          <w:b/>
          <w:bCs/>
          <w:color w:val="auto"/>
          <w:szCs w:val="21"/>
          <w:highlight w:val="none"/>
        </w:rPr>
        <w:t>2.</w:t>
      </w:r>
      <w:r>
        <w:rPr>
          <w:rFonts w:hint="eastAsia" w:ascii="Times New Roman" w:hAnsi="Times New Roman" w:eastAsia="宋体" w:cs="Times New Roman"/>
          <w:b/>
          <w:bCs/>
          <w:color w:val="auto"/>
          <w:szCs w:val="21"/>
          <w:highlight w:val="none"/>
        </w:rPr>
        <w:t>投标文件针对同一内容只允许有一个报价，有选择的或有条件的报价将不予接受。</w:t>
      </w:r>
    </w:p>
    <w:p w14:paraId="5A318EBA">
      <w:pPr>
        <w:snapToGrid w:val="0"/>
        <w:spacing w:line="360" w:lineRule="auto"/>
        <w:jc w:val="left"/>
        <w:outlineLvl w:val="0"/>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（四）投标文件的有效期</w:t>
      </w:r>
    </w:p>
    <w:p w14:paraId="48E2800F">
      <w:pPr>
        <w:tabs>
          <w:tab w:val="left" w:pos="360"/>
          <w:tab w:val="left" w:pos="454"/>
          <w:tab w:val="left" w:pos="720"/>
          <w:tab w:val="left" w:pos="900"/>
        </w:tabs>
        <w:snapToGrid w:val="0"/>
        <w:spacing w:line="360" w:lineRule="auto"/>
        <w:ind w:right="-506" w:rightChars="-241"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1.</w:t>
      </w:r>
      <w:r>
        <w:rPr>
          <w:rFonts w:hint="eastAsia" w:ascii="Times New Roman" w:hAnsi="Times New Roman" w:eastAsia="宋体" w:cs="Times New Roman"/>
          <w:color w:val="auto"/>
          <w:highlight w:val="none"/>
        </w:rPr>
        <w:t>自投标截止日起</w:t>
      </w:r>
      <w:r>
        <w:rPr>
          <w:rFonts w:ascii="Times New Roman" w:hAnsi="Times New Roman" w:eastAsia="宋体" w:cs="Times New Roman"/>
          <w:b/>
          <w:color w:val="auto"/>
          <w:highlight w:val="none"/>
          <w:u w:val="single"/>
        </w:rPr>
        <w:t>90</w:t>
      </w:r>
      <w:r>
        <w:rPr>
          <w:rFonts w:hint="eastAsia" w:ascii="Times New Roman" w:hAnsi="Times New Roman" w:eastAsia="宋体" w:cs="Times New Roman"/>
          <w:b/>
          <w:color w:val="auto"/>
          <w:highlight w:val="none"/>
        </w:rPr>
        <w:t>天</w:t>
      </w:r>
      <w:r>
        <w:rPr>
          <w:rFonts w:hint="eastAsia" w:ascii="Times New Roman" w:hAnsi="Times New Roman" w:eastAsia="宋体" w:cs="Times New Roman"/>
          <w:color w:val="auto"/>
          <w:highlight w:val="none"/>
        </w:rPr>
        <w:t>投标文件应保持有效。有效期不足的投标文件将被拒绝。</w:t>
      </w:r>
    </w:p>
    <w:p w14:paraId="7B82EA07">
      <w:pPr>
        <w:snapToGrid w:val="0"/>
        <w:spacing w:line="360" w:lineRule="auto"/>
        <w:ind w:right="-86" w:rightChars="-41" w:firstLine="420" w:firstLineChars="200"/>
        <w:jc w:val="left"/>
        <w:outlineLvl w:val="0"/>
        <w:rPr>
          <w:rFonts w:ascii="Times New Roman" w:hAnsi="Times New Roman" w:eastAsia="宋体" w:cs="Times New Roman"/>
          <w:color w:val="auto"/>
          <w:highlight w:val="none"/>
        </w:rPr>
      </w:pPr>
      <w:r>
        <w:rPr>
          <w:rFonts w:ascii="Times New Roman" w:hAnsi="Times New Roman" w:eastAsia="宋体" w:cs="Times New Roman"/>
          <w:color w:val="auto"/>
          <w:highlight w:val="none"/>
        </w:rPr>
        <w:t>2.</w:t>
      </w:r>
      <w:r>
        <w:rPr>
          <w:rFonts w:hint="eastAsia" w:ascii="Times New Roman" w:hAnsi="Times New Roman" w:eastAsia="宋体" w:cs="Times New Roman"/>
          <w:color w:val="auto"/>
          <w:highlight w:val="none"/>
        </w:rPr>
        <w:t>在特殊情况下，采购人可与投标人协商延长投标书的有效期，这种要求和答复均以书面形式进行。</w:t>
      </w:r>
    </w:p>
    <w:p w14:paraId="74D85A9E">
      <w:pPr>
        <w:snapToGrid w:val="0"/>
        <w:spacing w:line="360" w:lineRule="auto"/>
        <w:ind w:right="55" w:firstLine="420" w:firstLineChars="200"/>
        <w:jc w:val="left"/>
        <w:outlineLvl w:val="0"/>
        <w:rPr>
          <w:rFonts w:ascii="Times New Roman" w:hAnsi="Times New Roman" w:eastAsia="宋体" w:cs="Times New Roman"/>
          <w:color w:val="auto"/>
          <w:highlight w:val="none"/>
        </w:rPr>
      </w:pPr>
      <w:r>
        <w:rPr>
          <w:rFonts w:ascii="Times New Roman" w:hAnsi="Times New Roman" w:eastAsia="宋体" w:cs="Times New Roman"/>
          <w:color w:val="auto"/>
          <w:highlight w:val="none"/>
        </w:rPr>
        <w:t>3.</w:t>
      </w:r>
      <w:r>
        <w:rPr>
          <w:rFonts w:hint="eastAsia" w:ascii="Times New Roman" w:hAnsi="Times New Roman" w:eastAsia="宋体" w:cs="Times New Roman"/>
          <w:color w:val="auto"/>
          <w:highlight w:val="none"/>
        </w:rPr>
        <w:t>中标人的投标文件自开标之日起至合同履行完毕止均应保持有效。</w:t>
      </w:r>
    </w:p>
    <w:p w14:paraId="334C238B">
      <w:pPr>
        <w:snapToGrid w:val="0"/>
        <w:spacing w:line="360" w:lineRule="auto"/>
        <w:jc w:val="left"/>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（五）投标文件的包装、递交、修改和撤回</w:t>
      </w:r>
    </w:p>
    <w:p w14:paraId="57D39012">
      <w:pPr>
        <w:snapToGrid w:val="0"/>
        <w:spacing w:line="360" w:lineRule="auto"/>
        <w:ind w:right="-86" w:rightChars="-41" w:firstLine="420" w:firstLineChars="200"/>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t>1.</w:t>
      </w:r>
      <w:r>
        <w:rPr>
          <w:rFonts w:hint="eastAsia" w:ascii="Times New Roman" w:hAnsi="Times New Roman" w:eastAsia="宋体" w:cs="Times New Roman"/>
          <w:color w:val="auto"/>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5B19B343">
      <w:pPr>
        <w:snapToGrid w:val="0"/>
        <w:spacing w:line="360" w:lineRule="auto"/>
        <w:ind w:right="-86" w:rightChars="-41" w:firstLine="420" w:firstLineChars="200"/>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t>2.</w:t>
      </w:r>
      <w:r>
        <w:rPr>
          <w:rFonts w:hint="eastAsia" w:ascii="Times New Roman" w:hAnsi="Times New Roman" w:eastAsia="宋体" w:cs="Times New Roman"/>
          <w:color w:val="auto"/>
          <w:highlight w:val="none"/>
        </w:rPr>
        <w:t>投标人应当在投标截止时间前将以介质存储的数据电文形式的备份投标文件</w:t>
      </w:r>
      <w:r>
        <w:rPr>
          <w:rFonts w:hint="eastAsia" w:ascii="Times New Roman" w:hAnsi="Times New Roman" w:eastAsia="宋体" w:cs="Times New Roman"/>
          <w:color w:val="auto"/>
          <w:szCs w:val="21"/>
          <w:highlight w:val="none"/>
        </w:rPr>
        <w:t>寄到或送达采购代理公司。地址：舟山市定海区昌国路</w:t>
      </w:r>
      <w:r>
        <w:rPr>
          <w:rFonts w:ascii="Times New Roman" w:hAnsi="Times New Roman" w:eastAsia="宋体" w:cs="Times New Roman"/>
          <w:color w:val="auto"/>
          <w:szCs w:val="21"/>
          <w:highlight w:val="none"/>
        </w:rPr>
        <w:t>232</w:t>
      </w:r>
      <w:r>
        <w:rPr>
          <w:rFonts w:hint="eastAsia" w:ascii="Times New Roman" w:hAnsi="Times New Roman" w:eastAsia="宋体" w:cs="Times New Roman"/>
          <w:color w:val="auto"/>
          <w:szCs w:val="21"/>
          <w:highlight w:val="none"/>
        </w:rPr>
        <w:t>号中楼</w:t>
      </w:r>
      <w:r>
        <w:rPr>
          <w:rFonts w:ascii="Times New Roman" w:hAnsi="Times New Roman" w:eastAsia="宋体" w:cs="Times New Roman"/>
          <w:color w:val="auto"/>
          <w:szCs w:val="21"/>
          <w:highlight w:val="none"/>
        </w:rPr>
        <w:t>202</w:t>
      </w:r>
      <w:r>
        <w:rPr>
          <w:rFonts w:hint="eastAsia" w:ascii="Times New Roman" w:hAnsi="Times New Roman" w:eastAsia="宋体" w:cs="Times New Roman"/>
          <w:color w:val="auto"/>
          <w:szCs w:val="21"/>
          <w:highlight w:val="none"/>
        </w:rPr>
        <w:t>深圳市国信招标有限公司舟山分公司。也可现场递交。</w:t>
      </w:r>
      <w:r>
        <w:rPr>
          <w:rFonts w:hint="eastAsia" w:ascii="Times New Roman" w:hAnsi="Times New Roman" w:eastAsia="宋体" w:cs="Times New Roman"/>
          <w:color w:val="auto"/>
          <w:highlight w:val="none"/>
        </w:rPr>
        <w:t>逾期送达或未密封将被拒收。</w:t>
      </w:r>
    </w:p>
    <w:p w14:paraId="011A46C9">
      <w:pPr>
        <w:snapToGrid w:val="0"/>
        <w:spacing w:line="360" w:lineRule="auto"/>
        <w:ind w:right="-86" w:rightChars="-41" w:firstLine="422" w:firstLineChars="200"/>
        <w:jc w:val="left"/>
        <w:rPr>
          <w:rFonts w:ascii="Times New Roman" w:hAnsi="Times New Roman" w:eastAsia="宋体" w:cs="Times New Roman"/>
          <w:color w:val="auto"/>
          <w:highlight w:val="none"/>
        </w:rPr>
      </w:pPr>
      <w:r>
        <w:rPr>
          <w:rFonts w:hint="eastAsia" w:ascii="Times New Roman" w:hAnsi="Times New Roman" w:eastAsia="宋体" w:cs="Times New Roman"/>
          <w:b/>
          <w:color w:val="auto"/>
          <w:szCs w:val="21"/>
          <w:highlight w:val="none"/>
        </w:rPr>
        <w:t>投标人可以不提供备份投标文件，造成项目开评标活动无法进行下去的，投标无效，相关风险由投标人自行承担</w:t>
      </w:r>
    </w:p>
    <w:p w14:paraId="09C1CD7F">
      <w:pPr>
        <w:snapToGrid w:val="0"/>
        <w:spacing w:line="360" w:lineRule="auto"/>
        <w:ind w:right="-86" w:rightChars="-41" w:firstLine="420" w:firstLineChars="200"/>
        <w:jc w:val="left"/>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投标人递交以介质存储的数据电文形式的备份投标文件时，如出现下列情况之一的，将被拒收：</w:t>
      </w:r>
    </w:p>
    <w:p w14:paraId="775C0F54">
      <w:pPr>
        <w:snapToGrid w:val="0"/>
        <w:spacing w:line="360" w:lineRule="auto"/>
        <w:ind w:right="-86" w:rightChars="-41" w:firstLine="420" w:firstLineChars="200"/>
        <w:jc w:val="left"/>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1</w:t>
      </w:r>
      <w:r>
        <w:rPr>
          <w:rFonts w:hint="eastAsia" w:ascii="Times New Roman" w:hAnsi="Times New Roman" w:eastAsia="宋体" w:cs="Times New Roman"/>
          <w:color w:val="auto"/>
          <w:highlight w:val="none"/>
        </w:rPr>
        <w:t>）未按规定密封或标记的投标文件；</w:t>
      </w:r>
    </w:p>
    <w:p w14:paraId="23F0B7F4">
      <w:pPr>
        <w:snapToGrid w:val="0"/>
        <w:spacing w:line="360" w:lineRule="auto"/>
        <w:ind w:right="-86" w:rightChars="-41" w:firstLine="420" w:firstLineChars="200"/>
        <w:jc w:val="left"/>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2</w:t>
      </w:r>
      <w:r>
        <w:rPr>
          <w:rFonts w:hint="eastAsia" w:ascii="Times New Roman" w:hAnsi="Times New Roman" w:eastAsia="宋体" w:cs="Times New Roman"/>
          <w:color w:val="auto"/>
          <w:highlight w:val="none"/>
        </w:rPr>
        <w:t>）由于包装不妥，在送交途中严重破损或失散的；</w:t>
      </w:r>
    </w:p>
    <w:p w14:paraId="06D8B765">
      <w:pPr>
        <w:snapToGrid w:val="0"/>
        <w:spacing w:line="360" w:lineRule="auto"/>
        <w:ind w:right="-86" w:rightChars="-41" w:firstLine="420" w:firstLineChars="200"/>
        <w:jc w:val="left"/>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3</w:t>
      </w:r>
      <w:r>
        <w:rPr>
          <w:rFonts w:hint="eastAsia" w:ascii="Times New Roman" w:hAnsi="Times New Roman" w:eastAsia="宋体" w:cs="Times New Roman"/>
          <w:color w:val="auto"/>
          <w:highlight w:val="none"/>
        </w:rPr>
        <w:t>）未成功办理投标人报名手续的；</w:t>
      </w:r>
    </w:p>
    <w:p w14:paraId="6313202D">
      <w:pPr>
        <w:snapToGrid w:val="0"/>
        <w:spacing w:line="360" w:lineRule="auto"/>
        <w:ind w:right="-86" w:rightChars="-41" w:firstLine="420" w:firstLineChars="200"/>
        <w:jc w:val="left"/>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4</w:t>
      </w:r>
      <w:r>
        <w:rPr>
          <w:rFonts w:hint="eastAsia" w:ascii="Times New Roman" w:hAnsi="Times New Roman" w:eastAsia="宋体" w:cs="Times New Roman"/>
          <w:color w:val="auto"/>
          <w:highlight w:val="none"/>
        </w:rPr>
        <w:t>）超过投标截止时间送达的；</w:t>
      </w:r>
    </w:p>
    <w:p w14:paraId="24B52E47">
      <w:pPr>
        <w:snapToGrid w:val="0"/>
        <w:spacing w:line="360" w:lineRule="auto"/>
        <w:ind w:right="-86" w:rightChars="-41" w:firstLine="420" w:firstLineChars="200"/>
        <w:jc w:val="left"/>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仅提供备份投标文件的，投标无效。</w:t>
      </w:r>
    </w:p>
    <w:p w14:paraId="797066D9">
      <w:pPr>
        <w:snapToGrid w:val="0"/>
        <w:spacing w:line="360" w:lineRule="auto"/>
        <w:ind w:right="-86" w:rightChars="-41" w:firstLine="420" w:firstLineChars="200"/>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t>3.</w:t>
      </w:r>
      <w:r>
        <w:rPr>
          <w:rFonts w:hint="eastAsia" w:ascii="Times New Roman" w:hAnsi="Times New Roman" w:eastAsia="宋体" w:cs="Times New Roman"/>
          <w:color w:val="auto"/>
          <w:highlight w:val="none"/>
        </w:rPr>
        <w:t>投标、响应文件未按时解密，供应商提供了备份投标、响应文件的，以备份投标、响应文件作为依据，否则视为投标、响应文件撤回。投标、响应文件已按时解密的，备份投标、响应文件自动失效。</w:t>
      </w:r>
    </w:p>
    <w:p w14:paraId="34FBF744">
      <w:pPr>
        <w:snapToGrid w:val="0"/>
        <w:spacing w:line="360" w:lineRule="auto"/>
        <w:ind w:right="-86" w:rightChars="-41" w:firstLine="420" w:firstLineChars="200"/>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t>4.</w:t>
      </w:r>
      <w:r>
        <w:rPr>
          <w:rFonts w:hint="eastAsia" w:ascii="Times New Roman" w:hAnsi="Times New Roman" w:eastAsia="宋体" w:cs="Times New Roman"/>
          <w:color w:val="auto"/>
          <w:highlight w:val="none"/>
        </w:rPr>
        <w:t>备份投标文件须密封封装。包装封面上应注明投标人名称，封口处加盖投标人公章。</w:t>
      </w:r>
    </w:p>
    <w:p w14:paraId="78D1C1D4">
      <w:pPr>
        <w:spacing w:line="360" w:lineRule="auto"/>
        <w:rPr>
          <w:rFonts w:ascii="Times New Roman" w:hAnsi="Times New Roman" w:eastAsia="宋体" w:cs="Times New Roman"/>
          <w:color w:val="auto"/>
          <w:highlight w:val="none"/>
        </w:rPr>
      </w:pPr>
      <w:r>
        <w:rPr>
          <w:rFonts w:hint="eastAsia" w:ascii="Times New Roman" w:hAnsi="Times New Roman" w:eastAsia="宋体" w:cs="Times New Roman"/>
          <w:b/>
          <w:color w:val="auto"/>
          <w:szCs w:val="21"/>
          <w:highlight w:val="none"/>
        </w:rPr>
        <w:t>（六）投标无效的情形</w:t>
      </w:r>
    </w:p>
    <w:p w14:paraId="3313715F">
      <w:pPr>
        <w:snapToGrid w:val="0"/>
        <w:spacing w:line="360" w:lineRule="auto"/>
        <w:ind w:firstLine="415" w:firstLineChars="198"/>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实质上没有响应采购文件要求的投标将被视为无效投标。投标人不得通过修正或撤销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072A661A">
      <w:pPr>
        <w:snapToGrid w:val="0"/>
        <w:spacing w:before="120" w:beforeLines="50" w:after="120" w:afterLines="50" w:line="360" w:lineRule="auto"/>
        <w:ind w:firstLine="417" w:firstLineChars="198"/>
        <w:rPr>
          <w:rFonts w:ascii="Times New Roman" w:hAnsi="Times New Roman" w:eastAsia="宋体" w:cs="Times New Roman"/>
          <w:color w:val="auto"/>
          <w:szCs w:val="21"/>
          <w:highlight w:val="none"/>
        </w:rPr>
      </w:pPr>
      <w:r>
        <w:rPr>
          <w:rFonts w:ascii="Times New Roman" w:hAnsi="Times New Roman" w:eastAsia="宋体" w:cs="Times New Roman"/>
          <w:b/>
          <w:bCs/>
          <w:color w:val="auto"/>
          <w:szCs w:val="21"/>
          <w:highlight w:val="none"/>
        </w:rPr>
        <w:t>1.</w:t>
      </w:r>
      <w:r>
        <w:rPr>
          <w:rFonts w:hint="eastAsia" w:ascii="Times New Roman" w:hAnsi="Times New Roman" w:eastAsia="宋体" w:cs="Times New Roman"/>
          <w:b/>
          <w:bCs/>
          <w:color w:val="auto"/>
          <w:szCs w:val="21"/>
          <w:highlight w:val="none"/>
        </w:rPr>
        <w:t>在符合性审查和商务评审时，如发现下列情形之一的，投标文件将被视为无效投标：</w:t>
      </w:r>
    </w:p>
    <w:p w14:paraId="7FD809DC">
      <w:pPr>
        <w:snapToGrid w:val="0"/>
        <w:spacing w:before="120" w:beforeLines="50" w:after="120" w:afterLines="50" w:line="360" w:lineRule="auto"/>
        <w:ind w:firstLine="415" w:firstLineChars="198"/>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1.1</w:t>
      </w:r>
      <w:r>
        <w:rPr>
          <w:rFonts w:hint="eastAsia" w:ascii="Times New Roman" w:hAnsi="Times New Roman" w:eastAsia="宋体" w:cs="Times New Roman"/>
          <w:color w:val="auto"/>
          <w:szCs w:val="21"/>
          <w:highlight w:val="none"/>
        </w:rPr>
        <w:t>资格证明文件不全的，或者不符合采购文件标明的资格要求的</w:t>
      </w:r>
      <w:r>
        <w:rPr>
          <w:rFonts w:hint="eastAsia" w:ascii="Times New Roman" w:hAnsi="Times New Roman" w:eastAsia="宋体" w:cs="Times New Roman"/>
          <w:bCs/>
          <w:color w:val="auto"/>
          <w:szCs w:val="21"/>
          <w:highlight w:val="none"/>
        </w:rPr>
        <w:t>；</w:t>
      </w:r>
    </w:p>
    <w:p w14:paraId="5A48ECA2">
      <w:pPr>
        <w:snapToGrid w:val="0"/>
        <w:spacing w:before="120" w:beforeLines="50" w:line="360" w:lineRule="auto"/>
        <w:ind w:firstLine="415" w:firstLineChars="198"/>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1.</w:t>
      </w:r>
      <w:r>
        <w:rPr>
          <w:rFonts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rPr>
        <w:t>投标文件组成不全的；</w:t>
      </w:r>
    </w:p>
    <w:p w14:paraId="4459088A">
      <w:pPr>
        <w:snapToGrid w:val="0"/>
        <w:spacing w:before="120" w:beforeLines="50" w:after="120" w:afterLines="50" w:line="360" w:lineRule="auto"/>
        <w:ind w:firstLine="415" w:firstLineChars="198"/>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1.3</w:t>
      </w:r>
      <w:r>
        <w:rPr>
          <w:rFonts w:hint="eastAsia" w:ascii="Times New Roman" w:hAnsi="Times New Roman" w:eastAsia="宋体" w:cs="Times New Roman"/>
          <w:bCs/>
          <w:color w:val="auto"/>
          <w:szCs w:val="21"/>
          <w:highlight w:val="none"/>
        </w:rPr>
        <w:t>投标文件的实质性内容未使用中文表述、意思表述不明确、前后矛盾或者使用计量单位不符合采购文件要求的；（</w:t>
      </w:r>
      <w:r>
        <w:rPr>
          <w:rFonts w:hint="eastAsia" w:ascii="Times New Roman" w:hAnsi="Times New Roman" w:eastAsia="宋体" w:cs="Times New Roman"/>
          <w:color w:val="auto"/>
          <w:szCs w:val="21"/>
          <w:highlight w:val="none"/>
        </w:rPr>
        <w:t>经评审小组认定允许其在线更正的笔误除外</w:t>
      </w:r>
      <w:r>
        <w:rPr>
          <w:rFonts w:hint="eastAsia" w:ascii="Times New Roman" w:hAnsi="Times New Roman" w:eastAsia="宋体" w:cs="Times New Roman"/>
          <w:bCs/>
          <w:color w:val="auto"/>
          <w:szCs w:val="21"/>
          <w:highlight w:val="none"/>
        </w:rPr>
        <w:t>）</w:t>
      </w:r>
    </w:p>
    <w:p w14:paraId="3DBD584D">
      <w:pPr>
        <w:snapToGrid w:val="0"/>
        <w:spacing w:before="120" w:beforeLines="50" w:after="120" w:afterLines="50" w:line="360" w:lineRule="auto"/>
        <w:ind w:firstLine="415" w:firstLineChars="198"/>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1.4</w:t>
      </w:r>
      <w:r>
        <w:rPr>
          <w:rFonts w:hint="eastAsia" w:ascii="Times New Roman" w:hAnsi="Times New Roman" w:eastAsia="宋体" w:cs="Times New Roman"/>
          <w:bCs/>
          <w:color w:val="auto"/>
          <w:szCs w:val="21"/>
          <w:highlight w:val="none"/>
        </w:rPr>
        <w:t>投标文件的关键内容字迹模糊、无法辨认的，或者投标文件中经修正的内容字迹模糊难以辩认或者修改处未按规定签名盖章的；</w:t>
      </w:r>
    </w:p>
    <w:p w14:paraId="49B99B58">
      <w:pPr>
        <w:snapToGrid w:val="0"/>
        <w:spacing w:before="120" w:beforeLines="50" w:after="120" w:afterLines="50" w:line="360" w:lineRule="auto"/>
        <w:ind w:firstLine="415" w:firstLineChars="198"/>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1.5</w:t>
      </w:r>
      <w:r>
        <w:rPr>
          <w:rFonts w:hint="eastAsia" w:ascii="Times New Roman" w:hAnsi="Times New Roman" w:eastAsia="宋体" w:cs="Times New Roman"/>
          <w:bCs/>
          <w:color w:val="auto"/>
          <w:szCs w:val="21"/>
          <w:highlight w:val="none"/>
        </w:rPr>
        <w:t>投标有效期、交货时间、质保期等商务条款不能满足采购文件要求的；</w:t>
      </w:r>
    </w:p>
    <w:p w14:paraId="7D5A5218">
      <w:pPr>
        <w:snapToGrid w:val="0"/>
        <w:spacing w:before="120" w:beforeLines="50" w:after="120" w:afterLines="50" w:line="360" w:lineRule="auto"/>
        <w:ind w:firstLine="415" w:firstLineChars="198"/>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1.6</w:t>
      </w:r>
      <w:r>
        <w:rPr>
          <w:rFonts w:hint="eastAsia" w:ascii="Times New Roman" w:hAnsi="Times New Roman" w:eastAsia="宋体" w:cs="Times New Roman"/>
          <w:bCs/>
          <w:color w:val="auto"/>
          <w:szCs w:val="21"/>
          <w:highlight w:val="none"/>
        </w:rPr>
        <w:t>未响应采购文件实质性要求或者投标文件有采购人不能接受的附加条件的；</w:t>
      </w:r>
    </w:p>
    <w:p w14:paraId="126049AC">
      <w:pPr>
        <w:snapToGrid w:val="0"/>
        <w:spacing w:before="120" w:beforeLines="50" w:after="120" w:afterLines="50" w:line="360" w:lineRule="auto"/>
        <w:ind w:firstLine="415" w:firstLineChars="198"/>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1.7</w:t>
      </w:r>
      <w:r>
        <w:rPr>
          <w:rFonts w:hint="eastAsia" w:ascii="Times New Roman" w:hAnsi="Times New Roman" w:eastAsia="宋体" w:cs="Times New Roman"/>
          <w:bCs/>
          <w:color w:val="auto"/>
          <w:szCs w:val="21"/>
          <w:highlight w:val="none"/>
        </w:rPr>
        <w:t>投标文件没有按采购文件要求响应有标</w:t>
      </w:r>
      <w:r>
        <w:rPr>
          <w:rFonts w:ascii="Times New Roman" w:hAnsi="Times New Roman" w:eastAsia="宋体" w:cs="Times New Roman"/>
          <w:bCs/>
          <w:color w:val="auto"/>
          <w:szCs w:val="21"/>
          <w:highlight w:val="none"/>
        </w:rPr>
        <w:t>“</w:t>
      </w:r>
      <w:r>
        <w:rPr>
          <w:rFonts w:hint="eastAsia" w:ascii="Times New Roman" w:hAnsi="Times New Roman" w:eastAsia="宋体" w:cs="Times New Roman"/>
          <w:bCs/>
          <w:color w:val="auto"/>
          <w:szCs w:val="21"/>
          <w:highlight w:val="none"/>
        </w:rPr>
        <w:t>★</w:t>
      </w:r>
      <w:r>
        <w:rPr>
          <w:rFonts w:ascii="Times New Roman" w:hAnsi="Times New Roman" w:eastAsia="宋体" w:cs="Times New Roman"/>
          <w:bCs/>
          <w:color w:val="auto"/>
          <w:szCs w:val="21"/>
          <w:highlight w:val="none"/>
        </w:rPr>
        <w:t>”</w:t>
      </w:r>
      <w:r>
        <w:rPr>
          <w:rFonts w:hint="eastAsia" w:ascii="Times New Roman" w:hAnsi="Times New Roman" w:eastAsia="宋体" w:cs="Times New Roman"/>
          <w:bCs/>
          <w:color w:val="auto"/>
          <w:szCs w:val="21"/>
          <w:highlight w:val="none"/>
        </w:rPr>
        <w:t>的条款的资料和材料的；</w:t>
      </w:r>
    </w:p>
    <w:p w14:paraId="22C73560">
      <w:pPr>
        <w:spacing w:line="360" w:lineRule="auto"/>
        <w:ind w:firstLine="420"/>
        <w:rPr>
          <w:rFonts w:ascii="Times New Roman" w:hAnsi="Times New Roman" w:eastAsia="宋体" w:cs="Times New Roman"/>
          <w:color w:val="auto"/>
          <w:szCs w:val="21"/>
          <w:highlight w:val="none"/>
        </w:rPr>
      </w:pPr>
      <w:r>
        <w:rPr>
          <w:rFonts w:ascii="Times New Roman" w:hAnsi="Times New Roman" w:eastAsia="宋体" w:cs="Times New Roman"/>
          <w:b/>
          <w:bCs/>
          <w:color w:val="auto"/>
          <w:highlight w:val="none"/>
        </w:rPr>
        <w:t>2.</w:t>
      </w:r>
      <w:r>
        <w:rPr>
          <w:rFonts w:hint="eastAsia" w:ascii="Times New Roman" w:hAnsi="Times New Roman" w:eastAsia="宋体" w:cs="Times New Roman"/>
          <w:b/>
          <w:bCs/>
          <w:color w:val="auto"/>
          <w:highlight w:val="none"/>
        </w:rPr>
        <w:t>在技术评审时，如发现下列情形之一的，投标文件将被视为无效响应：</w:t>
      </w:r>
    </w:p>
    <w:p w14:paraId="3DE22FC1">
      <w:pPr>
        <w:spacing w:line="360" w:lineRule="auto"/>
        <w:ind w:firstLine="42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2.1</w:t>
      </w:r>
      <w:r>
        <w:rPr>
          <w:rFonts w:hint="eastAsia" w:ascii="Times New Roman" w:hAnsi="Times New Roman" w:eastAsia="宋体" w:cs="Times New Roman"/>
          <w:color w:val="auto"/>
          <w:szCs w:val="21"/>
          <w:highlight w:val="none"/>
        </w:rPr>
        <w:t>投标文件标明的响应或偏离与事实不符或虚假投标的；</w:t>
      </w:r>
    </w:p>
    <w:p w14:paraId="4EBD759A">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bCs/>
          <w:color w:val="auto"/>
          <w:szCs w:val="21"/>
          <w:highlight w:val="none"/>
        </w:rPr>
        <w:t>2.2</w:t>
      </w:r>
      <w:r>
        <w:rPr>
          <w:rFonts w:hint="eastAsia" w:ascii="Times New Roman" w:hAnsi="Times New Roman" w:eastAsia="宋体" w:cs="Times New Roman"/>
          <w:bCs/>
          <w:color w:val="auto"/>
          <w:szCs w:val="21"/>
          <w:highlight w:val="none"/>
        </w:rPr>
        <w:t>明显不符合采购文件标明的质量标准，或者采购文件中标</w:t>
      </w:r>
      <w:r>
        <w:rPr>
          <w:rFonts w:ascii="Times New Roman" w:hAnsi="Times New Roman" w:eastAsia="宋体" w:cs="Times New Roman"/>
          <w:bCs/>
          <w:color w:val="auto"/>
          <w:szCs w:val="21"/>
          <w:highlight w:val="none"/>
        </w:rPr>
        <w:t>“</w:t>
      </w:r>
      <w:r>
        <w:rPr>
          <w:rFonts w:hint="eastAsia" w:ascii="Times New Roman" w:hAnsi="Times New Roman" w:eastAsia="宋体" w:cs="Times New Roman"/>
          <w:b/>
          <w:color w:val="auto"/>
          <w:highlight w:val="none"/>
        </w:rPr>
        <w:t>★</w:t>
      </w:r>
      <w:r>
        <w:rPr>
          <w:rFonts w:ascii="Times New Roman" w:hAnsi="Times New Roman" w:eastAsia="宋体" w:cs="Times New Roman"/>
          <w:bCs/>
          <w:color w:val="auto"/>
          <w:szCs w:val="21"/>
          <w:highlight w:val="none"/>
        </w:rPr>
        <w:t>”</w:t>
      </w:r>
      <w:r>
        <w:rPr>
          <w:rFonts w:hint="eastAsia" w:ascii="Times New Roman" w:hAnsi="Times New Roman" w:eastAsia="宋体" w:cs="Times New Roman"/>
          <w:bCs/>
          <w:color w:val="auto"/>
          <w:szCs w:val="21"/>
          <w:highlight w:val="none"/>
        </w:rPr>
        <w:t>的技术参数、条款（如有）发生实质性偏离的；</w:t>
      </w:r>
    </w:p>
    <w:p w14:paraId="2FD49CF0">
      <w:pPr>
        <w:spacing w:line="360" w:lineRule="auto"/>
        <w:ind w:firstLine="42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2.3</w:t>
      </w:r>
      <w:r>
        <w:rPr>
          <w:rFonts w:hint="eastAsia" w:ascii="Times New Roman" w:hAnsi="Times New Roman" w:eastAsia="宋体" w:cs="Times New Roman"/>
          <w:color w:val="auto"/>
          <w:szCs w:val="21"/>
          <w:highlight w:val="none"/>
        </w:rPr>
        <w:t>投标技术方案不明确，存在一个或一个以上备选（替代）投标方案的；</w:t>
      </w:r>
    </w:p>
    <w:p w14:paraId="5A03FAC9">
      <w:pPr>
        <w:spacing w:line="360" w:lineRule="auto"/>
        <w:ind w:firstLine="420"/>
        <w:rPr>
          <w:rFonts w:ascii="Times New Roman" w:hAnsi="Times New Roman" w:eastAsia="宋体" w:cs="Times New Roman"/>
          <w:color w:val="auto"/>
          <w:szCs w:val="21"/>
          <w:highlight w:val="none"/>
        </w:rPr>
      </w:pPr>
      <w:r>
        <w:rPr>
          <w:rFonts w:ascii="Times New Roman" w:hAnsi="Times New Roman" w:eastAsia="宋体" w:cs="Times New Roman"/>
          <w:b/>
          <w:bCs/>
          <w:color w:val="auto"/>
          <w:highlight w:val="none"/>
        </w:rPr>
        <w:t>3.</w:t>
      </w:r>
      <w:r>
        <w:rPr>
          <w:rFonts w:hint="eastAsia" w:ascii="Times New Roman" w:hAnsi="Times New Roman" w:eastAsia="宋体" w:cs="Times New Roman"/>
          <w:b/>
          <w:color w:val="auto"/>
          <w:szCs w:val="21"/>
          <w:highlight w:val="none"/>
        </w:rPr>
        <w:t>在投标报价文件评审时</w:t>
      </w:r>
      <w:r>
        <w:rPr>
          <w:rFonts w:hint="eastAsia" w:ascii="Times New Roman" w:hAnsi="Times New Roman" w:eastAsia="宋体" w:cs="Times New Roman"/>
          <w:b/>
          <w:bCs/>
          <w:color w:val="auto"/>
          <w:highlight w:val="none"/>
        </w:rPr>
        <w:t>，如发现下列情形之一的，投标文件将被视为无效响应：</w:t>
      </w:r>
    </w:p>
    <w:p w14:paraId="21E3E8B1">
      <w:pPr>
        <w:snapToGrid w:val="0"/>
        <w:spacing w:line="360" w:lineRule="auto"/>
        <w:ind w:right="-86" w:rightChars="-41" w:firstLine="438" w:firstLineChars="209"/>
        <w:rPr>
          <w:rFonts w:ascii="Times New Roman" w:hAnsi="Times New Roman" w:eastAsia="宋体" w:cs="Times New Roman"/>
          <w:color w:val="auto"/>
          <w:szCs w:val="20"/>
          <w:highlight w:val="none"/>
        </w:rPr>
      </w:pPr>
      <w:r>
        <w:rPr>
          <w:rFonts w:ascii="Times New Roman" w:hAnsi="Times New Roman" w:eastAsia="宋体" w:cs="Times New Roman"/>
          <w:color w:val="auto"/>
          <w:szCs w:val="20"/>
          <w:highlight w:val="none"/>
        </w:rPr>
        <w:t>3.1</w:t>
      </w:r>
      <w:r>
        <w:rPr>
          <w:rFonts w:hint="eastAsia" w:ascii="Times New Roman" w:hAnsi="Times New Roman" w:eastAsia="宋体" w:cs="Times New Roman"/>
          <w:color w:val="auto"/>
          <w:szCs w:val="20"/>
          <w:highlight w:val="none"/>
        </w:rPr>
        <w:t>未采用人民币报价或者未按照采购文件标明的币种报价的；</w:t>
      </w:r>
    </w:p>
    <w:p w14:paraId="1C1AFC63">
      <w:pPr>
        <w:snapToGrid w:val="0"/>
        <w:spacing w:line="360" w:lineRule="auto"/>
        <w:ind w:right="-86" w:rightChars="-41" w:firstLine="438" w:firstLineChars="209"/>
        <w:rPr>
          <w:rFonts w:ascii="Times New Roman" w:hAnsi="Times New Roman" w:eastAsia="宋体" w:cs="Times New Roman"/>
          <w:color w:val="auto"/>
          <w:szCs w:val="20"/>
          <w:highlight w:val="none"/>
        </w:rPr>
      </w:pPr>
      <w:r>
        <w:rPr>
          <w:rFonts w:ascii="Times New Roman" w:hAnsi="Times New Roman" w:eastAsia="宋体" w:cs="Times New Roman"/>
          <w:color w:val="auto"/>
          <w:szCs w:val="20"/>
          <w:highlight w:val="none"/>
        </w:rPr>
        <w:t>3.2</w:t>
      </w:r>
      <w:r>
        <w:rPr>
          <w:rFonts w:hint="eastAsia" w:ascii="Times New Roman" w:hAnsi="Times New Roman" w:eastAsia="宋体" w:cs="Times New Roman"/>
          <w:color w:val="auto"/>
          <w:szCs w:val="20"/>
          <w:highlight w:val="none"/>
        </w:rPr>
        <w:t>报价超出最高限价，或者超出采购预算金额，采购人不能支付的；</w:t>
      </w:r>
    </w:p>
    <w:p w14:paraId="0C575F46">
      <w:pPr>
        <w:snapToGrid w:val="0"/>
        <w:spacing w:line="360" w:lineRule="auto"/>
        <w:ind w:right="-86" w:rightChars="-41" w:firstLine="438" w:firstLineChars="209"/>
        <w:rPr>
          <w:rFonts w:ascii="Times New Roman" w:hAnsi="Times New Roman" w:eastAsia="宋体" w:cs="Times New Roman"/>
          <w:color w:val="auto"/>
          <w:szCs w:val="20"/>
          <w:highlight w:val="none"/>
        </w:rPr>
      </w:pPr>
      <w:r>
        <w:rPr>
          <w:rFonts w:ascii="Times New Roman" w:hAnsi="Times New Roman" w:eastAsia="宋体" w:cs="Times New Roman"/>
          <w:color w:val="auto"/>
          <w:szCs w:val="20"/>
          <w:highlight w:val="none"/>
        </w:rPr>
        <w:t>3.3</w:t>
      </w:r>
      <w:r>
        <w:rPr>
          <w:rFonts w:hint="eastAsia" w:ascii="Times New Roman" w:hAnsi="Times New Roman" w:eastAsia="宋体" w:cs="Times New Roman"/>
          <w:color w:val="auto"/>
          <w:szCs w:val="20"/>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34A46E7">
      <w:pPr>
        <w:snapToGrid w:val="0"/>
        <w:spacing w:line="360" w:lineRule="auto"/>
        <w:ind w:right="-86" w:rightChars="-41" w:firstLine="438" w:firstLineChars="209"/>
        <w:rPr>
          <w:rFonts w:ascii="Times New Roman" w:hAnsi="Times New Roman" w:eastAsia="宋体" w:cs="Times New Roman"/>
          <w:color w:val="auto"/>
          <w:szCs w:val="20"/>
          <w:highlight w:val="none"/>
        </w:rPr>
      </w:pPr>
      <w:r>
        <w:rPr>
          <w:rFonts w:ascii="Times New Roman" w:hAnsi="Times New Roman" w:eastAsia="宋体" w:cs="Times New Roman"/>
          <w:color w:val="auto"/>
          <w:szCs w:val="20"/>
          <w:highlight w:val="none"/>
        </w:rPr>
        <w:t>3.4</w:t>
      </w:r>
      <w:r>
        <w:rPr>
          <w:rFonts w:hint="eastAsia" w:ascii="Times New Roman" w:hAnsi="Times New Roman" w:eastAsia="宋体" w:cs="Times New Roman"/>
          <w:color w:val="auto"/>
          <w:szCs w:val="20"/>
          <w:highlight w:val="none"/>
        </w:rPr>
        <w:t>投标报价具有选择性，或者开标价格与投标文件承诺的优惠（折扣）价格不一致的；</w:t>
      </w:r>
    </w:p>
    <w:p w14:paraId="0E8A5C10">
      <w:pPr>
        <w:spacing w:line="360" w:lineRule="auto"/>
        <w:ind w:firstLine="422" w:firstLineChars="200"/>
        <w:rPr>
          <w:rFonts w:ascii="Times New Roman" w:hAnsi="Times New Roman" w:eastAsia="宋体" w:cs="Times New Roman"/>
          <w:b/>
          <w:bCs/>
          <w:color w:val="auto"/>
          <w:szCs w:val="20"/>
          <w:highlight w:val="none"/>
        </w:rPr>
      </w:pPr>
      <w:bookmarkStart w:id="6" w:name="_Hlk175926338"/>
      <w:r>
        <w:rPr>
          <w:rFonts w:hint="eastAsia" w:ascii="宋体" w:hAnsi="宋体" w:eastAsia="宋体" w:cs="Times New Roman"/>
          <w:b/>
          <w:bCs/>
          <w:color w:val="auto"/>
          <w:highlight w:val="none"/>
        </w:rPr>
        <w:t>4.</w:t>
      </w:r>
      <w:r>
        <w:rPr>
          <w:rFonts w:ascii="宋体" w:hAnsi="宋体" w:eastAsia="宋体" w:cs="Times New Roman"/>
          <w:b/>
          <w:bCs/>
          <w:color w:val="auto"/>
          <w:highlight w:val="none"/>
        </w:rPr>
        <w:t>在不影响公平竞争的前提下，采购文件中参与同一标段（包）的供应商存在以下情形的，其投标文件相应无效：MAC地址相同、计算机硬盘序列号相同、采购文件细节错误一致且无合理解释的等情形。</w:t>
      </w:r>
      <w:bookmarkEnd w:id="6"/>
    </w:p>
    <w:p w14:paraId="15428956">
      <w:pPr>
        <w:snapToGrid w:val="0"/>
        <w:spacing w:line="360" w:lineRule="auto"/>
        <w:ind w:right="-86" w:rightChars="-41" w:firstLine="441" w:firstLineChars="209"/>
        <w:rPr>
          <w:rFonts w:ascii="Times New Roman" w:hAnsi="Times New Roman" w:eastAsia="宋体" w:cs="Times New Roman"/>
          <w:color w:val="auto"/>
          <w:szCs w:val="20"/>
          <w:highlight w:val="none"/>
        </w:rPr>
      </w:pPr>
      <w:r>
        <w:rPr>
          <w:rFonts w:hint="eastAsia" w:ascii="Times New Roman" w:hAnsi="Times New Roman" w:eastAsia="宋体" w:cs="Times New Roman"/>
          <w:b/>
          <w:bCs/>
          <w:color w:val="auto"/>
          <w:szCs w:val="20"/>
          <w:highlight w:val="none"/>
        </w:rPr>
        <w:t>5</w:t>
      </w:r>
      <w:r>
        <w:rPr>
          <w:rFonts w:ascii="Times New Roman" w:hAnsi="Times New Roman" w:eastAsia="宋体" w:cs="Times New Roman"/>
          <w:b/>
          <w:bCs/>
          <w:color w:val="auto"/>
          <w:szCs w:val="20"/>
          <w:highlight w:val="none"/>
        </w:rPr>
        <w:t>.</w:t>
      </w:r>
      <w:r>
        <w:rPr>
          <w:rFonts w:hint="eastAsia" w:ascii="Times New Roman" w:hAnsi="Times New Roman" w:eastAsia="宋体" w:cs="Times New Roman"/>
          <w:b/>
          <w:bCs/>
          <w:color w:val="auto"/>
          <w:szCs w:val="20"/>
          <w:highlight w:val="none"/>
        </w:rPr>
        <w:t>法律、法规和采购文件规定的其他无效情形。</w:t>
      </w:r>
    </w:p>
    <w:p w14:paraId="7D4AC360">
      <w:pPr>
        <w:snapToGrid w:val="0"/>
        <w:spacing w:line="360" w:lineRule="auto"/>
        <w:ind w:right="-86" w:rightChars="-41"/>
        <w:rPr>
          <w:rFonts w:ascii="Times New Roman" w:hAnsi="Times New Roman" w:eastAsia="宋体" w:cs="Times New Roman"/>
          <w:color w:val="auto"/>
          <w:szCs w:val="20"/>
          <w:highlight w:val="none"/>
        </w:rPr>
      </w:pPr>
      <w:r>
        <w:rPr>
          <w:rFonts w:hint="eastAsia" w:ascii="Times New Roman" w:hAnsi="Times New Roman" w:eastAsia="宋体" w:cs="Times New Roman"/>
          <w:b/>
          <w:color w:val="auto"/>
          <w:szCs w:val="21"/>
          <w:highlight w:val="none"/>
        </w:rPr>
        <w:t>（七）</w:t>
      </w:r>
      <w:r>
        <w:rPr>
          <w:rFonts w:hint="eastAsia" w:ascii="Times New Roman" w:hAnsi="Times New Roman" w:eastAsia="宋体" w:cs="Times New Roman"/>
          <w:b/>
          <w:color w:val="auto"/>
          <w:szCs w:val="20"/>
          <w:highlight w:val="none"/>
        </w:rPr>
        <w:t>出现以下情形，导致电子交易平台无法正常运行，或者无法保证电子交易的公平、公正和安全时，中止电子交易活动：</w:t>
      </w:r>
    </w:p>
    <w:p w14:paraId="45D8841B">
      <w:pPr>
        <w:snapToGrid w:val="0"/>
        <w:spacing w:line="360" w:lineRule="auto"/>
        <w:ind w:right="-86" w:rightChars="-41" w:firstLine="438" w:firstLineChars="209"/>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（一）电子交易平台发生故障而无法登录访问的；</w:t>
      </w:r>
    </w:p>
    <w:p w14:paraId="3009A14A">
      <w:pPr>
        <w:snapToGrid w:val="0"/>
        <w:spacing w:line="360" w:lineRule="auto"/>
        <w:ind w:right="-86" w:rightChars="-41" w:firstLine="438" w:firstLineChars="209"/>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（二）电子交易平台应用或数据库出现错误，不能进行正常操作的；</w:t>
      </w:r>
    </w:p>
    <w:p w14:paraId="49414760">
      <w:pPr>
        <w:snapToGrid w:val="0"/>
        <w:spacing w:line="360" w:lineRule="auto"/>
        <w:ind w:right="-86" w:rightChars="-41" w:firstLine="438" w:firstLineChars="209"/>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（三）电子交易平台发现严重安全漏洞，有潜在泄密危险的；</w:t>
      </w:r>
    </w:p>
    <w:p w14:paraId="5EA6D7BC">
      <w:pPr>
        <w:snapToGrid w:val="0"/>
        <w:spacing w:line="360" w:lineRule="auto"/>
        <w:ind w:right="-86" w:rightChars="-41" w:firstLine="438" w:firstLineChars="209"/>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（四）病毒发作导致不能进行正常操作的；</w:t>
      </w:r>
    </w:p>
    <w:p w14:paraId="5A6DD6AB">
      <w:pPr>
        <w:snapToGrid w:val="0"/>
        <w:spacing w:line="360" w:lineRule="auto"/>
        <w:ind w:right="-86" w:rightChars="-41" w:firstLine="438" w:firstLineChars="209"/>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（五）其他无法保证电子交易的公平、公正和安全的情况。</w:t>
      </w:r>
    </w:p>
    <w:p w14:paraId="424BAD70">
      <w:pPr>
        <w:snapToGrid w:val="0"/>
        <w:spacing w:line="360" w:lineRule="auto"/>
        <w:ind w:right="-86" w:rightChars="-41" w:firstLine="438" w:firstLineChars="209"/>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出现前款规定情形，不影响采购公平、公正性的，代理机构可以待上述情形消除后继续组织电子交易活动，也可以决定某些环节以纸质形式进行；影响或可能影响采购公平、公正性的，重新采购。</w:t>
      </w:r>
    </w:p>
    <w:p w14:paraId="5A663495">
      <w:pPr>
        <w:widowControl/>
        <w:snapToGrid w:val="0"/>
        <w:spacing w:line="360" w:lineRule="auto"/>
        <w:ind w:right="55"/>
        <w:rPr>
          <w:rFonts w:ascii="Times New Roman" w:hAnsi="Times New Roman" w:eastAsia="宋体" w:cs="Times New Roman"/>
          <w:b/>
          <w:bCs/>
          <w:color w:val="auto"/>
          <w:spacing w:val="-4"/>
          <w:kern w:val="0"/>
          <w:szCs w:val="21"/>
          <w:highlight w:val="none"/>
        </w:rPr>
      </w:pPr>
      <w:r>
        <w:rPr>
          <w:rFonts w:hint="eastAsia" w:ascii="Times New Roman" w:hAnsi="Times New Roman" w:eastAsia="宋体" w:cs="Times New Roman"/>
          <w:b/>
          <w:bCs/>
          <w:color w:val="auto"/>
          <w:spacing w:val="-4"/>
          <w:kern w:val="0"/>
          <w:szCs w:val="21"/>
          <w:highlight w:val="none"/>
        </w:rPr>
        <w:t>（八）报名不足三家的处理方式</w:t>
      </w:r>
    </w:p>
    <w:p w14:paraId="7BF27BC1">
      <w:pPr>
        <w:widowControl/>
        <w:snapToGrid w:val="0"/>
        <w:spacing w:line="360" w:lineRule="auto"/>
        <w:ind w:right="55" w:firstLine="470"/>
        <w:rPr>
          <w:rFonts w:ascii="Times New Roman" w:hAnsi="Times New Roman" w:eastAsia="宋体" w:cs="Times New Roman"/>
          <w:bCs/>
          <w:color w:val="auto"/>
          <w:spacing w:val="-4"/>
          <w:kern w:val="0"/>
          <w:szCs w:val="21"/>
          <w:highlight w:val="none"/>
        </w:rPr>
      </w:pPr>
      <w:r>
        <w:rPr>
          <w:rFonts w:hint="eastAsia" w:ascii="Times New Roman" w:hAnsi="Times New Roman" w:eastAsia="宋体" w:cs="Times New Roman"/>
          <w:bCs/>
          <w:color w:val="auto"/>
          <w:spacing w:val="-4"/>
          <w:kern w:val="0"/>
          <w:szCs w:val="21"/>
          <w:highlight w:val="none"/>
        </w:rPr>
        <w:t>报名时间截止后，在开标时间前获取招标文件的潜在投标人不足三家的，采购代理机构可以顺延提供期限，并予公告。</w:t>
      </w:r>
    </w:p>
    <w:p w14:paraId="1E21973F">
      <w:pPr>
        <w:widowControl/>
        <w:snapToGrid w:val="0"/>
        <w:spacing w:line="360" w:lineRule="auto"/>
        <w:ind w:right="55"/>
        <w:jc w:val="left"/>
        <w:rPr>
          <w:rFonts w:ascii="Times New Roman" w:hAnsi="Times New Roman" w:eastAsia="宋体" w:cs="Times New Roman"/>
          <w:b/>
          <w:color w:val="auto"/>
          <w:spacing w:val="-4"/>
          <w:kern w:val="0"/>
          <w:sz w:val="28"/>
          <w:szCs w:val="28"/>
          <w:highlight w:val="none"/>
        </w:rPr>
      </w:pPr>
      <w:r>
        <w:rPr>
          <w:rFonts w:hint="eastAsia" w:ascii="Times New Roman" w:hAnsi="Times New Roman" w:eastAsia="宋体" w:cs="Times New Roman"/>
          <w:b/>
          <w:color w:val="auto"/>
          <w:spacing w:val="-4"/>
          <w:kern w:val="0"/>
          <w:szCs w:val="21"/>
          <w:highlight w:val="none"/>
        </w:rPr>
        <w:t>（九）被拒绝的投标文件为无效。</w:t>
      </w:r>
    </w:p>
    <w:p w14:paraId="1C5C0F99">
      <w:pPr>
        <w:widowControl/>
        <w:snapToGrid w:val="0"/>
        <w:spacing w:line="360" w:lineRule="auto"/>
        <w:ind w:right="55" w:firstLine="3591" w:firstLineChars="1315"/>
        <w:rPr>
          <w:rFonts w:ascii="Times New Roman" w:hAnsi="Times New Roman" w:eastAsia="宋体" w:cs="Times New Roman"/>
          <w:b/>
          <w:color w:val="auto"/>
          <w:spacing w:val="-4"/>
          <w:kern w:val="0"/>
          <w:sz w:val="28"/>
          <w:szCs w:val="28"/>
          <w:highlight w:val="none"/>
        </w:rPr>
      </w:pPr>
      <w:r>
        <w:rPr>
          <w:rFonts w:hint="eastAsia" w:ascii="Times New Roman" w:hAnsi="Times New Roman" w:eastAsia="宋体" w:cs="Times New Roman"/>
          <w:b/>
          <w:color w:val="auto"/>
          <w:spacing w:val="-4"/>
          <w:kern w:val="0"/>
          <w:sz w:val="28"/>
          <w:szCs w:val="28"/>
          <w:highlight w:val="none"/>
        </w:rPr>
        <w:t>四、开标</w:t>
      </w:r>
    </w:p>
    <w:p w14:paraId="05EADAEA">
      <w:pPr>
        <w:spacing w:after="120" w:line="360" w:lineRule="auto"/>
        <w:ind w:firstLine="422" w:firstLineChars="200"/>
        <w:jc w:val="left"/>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电子招投标开标及评审程序</w:t>
      </w:r>
    </w:p>
    <w:p w14:paraId="0AF42C1A">
      <w:pPr>
        <w:adjustRightInd w:val="0"/>
        <w:snapToGrid w:val="0"/>
        <w:spacing w:line="360" w:lineRule="auto"/>
        <w:ind w:firstLine="420" w:firstLineChars="20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rPr>
        <w:t>采购组织机构按照规定的时间通过政采云系统组织开标、开启响应文件，所有投标人均应当准时在线参加。</w:t>
      </w:r>
    </w:p>
    <w:p w14:paraId="15B263C1">
      <w:pPr>
        <w:adjustRightInd w:val="0"/>
        <w:snapToGrid w:val="0"/>
        <w:spacing w:line="360" w:lineRule="auto"/>
        <w:ind w:firstLine="420" w:firstLineChars="20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rPr>
        <w:t>投标截止时间后，投标人登录政采云平台，用</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项目采购</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开标评标</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功能对电子投标文件进行</w:t>
      </w:r>
      <w:r>
        <w:rPr>
          <w:rFonts w:hint="eastAsia" w:ascii="Times New Roman" w:hAnsi="Times New Roman" w:eastAsia="宋体" w:cs="Times New Roman"/>
          <w:b/>
          <w:bCs/>
          <w:color w:val="auto"/>
          <w:szCs w:val="21"/>
          <w:highlight w:val="none"/>
        </w:rPr>
        <w:t>在线解密。</w:t>
      </w:r>
      <w:r>
        <w:rPr>
          <w:rFonts w:hint="eastAsia" w:ascii="Times New Roman" w:hAnsi="Times New Roman" w:eastAsia="宋体" w:cs="Times New Roman"/>
          <w:color w:val="auto"/>
          <w:szCs w:val="21"/>
          <w:highlight w:val="none"/>
        </w:rPr>
        <w:t>在线解密电子投标文件时间</w:t>
      </w:r>
      <w:r>
        <w:rPr>
          <w:rFonts w:hint="eastAsia" w:ascii="Times New Roman" w:hAnsi="Times New Roman" w:eastAsia="宋体" w:cs="Times New Roman"/>
          <w:b/>
          <w:bCs/>
          <w:color w:val="auto"/>
          <w:szCs w:val="21"/>
          <w:highlight w:val="none"/>
        </w:rPr>
        <w:t>为开标时间起半个小时内；</w:t>
      </w:r>
    </w:p>
    <w:p w14:paraId="34822A6D">
      <w:pPr>
        <w:adjustRightInd w:val="0"/>
        <w:snapToGrid w:val="0"/>
        <w:spacing w:line="360" w:lineRule="auto"/>
        <w:ind w:firstLine="420" w:firstLineChars="20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w:t>
      </w:r>
      <w:r>
        <w:rPr>
          <w:rFonts w:hint="eastAsia" w:ascii="Times New Roman" w:hAnsi="Times New Roman" w:eastAsia="宋体" w:cs="Times New Roman"/>
          <w:color w:val="auto"/>
          <w:szCs w:val="21"/>
          <w:highlight w:val="none"/>
        </w:rPr>
        <w:t>采购人或代理机构对资格文件进行评审，评标委员会对商务技术响应文件进行评审。</w:t>
      </w:r>
    </w:p>
    <w:p w14:paraId="4B0A000D">
      <w:pPr>
        <w:adjustRightInd w:val="0"/>
        <w:snapToGrid w:val="0"/>
        <w:spacing w:line="360" w:lineRule="auto"/>
        <w:ind w:firstLine="420" w:firstLineChars="20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w:t>
      </w:r>
      <w:r>
        <w:rPr>
          <w:rFonts w:hint="eastAsia" w:ascii="Times New Roman" w:hAnsi="Times New Roman" w:eastAsia="宋体" w:cs="Times New Roman"/>
          <w:color w:val="auto"/>
          <w:szCs w:val="21"/>
          <w:highlight w:val="none"/>
        </w:rPr>
        <w:t>在系统上公开资格和商务技术评审结果；</w:t>
      </w:r>
    </w:p>
    <w:p w14:paraId="60C4C87E">
      <w:pPr>
        <w:adjustRightInd w:val="0"/>
        <w:snapToGrid w:val="0"/>
        <w:spacing w:line="360" w:lineRule="auto"/>
        <w:ind w:firstLine="420" w:firstLineChars="20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5.</w:t>
      </w:r>
      <w:r>
        <w:rPr>
          <w:rFonts w:hint="eastAsia" w:ascii="Times New Roman" w:hAnsi="Times New Roman" w:eastAsia="宋体" w:cs="Times New Roman"/>
          <w:color w:val="auto"/>
          <w:szCs w:val="21"/>
          <w:highlight w:val="none"/>
        </w:rPr>
        <w:t>在系统上公开报价开标情况；</w:t>
      </w:r>
    </w:p>
    <w:p w14:paraId="2EEFEA48">
      <w:pPr>
        <w:adjustRightInd w:val="0"/>
        <w:snapToGrid w:val="0"/>
        <w:spacing w:line="360" w:lineRule="auto"/>
        <w:ind w:firstLine="420" w:firstLineChars="20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6.</w:t>
      </w:r>
      <w:r>
        <w:rPr>
          <w:rFonts w:hint="eastAsia" w:ascii="Times New Roman" w:hAnsi="Times New Roman" w:eastAsia="宋体" w:cs="Times New Roman"/>
          <w:color w:val="auto"/>
          <w:szCs w:val="21"/>
          <w:highlight w:val="none"/>
        </w:rPr>
        <w:t>评标委员会对报价情况进行评审；</w:t>
      </w:r>
    </w:p>
    <w:p w14:paraId="5A54EAD5">
      <w:pPr>
        <w:adjustRightInd w:val="0"/>
        <w:snapToGrid w:val="0"/>
        <w:spacing w:line="360" w:lineRule="auto"/>
        <w:ind w:firstLine="420" w:firstLineChars="20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7.</w:t>
      </w:r>
      <w:r>
        <w:rPr>
          <w:rFonts w:hint="eastAsia" w:ascii="Times New Roman" w:hAnsi="Times New Roman" w:eastAsia="宋体" w:cs="Times New Roman"/>
          <w:color w:val="auto"/>
          <w:szCs w:val="21"/>
          <w:highlight w:val="none"/>
        </w:rPr>
        <w:t>在系统上公布评审结果。</w:t>
      </w:r>
    </w:p>
    <w:p w14:paraId="128F5A5F">
      <w:pPr>
        <w:adjustRightInd w:val="0"/>
        <w:snapToGrid w:val="0"/>
        <w:spacing w:line="360" w:lineRule="auto"/>
        <w:ind w:firstLine="420" w:firstLineChars="200"/>
        <w:jc w:val="left"/>
        <w:rPr>
          <w:rFonts w:ascii="Times New Roman" w:hAnsi="Times New Roman" w:eastAsia="宋体" w:cs="Times New Roman"/>
          <w:b/>
          <w:color w:val="auto"/>
          <w:sz w:val="28"/>
          <w:highlight w:val="none"/>
        </w:rPr>
      </w:pPr>
      <w:r>
        <w:rPr>
          <w:rFonts w:hint="eastAsia" w:ascii="Times New Roman" w:hAnsi="Times New Roman" w:eastAsia="宋体" w:cs="Times New Roman"/>
          <w:color w:val="auto"/>
          <w:szCs w:val="21"/>
          <w:highlight w:val="none"/>
        </w:rPr>
        <w:t>特别说明：政采云公司如对电子化开标及评审程序有调整的，按调整后的程序操作。</w:t>
      </w:r>
    </w:p>
    <w:p w14:paraId="00518151">
      <w:pPr>
        <w:snapToGrid w:val="0"/>
        <w:spacing w:before="120"/>
        <w:ind w:right="-87" w:firstLine="3654" w:firstLineChars="1300"/>
        <w:outlineLvl w:val="1"/>
        <w:rPr>
          <w:rFonts w:ascii="Times New Roman" w:hAnsi="Times New Roman" w:eastAsia="宋体" w:cs="Times New Roman"/>
          <w:b/>
          <w:color w:val="auto"/>
          <w:sz w:val="28"/>
          <w:highlight w:val="none"/>
        </w:rPr>
      </w:pPr>
      <w:r>
        <w:rPr>
          <w:rFonts w:hint="eastAsia" w:ascii="Times New Roman" w:hAnsi="Times New Roman" w:eastAsia="宋体" w:cs="Times New Roman"/>
          <w:b/>
          <w:color w:val="auto"/>
          <w:sz w:val="28"/>
          <w:highlight w:val="none"/>
        </w:rPr>
        <w:t>五、评标</w:t>
      </w:r>
    </w:p>
    <w:p w14:paraId="14F355BC">
      <w:pPr>
        <w:snapToGrid w:val="0"/>
        <w:spacing w:before="120"/>
        <w:ind w:right="-87"/>
        <w:rPr>
          <w:rFonts w:ascii="Times New Roman" w:hAnsi="Times New Roman" w:eastAsia="宋体" w:cs="Times New Roman"/>
          <w:b/>
          <w:color w:val="auto"/>
          <w:highlight w:val="none"/>
        </w:rPr>
      </w:pPr>
      <w:r>
        <w:rPr>
          <w:rFonts w:hint="eastAsia" w:ascii="Times New Roman" w:hAnsi="Times New Roman" w:eastAsia="宋体" w:cs="Times New Roman"/>
          <w:b/>
          <w:color w:val="auto"/>
          <w:highlight w:val="none"/>
        </w:rPr>
        <w:t>（一）组建评标委员会</w:t>
      </w:r>
    </w:p>
    <w:p w14:paraId="23BD123B">
      <w:pPr>
        <w:snapToGrid w:val="0"/>
        <w:spacing w:before="120" w:line="360" w:lineRule="auto"/>
        <w:ind w:right="-87"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评标委员会由采购人代表和评审专家组成，成员人数为5人（含）以上单数，其中评审专家不得少于成员总数的三分之二。</w:t>
      </w:r>
    </w:p>
    <w:p w14:paraId="1D203DE3">
      <w:pPr>
        <w:snapToGrid w:val="0"/>
        <w:spacing w:before="120" w:line="360" w:lineRule="auto"/>
        <w:ind w:right="-87"/>
        <w:rPr>
          <w:rFonts w:ascii="Times New Roman" w:hAnsi="Times New Roman" w:eastAsia="宋体" w:cs="Times New Roman"/>
          <w:b/>
          <w:color w:val="auto"/>
          <w:highlight w:val="none"/>
        </w:rPr>
      </w:pPr>
      <w:r>
        <w:rPr>
          <w:rFonts w:hint="eastAsia" w:ascii="Times New Roman" w:hAnsi="Times New Roman" w:eastAsia="宋体" w:cs="Times New Roman"/>
          <w:b/>
          <w:color w:val="auto"/>
          <w:highlight w:val="none"/>
        </w:rPr>
        <w:t>（二）评标程序</w:t>
      </w:r>
    </w:p>
    <w:p w14:paraId="29443755">
      <w:pPr>
        <w:snapToGrid w:val="0"/>
        <w:spacing w:line="360" w:lineRule="auto"/>
        <w:ind w:right="-87"/>
        <w:rPr>
          <w:rFonts w:ascii="Times New Roman" w:hAnsi="Times New Roman" w:eastAsia="宋体" w:cs="Times New Roman"/>
          <w:color w:val="auto"/>
          <w:szCs w:val="21"/>
          <w:highlight w:val="none"/>
        </w:rPr>
      </w:pPr>
      <w:r>
        <w:rPr>
          <w:rFonts w:ascii="Times New Roman" w:hAnsi="Times New Roman" w:eastAsia="宋体" w:cs="Times New Roman"/>
          <w:b/>
          <w:color w:val="auto"/>
          <w:szCs w:val="21"/>
          <w:highlight w:val="none"/>
        </w:rPr>
        <w:t>1.</w:t>
      </w:r>
      <w:r>
        <w:rPr>
          <w:rFonts w:hint="eastAsia" w:ascii="Times New Roman" w:hAnsi="Times New Roman" w:eastAsia="宋体" w:cs="Times New Roman"/>
          <w:b/>
          <w:color w:val="auto"/>
          <w:szCs w:val="21"/>
          <w:highlight w:val="none"/>
        </w:rPr>
        <w:t>投标文件初审。</w:t>
      </w:r>
    </w:p>
    <w:p w14:paraId="4E089218">
      <w:pPr>
        <w:snapToGrid w:val="0"/>
        <w:spacing w:line="360" w:lineRule="auto"/>
        <w:ind w:right="-87" w:firstLine="420" w:firstLineChars="200"/>
        <w:rPr>
          <w:rFonts w:ascii="Times New Roman" w:hAnsi="Times New Roman" w:eastAsia="宋体" w:cs="Times New Roman"/>
          <w:b/>
          <w:color w:val="auto"/>
          <w:szCs w:val="21"/>
          <w:highlight w:val="none"/>
        </w:rPr>
      </w:pPr>
      <w:r>
        <w:rPr>
          <w:rFonts w:hint="eastAsia" w:ascii="Times New Roman" w:hAnsi="Times New Roman" w:eastAsia="宋体" w:cs="Times New Roman"/>
          <w:color w:val="auto"/>
          <w:szCs w:val="21"/>
          <w:highlight w:val="none"/>
        </w:rPr>
        <w:t>初审分为资格性检查和符合性检查。</w:t>
      </w:r>
    </w:p>
    <w:p w14:paraId="1059C978">
      <w:pPr>
        <w:adjustRightInd w:val="0"/>
        <w:snapToGrid w:val="0"/>
        <w:spacing w:line="360" w:lineRule="auto"/>
        <w:ind w:firstLine="420" w:firstLineChars="20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1.1</w:t>
      </w:r>
      <w:r>
        <w:rPr>
          <w:rFonts w:hint="eastAsia" w:ascii="Times New Roman" w:hAnsi="Times New Roman" w:eastAsia="宋体" w:cs="Times New Roman"/>
          <w:color w:val="auto"/>
          <w:szCs w:val="21"/>
          <w:highlight w:val="none"/>
        </w:rPr>
        <w:t>资格性检查。依据法律法规和采购文件的规定，对投标文件中的资格证明等进行审查，以确定投标人是否具备投标资格。</w:t>
      </w:r>
    </w:p>
    <w:p w14:paraId="79302A36">
      <w:pPr>
        <w:adjustRightInd w:val="0"/>
        <w:snapToGrid w:val="0"/>
        <w:spacing w:line="360" w:lineRule="auto"/>
        <w:ind w:firstLine="420" w:firstLineChars="20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1.2</w:t>
      </w:r>
      <w:r>
        <w:rPr>
          <w:rFonts w:hint="eastAsia" w:ascii="Times New Roman" w:hAnsi="Times New Roman" w:eastAsia="宋体" w:cs="Times New Roman"/>
          <w:color w:val="auto"/>
          <w:szCs w:val="21"/>
          <w:highlight w:val="none"/>
        </w:rPr>
        <w:t>符合性检查。依据采购文件的规定，从投标文件的有效性、完整性和对采购文件的响应程度进行审查，以确定是否对采购文件的实质性要求作出响应。</w:t>
      </w:r>
    </w:p>
    <w:p w14:paraId="35F844FC">
      <w:pPr>
        <w:snapToGrid w:val="0"/>
        <w:spacing w:line="360" w:lineRule="auto"/>
        <w:ind w:right="-87"/>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2.</w:t>
      </w:r>
      <w:r>
        <w:rPr>
          <w:rFonts w:hint="eastAsia" w:ascii="Times New Roman" w:hAnsi="Times New Roman" w:eastAsia="宋体" w:cs="Times New Roman"/>
          <w:b/>
          <w:color w:val="auto"/>
          <w:szCs w:val="21"/>
          <w:highlight w:val="none"/>
        </w:rPr>
        <w:t>实质审查</w:t>
      </w:r>
    </w:p>
    <w:p w14:paraId="7E926517">
      <w:pPr>
        <w:spacing w:line="360" w:lineRule="auto"/>
        <w:ind w:firstLine="420" w:firstLineChars="200"/>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1</w:t>
      </w:r>
      <w:r>
        <w:rPr>
          <w:rFonts w:hint="eastAsia" w:ascii="Times New Roman" w:hAnsi="Times New Roman" w:eastAsia="宋体" w:cs="Times New Roman"/>
          <w:color w:val="auto"/>
          <w:kern w:val="0"/>
          <w:szCs w:val="21"/>
          <w:highlight w:val="none"/>
        </w:rPr>
        <w:t>）评标委员会审查投标文件的实质性内容是否符合采购文件的实质性要求。</w:t>
      </w:r>
    </w:p>
    <w:p w14:paraId="0803C853">
      <w:pPr>
        <w:spacing w:line="360" w:lineRule="auto"/>
        <w:ind w:firstLine="420" w:firstLineChars="200"/>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2</w:t>
      </w:r>
      <w:r>
        <w:rPr>
          <w:rFonts w:hint="eastAsia" w:ascii="Times New Roman" w:hAnsi="Times New Roman" w:eastAsia="宋体" w:cs="Times New Roman"/>
          <w:color w:val="auto"/>
          <w:kern w:val="0"/>
          <w:szCs w:val="21"/>
          <w:highlight w:val="none"/>
        </w:rPr>
        <w:t>）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41B35397">
      <w:pPr>
        <w:spacing w:line="360" w:lineRule="auto"/>
        <w:ind w:firstLine="420" w:firstLineChars="200"/>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3</w:t>
      </w:r>
      <w:r>
        <w:rPr>
          <w:rFonts w:hint="eastAsia" w:ascii="Times New Roman" w:hAnsi="Times New Roman" w:eastAsia="宋体" w:cs="Times New Roman"/>
          <w:color w:val="auto"/>
          <w:kern w:val="0"/>
          <w:szCs w:val="21"/>
          <w:highlight w:val="none"/>
        </w:rPr>
        <w:t>）评审小组商务、技术方案响应性评定；</w:t>
      </w:r>
    </w:p>
    <w:p w14:paraId="6B9E60AB">
      <w:pPr>
        <w:spacing w:line="360" w:lineRule="auto"/>
        <w:ind w:firstLine="420" w:firstLineChars="200"/>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4</w:t>
      </w:r>
      <w:r>
        <w:rPr>
          <w:rFonts w:hint="eastAsia" w:ascii="Times New Roman" w:hAnsi="Times New Roman" w:eastAsia="宋体" w:cs="Times New Roman"/>
          <w:color w:val="auto"/>
          <w:kern w:val="0"/>
          <w:szCs w:val="21"/>
          <w:highlight w:val="none"/>
        </w:rPr>
        <w:t>）各投标人的技术得分为所有评委的有效评分的算术平均数，由指定专人进行计算复核。</w:t>
      </w:r>
    </w:p>
    <w:p w14:paraId="6A94AF94">
      <w:pPr>
        <w:spacing w:line="360" w:lineRule="auto"/>
        <w:ind w:firstLine="420" w:firstLineChars="200"/>
        <w:rPr>
          <w:rFonts w:ascii="Times New Roman" w:hAnsi="Times New Roman" w:eastAsia="宋体" w:cs="Times New Roman"/>
          <w:b/>
          <w:color w:val="auto"/>
          <w:szCs w:val="21"/>
          <w:highlight w:val="none"/>
        </w:rPr>
      </w:pP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5</w:t>
      </w:r>
      <w:r>
        <w:rPr>
          <w:rFonts w:hint="eastAsia" w:ascii="Times New Roman" w:hAnsi="Times New Roman" w:eastAsia="宋体" w:cs="Times New Roman"/>
          <w:color w:val="auto"/>
          <w:kern w:val="0"/>
          <w:szCs w:val="21"/>
          <w:highlight w:val="none"/>
        </w:rPr>
        <w:t>）评标委员会完成评标后，评委对各部分得分汇总，计算出本项目综合评估分。评标委员会按评标原则通过电子系统向采购人及采购代理机构提交评审报告。</w:t>
      </w:r>
    </w:p>
    <w:p w14:paraId="09891427">
      <w:pPr>
        <w:spacing w:line="360" w:lineRule="auto"/>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（三）澄清问题的形式</w:t>
      </w:r>
    </w:p>
    <w:p w14:paraId="72A814BC">
      <w:pPr>
        <w:snapToGrid w:val="0"/>
        <w:spacing w:line="360" w:lineRule="auto"/>
        <w:ind w:left="228" w:right="-87"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对投标文件中含义不明确、同类问题表述不一致或者有明显文字和计算错误的内容，评标委员会可要求投标人作出必要的澄清、说明或者纠正。投标人与评审小组</w:t>
      </w:r>
      <w:r>
        <w:rPr>
          <w:rFonts w:hint="eastAsia" w:ascii="Times New Roman" w:hAnsi="Times New Roman" w:eastAsia="宋体" w:cs="Times New Roman"/>
          <w:color w:val="auto"/>
          <w:szCs w:val="21"/>
          <w:highlight w:val="none"/>
        </w:rPr>
        <w:t>通过电子交易平台交换数据电文的形式进行</w:t>
      </w:r>
      <w:r>
        <w:rPr>
          <w:rFonts w:hint="eastAsia" w:ascii="Times New Roman" w:hAnsi="Times New Roman" w:eastAsia="宋体" w:cs="Times New Roman"/>
          <w:color w:val="auto"/>
          <w:highlight w:val="none"/>
        </w:rPr>
        <w:t>，给予投标人提交澄清说明或补正的时间不少于半个小时，投标人已经明确表示澄清说明或补正完毕的除外。不得超出投标文件的范围或者改变投标文件的实质性内容。</w:t>
      </w:r>
    </w:p>
    <w:p w14:paraId="2E42ACB4">
      <w:pPr>
        <w:snapToGrid w:val="0"/>
        <w:spacing w:before="120" w:beforeLines="50" w:after="120" w:afterLines="50" w:line="360" w:lineRule="auto"/>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（四）错误修正</w:t>
      </w:r>
    </w:p>
    <w:p w14:paraId="3C2C3CCB">
      <w:pPr>
        <w:snapToGrid w:val="0"/>
        <w:spacing w:before="120" w:beforeLines="50" w:line="360" w:lineRule="auto"/>
        <w:ind w:firstLine="415" w:firstLineChars="198"/>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投标文件如果出现计算或表达上的错误，修正错误的原则如下：</w:t>
      </w:r>
    </w:p>
    <w:p w14:paraId="4398617C">
      <w:pPr>
        <w:snapToGrid w:val="0"/>
        <w:spacing w:before="120" w:beforeLines="50" w:line="360" w:lineRule="auto"/>
        <w:ind w:firstLine="415" w:firstLineChars="198"/>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1.投标文件中开标一览表（报价表）内容与投标文件中相应内容不一致的，以开标一览表（报价表）为准；</w:t>
      </w:r>
    </w:p>
    <w:p w14:paraId="48C49ABF">
      <w:pPr>
        <w:snapToGrid w:val="0"/>
        <w:spacing w:before="120" w:beforeLines="50"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2.大写金额和小写金额不一致的，以大写金额为准；</w:t>
      </w:r>
    </w:p>
    <w:p w14:paraId="69C74B22">
      <w:pPr>
        <w:snapToGrid w:val="0"/>
        <w:spacing w:before="120" w:beforeLines="50"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3.单价金额小数点或者百分比有明显错位的，以开标一览表的总价为准，并修改单价；</w:t>
      </w:r>
    </w:p>
    <w:p w14:paraId="443EB152">
      <w:pPr>
        <w:snapToGrid w:val="0"/>
        <w:spacing w:before="120" w:beforeLines="50"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4.总价金额与按单价汇总金额不一致的，以单价金额计算结果为准。</w:t>
      </w:r>
    </w:p>
    <w:p w14:paraId="33EB08C9">
      <w:pPr>
        <w:snapToGrid w:val="0"/>
        <w:spacing w:before="120" w:beforeLines="50" w:line="360" w:lineRule="auto"/>
        <w:ind w:firstLine="417" w:firstLineChars="198"/>
        <w:rPr>
          <w:rFonts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rPr>
        <w:t>同时出现两种以上不一致的，按照前款规定的顺序修正。</w:t>
      </w:r>
    </w:p>
    <w:p w14:paraId="75EE262F">
      <w:pPr>
        <w:snapToGrid w:val="0"/>
        <w:spacing w:before="120" w:beforeLines="50" w:line="360" w:lineRule="auto"/>
        <w:ind w:firstLine="417" w:firstLineChars="198"/>
        <w:rPr>
          <w:rFonts w:ascii="Times New Roman" w:hAnsi="Times New Roman" w:eastAsia="宋体" w:cs="Times New Roman"/>
          <w:color w:val="auto"/>
          <w:szCs w:val="21"/>
          <w:highlight w:val="none"/>
        </w:rPr>
      </w:pPr>
      <w:r>
        <w:rPr>
          <w:rFonts w:ascii="Times New Roman" w:hAnsi="Times New Roman" w:eastAsia="宋体" w:cs="Times New Roman"/>
          <w:b/>
          <w:color w:val="auto"/>
          <w:szCs w:val="21"/>
          <w:highlight w:val="none"/>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49D41022">
      <w:pPr>
        <w:snapToGrid w:val="0"/>
        <w:spacing w:before="120" w:beforeLines="50" w:after="120" w:afterLines="50" w:line="360" w:lineRule="auto"/>
        <w:jc w:val="left"/>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（五）评标原则和评标办法</w:t>
      </w:r>
    </w:p>
    <w:p w14:paraId="2ABB63C3">
      <w:pPr>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rPr>
        <w:t>评标委员会必须公平、公正、客观，不带任何倾向性和启发性；不得向外界透露任何与评标有关的内容；任何单位和个人不得干扰、影响评标的正常进行；评标委员会及有关工作人员不得私下与投标人接触。</w:t>
      </w:r>
    </w:p>
    <w:p w14:paraId="40BCFCA7">
      <w:pPr>
        <w:snapToGrid w:val="0"/>
        <w:spacing w:line="360" w:lineRule="auto"/>
        <w:ind w:firstLine="42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rPr>
        <w:t>评标办法。本项目评标办法是</w:t>
      </w:r>
      <w:r>
        <w:rPr>
          <w:rFonts w:hint="eastAsia" w:ascii="Times New Roman" w:hAnsi="Times New Roman" w:eastAsia="宋体" w:cs="Times New Roman"/>
          <w:color w:val="auto"/>
          <w:szCs w:val="21"/>
          <w:highlight w:val="none"/>
          <w:u w:val="single"/>
        </w:rPr>
        <w:t>综合评分法</w:t>
      </w:r>
      <w:r>
        <w:rPr>
          <w:rFonts w:hint="eastAsia" w:ascii="Times New Roman" w:hAnsi="Times New Roman" w:eastAsia="宋体" w:cs="Times New Roman"/>
          <w:color w:val="auto"/>
          <w:szCs w:val="21"/>
          <w:highlight w:val="none"/>
        </w:rPr>
        <w:t>，具体评标内容及评分标准等详见《第四章：评标办法及评分标准》。</w:t>
      </w:r>
    </w:p>
    <w:p w14:paraId="09DF9699">
      <w:pPr>
        <w:widowControl/>
        <w:snapToGrid w:val="0"/>
        <w:spacing w:line="360" w:lineRule="auto"/>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（六）评标过程的监控</w:t>
      </w:r>
    </w:p>
    <w:p w14:paraId="0EC09204">
      <w:pPr>
        <w:snapToGrid w:val="0"/>
        <w:spacing w:line="360" w:lineRule="auto"/>
        <w:ind w:firstLine="420" w:firstLineChars="200"/>
        <w:rPr>
          <w:rFonts w:ascii="Times New Roman" w:hAnsi="Times New Roman" w:eastAsia="宋体" w:cs="Times New Roman"/>
          <w:b/>
          <w:color w:val="auto"/>
          <w:sz w:val="28"/>
          <w:highlight w:val="none"/>
        </w:rPr>
      </w:pPr>
      <w:r>
        <w:rPr>
          <w:rFonts w:hint="eastAsia" w:ascii="Times New Roman" w:hAnsi="Times New Roman" w:eastAsia="宋体" w:cs="Times New Roman"/>
          <w:color w:val="auto"/>
          <w:szCs w:val="24"/>
          <w:highlight w:val="none"/>
        </w:rPr>
        <w:t>本项目评标过程实行全程录音、录像监控。</w:t>
      </w:r>
    </w:p>
    <w:p w14:paraId="37E1CB88">
      <w:pPr>
        <w:snapToGrid w:val="0"/>
        <w:spacing w:before="120"/>
        <w:ind w:right="-87"/>
        <w:jc w:val="center"/>
        <w:outlineLvl w:val="1"/>
        <w:rPr>
          <w:rFonts w:ascii="Times New Roman" w:hAnsi="Times New Roman" w:eastAsia="宋体" w:cs="Times New Roman"/>
          <w:b/>
          <w:color w:val="auto"/>
          <w:sz w:val="28"/>
          <w:highlight w:val="none"/>
        </w:rPr>
      </w:pPr>
      <w:r>
        <w:rPr>
          <w:rFonts w:hint="eastAsia" w:ascii="Times New Roman" w:hAnsi="Times New Roman" w:eastAsia="宋体" w:cs="Times New Roman"/>
          <w:b/>
          <w:color w:val="auto"/>
          <w:sz w:val="28"/>
          <w:highlight w:val="none"/>
        </w:rPr>
        <w:t>六、定标</w:t>
      </w:r>
    </w:p>
    <w:p w14:paraId="5BA20552">
      <w:pPr>
        <w:snapToGrid w:val="0"/>
        <w:spacing w:before="120" w:beforeLines="50"/>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（一）确定中标人。</w:t>
      </w:r>
    </w:p>
    <w:p w14:paraId="73503610">
      <w:pPr>
        <w:snapToGrid w:val="0"/>
        <w:spacing w:line="360" w:lineRule="auto"/>
        <w:ind w:firstLine="415" w:firstLineChars="198"/>
        <w:rPr>
          <w:rFonts w:ascii="Times New Roman" w:hAnsi="Times New Roman" w:eastAsia="宋体" w:cs="Times New Roman"/>
          <w:b/>
          <w:color w:val="auto"/>
          <w:szCs w:val="21"/>
          <w:highlight w:val="none"/>
        </w:rPr>
      </w:pPr>
      <w:r>
        <w:rPr>
          <w:rFonts w:hint="eastAsia" w:ascii="Times New Roman" w:hAnsi="Times New Roman" w:eastAsia="宋体" w:cs="Times New Roman"/>
          <w:color w:val="auto"/>
          <w:szCs w:val="21"/>
          <w:highlight w:val="none"/>
        </w:rPr>
        <w:t>本项目由采购人事先授权评审小组确定候选中标人</w:t>
      </w: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rPr>
        <w:t>名。经采购人确认后，确定项目中标人，同时发布采购结果公告</w:t>
      </w:r>
      <w:r>
        <w:rPr>
          <w:rFonts w:hint="eastAsia" w:ascii="Times New Roman" w:hAnsi="Times New Roman" w:eastAsia="宋体" w:cs="Times New Roman"/>
          <w:b/>
          <w:color w:val="auto"/>
          <w:szCs w:val="21"/>
          <w:highlight w:val="none"/>
        </w:rPr>
        <w:t>（中标人通过政采云系统领取中标通知书）。</w:t>
      </w:r>
    </w:p>
    <w:p w14:paraId="58B58FD8">
      <w:pPr>
        <w:snapToGrid w:val="0"/>
        <w:spacing w:line="360" w:lineRule="auto"/>
        <w:ind w:firstLine="415" w:firstLineChars="198"/>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rPr>
        <w:t>采购代理机构在评标结束后在</w:t>
      </w:r>
      <w:r>
        <w:rPr>
          <w:rFonts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rPr>
        <w:t>个工作日内将评审报告交采购人确认。</w:t>
      </w:r>
    </w:p>
    <w:p w14:paraId="41375903">
      <w:pPr>
        <w:snapToGrid w:val="0"/>
        <w:spacing w:before="120" w:beforeLines="50" w:line="360" w:lineRule="auto"/>
        <w:ind w:firstLine="415" w:firstLineChars="198"/>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rPr>
        <w:t>投标人对评审结果无异议的，采购人应在收到评审报告后</w:t>
      </w:r>
      <w:r>
        <w:rPr>
          <w:rFonts w:ascii="Times New Roman" w:hAnsi="Times New Roman" w:eastAsia="宋体" w:cs="Times New Roman"/>
          <w:color w:val="auto"/>
          <w:szCs w:val="21"/>
          <w:highlight w:val="none"/>
        </w:rPr>
        <w:t>5</w:t>
      </w:r>
      <w:r>
        <w:rPr>
          <w:rFonts w:hint="eastAsia" w:ascii="Times New Roman" w:hAnsi="Times New Roman" w:eastAsia="宋体" w:cs="Times New Roman"/>
          <w:color w:val="auto"/>
          <w:szCs w:val="21"/>
          <w:highlight w:val="none"/>
        </w:rPr>
        <w:t>个工作日内对评审结果进行确认。如有投标人对评审结果提出质疑的，采购人可在质疑处理完毕后确定中标人。</w:t>
      </w:r>
    </w:p>
    <w:p w14:paraId="798DAE1A">
      <w:pPr>
        <w:snapToGrid w:val="0"/>
        <w:spacing w:before="120" w:beforeLines="50" w:line="360" w:lineRule="auto"/>
        <w:ind w:firstLine="415" w:firstLineChars="198"/>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w:t>
      </w:r>
      <w:r>
        <w:rPr>
          <w:rFonts w:hint="eastAsia" w:ascii="Times New Roman" w:hAnsi="Times New Roman" w:eastAsia="宋体" w:cs="Times New Roman"/>
          <w:color w:val="auto"/>
          <w:szCs w:val="21"/>
          <w:highlight w:val="none"/>
        </w:rPr>
        <w:t>采购人依法确定中标人后</w:t>
      </w:r>
      <w:r>
        <w:rPr>
          <w:rFonts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rPr>
        <w:t>个工作日内，采购代理机构发出《中标通知书》</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并同时在相关网站上发布中标公告。</w:t>
      </w:r>
    </w:p>
    <w:p w14:paraId="41BA776D">
      <w:pPr>
        <w:spacing w:line="380" w:lineRule="exact"/>
        <w:rPr>
          <w:rFonts w:ascii="Times New Roman" w:hAnsi="Times New Roman" w:eastAsia="宋体" w:cs="Times New Roman"/>
          <w:b/>
          <w:color w:val="auto"/>
          <w:sz w:val="28"/>
          <w:highlight w:val="none"/>
        </w:rPr>
      </w:pPr>
      <w:r>
        <w:rPr>
          <w:rFonts w:hint="eastAsia" w:ascii="Times New Roman" w:hAnsi="Times New Roman" w:eastAsia="宋体" w:cs="Times New Roman"/>
          <w:color w:val="auto"/>
          <w:szCs w:val="21"/>
          <w:highlight w:val="none"/>
        </w:rPr>
        <w:t>（二）</w:t>
      </w:r>
      <w:r>
        <w:rPr>
          <w:rFonts w:hint="eastAsia" w:ascii="Times New Roman" w:hAnsi="Times New Roman" w:eastAsia="宋体" w:cs="Times New Roman"/>
          <w:color w:val="auto"/>
          <w:highlight w:val="none"/>
        </w:rPr>
        <w:t>根据《中华人民共和国招标投标法实施条例》（国务院第</w:t>
      </w:r>
      <w:r>
        <w:rPr>
          <w:rFonts w:ascii="Times New Roman" w:hAnsi="Times New Roman" w:eastAsia="宋体" w:cs="Times New Roman"/>
          <w:color w:val="auto"/>
          <w:highlight w:val="none"/>
        </w:rPr>
        <w:t>613</w:t>
      </w:r>
      <w:r>
        <w:rPr>
          <w:rFonts w:hint="eastAsia" w:ascii="Times New Roman" w:hAnsi="Times New Roman" w:eastAsia="宋体" w:cs="Times New Roman"/>
          <w:color w:val="auto"/>
          <w:highlight w:val="none"/>
        </w:rPr>
        <w:t>号令）第四章第五十五条的规定，排名第一的中标候选人放弃中标、因不可抗力不能履行合同、不按照招标文件要求提交履约保证金，或者被查实存在影响中标结果的违法行为等情形，不符合中标条件的，经采购人书面确认，或者经专家论证，按照评标委员会提出的中标候选人名单排序依次确定其他中标候选人为中标人，也可以重新招标。</w:t>
      </w:r>
    </w:p>
    <w:p w14:paraId="29BF2B06">
      <w:pPr>
        <w:snapToGrid w:val="0"/>
        <w:spacing w:before="120"/>
        <w:ind w:right="-87" w:firstLine="3345" w:firstLineChars="1190"/>
        <w:outlineLvl w:val="1"/>
        <w:rPr>
          <w:rFonts w:ascii="Times New Roman" w:hAnsi="Times New Roman" w:eastAsia="宋体" w:cs="Times New Roman"/>
          <w:b/>
          <w:color w:val="auto"/>
          <w:sz w:val="28"/>
          <w:highlight w:val="none"/>
        </w:rPr>
      </w:pPr>
      <w:r>
        <w:rPr>
          <w:rFonts w:hint="eastAsia" w:ascii="Times New Roman" w:hAnsi="Times New Roman" w:eastAsia="宋体" w:cs="Times New Roman"/>
          <w:b/>
          <w:color w:val="auto"/>
          <w:sz w:val="28"/>
          <w:highlight w:val="none"/>
        </w:rPr>
        <w:t>七、合同授予</w:t>
      </w:r>
    </w:p>
    <w:p w14:paraId="49860C41">
      <w:pPr>
        <w:widowControl/>
        <w:numPr>
          <w:ilvl w:val="0"/>
          <w:numId w:val="11"/>
        </w:numPr>
        <w:overflowPunct w:val="0"/>
        <w:autoSpaceDE w:val="0"/>
        <w:autoSpaceDN w:val="0"/>
        <w:adjustRightInd w:val="0"/>
        <w:snapToGrid w:val="0"/>
        <w:ind w:right="-87"/>
        <w:jc w:val="left"/>
        <w:textAlignment w:val="baseline"/>
        <w:rPr>
          <w:rFonts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rPr>
        <w:t>签订合同</w:t>
      </w:r>
    </w:p>
    <w:p w14:paraId="50674BCC">
      <w:pPr>
        <w:snapToGrid w:val="0"/>
        <w:spacing w:line="336" w:lineRule="auto"/>
        <w:ind w:right="-87" w:firstLine="424" w:firstLineChars="202"/>
        <w:rPr>
          <w:rFonts w:ascii="Times New Roman" w:hAnsi="Times New Roman" w:eastAsia="宋体" w:cs="Times New Roman"/>
          <w:color w:val="auto"/>
          <w:highlight w:val="none"/>
        </w:rPr>
      </w:pPr>
      <w:r>
        <w:rPr>
          <w:rFonts w:ascii="Times New Roman" w:hAnsi="Times New Roman" w:eastAsia="宋体" w:cs="Times New Roman"/>
          <w:color w:val="auto"/>
          <w:highlight w:val="none"/>
        </w:rPr>
        <w:t>1.</w:t>
      </w:r>
      <w:r>
        <w:rPr>
          <w:rFonts w:hint="eastAsia" w:ascii="Times New Roman" w:hAnsi="Times New Roman" w:eastAsia="宋体" w:cs="Times New Roman"/>
          <w:color w:val="auto"/>
          <w:highlight w:val="none"/>
        </w:rPr>
        <w:t>采购人与中标人应当在《中标通知书》发出之日起</w:t>
      </w:r>
      <w:r>
        <w:rPr>
          <w:rFonts w:ascii="Times New Roman" w:hAnsi="Times New Roman" w:eastAsia="宋体" w:cs="Times New Roman"/>
          <w:color w:val="auto"/>
          <w:highlight w:val="none"/>
        </w:rPr>
        <w:t>30</w:t>
      </w:r>
      <w:r>
        <w:rPr>
          <w:rFonts w:hint="eastAsia" w:ascii="Times New Roman" w:hAnsi="Times New Roman" w:eastAsia="宋体" w:cs="Times New Roman"/>
          <w:color w:val="auto"/>
          <w:highlight w:val="none"/>
        </w:rPr>
        <w:t>日内签订政府采购合同。同时，采购代理机构对合同内容进行审查，如发现与采购结果和投标承诺内容不一致的，应予以纠正。</w:t>
      </w:r>
    </w:p>
    <w:p w14:paraId="056BC284">
      <w:pPr>
        <w:snapToGrid w:val="0"/>
        <w:spacing w:before="120" w:beforeLines="50" w:line="336" w:lineRule="auto"/>
        <w:ind w:firstLine="415" w:firstLineChars="198"/>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rPr>
        <w:t>中标人拖延、拒签合同的，将上报监管部门并取消中标资格。</w:t>
      </w:r>
    </w:p>
    <w:p w14:paraId="7BD05411">
      <w:pPr>
        <w:snapToGrid w:val="0"/>
        <w:spacing w:before="120" w:beforeLines="50" w:line="336" w:lineRule="auto"/>
        <w:ind w:firstLine="415" w:firstLineChars="198"/>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w:t>
      </w:r>
      <w:r>
        <w:rPr>
          <w:rFonts w:hint="eastAsia" w:ascii="Times New Roman" w:hAnsi="Times New Roman" w:eastAsia="宋体" w:cs="Times New Roman"/>
          <w:color w:val="auto"/>
          <w:szCs w:val="21"/>
          <w:highlight w:val="none"/>
        </w:rPr>
        <w:t>中标人和采购人签订合同，按合同规定的供货时间供货并安装调试完毕。</w:t>
      </w:r>
    </w:p>
    <w:p w14:paraId="70EBE6E6">
      <w:pPr>
        <w:snapToGrid w:val="0"/>
        <w:spacing w:before="120" w:beforeLines="50" w:line="336" w:lineRule="auto"/>
        <w:ind w:firstLine="415" w:firstLineChars="198"/>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w:t>
      </w:r>
      <w:r>
        <w:rPr>
          <w:rFonts w:hint="eastAsia" w:ascii="Times New Roman" w:hAnsi="Times New Roman" w:eastAsia="宋体" w:cs="Times New Roman"/>
          <w:color w:val="auto"/>
          <w:szCs w:val="21"/>
          <w:highlight w:val="none"/>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097CA694">
      <w:pPr>
        <w:snapToGrid w:val="0"/>
        <w:spacing w:before="120" w:beforeLines="50" w:line="336" w:lineRule="auto"/>
        <w:rPr>
          <w:rFonts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（二）合同公告</w:t>
      </w:r>
    </w:p>
    <w:p w14:paraId="688B4D31">
      <w:pPr>
        <w:snapToGrid w:val="0"/>
        <w:spacing w:before="120" w:beforeLines="50" w:line="336" w:lineRule="auto"/>
        <w:ind w:firstLine="415" w:firstLineChars="198"/>
        <w:rPr>
          <w:rFonts w:ascii="Times New Roman" w:hAnsi="Times New Roman" w:eastAsia="黑体" w:cs="Times New Roman"/>
          <w:color w:val="auto"/>
          <w:sz w:val="30"/>
          <w:highlight w:val="none"/>
        </w:rPr>
      </w:pPr>
      <w:r>
        <w:rPr>
          <w:rFonts w:hint="eastAsia" w:ascii="Times New Roman" w:hAnsi="Times New Roman" w:eastAsia="宋体" w:cs="Times New Roman"/>
          <w:color w:val="auto"/>
          <w:szCs w:val="21"/>
          <w:highlight w:val="none"/>
        </w:rPr>
        <w:t>采购人应当自政府采购合同签订之日起</w:t>
      </w:r>
      <w:r>
        <w:rPr>
          <w:rFonts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rPr>
        <w:t>个工作日内，将政府采购合同在省级以上人民政府财政部门指定的媒体上公告，但政府采购合同中涉及国家秘密、商业秘密的内容除外。</w:t>
      </w:r>
    </w:p>
    <w:p w14:paraId="5ED41D61">
      <w:pPr>
        <w:snapToGrid w:val="0"/>
        <w:spacing w:before="120" w:line="360" w:lineRule="auto"/>
        <w:ind w:right="-87"/>
        <w:rPr>
          <w:rFonts w:ascii="Times New Roman" w:hAnsi="Times New Roman" w:eastAsia="黑体" w:cs="Times New Roman"/>
          <w:color w:val="auto"/>
          <w:sz w:val="30"/>
          <w:highlight w:val="none"/>
        </w:rPr>
      </w:pPr>
    </w:p>
    <w:p w14:paraId="02C1D7FF">
      <w:pPr>
        <w:snapToGrid w:val="0"/>
        <w:spacing w:before="120" w:line="360" w:lineRule="auto"/>
        <w:ind w:right="-87"/>
        <w:jc w:val="center"/>
        <w:rPr>
          <w:rFonts w:ascii="Times New Roman" w:hAnsi="Times New Roman" w:eastAsia="黑体" w:cs="Times New Roman"/>
          <w:color w:val="auto"/>
          <w:sz w:val="30"/>
          <w:highlight w:val="none"/>
        </w:rPr>
      </w:pPr>
      <w:r>
        <w:rPr>
          <w:rFonts w:hint="eastAsia" w:ascii="Times New Roman" w:hAnsi="Times New Roman" w:eastAsia="黑体" w:cs="Times New Roman"/>
          <w:color w:val="auto"/>
          <w:sz w:val="30"/>
          <w:highlight w:val="none"/>
        </w:rPr>
        <w:t>第四章  评标办法及评分标准</w:t>
      </w:r>
    </w:p>
    <w:p w14:paraId="63DB6170">
      <w:pPr>
        <w:snapToGrid w:val="0"/>
        <w:spacing w:before="120" w:line="336" w:lineRule="auto"/>
        <w:ind w:right="-87" w:firstLine="103" w:firstLineChars="49"/>
        <w:outlineLvl w:val="0"/>
        <w:rPr>
          <w:rFonts w:ascii="Times New Roman" w:hAnsi="Times New Roman" w:eastAsia="宋体" w:cs="Times New Roman"/>
          <w:color w:val="auto"/>
          <w:highlight w:val="none"/>
        </w:rPr>
      </w:pPr>
      <w:r>
        <w:rPr>
          <w:rFonts w:hint="eastAsia" w:ascii="Times New Roman" w:hAnsi="Times New Roman" w:eastAsia="宋体" w:cs="Times New Roman"/>
          <w:b/>
          <w:color w:val="auto"/>
          <w:highlight w:val="none"/>
        </w:rPr>
        <w:t>综合评分法</w:t>
      </w:r>
    </w:p>
    <w:p w14:paraId="67CB22A6">
      <w:pPr>
        <w:snapToGrid w:val="0"/>
        <w:spacing w:line="336" w:lineRule="auto"/>
        <w:ind w:right="-87" w:firstLine="1190" w:firstLineChars="494"/>
        <w:rPr>
          <w:rFonts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新城千岛路以东、勾山及小干岛区域环境卫生及环卫设施设备保洁管理项目评标办法</w:t>
      </w:r>
    </w:p>
    <w:p w14:paraId="54ACB366">
      <w:pPr>
        <w:snapToGrid w:val="0"/>
        <w:spacing w:line="336" w:lineRule="auto"/>
        <w:ind w:right="-87" w:firstLine="42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为公正、公平、科学地选择中标人，根据《中华人民共和国政府采购法》等有关法律法规的规定，并结合本项目的实际，制定本办法。</w:t>
      </w:r>
    </w:p>
    <w:p w14:paraId="14F07BAF">
      <w:pPr>
        <w:snapToGrid w:val="0"/>
        <w:spacing w:line="336" w:lineRule="auto"/>
        <w:ind w:right="-87" w:firstLine="420"/>
        <w:rPr>
          <w:rFonts w:ascii="Times New Roman" w:hAnsi="Times New Roman" w:eastAsia="宋体" w:cs="Times New Roman"/>
          <w:color w:val="auto"/>
          <w:highlight w:val="none"/>
        </w:rPr>
      </w:pPr>
      <w:r>
        <w:rPr>
          <w:rFonts w:hint="eastAsia" w:ascii="Times New Roman" w:hAnsi="Times New Roman" w:eastAsia="宋体" w:cs="Times New Roman"/>
          <w:color w:val="auto"/>
          <w:szCs w:val="21"/>
          <w:highlight w:val="none"/>
        </w:rPr>
        <w:t>本办法适用于新城千岛路以东、勾山及小干岛区域环境卫生及环卫设施设备保洁管理项目的评标。</w:t>
      </w:r>
    </w:p>
    <w:p w14:paraId="7D7A67D3">
      <w:pPr>
        <w:snapToGrid w:val="0"/>
        <w:spacing w:line="336" w:lineRule="auto"/>
        <w:ind w:left="756" w:leftChars="114" w:hanging="517" w:hangingChars="245"/>
        <w:rPr>
          <w:rFonts w:hint="eastAsia" w:ascii="宋体" w:hAnsi="宋体" w:eastAsia="宋体" w:cs="Times New Roman"/>
          <w:color w:val="auto"/>
          <w:highlight w:val="none"/>
        </w:rPr>
      </w:pPr>
      <w:r>
        <w:rPr>
          <w:rFonts w:hint="eastAsia" w:ascii="Times New Roman" w:hAnsi="Times New Roman" w:eastAsia="宋体" w:cs="Times New Roman"/>
          <w:b/>
          <w:color w:val="auto"/>
          <w:highlight w:val="none"/>
        </w:rPr>
        <w:t>中标依据：</w:t>
      </w:r>
      <w:r>
        <w:rPr>
          <w:rFonts w:hint="eastAsia" w:ascii="宋体" w:hAnsi="宋体" w:eastAsia="宋体" w:cs="Times New Roman"/>
          <w:color w:val="auto"/>
          <w:highlight w:val="none"/>
          <w:u w:val="single" w:color="000000"/>
        </w:rPr>
        <w:t>综合评估分</w:t>
      </w:r>
      <w:r>
        <w:rPr>
          <w:rFonts w:hint="eastAsia" w:ascii="宋体" w:hAnsi="宋体" w:eastAsia="宋体" w:cs="Times New Roman"/>
          <w:color w:val="auto"/>
          <w:highlight w:val="none"/>
        </w:rPr>
        <w:t>最高者为中标候选人。</w:t>
      </w:r>
    </w:p>
    <w:p w14:paraId="76E8EDD7">
      <w:pPr>
        <w:snapToGrid w:val="0"/>
        <w:spacing w:line="336" w:lineRule="auto"/>
        <w:ind w:left="756" w:leftChars="114" w:hanging="517" w:hangingChars="245"/>
        <w:rPr>
          <w:rFonts w:ascii="Times New Roman" w:hAnsi="Times New Roman" w:eastAsia="宋体" w:cs="Times New Roman"/>
          <w:b/>
          <w:color w:val="auto"/>
          <w:highlight w:val="none"/>
        </w:rPr>
      </w:pPr>
      <w:r>
        <w:rPr>
          <w:rFonts w:hint="eastAsia" w:ascii="宋体" w:hAnsi="宋体" w:eastAsia="宋体" w:cs="Times New Roman"/>
          <w:b/>
          <w:color w:val="auto"/>
          <w:highlight w:val="none"/>
          <w:u w:val="single"/>
        </w:rPr>
        <w:t>最高限价：预算金额。</w:t>
      </w:r>
    </w:p>
    <w:p w14:paraId="1F43B286">
      <w:pPr>
        <w:snapToGrid w:val="0"/>
        <w:spacing w:line="336" w:lineRule="auto"/>
        <w:ind w:left="756" w:leftChars="114" w:hanging="517" w:hangingChars="245"/>
        <w:rPr>
          <w:rFonts w:ascii="Times New Roman" w:hAnsi="Times New Roman" w:eastAsia="宋体" w:cs="Times New Roman"/>
          <w:b/>
          <w:color w:val="auto"/>
          <w:highlight w:val="none"/>
        </w:rPr>
      </w:pPr>
      <w:r>
        <w:rPr>
          <w:rFonts w:hint="eastAsia" w:ascii="Times New Roman" w:hAnsi="Times New Roman" w:eastAsia="宋体" w:cs="Times New Roman"/>
          <w:b/>
          <w:color w:val="auto"/>
          <w:highlight w:val="none"/>
        </w:rPr>
        <w:t>报价的计分方法：</w:t>
      </w:r>
    </w:p>
    <w:p w14:paraId="5E7E3A7D">
      <w:pPr>
        <w:autoSpaceDE w:val="0"/>
        <w:autoSpaceDN w:val="0"/>
        <w:adjustRightInd w:val="0"/>
        <w:snapToGrid w:val="0"/>
        <w:spacing w:line="336" w:lineRule="auto"/>
        <w:ind w:right="-87" w:firstLine="411" w:firstLineChars="196"/>
        <w:rPr>
          <w:rFonts w:ascii="Times New Roman" w:hAnsi="Times New Roman" w:eastAsia="宋体" w:cs="Times New Roman"/>
          <w:color w:val="auto"/>
          <w:highlight w:val="none"/>
          <w:lang w:val="zh-CN"/>
        </w:rPr>
      </w:pPr>
      <w:r>
        <w:rPr>
          <w:rFonts w:hint="eastAsia" w:ascii="Times New Roman" w:hAnsi="Times New Roman" w:eastAsia="宋体" w:cs="Times New Roman"/>
          <w:color w:val="auto"/>
          <w:highlight w:val="none"/>
          <w:lang w:val="zh-CN"/>
        </w:rPr>
        <w:t>满足投标文件要求</w:t>
      </w:r>
      <w:r>
        <w:rPr>
          <w:rFonts w:hint="eastAsia" w:ascii="宋体" w:hAnsi="宋体" w:eastAsia="宋体" w:cs="宋体"/>
          <w:color w:val="auto"/>
          <w:kern w:val="0"/>
          <w:sz w:val="22"/>
          <w:highlight w:val="none"/>
        </w:rPr>
        <w:t>且投</w:t>
      </w:r>
      <w:r>
        <w:rPr>
          <w:rFonts w:hint="eastAsia" w:ascii="Times New Roman" w:hAnsi="Times New Roman" w:eastAsia="宋体" w:cs="Times New Roman"/>
          <w:color w:val="auto"/>
          <w:highlight w:val="none"/>
          <w:lang w:val="zh-CN"/>
        </w:rPr>
        <w:t>标报价最低的为评标基准价，其价格分为满分，其他投标人的价格分按下列公式计算：</w:t>
      </w:r>
    </w:p>
    <w:p w14:paraId="713A2372">
      <w:pPr>
        <w:autoSpaceDE w:val="0"/>
        <w:autoSpaceDN w:val="0"/>
        <w:adjustRightInd w:val="0"/>
        <w:snapToGrid w:val="0"/>
        <w:spacing w:line="336" w:lineRule="auto"/>
        <w:ind w:right="-87" w:firstLine="550" w:firstLineChars="262"/>
        <w:rPr>
          <w:rFonts w:ascii="Times New Roman" w:hAnsi="Times New Roman" w:eastAsia="宋体" w:cs="Times New Roman"/>
          <w:color w:val="auto"/>
          <w:highlight w:val="none"/>
          <w:lang w:val="zh-CN"/>
        </w:rPr>
      </w:pPr>
      <w:r>
        <w:rPr>
          <w:rFonts w:hint="eastAsia" w:ascii="Times New Roman" w:hAnsi="Times New Roman" w:eastAsia="宋体" w:cs="Times New Roman"/>
          <w:color w:val="auto"/>
          <w:highlight w:val="none"/>
          <w:lang w:val="zh-CN"/>
        </w:rPr>
        <w:t>价格得分＝（评标基准价</w:t>
      </w:r>
      <w:r>
        <w:rPr>
          <w:rFonts w:ascii="Times New Roman" w:hAnsi="Times New Roman" w:eastAsia="宋体" w:cs="Times New Roman"/>
          <w:color w:val="auto"/>
          <w:highlight w:val="none"/>
          <w:lang w:val="zh-CN"/>
        </w:rPr>
        <w:t>/</w:t>
      </w:r>
      <w:r>
        <w:rPr>
          <w:rFonts w:hint="eastAsia" w:ascii="Times New Roman" w:hAnsi="Times New Roman" w:eastAsia="宋体" w:cs="Times New Roman"/>
          <w:color w:val="auto"/>
          <w:highlight w:val="none"/>
          <w:lang w:val="zh-CN"/>
        </w:rPr>
        <w:t>投标报价）</w:t>
      </w:r>
      <w:r>
        <w:rPr>
          <w:rFonts w:ascii="Times New Roman" w:hAnsi="Times New Roman" w:eastAsia="宋体" w:cs="Times New Roman"/>
          <w:color w:val="auto"/>
          <w:highlight w:val="none"/>
          <w:lang w:val="zh-CN"/>
        </w:rPr>
        <w:t>×</w:t>
      </w:r>
      <w:r>
        <w:rPr>
          <w:rFonts w:hint="eastAsia" w:ascii="Times New Roman" w:hAnsi="Times New Roman" w:eastAsia="宋体" w:cs="Times New Roman"/>
          <w:color w:val="auto"/>
          <w:highlight w:val="none"/>
          <w:lang w:val="zh-CN"/>
        </w:rPr>
        <w:t>价格权重</w:t>
      </w:r>
      <w:r>
        <w:rPr>
          <w:rFonts w:ascii="Times New Roman" w:hAnsi="Times New Roman" w:eastAsia="宋体" w:cs="Times New Roman"/>
          <w:color w:val="auto"/>
          <w:highlight w:val="none"/>
          <w:lang w:val="zh-CN"/>
        </w:rPr>
        <w:t>×100</w:t>
      </w:r>
      <w:r>
        <w:rPr>
          <w:rFonts w:hint="eastAsia" w:ascii="Times New Roman" w:hAnsi="Times New Roman" w:eastAsia="宋体" w:cs="Times New Roman"/>
          <w:color w:val="auto"/>
          <w:highlight w:val="none"/>
          <w:lang w:val="zh-CN"/>
        </w:rPr>
        <w:t>。</w:t>
      </w:r>
    </w:p>
    <w:tbl>
      <w:tblPr>
        <w:tblStyle w:val="61"/>
        <w:tblW w:w="77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2700"/>
      </w:tblGrid>
      <w:tr w14:paraId="7825C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40" w:type="dxa"/>
            <w:tcBorders>
              <w:top w:val="single" w:color="auto" w:sz="4" w:space="0"/>
              <w:left w:val="single" w:color="auto" w:sz="4" w:space="0"/>
              <w:bottom w:val="single" w:color="auto" w:sz="4" w:space="0"/>
              <w:right w:val="single" w:color="auto" w:sz="4" w:space="0"/>
            </w:tcBorders>
            <w:vAlign w:val="center"/>
          </w:tcPr>
          <w:p w14:paraId="11E403FE">
            <w:pPr>
              <w:spacing w:line="336" w:lineRule="auto"/>
              <w:ind w:right="-341"/>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zh-CN"/>
              </w:rPr>
              <w:t>评价指标和各评价权重指标：</w:t>
            </w:r>
            <w:r>
              <w:rPr>
                <w:rFonts w:hint="eastAsia" w:ascii="Times New Roman" w:hAnsi="Times New Roman" w:eastAsia="宋体" w:cs="Times New Roman"/>
                <w:color w:val="auto"/>
                <w:highlight w:val="none"/>
              </w:rPr>
              <w:t>评标指标</w:t>
            </w:r>
          </w:p>
        </w:tc>
        <w:tc>
          <w:tcPr>
            <w:tcW w:w="2700" w:type="dxa"/>
            <w:tcBorders>
              <w:top w:val="single" w:color="auto" w:sz="4" w:space="0"/>
              <w:left w:val="single" w:color="auto" w:sz="4" w:space="0"/>
              <w:bottom w:val="single" w:color="auto" w:sz="4" w:space="0"/>
              <w:right w:val="single" w:color="auto" w:sz="4" w:space="0"/>
            </w:tcBorders>
            <w:vAlign w:val="center"/>
          </w:tcPr>
          <w:p w14:paraId="2FBE10D0">
            <w:pPr>
              <w:spacing w:line="336" w:lineRule="auto"/>
              <w:ind w:right="-341"/>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权重（％）</w:t>
            </w:r>
          </w:p>
        </w:tc>
      </w:tr>
      <w:tr w14:paraId="2666F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040" w:type="dxa"/>
            <w:tcBorders>
              <w:top w:val="single" w:color="auto" w:sz="4" w:space="0"/>
              <w:left w:val="single" w:color="auto" w:sz="4" w:space="0"/>
              <w:bottom w:val="single" w:color="auto" w:sz="4" w:space="0"/>
              <w:right w:val="single" w:color="auto" w:sz="4" w:space="0"/>
            </w:tcBorders>
            <w:vAlign w:val="center"/>
          </w:tcPr>
          <w:p w14:paraId="05F17E1D">
            <w:pPr>
              <w:spacing w:line="336" w:lineRule="auto"/>
              <w:ind w:right="-341"/>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商务、技术部分</w:t>
            </w:r>
          </w:p>
        </w:tc>
        <w:tc>
          <w:tcPr>
            <w:tcW w:w="2700" w:type="dxa"/>
            <w:tcBorders>
              <w:top w:val="single" w:color="auto" w:sz="4" w:space="0"/>
              <w:left w:val="single" w:color="auto" w:sz="4" w:space="0"/>
              <w:bottom w:val="single" w:color="auto" w:sz="4" w:space="0"/>
              <w:right w:val="single" w:color="auto" w:sz="4" w:space="0"/>
            </w:tcBorders>
            <w:vAlign w:val="center"/>
          </w:tcPr>
          <w:p w14:paraId="1343B789">
            <w:pPr>
              <w:spacing w:line="336" w:lineRule="auto"/>
              <w:ind w:right="-341"/>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90</w:t>
            </w:r>
          </w:p>
        </w:tc>
      </w:tr>
      <w:tr w14:paraId="31418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40" w:type="dxa"/>
            <w:tcBorders>
              <w:top w:val="single" w:color="auto" w:sz="4" w:space="0"/>
              <w:left w:val="single" w:color="auto" w:sz="4" w:space="0"/>
              <w:bottom w:val="single" w:color="auto" w:sz="4" w:space="0"/>
              <w:right w:val="single" w:color="auto" w:sz="4" w:space="0"/>
            </w:tcBorders>
            <w:vAlign w:val="center"/>
          </w:tcPr>
          <w:p w14:paraId="66F5C23E">
            <w:pPr>
              <w:spacing w:line="336" w:lineRule="auto"/>
              <w:ind w:right="-341"/>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投标报价</w:t>
            </w:r>
          </w:p>
        </w:tc>
        <w:tc>
          <w:tcPr>
            <w:tcW w:w="2700" w:type="dxa"/>
            <w:tcBorders>
              <w:top w:val="single" w:color="auto" w:sz="4" w:space="0"/>
              <w:left w:val="single" w:color="auto" w:sz="4" w:space="0"/>
              <w:bottom w:val="single" w:color="auto" w:sz="4" w:space="0"/>
              <w:right w:val="single" w:color="auto" w:sz="4" w:space="0"/>
            </w:tcBorders>
            <w:vAlign w:val="center"/>
          </w:tcPr>
          <w:p w14:paraId="06107581">
            <w:pPr>
              <w:spacing w:line="336" w:lineRule="auto"/>
              <w:ind w:right="-341"/>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10</w:t>
            </w:r>
          </w:p>
        </w:tc>
      </w:tr>
      <w:tr w14:paraId="257C8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040" w:type="dxa"/>
            <w:tcBorders>
              <w:top w:val="single" w:color="auto" w:sz="4" w:space="0"/>
              <w:left w:val="single" w:color="auto" w:sz="4" w:space="0"/>
              <w:bottom w:val="single" w:color="auto" w:sz="4" w:space="0"/>
              <w:right w:val="single" w:color="auto" w:sz="4" w:space="0"/>
            </w:tcBorders>
            <w:vAlign w:val="center"/>
          </w:tcPr>
          <w:p w14:paraId="66DBB527">
            <w:pPr>
              <w:spacing w:line="336" w:lineRule="auto"/>
              <w:ind w:right="-341"/>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合计</w:t>
            </w:r>
          </w:p>
        </w:tc>
        <w:tc>
          <w:tcPr>
            <w:tcW w:w="2700" w:type="dxa"/>
            <w:tcBorders>
              <w:top w:val="single" w:color="auto" w:sz="4" w:space="0"/>
              <w:left w:val="single" w:color="auto" w:sz="4" w:space="0"/>
              <w:bottom w:val="single" w:color="auto" w:sz="4" w:space="0"/>
              <w:right w:val="single" w:color="auto" w:sz="4" w:space="0"/>
            </w:tcBorders>
            <w:vAlign w:val="center"/>
          </w:tcPr>
          <w:p w14:paraId="7364CFF5">
            <w:pPr>
              <w:spacing w:line="336" w:lineRule="auto"/>
              <w:ind w:right="-341"/>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100</w:t>
            </w:r>
          </w:p>
        </w:tc>
      </w:tr>
    </w:tbl>
    <w:p w14:paraId="283D6167">
      <w:pPr>
        <w:autoSpaceDE w:val="0"/>
        <w:autoSpaceDN w:val="0"/>
        <w:adjustRightInd w:val="0"/>
        <w:spacing w:line="336" w:lineRule="auto"/>
        <w:ind w:right="-341" w:firstLine="424" w:firstLineChars="202"/>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综合评估分</w:t>
      </w: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rPr>
        <w:t>商务技术得分＋价格得分</w:t>
      </w: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rPr>
        <w:t>评分过程中采用四舍五入法，并保留小数</w:t>
      </w:r>
      <w:r>
        <w:rPr>
          <w:rFonts w:ascii="Times New Roman" w:hAnsi="Times New Roman" w:eastAsia="宋体" w:cs="Times New Roman"/>
          <w:color w:val="auto"/>
          <w:highlight w:val="none"/>
        </w:rPr>
        <w:t>2</w:t>
      </w:r>
      <w:r>
        <w:rPr>
          <w:rFonts w:hint="eastAsia" w:ascii="Times New Roman" w:hAnsi="Times New Roman" w:eastAsia="宋体" w:cs="Times New Roman"/>
          <w:color w:val="auto"/>
          <w:highlight w:val="none"/>
        </w:rPr>
        <w:t>位</w:t>
      </w:r>
      <w:r>
        <w:rPr>
          <w:rFonts w:ascii="Times New Roman" w:hAnsi="Times New Roman" w:eastAsia="宋体" w:cs="Times New Roman"/>
          <w:color w:val="auto"/>
          <w:highlight w:val="none"/>
        </w:rPr>
        <w:t>)</w:t>
      </w:r>
    </w:p>
    <w:p w14:paraId="35B085A2">
      <w:pPr>
        <w:autoSpaceDE w:val="0"/>
        <w:autoSpaceDN w:val="0"/>
        <w:adjustRightInd w:val="0"/>
        <w:spacing w:line="336" w:lineRule="auto"/>
        <w:ind w:right="-341" w:firstLine="424" w:firstLineChars="202"/>
        <w:rPr>
          <w:rFonts w:ascii="Times New Roman" w:hAnsi="Times New Roman" w:eastAsia="宋体" w:cs="Times New Roman"/>
          <w:color w:val="auto"/>
          <w:highlight w:val="none"/>
        </w:rPr>
      </w:pPr>
      <w:bookmarkStart w:id="7" w:name="_Hlk113978293"/>
      <w:r>
        <w:rPr>
          <w:rFonts w:hint="eastAsia" w:ascii="Times New Roman" w:hAnsi="Times New Roman" w:eastAsia="宋体" w:cs="Times New Roman"/>
          <w:color w:val="auto"/>
          <w:highlight w:val="none"/>
        </w:rPr>
        <w:t>将综合评估分从高到低排序，得出参投标人名次。得分相同时，按投标报价由低到高顺序排列，得分且投标报价相同的，按技术指标优劣顺序排列</w:t>
      </w:r>
    </w:p>
    <w:bookmarkEnd w:id="7"/>
    <w:p w14:paraId="6084D426">
      <w:pPr>
        <w:tabs>
          <w:tab w:val="left" w:pos="1620"/>
        </w:tabs>
        <w:spacing w:line="336" w:lineRule="auto"/>
        <w:ind w:left="1111" w:leftChars="228" w:hanging="632" w:hangingChars="300"/>
        <w:rPr>
          <w:rFonts w:ascii="Times New Roman" w:hAnsi="Times New Roman" w:eastAsia="宋体" w:cs="Times New Roman"/>
          <w:b/>
          <w:color w:val="auto"/>
          <w:highlight w:val="none"/>
        </w:rPr>
      </w:pPr>
      <w:r>
        <w:rPr>
          <w:rFonts w:hint="eastAsia" w:ascii="Times New Roman" w:hAnsi="Times New Roman" w:eastAsia="宋体" w:cs="Times New Roman"/>
          <w:b/>
          <w:color w:val="auto"/>
          <w:highlight w:val="none"/>
        </w:rPr>
        <w:t>候选中标商的选取</w:t>
      </w:r>
    </w:p>
    <w:p w14:paraId="02CEC9B8">
      <w:pPr>
        <w:spacing w:line="336" w:lineRule="auto"/>
        <w:ind w:right="-341" w:firstLine="525" w:firstLineChars="250"/>
        <w:rPr>
          <w:rFonts w:ascii="Times New Roman" w:hAnsi="Times New Roman" w:eastAsia="宋体" w:cs="Times New Roman"/>
          <w:b/>
          <w:color w:val="auto"/>
          <w:sz w:val="28"/>
          <w:szCs w:val="28"/>
          <w:highlight w:val="none"/>
          <w:lang w:val="zh-CN"/>
        </w:rPr>
      </w:pPr>
      <w:r>
        <w:rPr>
          <w:rFonts w:hint="eastAsia" w:ascii="Times New Roman" w:hAnsi="Times New Roman" w:eastAsia="宋体" w:cs="Times New Roman"/>
          <w:color w:val="auto"/>
          <w:highlight w:val="none"/>
        </w:rPr>
        <w:t>按照综合评估分名次推荐候选中标人</w:t>
      </w:r>
      <w:r>
        <w:rPr>
          <w:rFonts w:ascii="Times New Roman" w:hAnsi="Times New Roman" w:eastAsia="宋体" w:cs="Times New Roman"/>
          <w:color w:val="auto"/>
          <w:highlight w:val="none"/>
        </w:rPr>
        <w:t>1</w:t>
      </w:r>
      <w:r>
        <w:rPr>
          <w:rFonts w:hint="eastAsia" w:ascii="Times New Roman" w:hAnsi="Times New Roman" w:eastAsia="宋体" w:cs="Times New Roman"/>
          <w:color w:val="auto"/>
          <w:highlight w:val="none"/>
        </w:rPr>
        <w:t>名。</w:t>
      </w:r>
    </w:p>
    <w:p w14:paraId="6E56B661">
      <w:pPr>
        <w:rPr>
          <w:rFonts w:ascii="Times New Roman" w:hAnsi="Times New Roman" w:eastAsia="宋体" w:cs="Times New Roman"/>
          <w:b/>
          <w:color w:val="auto"/>
          <w:sz w:val="24"/>
          <w:szCs w:val="24"/>
          <w:highlight w:val="none"/>
        </w:rPr>
      </w:pPr>
    </w:p>
    <w:p w14:paraId="0CEF3DD4">
      <w:pPr>
        <w:pStyle w:val="26"/>
        <w:rPr>
          <w:color w:val="auto"/>
          <w:highlight w:val="none"/>
        </w:rPr>
      </w:pPr>
    </w:p>
    <w:p w14:paraId="6847B72B">
      <w:pPr>
        <w:tabs>
          <w:tab w:val="left" w:pos="1476"/>
          <w:tab w:val="center" w:pos="4651"/>
        </w:tabs>
        <w:spacing w:line="288" w:lineRule="auto"/>
        <w:ind w:right="-341"/>
        <w:rPr>
          <w:rFonts w:ascii="Times New Roman" w:hAnsi="Times New Roman" w:eastAsia="宋体" w:cs="Times New Roman"/>
          <w:b/>
          <w:color w:val="auto"/>
          <w:sz w:val="24"/>
          <w:szCs w:val="24"/>
          <w:highlight w:val="none"/>
        </w:rPr>
      </w:pPr>
    </w:p>
    <w:p w14:paraId="04E7C10A">
      <w:pPr>
        <w:pStyle w:val="2"/>
        <w:rPr>
          <w:b/>
          <w:color w:val="auto"/>
          <w:sz w:val="24"/>
          <w:szCs w:val="24"/>
          <w:highlight w:val="none"/>
        </w:rPr>
      </w:pPr>
    </w:p>
    <w:p w14:paraId="3B3F3FDC">
      <w:pPr>
        <w:pStyle w:val="3"/>
        <w:ind w:firstLine="241"/>
        <w:rPr>
          <w:rFonts w:hAnsi="Times New Roman"/>
          <w:b/>
          <w:color w:val="auto"/>
          <w:sz w:val="24"/>
          <w:szCs w:val="24"/>
          <w:highlight w:val="none"/>
        </w:rPr>
      </w:pPr>
    </w:p>
    <w:p w14:paraId="6A0BA989">
      <w:pPr>
        <w:rPr>
          <w:rFonts w:ascii="Times New Roman" w:hAnsi="Times New Roman" w:eastAsia="宋体" w:cs="Times New Roman"/>
          <w:b/>
          <w:color w:val="auto"/>
          <w:sz w:val="24"/>
          <w:szCs w:val="24"/>
          <w:highlight w:val="none"/>
        </w:rPr>
      </w:pPr>
    </w:p>
    <w:p w14:paraId="48911895">
      <w:pPr>
        <w:pStyle w:val="2"/>
        <w:rPr>
          <w:b/>
          <w:color w:val="auto"/>
          <w:sz w:val="24"/>
          <w:szCs w:val="24"/>
          <w:highlight w:val="none"/>
        </w:rPr>
      </w:pPr>
    </w:p>
    <w:p w14:paraId="4B046CD3">
      <w:pPr>
        <w:pStyle w:val="3"/>
        <w:ind w:firstLine="241"/>
        <w:rPr>
          <w:rFonts w:hAnsi="Times New Roman"/>
          <w:b/>
          <w:color w:val="auto"/>
          <w:sz w:val="24"/>
          <w:szCs w:val="24"/>
          <w:highlight w:val="none"/>
        </w:rPr>
      </w:pPr>
    </w:p>
    <w:p w14:paraId="0C0EB5CA">
      <w:pPr>
        <w:rPr>
          <w:rFonts w:ascii="Times New Roman" w:hAnsi="Times New Roman" w:eastAsia="宋体" w:cs="Times New Roman"/>
          <w:b/>
          <w:color w:val="auto"/>
          <w:sz w:val="24"/>
          <w:szCs w:val="24"/>
          <w:highlight w:val="none"/>
        </w:rPr>
      </w:pPr>
    </w:p>
    <w:p w14:paraId="57811C93">
      <w:pPr>
        <w:rPr>
          <w:rFonts w:ascii="Times New Roman" w:hAnsi="Times New Roman" w:eastAsia="宋体" w:cs="Times New Roman"/>
          <w:b/>
          <w:color w:val="auto"/>
          <w:sz w:val="24"/>
          <w:szCs w:val="24"/>
          <w:highlight w:val="none"/>
        </w:rPr>
      </w:pPr>
    </w:p>
    <w:p w14:paraId="4A0CD711">
      <w:pPr>
        <w:pStyle w:val="2"/>
        <w:rPr>
          <w:b/>
          <w:color w:val="auto"/>
          <w:sz w:val="24"/>
          <w:szCs w:val="24"/>
          <w:highlight w:val="none"/>
        </w:rPr>
      </w:pPr>
    </w:p>
    <w:p w14:paraId="41785B3E">
      <w:pPr>
        <w:pStyle w:val="3"/>
        <w:ind w:firstLine="210"/>
        <w:rPr>
          <w:color w:val="auto"/>
          <w:highlight w:val="none"/>
        </w:rPr>
      </w:pPr>
    </w:p>
    <w:p w14:paraId="4EB79B90">
      <w:pPr>
        <w:pStyle w:val="2"/>
        <w:rPr>
          <w:color w:val="auto"/>
          <w:highlight w:val="none"/>
        </w:rPr>
      </w:pPr>
    </w:p>
    <w:p w14:paraId="4E1485AD">
      <w:pPr>
        <w:tabs>
          <w:tab w:val="left" w:pos="1476"/>
          <w:tab w:val="center" w:pos="4651"/>
        </w:tabs>
        <w:spacing w:line="288" w:lineRule="auto"/>
        <w:ind w:right="-341"/>
        <w:jc w:val="center"/>
        <w:rPr>
          <w:rFonts w:ascii="Times New Roman" w:hAnsi="Times New Roman" w:eastAsia="宋体" w:cs="Times New Roman"/>
          <w:color w:val="auto"/>
          <w:szCs w:val="21"/>
          <w:highlight w:val="none"/>
        </w:rPr>
      </w:pPr>
      <w:r>
        <w:rPr>
          <w:rFonts w:hint="eastAsia" w:ascii="Times New Roman" w:hAnsi="Times New Roman" w:eastAsia="宋体" w:cs="Times New Roman"/>
          <w:b/>
          <w:color w:val="auto"/>
          <w:sz w:val="24"/>
          <w:szCs w:val="24"/>
          <w:highlight w:val="none"/>
        </w:rPr>
        <w:t>新城千岛路以东、勾山及小干岛区域环境卫生及环卫设施设备保洁管理项目评分表</w:t>
      </w:r>
    </w:p>
    <w:p w14:paraId="16FA5A17">
      <w:pPr>
        <w:spacing w:line="288" w:lineRule="auto"/>
        <w:ind w:right="-341"/>
        <w:jc w:val="left"/>
        <w:rPr>
          <w:rFonts w:ascii="Times New Roman" w:hAnsi="Times New Roman" w:eastAsia="宋体" w:cs="Times New Roman"/>
          <w:b/>
          <w:color w:val="auto"/>
          <w:szCs w:val="21"/>
          <w:highlight w:val="none"/>
        </w:rPr>
      </w:pPr>
    </w:p>
    <w:p w14:paraId="0AE27A94">
      <w:pPr>
        <w:spacing w:line="288" w:lineRule="auto"/>
        <w:ind w:right="-341"/>
        <w:jc w:val="left"/>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项目名称：新城千岛路以东、勾山及小干岛区域环境卫生及环卫设施设备保洁管理项目</w:t>
      </w:r>
    </w:p>
    <w:p w14:paraId="2FD9BF18">
      <w:pPr>
        <w:spacing w:line="360" w:lineRule="auto"/>
        <w:ind w:right="-341"/>
        <w:jc w:val="left"/>
        <w:rPr>
          <w:rFonts w:hint="eastAsia"/>
          <w:color w:val="auto"/>
          <w:highlight w:val="none"/>
        </w:rPr>
      </w:pPr>
      <w:r>
        <w:rPr>
          <w:rFonts w:hint="eastAsia" w:ascii="宋体" w:hAnsi="宋体" w:eastAsia="宋体" w:cs="Times New Roman"/>
          <w:b/>
          <w:color w:val="auto"/>
          <w:szCs w:val="21"/>
          <w:highlight w:val="none"/>
        </w:rPr>
        <w:t>项目编号：SZGXZS2024256</w:t>
      </w:r>
      <w:r>
        <w:rPr>
          <w:rFonts w:ascii="宋体" w:hAnsi="宋体" w:eastAsia="宋体" w:cs="Times New Roman"/>
          <w:color w:val="auto"/>
          <w:szCs w:val="21"/>
          <w:highlight w:val="none"/>
        </w:rPr>
        <w:t xml:space="preserve"> </w:t>
      </w:r>
    </w:p>
    <w:tbl>
      <w:tblPr>
        <w:tblStyle w:val="61"/>
        <w:tblW w:w="9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152"/>
        <w:gridCol w:w="7041"/>
        <w:gridCol w:w="656"/>
      </w:tblGrid>
      <w:tr w14:paraId="434FC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1104" w:type="dxa"/>
            <w:vMerge w:val="restart"/>
            <w:tcBorders>
              <w:top w:val="single" w:color="auto" w:sz="4" w:space="0"/>
              <w:left w:val="single" w:color="auto" w:sz="4" w:space="0"/>
              <w:bottom w:val="single" w:color="auto" w:sz="4" w:space="0"/>
              <w:right w:val="single" w:color="auto" w:sz="4" w:space="0"/>
            </w:tcBorders>
            <w:noWrap/>
            <w:vAlign w:val="center"/>
          </w:tcPr>
          <w:p w14:paraId="3B8B7F78">
            <w:pPr>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评审项目</w:t>
            </w:r>
          </w:p>
        </w:tc>
        <w:tc>
          <w:tcPr>
            <w:tcW w:w="1152" w:type="dxa"/>
            <w:vMerge w:val="restart"/>
            <w:tcBorders>
              <w:top w:val="single" w:color="auto" w:sz="4" w:space="0"/>
              <w:left w:val="single" w:color="auto" w:sz="4" w:space="0"/>
              <w:bottom w:val="single" w:color="auto" w:sz="4" w:space="0"/>
              <w:right w:val="single" w:color="auto" w:sz="4" w:space="0"/>
            </w:tcBorders>
            <w:noWrap/>
            <w:vAlign w:val="center"/>
          </w:tcPr>
          <w:p w14:paraId="1DE44EE5">
            <w:pPr>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评审内容</w:t>
            </w:r>
          </w:p>
        </w:tc>
        <w:tc>
          <w:tcPr>
            <w:tcW w:w="7041" w:type="dxa"/>
            <w:vMerge w:val="restart"/>
            <w:tcBorders>
              <w:top w:val="single" w:color="auto" w:sz="4" w:space="0"/>
              <w:left w:val="single" w:color="auto" w:sz="4" w:space="0"/>
              <w:bottom w:val="single" w:color="auto" w:sz="4" w:space="0"/>
              <w:right w:val="single" w:color="auto" w:sz="4" w:space="0"/>
            </w:tcBorders>
            <w:noWrap/>
            <w:vAlign w:val="center"/>
          </w:tcPr>
          <w:p w14:paraId="4B7FD058">
            <w:pPr>
              <w:ind w:firstLine="210"/>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评分标准</w:t>
            </w:r>
          </w:p>
        </w:tc>
        <w:tc>
          <w:tcPr>
            <w:tcW w:w="656" w:type="dxa"/>
            <w:vMerge w:val="restart"/>
            <w:tcBorders>
              <w:top w:val="single" w:color="auto" w:sz="4" w:space="0"/>
              <w:left w:val="single" w:color="auto" w:sz="4" w:space="0"/>
              <w:bottom w:val="single" w:color="auto" w:sz="4" w:space="0"/>
              <w:right w:val="single" w:color="auto" w:sz="4" w:space="0"/>
            </w:tcBorders>
            <w:noWrap/>
            <w:vAlign w:val="center"/>
          </w:tcPr>
          <w:p w14:paraId="5B4E2498">
            <w:pPr>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得分</w:t>
            </w:r>
          </w:p>
        </w:tc>
      </w:tr>
      <w:tr w14:paraId="33857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104" w:type="dxa"/>
            <w:vMerge w:val="continue"/>
            <w:tcBorders>
              <w:top w:val="single" w:color="auto" w:sz="4" w:space="0"/>
              <w:left w:val="single" w:color="auto" w:sz="4" w:space="0"/>
              <w:bottom w:val="single" w:color="auto" w:sz="4" w:space="0"/>
              <w:right w:val="single" w:color="auto" w:sz="4" w:space="0"/>
            </w:tcBorders>
            <w:noWrap/>
            <w:vAlign w:val="center"/>
          </w:tcPr>
          <w:p w14:paraId="6AA59832">
            <w:pPr>
              <w:widowControl/>
              <w:jc w:val="center"/>
              <w:rPr>
                <w:rFonts w:ascii="Times New Roman" w:hAnsi="Times New Roman" w:eastAsia="宋体" w:cs="Times New Roman"/>
                <w:color w:val="auto"/>
                <w:highlight w:val="none"/>
              </w:rPr>
            </w:pPr>
          </w:p>
        </w:tc>
        <w:tc>
          <w:tcPr>
            <w:tcW w:w="1152" w:type="dxa"/>
            <w:vMerge w:val="continue"/>
            <w:tcBorders>
              <w:top w:val="single" w:color="auto" w:sz="4" w:space="0"/>
              <w:left w:val="single" w:color="auto" w:sz="4" w:space="0"/>
              <w:bottom w:val="single" w:color="auto" w:sz="4" w:space="0"/>
              <w:right w:val="single" w:color="auto" w:sz="4" w:space="0"/>
            </w:tcBorders>
            <w:noWrap/>
            <w:vAlign w:val="center"/>
          </w:tcPr>
          <w:p w14:paraId="5A0BA2DF">
            <w:pPr>
              <w:widowControl/>
              <w:jc w:val="center"/>
              <w:rPr>
                <w:rFonts w:ascii="Times New Roman" w:hAnsi="Times New Roman" w:eastAsia="宋体" w:cs="Times New Roman"/>
                <w:color w:val="auto"/>
                <w:highlight w:val="none"/>
              </w:rPr>
            </w:pPr>
          </w:p>
        </w:tc>
        <w:tc>
          <w:tcPr>
            <w:tcW w:w="7041" w:type="dxa"/>
            <w:vMerge w:val="continue"/>
            <w:tcBorders>
              <w:top w:val="single" w:color="auto" w:sz="4" w:space="0"/>
              <w:left w:val="single" w:color="auto" w:sz="4" w:space="0"/>
              <w:bottom w:val="single" w:color="auto" w:sz="4" w:space="0"/>
              <w:right w:val="single" w:color="auto" w:sz="4" w:space="0"/>
            </w:tcBorders>
            <w:noWrap/>
            <w:vAlign w:val="center"/>
          </w:tcPr>
          <w:p w14:paraId="7017859E">
            <w:pPr>
              <w:widowControl/>
              <w:jc w:val="left"/>
              <w:rPr>
                <w:rFonts w:ascii="Times New Roman" w:hAnsi="Times New Roman" w:eastAsia="宋体" w:cs="Times New Roman"/>
                <w:color w:val="auto"/>
                <w:highlight w:val="none"/>
              </w:rPr>
            </w:pPr>
          </w:p>
        </w:tc>
        <w:tc>
          <w:tcPr>
            <w:tcW w:w="656" w:type="dxa"/>
            <w:vMerge w:val="continue"/>
            <w:tcBorders>
              <w:top w:val="single" w:color="auto" w:sz="4" w:space="0"/>
              <w:left w:val="single" w:color="auto" w:sz="4" w:space="0"/>
              <w:bottom w:val="single" w:color="auto" w:sz="4" w:space="0"/>
              <w:right w:val="single" w:color="auto" w:sz="4" w:space="0"/>
            </w:tcBorders>
            <w:noWrap/>
            <w:vAlign w:val="center"/>
          </w:tcPr>
          <w:p w14:paraId="35440228">
            <w:pPr>
              <w:widowControl/>
              <w:jc w:val="left"/>
              <w:rPr>
                <w:rFonts w:ascii="Times New Roman" w:hAnsi="Times New Roman" w:eastAsia="宋体" w:cs="Times New Roman"/>
                <w:color w:val="auto"/>
                <w:highlight w:val="none"/>
              </w:rPr>
            </w:pPr>
          </w:p>
        </w:tc>
      </w:tr>
      <w:tr w14:paraId="788BA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jc w:val="center"/>
        </w:trPr>
        <w:tc>
          <w:tcPr>
            <w:tcW w:w="1104" w:type="dxa"/>
            <w:vMerge w:val="restart"/>
            <w:tcBorders>
              <w:top w:val="single" w:color="auto" w:sz="4" w:space="0"/>
              <w:left w:val="single" w:color="auto" w:sz="4" w:space="0"/>
              <w:right w:val="single" w:color="auto" w:sz="4" w:space="0"/>
            </w:tcBorders>
            <w:shd w:val="clear" w:color="auto" w:fill="auto"/>
            <w:noWrap/>
            <w:vAlign w:val="center"/>
          </w:tcPr>
          <w:p w14:paraId="5AE1FD74">
            <w:pPr>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商务技术</w:t>
            </w:r>
          </w:p>
          <w:p w14:paraId="7C5C3272">
            <w:pPr>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得分</w:t>
            </w:r>
          </w:p>
          <w:p w14:paraId="337BB6B1">
            <w:pPr>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rPr>
              <w:t>9</w:t>
            </w:r>
            <w:r>
              <w:rPr>
                <w:rFonts w:ascii="Times New Roman" w:hAnsi="Times New Roman" w:eastAsia="宋体" w:cs="Times New Roman"/>
                <w:color w:val="auto"/>
                <w:highlight w:val="none"/>
              </w:rPr>
              <w:t>0分）</w:t>
            </w:r>
          </w:p>
        </w:tc>
        <w:tc>
          <w:tcPr>
            <w:tcW w:w="1152" w:type="dxa"/>
            <w:tcBorders>
              <w:top w:val="single" w:color="auto" w:sz="4" w:space="0"/>
              <w:left w:val="single" w:color="auto" w:sz="4" w:space="0"/>
              <w:right w:val="single" w:color="auto" w:sz="4" w:space="0"/>
            </w:tcBorders>
            <w:shd w:val="clear" w:color="auto" w:fill="auto"/>
            <w:noWrap/>
            <w:vAlign w:val="center"/>
          </w:tcPr>
          <w:p w14:paraId="6C1D1259">
            <w:pPr>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同类案例</w:t>
            </w:r>
          </w:p>
          <w:p w14:paraId="68C47E3D">
            <w:pPr>
              <w:spacing w:after="120"/>
              <w:jc w:val="center"/>
              <w:rPr>
                <w:rFonts w:ascii="Times New Roman" w:hAnsi="Calibri" w:eastAsia="宋体" w:cs="Times New Roman"/>
                <w:color w:val="auto"/>
                <w:kern w:val="0"/>
                <w:highlight w:val="none"/>
              </w:rPr>
            </w:pPr>
            <w:r>
              <w:rPr>
                <w:rFonts w:hint="eastAsia" w:ascii="Times New Roman" w:hAnsi="Calibri" w:eastAsia="宋体" w:cs="Times New Roman"/>
                <w:color w:val="auto"/>
                <w:kern w:val="0"/>
                <w:highlight w:val="none"/>
              </w:rPr>
              <w:t>（1分）</w:t>
            </w:r>
          </w:p>
        </w:tc>
        <w:tc>
          <w:tcPr>
            <w:tcW w:w="7041" w:type="dxa"/>
            <w:tcBorders>
              <w:top w:val="single" w:color="auto" w:sz="4" w:space="0"/>
              <w:left w:val="single" w:color="auto" w:sz="4" w:space="0"/>
              <w:right w:val="single" w:color="auto" w:sz="4" w:space="0"/>
            </w:tcBorders>
            <w:shd w:val="clear" w:color="auto" w:fill="FFFFFF"/>
            <w:noWrap/>
            <w:vAlign w:val="center"/>
          </w:tcPr>
          <w:p w14:paraId="1E4CFF90">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20</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1年1月1日来同类项目成功案例，每提供一个得0.5分，最多得1分。</w:t>
            </w:r>
          </w:p>
          <w:p w14:paraId="49F19EC5">
            <w:pPr>
              <w:rPr>
                <w:rFonts w:hint="eastAsia" w:ascii="宋体" w:hAnsi="宋体" w:eastAsia="宋体" w:cs="Times New Roman"/>
                <w:color w:val="auto"/>
                <w:szCs w:val="21"/>
                <w:highlight w:val="none"/>
              </w:rPr>
            </w:pPr>
            <w:r>
              <w:rPr>
                <w:rFonts w:hint="eastAsia" w:ascii="宋体" w:hAnsi="宋体" w:eastAsia="宋体" w:cs="Times New Roman"/>
                <w:b/>
                <w:bCs/>
                <w:color w:val="auto"/>
                <w:szCs w:val="21"/>
                <w:highlight w:val="none"/>
              </w:rPr>
              <w:t>（提供中标通知书（如有）、合同协议书及投标人认为需要提交的其他证明材料证实，复印件加盖公章，须提供重要页面，能够体现项目内容。）</w:t>
            </w:r>
          </w:p>
        </w:tc>
        <w:tc>
          <w:tcPr>
            <w:tcW w:w="656" w:type="dxa"/>
            <w:tcBorders>
              <w:top w:val="single" w:color="auto" w:sz="4" w:space="0"/>
              <w:left w:val="single" w:color="auto" w:sz="4" w:space="0"/>
              <w:right w:val="single" w:color="auto" w:sz="4" w:space="0"/>
            </w:tcBorders>
            <w:noWrap/>
            <w:vAlign w:val="center"/>
          </w:tcPr>
          <w:p w14:paraId="464AE8A4">
            <w:pPr>
              <w:ind w:firstLine="210" w:firstLineChars="100"/>
              <w:rPr>
                <w:rFonts w:ascii="Times New Roman" w:hAnsi="Times New Roman" w:eastAsia="宋体" w:cs="Times New Roman"/>
                <w:color w:val="auto"/>
                <w:highlight w:val="none"/>
              </w:rPr>
            </w:pPr>
          </w:p>
        </w:tc>
      </w:tr>
      <w:tr w14:paraId="73A26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5" w:hRule="atLeast"/>
          <w:jc w:val="center"/>
        </w:trPr>
        <w:tc>
          <w:tcPr>
            <w:tcW w:w="1104" w:type="dxa"/>
            <w:vMerge w:val="continue"/>
            <w:tcBorders>
              <w:left w:val="single" w:color="auto" w:sz="4" w:space="0"/>
              <w:right w:val="single" w:color="auto" w:sz="4" w:space="0"/>
            </w:tcBorders>
            <w:shd w:val="clear" w:color="auto" w:fill="auto"/>
            <w:noWrap/>
            <w:vAlign w:val="center"/>
          </w:tcPr>
          <w:p w14:paraId="5357F066">
            <w:pPr>
              <w:ind w:firstLine="640"/>
              <w:jc w:val="center"/>
              <w:rPr>
                <w:rFonts w:ascii="Times New Roman" w:hAnsi="Times New Roman" w:eastAsia="宋体" w:cs="Times New Roman"/>
                <w:color w:val="auto"/>
                <w:highlight w:val="none"/>
              </w:rPr>
            </w:pPr>
          </w:p>
        </w:tc>
        <w:tc>
          <w:tcPr>
            <w:tcW w:w="1152" w:type="dxa"/>
            <w:tcBorders>
              <w:top w:val="single" w:color="auto" w:sz="4" w:space="0"/>
              <w:left w:val="single" w:color="auto" w:sz="4" w:space="0"/>
              <w:right w:val="single" w:color="auto" w:sz="4" w:space="0"/>
            </w:tcBorders>
            <w:shd w:val="clear" w:color="auto" w:fill="auto"/>
            <w:noWrap/>
            <w:vAlign w:val="center"/>
          </w:tcPr>
          <w:p w14:paraId="313818FD">
            <w:pPr>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企业综合实力</w:t>
            </w:r>
          </w:p>
          <w:p w14:paraId="10B80CA6">
            <w:pPr>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（3分）</w:t>
            </w:r>
          </w:p>
        </w:tc>
        <w:tc>
          <w:tcPr>
            <w:tcW w:w="7041" w:type="dxa"/>
            <w:tcBorders>
              <w:top w:val="single" w:color="auto" w:sz="4" w:space="0"/>
              <w:left w:val="single" w:color="auto" w:sz="4" w:space="0"/>
              <w:right w:val="single" w:color="auto" w:sz="4" w:space="0"/>
            </w:tcBorders>
            <w:shd w:val="clear" w:color="auto" w:fill="FFFFFF"/>
            <w:noWrap/>
            <w:vAlign w:val="center"/>
          </w:tcPr>
          <w:p w14:paraId="76C58493">
            <w:pPr>
              <w:rPr>
                <w:rFonts w:hint="eastAsia" w:ascii="宋体" w:hAnsi="宋体" w:eastAsia="宋体" w:cs="Batang"/>
                <w:color w:val="auto"/>
                <w:szCs w:val="21"/>
                <w:highlight w:val="none"/>
              </w:rPr>
            </w:pPr>
            <w:r>
              <w:rPr>
                <w:rFonts w:hint="eastAsia" w:ascii="宋体" w:hAnsi="宋体" w:eastAsia="宋体" w:cs="Batang"/>
                <w:color w:val="auto"/>
                <w:szCs w:val="21"/>
                <w:highlight w:val="none"/>
              </w:rPr>
              <w:t>1.具有清洁环卫行业经营服务能力认证，且认证范围包含环卫保洁内容的，得1分。</w:t>
            </w:r>
          </w:p>
          <w:p w14:paraId="7B926DA9">
            <w:pPr>
              <w:rPr>
                <w:rFonts w:hint="eastAsia" w:ascii="宋体" w:hAnsi="宋体" w:eastAsia="宋体" w:cs="Times New Roman"/>
                <w:b/>
                <w:bCs/>
                <w:color w:val="auto"/>
                <w:szCs w:val="21"/>
                <w:highlight w:val="none"/>
              </w:rPr>
            </w:pPr>
            <w:r>
              <w:rPr>
                <w:rFonts w:hint="eastAsia" w:ascii="宋体" w:hAnsi="宋体" w:eastAsia="宋体" w:cs="Batang"/>
                <w:color w:val="auto"/>
                <w:szCs w:val="21"/>
                <w:highlight w:val="none"/>
              </w:rPr>
              <w:t>2.具有生活垃圾分类服务能力认证，且认证范围包含环卫保洁内容的，得1分。</w:t>
            </w:r>
          </w:p>
          <w:p w14:paraId="7E957FA3">
            <w:pPr>
              <w:rPr>
                <w:rFonts w:hint="eastAsia" w:ascii="宋体" w:hAnsi="宋体" w:eastAsia="宋体" w:cs="Batang"/>
                <w:color w:val="auto"/>
                <w:szCs w:val="21"/>
                <w:highlight w:val="none"/>
              </w:rPr>
            </w:pPr>
            <w:r>
              <w:rPr>
                <w:rFonts w:hint="eastAsia" w:ascii="宋体" w:hAnsi="宋体" w:eastAsia="宋体" w:cs="Batang"/>
                <w:color w:val="auto"/>
                <w:szCs w:val="21"/>
                <w:highlight w:val="none"/>
              </w:rPr>
              <w:t>3.具有应急管理部门或应急管理部门指定的评审组织单位颁发的安全生产标准化证书的得1分。</w:t>
            </w:r>
          </w:p>
          <w:p w14:paraId="5A427FCB">
            <w:pPr>
              <w:rPr>
                <w:rFonts w:hint="eastAsia" w:ascii="宋体" w:hAnsi="宋体" w:eastAsia="宋体" w:cs="Times New Roman"/>
                <w:b/>
                <w:bCs/>
                <w:color w:val="auto"/>
                <w:szCs w:val="21"/>
                <w:highlight w:val="none"/>
              </w:rPr>
            </w:pPr>
            <w:r>
              <w:rPr>
                <w:rFonts w:hint="eastAsia" w:ascii="宋体" w:hAnsi="宋体" w:eastAsia="宋体" w:cs="Batang"/>
                <w:b/>
                <w:bCs/>
                <w:color w:val="auto"/>
                <w:szCs w:val="21"/>
                <w:highlight w:val="none"/>
              </w:rPr>
              <w:t>（提供认证证书复印件加盖公章，未提供不得分。）</w:t>
            </w:r>
          </w:p>
        </w:tc>
        <w:tc>
          <w:tcPr>
            <w:tcW w:w="656" w:type="dxa"/>
            <w:tcBorders>
              <w:top w:val="single" w:color="auto" w:sz="4" w:space="0"/>
              <w:left w:val="single" w:color="auto" w:sz="4" w:space="0"/>
              <w:right w:val="single" w:color="auto" w:sz="4" w:space="0"/>
            </w:tcBorders>
            <w:noWrap/>
            <w:vAlign w:val="center"/>
          </w:tcPr>
          <w:p w14:paraId="1F6FF316">
            <w:pPr>
              <w:ind w:firstLine="210" w:firstLineChars="100"/>
              <w:rPr>
                <w:rFonts w:ascii="Times New Roman" w:hAnsi="Times New Roman" w:eastAsia="宋体" w:cs="Times New Roman"/>
                <w:color w:val="auto"/>
                <w:highlight w:val="none"/>
              </w:rPr>
            </w:pPr>
          </w:p>
        </w:tc>
      </w:tr>
      <w:tr w14:paraId="38DFA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9" w:hRule="atLeast"/>
          <w:jc w:val="center"/>
        </w:trPr>
        <w:tc>
          <w:tcPr>
            <w:tcW w:w="1104" w:type="dxa"/>
            <w:vMerge w:val="continue"/>
            <w:tcBorders>
              <w:left w:val="single" w:color="auto" w:sz="4" w:space="0"/>
              <w:right w:val="single" w:color="auto" w:sz="4" w:space="0"/>
            </w:tcBorders>
            <w:shd w:val="clear" w:color="auto" w:fill="auto"/>
            <w:noWrap/>
            <w:vAlign w:val="center"/>
          </w:tcPr>
          <w:p w14:paraId="701835F3">
            <w:pPr>
              <w:ind w:firstLine="640"/>
              <w:jc w:val="center"/>
              <w:rPr>
                <w:rFonts w:ascii="Times New Roman" w:hAnsi="Times New Roman" w:eastAsia="宋体" w:cs="Times New Roman"/>
                <w:color w:val="auto"/>
                <w:highlight w:val="none"/>
              </w:rPr>
            </w:pPr>
          </w:p>
        </w:tc>
        <w:tc>
          <w:tcPr>
            <w:tcW w:w="1152" w:type="dxa"/>
            <w:vMerge w:val="restart"/>
            <w:tcBorders>
              <w:top w:val="single" w:color="auto" w:sz="4" w:space="0"/>
              <w:left w:val="single" w:color="auto" w:sz="4" w:space="0"/>
              <w:right w:val="single" w:color="auto" w:sz="4" w:space="0"/>
            </w:tcBorders>
            <w:shd w:val="clear" w:color="auto" w:fill="auto"/>
            <w:noWrap/>
            <w:vAlign w:val="center"/>
          </w:tcPr>
          <w:p w14:paraId="28D3633C">
            <w:pPr>
              <w:jc w:val="center"/>
              <w:rPr>
                <w:rFonts w:ascii="Times New Roman" w:hAnsi="Times New Roman" w:eastAsia="宋体" w:cs="Times New Roman"/>
                <w:color w:val="auto"/>
                <w:highlight w:val="none"/>
              </w:rPr>
            </w:pPr>
            <w:r>
              <w:rPr>
                <w:rFonts w:hint="eastAsia" w:ascii="宋体" w:hAnsi="宋体" w:eastAsia="宋体" w:cs="Times New Roman"/>
                <w:color w:val="auto"/>
                <w:szCs w:val="21"/>
                <w:highlight w:val="none"/>
              </w:rPr>
              <w:t>人员配备（6分）</w:t>
            </w:r>
          </w:p>
        </w:tc>
        <w:tc>
          <w:tcPr>
            <w:tcW w:w="7041" w:type="dxa"/>
            <w:tcBorders>
              <w:top w:val="single" w:color="auto" w:sz="4" w:space="0"/>
              <w:left w:val="single" w:color="auto" w:sz="4" w:space="0"/>
              <w:right w:val="single" w:color="auto" w:sz="4" w:space="0"/>
            </w:tcBorders>
            <w:shd w:val="clear" w:color="auto" w:fill="FFFFFF"/>
            <w:noWrap/>
            <w:vAlign w:val="center"/>
          </w:tcPr>
          <w:p w14:paraId="28EFC9E9">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1.项目负责人具有环卫类项目经理岗位证书的，得2分；</w:t>
            </w:r>
          </w:p>
          <w:p w14:paraId="671C6B5A">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项目负责人具有类似项目管理经验的（证明材料中服务内容须包含城市道路（含绿化带）保洁或社区城中村清扫保洁（含绿化带）或垃圾分类、垃圾清运的且单个合同保洁面积≥100万㎡，证明材料中须体现所担任的岗位为项目负责人），五年（含）及以上的得2分，三年（含）及以上的得1分；</w:t>
            </w:r>
          </w:p>
          <w:p w14:paraId="546582E0">
            <w:pPr>
              <w:rPr>
                <w:rFonts w:hint="eastAsia" w:ascii="宋体" w:hAnsi="宋体" w:eastAsia="宋体" w:cs="Times New Roman"/>
                <w:color w:val="auto"/>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color w:val="auto"/>
                <w:szCs w:val="21"/>
                <w:highlight w:val="none"/>
              </w:rPr>
              <w:t>提供相关证书及</w:t>
            </w:r>
            <w:r>
              <w:rPr>
                <w:rFonts w:hint="eastAsia" w:ascii="宋体" w:hAnsi="宋体" w:eastAsia="宋体" w:cs="宋体"/>
                <w:b/>
                <w:bCs/>
                <w:color w:val="auto"/>
                <w:kern w:val="0"/>
                <w:szCs w:val="21"/>
                <w:highlight w:val="none"/>
                <w:lang w:bidi="ar"/>
              </w:rPr>
              <w:t>开标前三个月任意一个月的社保证明，复印件加盖公章，项目管理经验用</w:t>
            </w:r>
            <w:r>
              <w:rPr>
                <w:rFonts w:hint="eastAsia" w:ascii="宋体" w:hAnsi="宋体" w:eastAsia="宋体" w:cs="宋体"/>
                <w:b/>
                <w:color w:val="auto"/>
                <w:szCs w:val="21"/>
                <w:highlight w:val="none"/>
              </w:rPr>
              <w:t>合同证明，若合同无法体现服务内容和岗位的，可提供业主出具的相应证明文件并加盖业主公章，否则不得分。</w:t>
            </w:r>
            <w:r>
              <w:rPr>
                <w:rFonts w:hint="eastAsia" w:ascii="宋体" w:hAnsi="宋体" w:eastAsia="宋体" w:cs="宋体"/>
                <w:b/>
                <w:bCs/>
                <w:color w:val="auto"/>
                <w:szCs w:val="21"/>
                <w:highlight w:val="none"/>
              </w:rPr>
              <w:t>）</w:t>
            </w:r>
          </w:p>
        </w:tc>
        <w:tc>
          <w:tcPr>
            <w:tcW w:w="656" w:type="dxa"/>
            <w:tcBorders>
              <w:top w:val="single" w:color="auto" w:sz="4" w:space="0"/>
              <w:left w:val="single" w:color="auto" w:sz="4" w:space="0"/>
              <w:right w:val="single" w:color="auto" w:sz="4" w:space="0"/>
            </w:tcBorders>
            <w:noWrap/>
            <w:vAlign w:val="center"/>
          </w:tcPr>
          <w:p w14:paraId="6E5E8A10">
            <w:pPr>
              <w:ind w:firstLine="210" w:firstLineChars="100"/>
              <w:rPr>
                <w:rFonts w:ascii="Times New Roman" w:hAnsi="Times New Roman" w:eastAsia="宋体" w:cs="Times New Roman"/>
                <w:color w:val="auto"/>
                <w:highlight w:val="none"/>
              </w:rPr>
            </w:pPr>
          </w:p>
        </w:tc>
      </w:tr>
      <w:tr w14:paraId="4D994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04" w:type="dxa"/>
            <w:vMerge w:val="continue"/>
            <w:tcBorders>
              <w:left w:val="single" w:color="auto" w:sz="4" w:space="0"/>
              <w:right w:val="single" w:color="auto" w:sz="4" w:space="0"/>
            </w:tcBorders>
            <w:shd w:val="clear" w:color="auto" w:fill="auto"/>
            <w:noWrap/>
            <w:vAlign w:val="center"/>
          </w:tcPr>
          <w:p w14:paraId="0CFAD2F5">
            <w:pPr>
              <w:ind w:firstLine="640"/>
              <w:jc w:val="center"/>
              <w:rPr>
                <w:rFonts w:ascii="Times New Roman" w:hAnsi="Times New Roman" w:eastAsia="宋体" w:cs="Times New Roman"/>
                <w:color w:val="auto"/>
                <w:highlight w:val="none"/>
              </w:rPr>
            </w:pPr>
          </w:p>
        </w:tc>
        <w:tc>
          <w:tcPr>
            <w:tcW w:w="1152" w:type="dxa"/>
            <w:vMerge w:val="continue"/>
            <w:tcBorders>
              <w:left w:val="single" w:color="auto" w:sz="4" w:space="0"/>
              <w:right w:val="single" w:color="auto" w:sz="4" w:space="0"/>
            </w:tcBorders>
            <w:shd w:val="clear" w:color="auto" w:fill="auto"/>
            <w:noWrap/>
            <w:vAlign w:val="center"/>
          </w:tcPr>
          <w:p w14:paraId="6BC6478A">
            <w:pPr>
              <w:jc w:val="center"/>
              <w:rPr>
                <w:rFonts w:ascii="Times New Roman" w:hAnsi="Times New Roman" w:eastAsia="宋体" w:cs="Times New Roman"/>
                <w:color w:val="auto"/>
                <w:highlight w:val="none"/>
              </w:rPr>
            </w:pPr>
          </w:p>
        </w:tc>
        <w:tc>
          <w:tcPr>
            <w:tcW w:w="7041" w:type="dxa"/>
            <w:tcBorders>
              <w:top w:val="single" w:color="auto" w:sz="4" w:space="0"/>
              <w:left w:val="single" w:color="auto" w:sz="4" w:space="0"/>
              <w:right w:val="single" w:color="auto" w:sz="4" w:space="0"/>
            </w:tcBorders>
            <w:shd w:val="clear" w:color="auto" w:fill="FFFFFF"/>
            <w:noWrap/>
            <w:vAlign w:val="center"/>
          </w:tcPr>
          <w:p w14:paraId="28BB3D8A">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除项目负责人外，项目团队中（含班组长）具有类似项目管理经验的（证明材料中服务内容须包含城市道路（含绿化带）保洁或社区城中村清扫保洁（含绿化带）或垃圾分类、垃圾清运的，证明材料中能体现所担任的岗位为项目负责人或组长，三年（含）及以上的，得1分；</w:t>
            </w:r>
          </w:p>
          <w:p w14:paraId="26E75B2D">
            <w:pPr>
              <w:rPr>
                <w:rFonts w:hint="eastAsia" w:ascii="宋体" w:hAnsi="宋体"/>
                <w:b/>
                <w:color w:val="auto"/>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color w:val="auto"/>
                <w:szCs w:val="21"/>
                <w:highlight w:val="none"/>
              </w:rPr>
              <w:t>提供</w:t>
            </w:r>
            <w:r>
              <w:rPr>
                <w:rFonts w:hint="eastAsia" w:ascii="宋体" w:hAnsi="宋体" w:eastAsia="宋体" w:cs="宋体"/>
                <w:b/>
                <w:bCs/>
                <w:color w:val="auto"/>
                <w:kern w:val="0"/>
                <w:szCs w:val="21"/>
                <w:highlight w:val="none"/>
                <w:lang w:bidi="ar"/>
              </w:rPr>
              <w:t>开标前三个月任意一个月的社保证明，复印件加盖公章，项目管理经验用</w:t>
            </w:r>
            <w:r>
              <w:rPr>
                <w:rFonts w:hint="eastAsia" w:ascii="宋体" w:hAnsi="宋体" w:eastAsia="宋体" w:cs="宋体"/>
                <w:b/>
                <w:color w:val="auto"/>
                <w:szCs w:val="21"/>
                <w:highlight w:val="none"/>
              </w:rPr>
              <w:t>合同证明，若合同无法体现服务内容和岗位的，可提供业主出具的相应证明文件并加盖业主公章，否则不得分。</w:t>
            </w:r>
            <w:r>
              <w:rPr>
                <w:rFonts w:hint="eastAsia" w:ascii="宋体" w:hAnsi="宋体" w:eastAsia="宋体" w:cs="宋体"/>
                <w:b/>
                <w:bCs/>
                <w:color w:val="auto"/>
                <w:szCs w:val="21"/>
                <w:highlight w:val="none"/>
              </w:rPr>
              <w:t>）</w:t>
            </w:r>
          </w:p>
        </w:tc>
        <w:tc>
          <w:tcPr>
            <w:tcW w:w="656" w:type="dxa"/>
            <w:tcBorders>
              <w:top w:val="single" w:color="auto" w:sz="4" w:space="0"/>
              <w:left w:val="single" w:color="auto" w:sz="4" w:space="0"/>
              <w:right w:val="single" w:color="auto" w:sz="4" w:space="0"/>
            </w:tcBorders>
            <w:noWrap/>
            <w:vAlign w:val="center"/>
          </w:tcPr>
          <w:p w14:paraId="3F9D5F1D">
            <w:pPr>
              <w:ind w:firstLine="210" w:firstLineChars="100"/>
              <w:rPr>
                <w:rFonts w:ascii="Times New Roman" w:hAnsi="Times New Roman" w:eastAsia="宋体" w:cs="Times New Roman"/>
                <w:color w:val="auto"/>
                <w:highlight w:val="none"/>
              </w:rPr>
            </w:pPr>
          </w:p>
        </w:tc>
      </w:tr>
      <w:tr w14:paraId="58C69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1104" w:type="dxa"/>
            <w:vMerge w:val="continue"/>
            <w:tcBorders>
              <w:left w:val="single" w:color="auto" w:sz="4" w:space="0"/>
              <w:right w:val="single" w:color="auto" w:sz="4" w:space="0"/>
            </w:tcBorders>
            <w:shd w:val="clear" w:color="auto" w:fill="auto"/>
            <w:noWrap/>
            <w:vAlign w:val="center"/>
          </w:tcPr>
          <w:p w14:paraId="1E3F2CB3">
            <w:pPr>
              <w:ind w:firstLine="640"/>
              <w:jc w:val="center"/>
              <w:rPr>
                <w:rFonts w:ascii="Times New Roman" w:hAnsi="Times New Roman" w:eastAsia="宋体" w:cs="Times New Roman"/>
                <w:color w:val="auto"/>
                <w:highlight w:val="none"/>
              </w:rPr>
            </w:pPr>
          </w:p>
        </w:tc>
        <w:tc>
          <w:tcPr>
            <w:tcW w:w="1152" w:type="dxa"/>
            <w:vMerge w:val="continue"/>
            <w:tcBorders>
              <w:left w:val="single" w:color="auto" w:sz="4" w:space="0"/>
              <w:right w:val="single" w:color="auto" w:sz="4" w:space="0"/>
            </w:tcBorders>
            <w:shd w:val="clear" w:color="auto" w:fill="auto"/>
            <w:noWrap/>
            <w:vAlign w:val="center"/>
          </w:tcPr>
          <w:p w14:paraId="21794315">
            <w:pPr>
              <w:jc w:val="center"/>
              <w:rPr>
                <w:rFonts w:ascii="Times New Roman" w:hAnsi="Times New Roman" w:eastAsia="宋体" w:cs="Times New Roman"/>
                <w:color w:val="auto"/>
                <w:highlight w:val="none"/>
              </w:rPr>
            </w:pPr>
          </w:p>
        </w:tc>
        <w:tc>
          <w:tcPr>
            <w:tcW w:w="7041" w:type="dxa"/>
            <w:tcBorders>
              <w:top w:val="single" w:color="auto" w:sz="4" w:space="0"/>
              <w:left w:val="single" w:color="auto" w:sz="4" w:space="0"/>
              <w:right w:val="single" w:color="auto" w:sz="4" w:space="0"/>
            </w:tcBorders>
            <w:shd w:val="clear" w:color="auto" w:fill="FFFFFF"/>
            <w:noWrap/>
            <w:vAlign w:val="center"/>
          </w:tcPr>
          <w:p w14:paraId="6023A5AD">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项目安全人员具有应急管理部门（或由其委托的培训机构）或政府主管部门（或由其委托的培训机构）频发的安全生产培训证书或安全生产管理员证书的，得1分。</w:t>
            </w:r>
          </w:p>
          <w:p w14:paraId="5329AA5F">
            <w:pPr>
              <w:rPr>
                <w:rFonts w:hint="eastAsia" w:ascii="宋体" w:hAnsi="宋体"/>
                <w:b/>
                <w:color w:val="auto"/>
                <w:szCs w:val="21"/>
                <w:highlight w:val="none"/>
              </w:rPr>
            </w:pPr>
            <w:r>
              <w:rPr>
                <w:rFonts w:hint="eastAsia" w:ascii="宋体" w:hAnsi="宋体" w:eastAsia="宋体" w:cs="宋体"/>
                <w:b/>
                <w:bCs/>
                <w:color w:val="auto"/>
                <w:kern w:val="0"/>
                <w:szCs w:val="21"/>
                <w:highlight w:val="none"/>
                <w:lang w:bidi="ar"/>
              </w:rPr>
              <w:t>（提供相关证书、证明文件及开标前三个月任意一个月的社保证明，复印件加盖公章）</w:t>
            </w:r>
          </w:p>
        </w:tc>
        <w:tc>
          <w:tcPr>
            <w:tcW w:w="656" w:type="dxa"/>
            <w:tcBorders>
              <w:top w:val="single" w:color="auto" w:sz="4" w:space="0"/>
              <w:left w:val="single" w:color="auto" w:sz="4" w:space="0"/>
              <w:right w:val="single" w:color="auto" w:sz="4" w:space="0"/>
            </w:tcBorders>
            <w:noWrap/>
            <w:vAlign w:val="center"/>
          </w:tcPr>
          <w:p w14:paraId="05CCE2F6">
            <w:pPr>
              <w:ind w:firstLine="210" w:firstLineChars="100"/>
              <w:rPr>
                <w:rFonts w:ascii="Times New Roman" w:hAnsi="Times New Roman" w:eastAsia="宋体" w:cs="Times New Roman"/>
                <w:color w:val="auto"/>
                <w:highlight w:val="none"/>
              </w:rPr>
            </w:pPr>
          </w:p>
        </w:tc>
      </w:tr>
      <w:tr w14:paraId="4FC2E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1104" w:type="dxa"/>
            <w:vMerge w:val="continue"/>
            <w:tcBorders>
              <w:left w:val="single" w:color="auto" w:sz="4" w:space="0"/>
              <w:right w:val="single" w:color="auto" w:sz="4" w:space="0"/>
            </w:tcBorders>
            <w:shd w:val="clear" w:color="auto" w:fill="auto"/>
            <w:noWrap/>
            <w:vAlign w:val="center"/>
          </w:tcPr>
          <w:p w14:paraId="5B2FFD84">
            <w:pPr>
              <w:ind w:firstLine="640"/>
              <w:jc w:val="center"/>
              <w:rPr>
                <w:rFonts w:ascii="Times New Roman" w:hAnsi="Times New Roman" w:eastAsia="宋体" w:cs="Times New Roman"/>
                <w:color w:val="auto"/>
                <w:highlight w:val="none"/>
              </w:rPr>
            </w:pPr>
          </w:p>
        </w:tc>
        <w:tc>
          <w:tcPr>
            <w:tcW w:w="1152" w:type="dxa"/>
            <w:tcBorders>
              <w:left w:val="single" w:color="auto" w:sz="4" w:space="0"/>
              <w:right w:val="single" w:color="auto" w:sz="4" w:space="0"/>
            </w:tcBorders>
            <w:shd w:val="clear" w:color="auto" w:fill="auto"/>
            <w:noWrap/>
            <w:vAlign w:val="center"/>
          </w:tcPr>
          <w:p w14:paraId="431E9E7E">
            <w:pPr>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承包作业服务要求满足程度（10分）</w:t>
            </w:r>
          </w:p>
        </w:tc>
        <w:tc>
          <w:tcPr>
            <w:tcW w:w="7041" w:type="dxa"/>
            <w:tcBorders>
              <w:top w:val="single" w:color="auto" w:sz="4" w:space="0"/>
              <w:left w:val="single" w:color="auto" w:sz="4" w:space="0"/>
              <w:right w:val="single" w:color="auto" w:sz="4" w:space="0"/>
            </w:tcBorders>
            <w:shd w:val="clear" w:color="auto" w:fill="FFFFFF"/>
            <w:noWrap/>
            <w:vAlign w:val="center"/>
          </w:tcPr>
          <w:p w14:paraId="64A15052">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承包作业服务要求：每满足一项得1分，其他不得分，最多得10分。</w:t>
            </w:r>
          </w:p>
        </w:tc>
        <w:tc>
          <w:tcPr>
            <w:tcW w:w="656" w:type="dxa"/>
            <w:tcBorders>
              <w:top w:val="single" w:color="auto" w:sz="4" w:space="0"/>
              <w:left w:val="single" w:color="auto" w:sz="4" w:space="0"/>
              <w:right w:val="single" w:color="auto" w:sz="4" w:space="0"/>
            </w:tcBorders>
            <w:noWrap/>
            <w:vAlign w:val="center"/>
          </w:tcPr>
          <w:p w14:paraId="5D4C9506">
            <w:pPr>
              <w:ind w:firstLine="210" w:firstLineChars="100"/>
              <w:rPr>
                <w:rFonts w:ascii="Times New Roman" w:hAnsi="Times New Roman" w:eastAsia="宋体" w:cs="Times New Roman"/>
                <w:color w:val="auto"/>
                <w:highlight w:val="none"/>
              </w:rPr>
            </w:pPr>
          </w:p>
        </w:tc>
      </w:tr>
      <w:tr w14:paraId="05B02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1104" w:type="dxa"/>
            <w:vMerge w:val="continue"/>
            <w:tcBorders>
              <w:left w:val="single" w:color="auto" w:sz="4" w:space="0"/>
              <w:right w:val="single" w:color="auto" w:sz="4" w:space="0"/>
            </w:tcBorders>
            <w:shd w:val="clear" w:color="auto" w:fill="auto"/>
            <w:noWrap/>
            <w:vAlign w:val="center"/>
          </w:tcPr>
          <w:p w14:paraId="5D50D387">
            <w:pPr>
              <w:ind w:firstLine="640"/>
              <w:jc w:val="center"/>
              <w:rPr>
                <w:rFonts w:ascii="Times New Roman" w:hAnsi="Times New Roman" w:eastAsia="宋体" w:cs="Times New Roman"/>
                <w:color w:val="auto"/>
                <w:highlight w:val="none"/>
              </w:rPr>
            </w:pPr>
          </w:p>
        </w:tc>
        <w:tc>
          <w:tcPr>
            <w:tcW w:w="1152" w:type="dxa"/>
            <w:tcBorders>
              <w:top w:val="single" w:color="auto" w:sz="4" w:space="0"/>
              <w:left w:val="single" w:color="auto" w:sz="4" w:space="0"/>
              <w:right w:val="single" w:color="auto" w:sz="4" w:space="0"/>
            </w:tcBorders>
            <w:shd w:val="clear" w:color="auto" w:fill="auto"/>
            <w:noWrap/>
            <w:vAlign w:val="center"/>
          </w:tcPr>
          <w:p w14:paraId="572540F9">
            <w:pPr>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对项目的总体理解</w:t>
            </w:r>
          </w:p>
          <w:p w14:paraId="3927C483">
            <w:pPr>
              <w:spacing w:after="120"/>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（7分）</w:t>
            </w:r>
          </w:p>
        </w:tc>
        <w:tc>
          <w:tcPr>
            <w:tcW w:w="7041" w:type="dxa"/>
            <w:tcBorders>
              <w:top w:val="single" w:color="auto" w:sz="4" w:space="0"/>
              <w:left w:val="single" w:color="auto" w:sz="4" w:space="0"/>
              <w:right w:val="single" w:color="auto" w:sz="4" w:space="0"/>
            </w:tcBorders>
            <w:shd w:val="clear" w:color="auto" w:fill="FFFFFF"/>
            <w:noWrap/>
            <w:vAlign w:val="center"/>
          </w:tcPr>
          <w:p w14:paraId="467B5EEB">
            <w:pPr>
              <w:widowControl/>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对本项目的总体理解以及对本项目理解熟悉程度：</w:t>
            </w:r>
          </w:p>
          <w:p w14:paraId="61244F88">
            <w:pPr>
              <w:widowControl/>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对本项目业务熟悉，思路明确，并能客观、准确地分析项目建设的关键点，符合用户实际需求，所涉及的工作思路清晰、技术路线把握准确的,得7分；</w:t>
            </w:r>
          </w:p>
          <w:p w14:paraId="64A60984">
            <w:pPr>
              <w:widowControl/>
              <w:rPr>
                <w:rFonts w:hint="eastAsia" w:ascii="宋体" w:hAnsi="宋体" w:eastAsia="宋体" w:cs="Times New Roman"/>
                <w:color w:val="auto"/>
                <w:szCs w:val="21"/>
                <w:highlight w:val="none"/>
              </w:rPr>
            </w:pPr>
            <w:r>
              <w:rPr>
                <w:rFonts w:hint="eastAsia" w:ascii="宋体" w:hAnsi="宋体" w:eastAsia="宋体" w:cs="宋体"/>
                <w:color w:val="auto"/>
                <w:kern w:val="0"/>
                <w:szCs w:val="21"/>
                <w:highlight w:val="none"/>
              </w:rPr>
              <w:t>基本符合用户实际需求的，得4分；对本项目业务不够熟悉，思路不够清晰的，得</w:t>
            </w:r>
            <w:r>
              <w:rPr>
                <w:rFonts w:ascii="宋体" w:hAnsi="宋体" w:eastAsia="宋体" w:cs="宋体"/>
                <w:color w:val="auto"/>
                <w:kern w:val="0"/>
                <w:szCs w:val="21"/>
                <w:highlight w:val="none"/>
              </w:rPr>
              <w:t>2</w:t>
            </w:r>
            <w:r>
              <w:rPr>
                <w:rFonts w:hint="eastAsia" w:ascii="宋体" w:hAnsi="宋体" w:eastAsia="宋体" w:cs="宋体"/>
                <w:color w:val="auto"/>
                <w:kern w:val="0"/>
                <w:szCs w:val="21"/>
                <w:highlight w:val="none"/>
              </w:rPr>
              <w:t>分；未提及不得分。</w:t>
            </w:r>
          </w:p>
        </w:tc>
        <w:tc>
          <w:tcPr>
            <w:tcW w:w="656" w:type="dxa"/>
            <w:tcBorders>
              <w:top w:val="single" w:color="auto" w:sz="4" w:space="0"/>
              <w:left w:val="single" w:color="auto" w:sz="4" w:space="0"/>
              <w:right w:val="single" w:color="auto" w:sz="4" w:space="0"/>
            </w:tcBorders>
            <w:noWrap/>
            <w:vAlign w:val="center"/>
          </w:tcPr>
          <w:p w14:paraId="44FA707B">
            <w:pPr>
              <w:ind w:firstLine="210" w:firstLineChars="100"/>
              <w:rPr>
                <w:rFonts w:ascii="Times New Roman" w:hAnsi="Times New Roman" w:eastAsia="宋体" w:cs="Times New Roman"/>
                <w:color w:val="auto"/>
                <w:highlight w:val="none"/>
              </w:rPr>
            </w:pPr>
          </w:p>
        </w:tc>
      </w:tr>
      <w:tr w14:paraId="14B1E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1104" w:type="dxa"/>
            <w:vMerge w:val="continue"/>
            <w:tcBorders>
              <w:left w:val="single" w:color="auto" w:sz="4" w:space="0"/>
              <w:right w:val="single" w:color="auto" w:sz="4" w:space="0"/>
            </w:tcBorders>
            <w:shd w:val="clear" w:color="auto" w:fill="auto"/>
            <w:noWrap/>
            <w:vAlign w:val="center"/>
          </w:tcPr>
          <w:p w14:paraId="4CC43488">
            <w:pPr>
              <w:jc w:val="center"/>
              <w:rPr>
                <w:rFonts w:ascii="Times New Roman" w:hAnsi="Times New Roman" w:eastAsia="宋体" w:cs="Times New Roman"/>
                <w:color w:val="auto"/>
                <w:highlight w:val="none"/>
              </w:rPr>
            </w:pPr>
          </w:p>
        </w:tc>
        <w:tc>
          <w:tcPr>
            <w:tcW w:w="1152" w:type="dxa"/>
            <w:tcBorders>
              <w:top w:val="single" w:color="auto" w:sz="4" w:space="0"/>
              <w:left w:val="single" w:color="auto" w:sz="4" w:space="0"/>
              <w:bottom w:val="single" w:color="auto" w:sz="4" w:space="0"/>
              <w:right w:val="single" w:color="auto" w:sz="4" w:space="0"/>
            </w:tcBorders>
            <w:noWrap/>
            <w:vAlign w:val="center"/>
          </w:tcPr>
          <w:p w14:paraId="2B227AFA">
            <w:pPr>
              <w:jc w:val="center"/>
              <w:rPr>
                <w:rFonts w:hint="eastAsia" w:ascii="宋体" w:hAnsi="宋体" w:eastAsia="宋体"/>
                <w:color w:val="auto"/>
                <w:highlight w:val="none"/>
              </w:rPr>
            </w:pPr>
            <w:r>
              <w:rPr>
                <w:rFonts w:hint="eastAsia" w:ascii="宋体" w:hAnsi="宋体" w:eastAsia="宋体"/>
                <w:color w:val="auto"/>
                <w:highlight w:val="none"/>
              </w:rPr>
              <w:t>保洁的重点难点分析及解决方案</w:t>
            </w:r>
          </w:p>
          <w:p w14:paraId="7B16BEC4">
            <w:pPr>
              <w:snapToGrid w:val="0"/>
              <w:jc w:val="center"/>
              <w:rPr>
                <w:rFonts w:hint="eastAsia" w:ascii="宋体" w:hAnsi="宋体" w:eastAsia="宋体"/>
                <w:color w:val="auto"/>
                <w:szCs w:val="21"/>
                <w:highlight w:val="none"/>
              </w:rPr>
            </w:pPr>
            <w:r>
              <w:rPr>
                <w:rFonts w:hint="eastAsia" w:ascii="宋体" w:hAnsi="宋体" w:eastAsia="宋体"/>
                <w:color w:val="auto"/>
                <w:highlight w:val="none"/>
              </w:rPr>
              <w:t>（5分）</w:t>
            </w:r>
          </w:p>
        </w:tc>
        <w:tc>
          <w:tcPr>
            <w:tcW w:w="704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5D5D96E">
            <w:pPr>
              <w:rPr>
                <w:rFonts w:hint="eastAsia" w:ascii="宋体" w:hAnsi="宋体" w:eastAsia="宋体"/>
                <w:color w:val="auto"/>
                <w:szCs w:val="21"/>
                <w:highlight w:val="none"/>
              </w:rPr>
            </w:pPr>
            <w:r>
              <w:rPr>
                <w:rFonts w:hint="eastAsia" w:ascii="宋体" w:hAnsi="宋体" w:eastAsia="宋体"/>
                <w:color w:val="auto"/>
                <w:szCs w:val="21"/>
                <w:highlight w:val="none"/>
              </w:rPr>
              <w:t>投标人对各项保洁内容，并结合自身经验，针对本项目的保洁重点、难点进行梳理分析，重点难点问题的分析准确程度、解决方案及对本项目的合理化建议：</w:t>
            </w:r>
          </w:p>
          <w:p w14:paraId="728FDE38">
            <w:pPr>
              <w:rPr>
                <w:rFonts w:hint="eastAsia" w:ascii="宋体" w:hAnsi="宋体" w:eastAsia="宋体"/>
                <w:color w:val="auto"/>
                <w:szCs w:val="21"/>
                <w:highlight w:val="none"/>
              </w:rPr>
            </w:pPr>
            <w:r>
              <w:rPr>
                <w:rFonts w:hint="eastAsia" w:ascii="宋体" w:hAnsi="宋体" w:eastAsia="宋体"/>
                <w:color w:val="auto"/>
                <w:szCs w:val="21"/>
                <w:highlight w:val="none"/>
              </w:rPr>
              <w:t>分析及对策全面、合理，建符合本项目实际、内容完整、充实的,得5分；</w:t>
            </w:r>
          </w:p>
          <w:p w14:paraId="09D951DB">
            <w:pPr>
              <w:snapToGrid w:val="0"/>
              <w:rPr>
                <w:rFonts w:hint="eastAsia" w:ascii="宋体" w:hAnsi="宋体" w:eastAsia="宋体"/>
                <w:color w:val="auto"/>
                <w:szCs w:val="21"/>
                <w:highlight w:val="none"/>
              </w:rPr>
            </w:pPr>
            <w:r>
              <w:rPr>
                <w:rFonts w:hint="eastAsia" w:ascii="宋体" w:hAnsi="宋体" w:eastAsia="宋体"/>
                <w:color w:val="auto"/>
                <w:szCs w:val="21"/>
                <w:highlight w:val="none"/>
              </w:rPr>
              <w:t>分析及对策不够合理，建议不够符合要求的，得2分；未提及不得分。</w:t>
            </w:r>
          </w:p>
        </w:tc>
        <w:tc>
          <w:tcPr>
            <w:tcW w:w="656" w:type="dxa"/>
            <w:tcBorders>
              <w:top w:val="single" w:color="auto" w:sz="4" w:space="0"/>
              <w:left w:val="single" w:color="auto" w:sz="4" w:space="0"/>
              <w:right w:val="single" w:color="auto" w:sz="4" w:space="0"/>
            </w:tcBorders>
            <w:noWrap/>
            <w:vAlign w:val="center"/>
          </w:tcPr>
          <w:p w14:paraId="0BA4811A">
            <w:pPr>
              <w:ind w:firstLine="210" w:firstLineChars="100"/>
              <w:rPr>
                <w:rFonts w:ascii="Times New Roman" w:hAnsi="Times New Roman" w:eastAsia="宋体" w:cs="Times New Roman"/>
                <w:color w:val="auto"/>
                <w:highlight w:val="none"/>
              </w:rPr>
            </w:pPr>
          </w:p>
        </w:tc>
      </w:tr>
      <w:tr w14:paraId="56C42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left w:val="single" w:color="auto" w:sz="4" w:space="0"/>
              <w:right w:val="single" w:color="auto" w:sz="4" w:space="0"/>
            </w:tcBorders>
            <w:shd w:val="clear" w:color="auto" w:fill="auto"/>
            <w:noWrap/>
            <w:vAlign w:val="center"/>
          </w:tcPr>
          <w:p w14:paraId="579F3EED">
            <w:pPr>
              <w:jc w:val="center"/>
              <w:rPr>
                <w:rFonts w:ascii="Times New Roman" w:hAnsi="Times New Roman" w:eastAsia="宋体" w:cs="Times New Roman"/>
                <w:color w:val="auto"/>
                <w:highlight w:val="none"/>
              </w:rPr>
            </w:pPr>
          </w:p>
        </w:tc>
        <w:tc>
          <w:tcPr>
            <w:tcW w:w="1152" w:type="dxa"/>
            <w:vMerge w:val="restart"/>
            <w:tcBorders>
              <w:left w:val="single" w:color="auto" w:sz="4" w:space="0"/>
              <w:right w:val="single" w:color="auto" w:sz="4" w:space="0"/>
            </w:tcBorders>
            <w:shd w:val="clear" w:color="auto" w:fill="auto"/>
            <w:noWrap/>
            <w:vAlign w:val="center"/>
          </w:tcPr>
          <w:p w14:paraId="68FC9021">
            <w:pPr>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服务方案（18分）</w:t>
            </w:r>
          </w:p>
        </w:tc>
        <w:tc>
          <w:tcPr>
            <w:tcW w:w="7041" w:type="dxa"/>
            <w:tcBorders>
              <w:top w:val="single" w:color="auto" w:sz="4" w:space="0"/>
              <w:left w:val="single" w:color="auto" w:sz="4" w:space="0"/>
              <w:right w:val="single" w:color="auto" w:sz="4" w:space="0"/>
            </w:tcBorders>
            <w:shd w:val="clear" w:color="auto" w:fill="FFFFFF"/>
            <w:noWrap/>
            <w:vAlign w:val="center"/>
          </w:tcPr>
          <w:p w14:paraId="2CE6FF02">
            <w:pPr>
              <w:rPr>
                <w:rFonts w:hint="eastAsia" w:ascii="宋体" w:hAnsi="宋体" w:eastAsia="宋体" w:cs="宋体"/>
                <w:b/>
                <w:bCs/>
                <w:color w:val="auto"/>
                <w:highlight w:val="none"/>
              </w:rPr>
            </w:pPr>
            <w:r>
              <w:rPr>
                <w:rFonts w:hint="eastAsia" w:ascii="宋体" w:hAnsi="宋体" w:eastAsia="宋体" w:cs="宋体"/>
                <w:b/>
                <w:bCs/>
                <w:color w:val="auto"/>
                <w:highlight w:val="none"/>
              </w:rPr>
              <w:t>城市道路（含绿化带）保洁作业服务方案：</w:t>
            </w:r>
          </w:p>
          <w:p w14:paraId="3221A28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根据项目实际情况及道路清扫保洁相关作业要求，并结合投标人自身经验，制定详细城市道路（含绿化带）保洁作业方案，方案应包含但不限于人工保洁、机械化保洁、垃圾桶果壳箱清洗消杀、交通护栏保洁、日常工作流程和作业标准等部分内容：</w:t>
            </w:r>
          </w:p>
          <w:p w14:paraId="66FE10B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方案完整、全面的，得6分；</w:t>
            </w:r>
          </w:p>
          <w:p w14:paraId="6DE4BDA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方案基本完整、全面的，得4分；</w:t>
            </w:r>
          </w:p>
          <w:p w14:paraId="23FE0CA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方案简单的，得2分；未提及不得分。</w:t>
            </w:r>
          </w:p>
        </w:tc>
        <w:tc>
          <w:tcPr>
            <w:tcW w:w="656" w:type="dxa"/>
            <w:tcBorders>
              <w:top w:val="single" w:color="auto" w:sz="4" w:space="0"/>
              <w:left w:val="single" w:color="auto" w:sz="4" w:space="0"/>
              <w:right w:val="single" w:color="auto" w:sz="4" w:space="0"/>
            </w:tcBorders>
            <w:noWrap/>
            <w:vAlign w:val="center"/>
          </w:tcPr>
          <w:p w14:paraId="6B03ABBF">
            <w:pPr>
              <w:ind w:firstLine="210" w:firstLineChars="100"/>
              <w:rPr>
                <w:rFonts w:ascii="Times New Roman" w:hAnsi="Times New Roman" w:eastAsia="宋体" w:cs="Times New Roman"/>
                <w:color w:val="auto"/>
                <w:highlight w:val="none"/>
              </w:rPr>
            </w:pPr>
          </w:p>
        </w:tc>
      </w:tr>
      <w:tr w14:paraId="338BA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left w:val="single" w:color="auto" w:sz="4" w:space="0"/>
              <w:right w:val="single" w:color="auto" w:sz="4" w:space="0"/>
            </w:tcBorders>
            <w:shd w:val="clear" w:color="auto" w:fill="auto"/>
            <w:noWrap/>
            <w:vAlign w:val="center"/>
          </w:tcPr>
          <w:p w14:paraId="3D8CB10E">
            <w:pPr>
              <w:jc w:val="center"/>
              <w:rPr>
                <w:rFonts w:ascii="Times New Roman" w:hAnsi="Times New Roman" w:eastAsia="宋体" w:cs="Times New Roman"/>
                <w:color w:val="auto"/>
                <w:highlight w:val="none"/>
              </w:rPr>
            </w:pPr>
          </w:p>
        </w:tc>
        <w:tc>
          <w:tcPr>
            <w:tcW w:w="1152" w:type="dxa"/>
            <w:vMerge w:val="continue"/>
            <w:tcBorders>
              <w:left w:val="single" w:color="auto" w:sz="4" w:space="0"/>
              <w:right w:val="single" w:color="auto" w:sz="4" w:space="0"/>
            </w:tcBorders>
            <w:shd w:val="clear" w:color="auto" w:fill="auto"/>
            <w:noWrap/>
            <w:vAlign w:val="center"/>
          </w:tcPr>
          <w:p w14:paraId="582C0CCA">
            <w:pPr>
              <w:pStyle w:val="2"/>
              <w:rPr>
                <w:color w:val="auto"/>
                <w:highlight w:val="none"/>
              </w:rPr>
            </w:pPr>
          </w:p>
        </w:tc>
        <w:tc>
          <w:tcPr>
            <w:tcW w:w="7041" w:type="dxa"/>
            <w:tcBorders>
              <w:top w:val="single" w:color="auto" w:sz="4" w:space="0"/>
              <w:left w:val="single" w:color="auto" w:sz="4" w:space="0"/>
              <w:right w:val="single" w:color="auto" w:sz="4" w:space="0"/>
            </w:tcBorders>
            <w:shd w:val="clear" w:color="auto" w:fill="FFFFFF"/>
            <w:noWrap/>
            <w:vAlign w:val="center"/>
          </w:tcPr>
          <w:p w14:paraId="0ED4C57D">
            <w:pPr>
              <w:widowControl/>
              <w:snapToGrid w:val="0"/>
              <w:jc w:val="left"/>
              <w:rPr>
                <w:rFonts w:hint="eastAsia" w:ascii="宋体" w:hAnsi="宋体" w:eastAsia="宋体" w:cs="宋体"/>
                <w:color w:val="auto"/>
                <w:szCs w:val="21"/>
                <w:highlight w:val="none"/>
              </w:rPr>
            </w:pPr>
            <w:r>
              <w:rPr>
                <w:rFonts w:hint="eastAsia" w:ascii="宋体" w:hAnsi="宋体" w:eastAsia="宋体" w:cs="宋体"/>
                <w:b/>
                <w:bCs/>
                <w:color w:val="auto"/>
                <w:highlight w:val="none"/>
              </w:rPr>
              <w:t>垃圾分类收集服务方案：</w:t>
            </w:r>
            <w:r>
              <w:rPr>
                <w:rFonts w:hint="eastAsia" w:ascii="宋体" w:hAnsi="宋体" w:eastAsia="宋体" w:cs="宋体"/>
                <w:color w:val="auto"/>
                <w:szCs w:val="21"/>
                <w:highlight w:val="none"/>
              </w:rPr>
              <w:t>投标人根据项目范围内垃圾收集的实际情况，并结合投标人自身经验，制定垃圾分类收集服务方案，方案应包括但不限于垃圾收集作业工作计划和安排、作业操作规程和标准、保证垃圾收集效果的措施以及相应作业管理制度等内容：</w:t>
            </w:r>
          </w:p>
          <w:p w14:paraId="2D58FF46">
            <w:pPr>
              <w:widowControl/>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方案完整、全面的，得6分；</w:t>
            </w:r>
          </w:p>
          <w:p w14:paraId="70A2C839">
            <w:pPr>
              <w:widowControl/>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方案基本完整、全面的，得4分；</w:t>
            </w:r>
          </w:p>
          <w:p w14:paraId="37518FD8">
            <w:pPr>
              <w:widowControl/>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方案简单的，得2分；未提及不得分。</w:t>
            </w:r>
          </w:p>
        </w:tc>
        <w:tc>
          <w:tcPr>
            <w:tcW w:w="656" w:type="dxa"/>
            <w:tcBorders>
              <w:top w:val="single" w:color="auto" w:sz="4" w:space="0"/>
              <w:left w:val="single" w:color="auto" w:sz="4" w:space="0"/>
              <w:right w:val="single" w:color="auto" w:sz="4" w:space="0"/>
            </w:tcBorders>
            <w:noWrap/>
            <w:vAlign w:val="center"/>
          </w:tcPr>
          <w:p w14:paraId="1870923A">
            <w:pPr>
              <w:ind w:firstLine="210" w:firstLineChars="100"/>
              <w:rPr>
                <w:rFonts w:ascii="Times New Roman" w:hAnsi="Times New Roman" w:eastAsia="宋体" w:cs="Times New Roman"/>
                <w:color w:val="auto"/>
                <w:highlight w:val="none"/>
              </w:rPr>
            </w:pPr>
          </w:p>
        </w:tc>
      </w:tr>
      <w:tr w14:paraId="45958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left w:val="single" w:color="auto" w:sz="4" w:space="0"/>
              <w:right w:val="single" w:color="auto" w:sz="4" w:space="0"/>
            </w:tcBorders>
            <w:shd w:val="clear" w:color="auto" w:fill="auto"/>
            <w:noWrap/>
            <w:vAlign w:val="center"/>
          </w:tcPr>
          <w:p w14:paraId="2E5EEF06">
            <w:pPr>
              <w:jc w:val="center"/>
              <w:rPr>
                <w:rFonts w:ascii="Times New Roman" w:hAnsi="Times New Roman" w:eastAsia="宋体" w:cs="Times New Roman"/>
                <w:color w:val="auto"/>
                <w:highlight w:val="none"/>
              </w:rPr>
            </w:pPr>
          </w:p>
        </w:tc>
        <w:tc>
          <w:tcPr>
            <w:tcW w:w="1152" w:type="dxa"/>
            <w:vMerge w:val="continue"/>
            <w:tcBorders>
              <w:left w:val="single" w:color="auto" w:sz="4" w:space="0"/>
              <w:right w:val="single" w:color="auto" w:sz="4" w:space="0"/>
            </w:tcBorders>
            <w:shd w:val="clear" w:color="auto" w:fill="auto"/>
            <w:noWrap/>
            <w:vAlign w:val="center"/>
          </w:tcPr>
          <w:p w14:paraId="2B0272A3">
            <w:pPr>
              <w:jc w:val="center"/>
              <w:rPr>
                <w:rFonts w:hint="eastAsia" w:ascii="宋体" w:hAnsi="宋体" w:eastAsia="宋体" w:cs="Times New Roman"/>
                <w:color w:val="auto"/>
                <w:kern w:val="0"/>
                <w:highlight w:val="none"/>
              </w:rPr>
            </w:pPr>
          </w:p>
        </w:tc>
        <w:tc>
          <w:tcPr>
            <w:tcW w:w="7041" w:type="dxa"/>
            <w:tcBorders>
              <w:top w:val="single" w:color="auto" w:sz="4" w:space="0"/>
              <w:left w:val="single" w:color="auto" w:sz="4" w:space="0"/>
              <w:right w:val="single" w:color="auto" w:sz="4" w:space="0"/>
            </w:tcBorders>
            <w:shd w:val="clear" w:color="auto" w:fill="FFFFFF"/>
            <w:noWrap/>
            <w:vAlign w:val="center"/>
          </w:tcPr>
          <w:p w14:paraId="4DEE6F1E">
            <w:pPr>
              <w:widowControl/>
              <w:snapToGrid w:val="0"/>
              <w:jc w:val="left"/>
              <w:rPr>
                <w:rFonts w:hint="eastAsia" w:ascii="宋体" w:hAnsi="宋体" w:eastAsia="宋体" w:cs="宋体"/>
                <w:color w:val="auto"/>
                <w:szCs w:val="21"/>
                <w:highlight w:val="none"/>
              </w:rPr>
            </w:pPr>
            <w:r>
              <w:rPr>
                <w:rFonts w:hint="eastAsia" w:ascii="宋体" w:hAnsi="宋体" w:eastAsia="宋体" w:cs="宋体"/>
                <w:b/>
                <w:bCs/>
                <w:color w:val="auto"/>
                <w:highlight w:val="none"/>
              </w:rPr>
              <w:t>垃圾清运服务方案：</w:t>
            </w:r>
            <w:r>
              <w:rPr>
                <w:rFonts w:hint="eastAsia" w:ascii="宋体" w:hAnsi="宋体" w:eastAsia="宋体" w:cs="宋体"/>
                <w:color w:val="auto"/>
                <w:szCs w:val="21"/>
                <w:highlight w:val="none"/>
              </w:rPr>
              <w:t>投标人根据项目范围内垃圾清运的实际情况，并结合投标人自身经验，制定垃圾分类清运服务方案，方案应包括但不限于垃圾清运作业工作计划和安排、作业操作规程和标准、保证垃圾清运效果的措施以及相应作业管理制度等内容：</w:t>
            </w:r>
          </w:p>
          <w:p w14:paraId="206F770E">
            <w:pPr>
              <w:widowControl/>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方案完整、全面的，得6分；</w:t>
            </w:r>
          </w:p>
          <w:p w14:paraId="60C07F22">
            <w:pPr>
              <w:widowControl/>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方案基本完整、全面的，得4分；</w:t>
            </w:r>
          </w:p>
          <w:p w14:paraId="52CE77AE">
            <w:pPr>
              <w:widowControl/>
              <w:snapToGrid w:val="0"/>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方案简单的，得2分；未提及不得分。</w:t>
            </w:r>
          </w:p>
        </w:tc>
        <w:tc>
          <w:tcPr>
            <w:tcW w:w="656" w:type="dxa"/>
            <w:tcBorders>
              <w:top w:val="single" w:color="auto" w:sz="4" w:space="0"/>
              <w:left w:val="single" w:color="auto" w:sz="4" w:space="0"/>
              <w:right w:val="single" w:color="auto" w:sz="4" w:space="0"/>
            </w:tcBorders>
            <w:noWrap/>
            <w:vAlign w:val="center"/>
          </w:tcPr>
          <w:p w14:paraId="7F47CC22">
            <w:pPr>
              <w:ind w:firstLine="210" w:firstLineChars="100"/>
              <w:rPr>
                <w:rFonts w:ascii="Times New Roman" w:hAnsi="Times New Roman" w:eastAsia="宋体" w:cs="Times New Roman"/>
                <w:color w:val="auto"/>
                <w:highlight w:val="none"/>
              </w:rPr>
            </w:pPr>
          </w:p>
        </w:tc>
      </w:tr>
      <w:tr w14:paraId="60D88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left w:val="single" w:color="auto" w:sz="4" w:space="0"/>
              <w:right w:val="single" w:color="auto" w:sz="4" w:space="0"/>
            </w:tcBorders>
            <w:shd w:val="clear" w:color="auto" w:fill="auto"/>
            <w:noWrap/>
            <w:vAlign w:val="center"/>
          </w:tcPr>
          <w:p w14:paraId="20602312">
            <w:pPr>
              <w:jc w:val="center"/>
              <w:rPr>
                <w:rFonts w:ascii="Times New Roman" w:hAnsi="Times New Roman" w:eastAsia="宋体" w:cs="Times New Roman"/>
                <w:color w:val="auto"/>
                <w:highlight w:val="none"/>
              </w:rPr>
            </w:pPr>
          </w:p>
        </w:tc>
        <w:tc>
          <w:tcPr>
            <w:tcW w:w="1152" w:type="dxa"/>
            <w:tcBorders>
              <w:left w:val="single" w:color="auto" w:sz="4" w:space="0"/>
              <w:right w:val="single" w:color="auto" w:sz="4" w:space="0"/>
            </w:tcBorders>
            <w:shd w:val="clear" w:color="auto" w:fill="auto"/>
            <w:noWrap/>
            <w:vAlign w:val="center"/>
          </w:tcPr>
          <w:p w14:paraId="071BA311">
            <w:pPr>
              <w:jc w:val="center"/>
              <w:rPr>
                <w:rFonts w:hint="eastAsia" w:ascii="宋体" w:hAnsi="宋体" w:eastAsia="宋体" w:cs="Times New Roman"/>
                <w:color w:val="auto"/>
                <w:kern w:val="0"/>
                <w:highlight w:val="none"/>
              </w:rPr>
            </w:pPr>
            <w:r>
              <w:rPr>
                <w:rFonts w:hint="eastAsia" w:ascii="宋体" w:hAnsi="宋体" w:eastAsia="宋体" w:cs="Times New Roman"/>
                <w:color w:val="auto"/>
                <w:kern w:val="0"/>
                <w:highlight w:val="none"/>
              </w:rPr>
              <w:t>保洁的创新方案</w:t>
            </w:r>
          </w:p>
          <w:p w14:paraId="0B2D5606">
            <w:pPr>
              <w:jc w:val="center"/>
              <w:rPr>
                <w:rFonts w:hint="eastAsia" w:ascii="宋体" w:hAnsi="宋体" w:eastAsia="宋体" w:cs="Times New Roman"/>
                <w:color w:val="auto"/>
                <w:kern w:val="0"/>
                <w:highlight w:val="none"/>
              </w:rPr>
            </w:pPr>
            <w:r>
              <w:rPr>
                <w:rFonts w:hint="eastAsia" w:ascii="宋体" w:hAnsi="宋体" w:eastAsia="宋体" w:cs="Times New Roman"/>
                <w:color w:val="auto"/>
                <w:kern w:val="0"/>
                <w:highlight w:val="none"/>
              </w:rPr>
              <w:t>（6分）</w:t>
            </w:r>
          </w:p>
        </w:tc>
        <w:tc>
          <w:tcPr>
            <w:tcW w:w="7041" w:type="dxa"/>
            <w:tcBorders>
              <w:top w:val="single" w:color="auto" w:sz="4" w:space="0"/>
              <w:left w:val="single" w:color="auto" w:sz="4" w:space="0"/>
              <w:right w:val="single" w:color="auto" w:sz="4" w:space="0"/>
            </w:tcBorders>
            <w:shd w:val="clear" w:color="auto" w:fill="FFFFFF"/>
            <w:noWrap/>
          </w:tcPr>
          <w:p w14:paraId="671618BB">
            <w:pPr>
              <w:jc w:val="left"/>
              <w:rPr>
                <w:rFonts w:hint="eastAsia" w:ascii="宋体" w:hAnsi="宋体" w:eastAsia="宋体" w:cs="宋体"/>
                <w:color w:val="auto"/>
                <w:szCs w:val="21"/>
                <w:highlight w:val="none"/>
              </w:rPr>
            </w:pPr>
            <w:r>
              <w:rPr>
                <w:rFonts w:hint="eastAsia" w:ascii="宋体" w:hAnsi="宋体" w:eastAsia="宋体" w:cs="Times New Roman"/>
                <w:color w:val="auto"/>
                <w:kern w:val="0"/>
                <w:highlight w:val="none"/>
              </w:rPr>
              <w:t>投标人提供的保洁的创新方案，</w:t>
            </w:r>
            <w:r>
              <w:rPr>
                <w:rFonts w:hint="eastAsia" w:ascii="宋体" w:hAnsi="宋体" w:eastAsia="宋体" w:cs="宋体"/>
                <w:color w:val="auto"/>
                <w:szCs w:val="21"/>
                <w:highlight w:val="none"/>
              </w:rPr>
              <w:t>突破传统运作模式、保洁管理、作业措施创新包括但不限于采购需求的内容且符合本地实际情况：</w:t>
            </w:r>
          </w:p>
          <w:p w14:paraId="53D6CABE">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创新方案新颖，可操作性强的，得6分；</w:t>
            </w:r>
          </w:p>
          <w:p w14:paraId="3EC3DDA1">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创新方案内容简单的，得3分；</w:t>
            </w:r>
          </w:p>
          <w:p w14:paraId="57459172">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未提及不得分。</w:t>
            </w:r>
          </w:p>
        </w:tc>
        <w:tc>
          <w:tcPr>
            <w:tcW w:w="656" w:type="dxa"/>
            <w:tcBorders>
              <w:top w:val="single" w:color="auto" w:sz="4" w:space="0"/>
              <w:left w:val="single" w:color="auto" w:sz="4" w:space="0"/>
              <w:right w:val="single" w:color="auto" w:sz="4" w:space="0"/>
            </w:tcBorders>
            <w:noWrap/>
            <w:vAlign w:val="center"/>
          </w:tcPr>
          <w:p w14:paraId="6C31EB90">
            <w:pPr>
              <w:ind w:firstLine="210" w:firstLineChars="100"/>
              <w:rPr>
                <w:rFonts w:ascii="Times New Roman" w:hAnsi="Times New Roman" w:eastAsia="宋体" w:cs="Times New Roman"/>
                <w:color w:val="auto"/>
                <w:highlight w:val="none"/>
              </w:rPr>
            </w:pPr>
          </w:p>
        </w:tc>
      </w:tr>
      <w:tr w14:paraId="5D9A8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left w:val="single" w:color="auto" w:sz="4" w:space="0"/>
              <w:right w:val="single" w:color="auto" w:sz="4" w:space="0"/>
            </w:tcBorders>
            <w:shd w:val="clear" w:color="auto" w:fill="auto"/>
            <w:noWrap/>
            <w:vAlign w:val="center"/>
          </w:tcPr>
          <w:p w14:paraId="0DDA3045">
            <w:pPr>
              <w:jc w:val="center"/>
              <w:rPr>
                <w:rFonts w:ascii="Times New Roman" w:hAnsi="Times New Roman" w:eastAsia="宋体" w:cs="Times New Roman"/>
                <w:color w:val="auto"/>
                <w:highlight w:val="none"/>
              </w:rPr>
            </w:pPr>
          </w:p>
        </w:tc>
        <w:tc>
          <w:tcPr>
            <w:tcW w:w="1152" w:type="dxa"/>
            <w:tcBorders>
              <w:left w:val="single" w:color="auto" w:sz="4" w:space="0"/>
              <w:right w:val="single" w:color="auto" w:sz="4" w:space="0"/>
            </w:tcBorders>
            <w:shd w:val="clear" w:color="auto" w:fill="auto"/>
            <w:noWrap/>
            <w:vAlign w:val="center"/>
          </w:tcPr>
          <w:p w14:paraId="5BA1F150">
            <w:pPr>
              <w:jc w:val="center"/>
              <w:rPr>
                <w:rFonts w:hint="eastAsia" w:ascii="宋体" w:hAnsi="宋体" w:eastAsia="宋体" w:cs="Times New Roman"/>
                <w:color w:val="auto"/>
                <w:kern w:val="0"/>
                <w:highlight w:val="none"/>
              </w:rPr>
            </w:pPr>
            <w:r>
              <w:rPr>
                <w:rFonts w:hint="eastAsia" w:ascii="宋体" w:hAnsi="宋体" w:eastAsia="宋体" w:cs="Times New Roman"/>
                <w:color w:val="auto"/>
                <w:kern w:val="0"/>
                <w:highlight w:val="none"/>
              </w:rPr>
              <w:t>组织管理方案（3分）</w:t>
            </w:r>
          </w:p>
        </w:tc>
        <w:tc>
          <w:tcPr>
            <w:tcW w:w="7041" w:type="dxa"/>
            <w:tcBorders>
              <w:top w:val="single" w:color="auto" w:sz="4" w:space="0"/>
              <w:left w:val="single" w:color="auto" w:sz="4" w:space="0"/>
              <w:right w:val="single" w:color="auto" w:sz="4" w:space="0"/>
            </w:tcBorders>
            <w:shd w:val="clear" w:color="auto" w:fill="FFFFFF"/>
            <w:noWrap/>
          </w:tcPr>
          <w:p w14:paraId="202F186C">
            <w:pPr>
              <w:pStyle w:val="114"/>
              <w:ind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投标人针对本项目的组织管理、组织架构、岗位设置、岗位职责等方案的合理性、完善性等：</w:t>
            </w:r>
          </w:p>
          <w:p w14:paraId="7BA0E0E5">
            <w:pPr>
              <w:pStyle w:val="114"/>
              <w:ind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方案全面完整的，得3分；方案基本全面的，得1分；未提及不得分。</w:t>
            </w:r>
          </w:p>
        </w:tc>
        <w:tc>
          <w:tcPr>
            <w:tcW w:w="656" w:type="dxa"/>
            <w:tcBorders>
              <w:top w:val="single" w:color="auto" w:sz="4" w:space="0"/>
              <w:left w:val="single" w:color="auto" w:sz="4" w:space="0"/>
              <w:right w:val="single" w:color="auto" w:sz="4" w:space="0"/>
            </w:tcBorders>
            <w:noWrap/>
            <w:vAlign w:val="center"/>
          </w:tcPr>
          <w:p w14:paraId="46F7E2AC">
            <w:pPr>
              <w:ind w:firstLine="210" w:firstLineChars="100"/>
              <w:rPr>
                <w:rFonts w:ascii="Times New Roman" w:hAnsi="Times New Roman" w:eastAsia="宋体" w:cs="Times New Roman"/>
                <w:color w:val="auto"/>
                <w:highlight w:val="none"/>
              </w:rPr>
            </w:pPr>
          </w:p>
        </w:tc>
      </w:tr>
      <w:tr w14:paraId="5A0EF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left w:val="single" w:color="auto" w:sz="4" w:space="0"/>
              <w:right w:val="single" w:color="auto" w:sz="4" w:space="0"/>
            </w:tcBorders>
            <w:shd w:val="clear" w:color="auto" w:fill="auto"/>
            <w:noWrap/>
            <w:vAlign w:val="center"/>
          </w:tcPr>
          <w:p w14:paraId="288C8001">
            <w:pPr>
              <w:jc w:val="center"/>
              <w:rPr>
                <w:rFonts w:ascii="Times New Roman" w:hAnsi="Times New Roman" w:eastAsia="宋体" w:cs="Times New Roman"/>
                <w:color w:val="auto"/>
                <w:highlight w:val="none"/>
              </w:rPr>
            </w:pPr>
          </w:p>
        </w:tc>
        <w:tc>
          <w:tcPr>
            <w:tcW w:w="1152" w:type="dxa"/>
            <w:tcBorders>
              <w:left w:val="single" w:color="auto" w:sz="4" w:space="0"/>
              <w:right w:val="single" w:color="auto" w:sz="4" w:space="0"/>
            </w:tcBorders>
            <w:shd w:val="clear" w:color="auto" w:fill="auto"/>
            <w:noWrap/>
            <w:vAlign w:val="center"/>
          </w:tcPr>
          <w:p w14:paraId="64DF7C1D">
            <w:pPr>
              <w:jc w:val="center"/>
              <w:rPr>
                <w:rFonts w:hint="eastAsia" w:ascii="宋体" w:hAnsi="宋体" w:eastAsia="宋体" w:cs="Times New Roman"/>
                <w:color w:val="auto"/>
                <w:kern w:val="0"/>
                <w:highlight w:val="none"/>
              </w:rPr>
            </w:pPr>
            <w:r>
              <w:rPr>
                <w:rFonts w:hint="eastAsia" w:ascii="宋体" w:hAnsi="宋体" w:eastAsia="宋体" w:cs="Times New Roman"/>
                <w:color w:val="auto"/>
                <w:kern w:val="0"/>
                <w:highlight w:val="none"/>
              </w:rPr>
              <w:t>服务质量管理制度措施方案（5分）</w:t>
            </w:r>
          </w:p>
        </w:tc>
        <w:tc>
          <w:tcPr>
            <w:tcW w:w="7041" w:type="dxa"/>
            <w:tcBorders>
              <w:top w:val="single" w:color="auto" w:sz="4" w:space="0"/>
              <w:left w:val="single" w:color="auto" w:sz="4" w:space="0"/>
              <w:right w:val="single" w:color="auto" w:sz="4" w:space="0"/>
            </w:tcBorders>
            <w:shd w:val="clear" w:color="auto" w:fill="FFFFFF"/>
            <w:noWrap/>
          </w:tcPr>
          <w:p w14:paraId="322967D6">
            <w:pPr>
              <w:pStyle w:val="114"/>
              <w:ind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制定本项目的服务质量管理保障制度、质量监管方法及措施，监管配合，奖罚措施等：制度措施完全针对考核标准内容的得5分；80%以上针对考核标准内容的3分；60%以上针对考核标准内容的1分；60%以下（含60%）及无该项内容的不得分。</w:t>
            </w:r>
          </w:p>
        </w:tc>
        <w:tc>
          <w:tcPr>
            <w:tcW w:w="656" w:type="dxa"/>
            <w:tcBorders>
              <w:top w:val="single" w:color="auto" w:sz="4" w:space="0"/>
              <w:left w:val="single" w:color="auto" w:sz="4" w:space="0"/>
              <w:right w:val="single" w:color="auto" w:sz="4" w:space="0"/>
            </w:tcBorders>
            <w:noWrap/>
            <w:vAlign w:val="center"/>
          </w:tcPr>
          <w:p w14:paraId="07C6DDE0">
            <w:pPr>
              <w:ind w:firstLine="210" w:firstLineChars="100"/>
              <w:rPr>
                <w:rFonts w:ascii="Times New Roman" w:hAnsi="Times New Roman" w:eastAsia="宋体" w:cs="Times New Roman"/>
                <w:color w:val="auto"/>
                <w:highlight w:val="none"/>
              </w:rPr>
            </w:pPr>
          </w:p>
        </w:tc>
      </w:tr>
      <w:tr w14:paraId="2D4F8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left w:val="single" w:color="auto" w:sz="4" w:space="0"/>
              <w:right w:val="single" w:color="auto" w:sz="4" w:space="0"/>
            </w:tcBorders>
            <w:shd w:val="clear" w:color="auto" w:fill="auto"/>
            <w:noWrap/>
            <w:vAlign w:val="center"/>
          </w:tcPr>
          <w:p w14:paraId="088D58E8">
            <w:pPr>
              <w:jc w:val="center"/>
              <w:rPr>
                <w:rFonts w:ascii="Times New Roman" w:hAnsi="Times New Roman" w:eastAsia="宋体" w:cs="Times New Roman"/>
                <w:color w:val="auto"/>
                <w:highlight w:val="none"/>
              </w:rPr>
            </w:pPr>
          </w:p>
        </w:tc>
        <w:tc>
          <w:tcPr>
            <w:tcW w:w="1152" w:type="dxa"/>
            <w:tcBorders>
              <w:left w:val="single" w:color="auto" w:sz="4" w:space="0"/>
              <w:right w:val="single" w:color="auto" w:sz="4" w:space="0"/>
            </w:tcBorders>
            <w:shd w:val="clear" w:color="auto" w:fill="auto"/>
            <w:noWrap/>
            <w:vAlign w:val="center"/>
          </w:tcPr>
          <w:p w14:paraId="071AAA68">
            <w:pPr>
              <w:jc w:val="center"/>
              <w:rPr>
                <w:rFonts w:hint="eastAsia" w:ascii="宋体" w:hAnsi="宋体" w:eastAsia="宋体" w:cs="Times New Roman"/>
                <w:color w:val="auto"/>
                <w:kern w:val="0"/>
                <w:highlight w:val="none"/>
              </w:rPr>
            </w:pPr>
            <w:r>
              <w:rPr>
                <w:rFonts w:hint="eastAsia" w:ascii="宋体" w:hAnsi="宋体" w:eastAsia="宋体" w:cs="Times New Roman"/>
                <w:color w:val="auto"/>
                <w:kern w:val="0"/>
                <w:highlight w:val="none"/>
              </w:rPr>
              <w:t>设施设备车辆维护管理方案</w:t>
            </w:r>
          </w:p>
          <w:p w14:paraId="76C29644">
            <w:pPr>
              <w:jc w:val="center"/>
              <w:rPr>
                <w:rFonts w:hint="eastAsia" w:ascii="宋体" w:hAnsi="宋体" w:eastAsia="宋体" w:cs="Times New Roman"/>
                <w:color w:val="auto"/>
                <w:kern w:val="0"/>
                <w:highlight w:val="none"/>
              </w:rPr>
            </w:pPr>
            <w:r>
              <w:rPr>
                <w:rFonts w:hint="eastAsia" w:ascii="宋体" w:hAnsi="宋体" w:eastAsia="宋体" w:cs="Times New Roman"/>
                <w:color w:val="auto"/>
                <w:kern w:val="0"/>
                <w:highlight w:val="none"/>
              </w:rPr>
              <w:t>（5分）</w:t>
            </w:r>
          </w:p>
        </w:tc>
        <w:tc>
          <w:tcPr>
            <w:tcW w:w="7041" w:type="dxa"/>
            <w:tcBorders>
              <w:top w:val="single" w:color="auto" w:sz="4" w:space="0"/>
              <w:left w:val="single" w:color="auto" w:sz="4" w:space="0"/>
              <w:right w:val="single" w:color="auto" w:sz="4" w:space="0"/>
            </w:tcBorders>
            <w:shd w:val="clear" w:color="auto" w:fill="FFFFFF"/>
            <w:noWrap/>
          </w:tcPr>
          <w:p w14:paraId="79C28854">
            <w:pPr>
              <w:pStyle w:val="114"/>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投标人对保洁区内范围的分类垃圾桶、采购人提供的设备及车辆维护、保养、管理实施方案的符合性和完整性等：</w:t>
            </w:r>
          </w:p>
          <w:p w14:paraId="305910F7">
            <w:pPr>
              <w:pStyle w:val="114"/>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方案全面完整的，得5分；</w:t>
            </w:r>
          </w:p>
          <w:p w14:paraId="58A3A2FA">
            <w:pPr>
              <w:pStyle w:val="114"/>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方案基本完整的，得2分；</w:t>
            </w:r>
          </w:p>
          <w:p w14:paraId="2F647CE1">
            <w:pPr>
              <w:pStyle w:val="114"/>
              <w:ind w:firstLine="0" w:firstLineChars="0"/>
              <w:rPr>
                <w:rFonts w:hint="eastAsia" w:ascii="宋体" w:hAnsi="宋体" w:eastAsia="宋体" w:cs="宋体"/>
                <w:color w:val="auto"/>
                <w:szCs w:val="21"/>
                <w:highlight w:val="none"/>
              </w:rPr>
            </w:pPr>
            <w:r>
              <w:rPr>
                <w:rFonts w:hint="eastAsia" w:ascii="宋体" w:hAnsi="宋体" w:eastAsia="宋体" w:cs="宋体"/>
                <w:color w:val="auto"/>
                <w:highlight w:val="none"/>
              </w:rPr>
              <w:t>未提及不得分。</w:t>
            </w:r>
          </w:p>
        </w:tc>
        <w:tc>
          <w:tcPr>
            <w:tcW w:w="656" w:type="dxa"/>
            <w:tcBorders>
              <w:top w:val="single" w:color="auto" w:sz="4" w:space="0"/>
              <w:left w:val="single" w:color="auto" w:sz="4" w:space="0"/>
              <w:right w:val="single" w:color="auto" w:sz="4" w:space="0"/>
            </w:tcBorders>
            <w:noWrap/>
            <w:vAlign w:val="center"/>
          </w:tcPr>
          <w:p w14:paraId="506BD353">
            <w:pPr>
              <w:ind w:firstLine="210" w:firstLineChars="100"/>
              <w:rPr>
                <w:rFonts w:ascii="Times New Roman" w:hAnsi="Times New Roman" w:eastAsia="宋体" w:cs="Times New Roman"/>
                <w:color w:val="auto"/>
                <w:highlight w:val="none"/>
              </w:rPr>
            </w:pPr>
          </w:p>
        </w:tc>
      </w:tr>
      <w:tr w14:paraId="0BB61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left w:val="single" w:color="auto" w:sz="4" w:space="0"/>
              <w:right w:val="single" w:color="auto" w:sz="4" w:space="0"/>
            </w:tcBorders>
            <w:shd w:val="clear" w:color="auto" w:fill="auto"/>
            <w:noWrap/>
            <w:vAlign w:val="center"/>
          </w:tcPr>
          <w:p w14:paraId="063D572A">
            <w:pPr>
              <w:jc w:val="center"/>
              <w:rPr>
                <w:rFonts w:ascii="Times New Roman" w:hAnsi="Times New Roman" w:eastAsia="宋体" w:cs="Times New Roman"/>
                <w:color w:val="auto"/>
                <w:highlight w:val="none"/>
              </w:rPr>
            </w:pPr>
          </w:p>
        </w:tc>
        <w:tc>
          <w:tcPr>
            <w:tcW w:w="1152" w:type="dxa"/>
            <w:tcBorders>
              <w:left w:val="single" w:color="auto" w:sz="4" w:space="0"/>
              <w:right w:val="single" w:color="auto" w:sz="4" w:space="0"/>
            </w:tcBorders>
            <w:shd w:val="clear" w:color="auto" w:fill="auto"/>
            <w:noWrap/>
            <w:vAlign w:val="center"/>
          </w:tcPr>
          <w:p w14:paraId="5EA6D364">
            <w:pPr>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文明、安全作业措施</w:t>
            </w:r>
          </w:p>
          <w:p w14:paraId="3E0F4967">
            <w:pPr>
              <w:pStyle w:val="2"/>
              <w:rPr>
                <w:rFonts w:hint="eastAsia" w:ascii="宋体" w:hAnsi="宋体"/>
                <w:color w:val="auto"/>
                <w:kern w:val="0"/>
                <w:highlight w:val="none"/>
              </w:rPr>
            </w:pPr>
            <w:r>
              <w:rPr>
                <w:rFonts w:hint="eastAsia"/>
                <w:color w:val="auto"/>
                <w:highlight w:val="none"/>
              </w:rPr>
              <w:t>（5分）</w:t>
            </w:r>
          </w:p>
        </w:tc>
        <w:tc>
          <w:tcPr>
            <w:tcW w:w="7041" w:type="dxa"/>
            <w:tcBorders>
              <w:top w:val="single" w:color="auto" w:sz="4" w:space="0"/>
              <w:left w:val="single" w:color="auto" w:sz="4" w:space="0"/>
              <w:right w:val="single" w:color="auto" w:sz="4" w:space="0"/>
            </w:tcBorders>
            <w:shd w:val="clear" w:color="auto" w:fill="FFFFFF"/>
            <w:noWrap/>
            <w:vAlign w:val="center"/>
          </w:tcPr>
          <w:p w14:paraId="38CB5ACB">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投标人制定的安全生产、文明生产、环保措施方案，内容包括但不限于城市道路（含绿化带）保洁、垃圾分类收集及清运等方面：</w:t>
            </w:r>
          </w:p>
          <w:p w14:paraId="66BE9D0B">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措施完整全面，符合项目需求的，得5分；</w:t>
            </w:r>
          </w:p>
          <w:p w14:paraId="05937801">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措施较全面，基本符合项目需求的，得2分；</w:t>
            </w:r>
          </w:p>
          <w:p w14:paraId="7DF69ADE">
            <w:pPr>
              <w:rPr>
                <w:rFonts w:hint="eastAsia" w:ascii="宋体" w:hAnsi="宋体" w:eastAsia="宋体" w:cs="宋体"/>
                <w:color w:val="auto"/>
                <w:highlight w:val="none"/>
              </w:rPr>
            </w:pPr>
            <w:r>
              <w:rPr>
                <w:rFonts w:hint="eastAsia" w:ascii="宋体" w:hAnsi="宋体" w:eastAsia="宋体" w:cs="Times New Roman"/>
                <w:color w:val="auto"/>
                <w:szCs w:val="21"/>
                <w:highlight w:val="none"/>
              </w:rPr>
              <w:t>未提及不得分。</w:t>
            </w:r>
          </w:p>
        </w:tc>
        <w:tc>
          <w:tcPr>
            <w:tcW w:w="656" w:type="dxa"/>
            <w:tcBorders>
              <w:top w:val="single" w:color="auto" w:sz="4" w:space="0"/>
              <w:left w:val="single" w:color="auto" w:sz="4" w:space="0"/>
              <w:right w:val="single" w:color="auto" w:sz="4" w:space="0"/>
            </w:tcBorders>
            <w:noWrap/>
            <w:vAlign w:val="center"/>
          </w:tcPr>
          <w:p w14:paraId="1A83C289">
            <w:pPr>
              <w:ind w:firstLine="210" w:firstLineChars="100"/>
              <w:rPr>
                <w:rFonts w:ascii="Times New Roman" w:hAnsi="Times New Roman" w:eastAsia="宋体" w:cs="Times New Roman"/>
                <w:color w:val="auto"/>
                <w:highlight w:val="none"/>
              </w:rPr>
            </w:pPr>
          </w:p>
        </w:tc>
      </w:tr>
      <w:tr w14:paraId="2AB03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left w:val="single" w:color="auto" w:sz="4" w:space="0"/>
              <w:right w:val="single" w:color="auto" w:sz="4" w:space="0"/>
            </w:tcBorders>
            <w:shd w:val="clear" w:color="auto" w:fill="auto"/>
            <w:noWrap/>
            <w:vAlign w:val="center"/>
          </w:tcPr>
          <w:p w14:paraId="1D0C27E8">
            <w:pPr>
              <w:jc w:val="center"/>
              <w:rPr>
                <w:rFonts w:ascii="Times New Roman" w:hAnsi="Times New Roman" w:eastAsia="宋体" w:cs="Times New Roman"/>
                <w:color w:val="auto"/>
                <w:highlight w:val="none"/>
              </w:rPr>
            </w:pPr>
          </w:p>
        </w:tc>
        <w:tc>
          <w:tcPr>
            <w:tcW w:w="1152" w:type="dxa"/>
            <w:tcBorders>
              <w:left w:val="single" w:color="auto" w:sz="4" w:space="0"/>
              <w:right w:val="single" w:color="auto" w:sz="4" w:space="0"/>
            </w:tcBorders>
            <w:shd w:val="clear" w:color="auto" w:fill="auto"/>
            <w:noWrap/>
            <w:vAlign w:val="center"/>
          </w:tcPr>
          <w:p w14:paraId="403420DD">
            <w:pPr>
              <w:jc w:val="center"/>
              <w:rPr>
                <w:rFonts w:hint="eastAsia" w:ascii="宋体" w:hAnsi="宋体" w:eastAsia="宋体" w:cs="Times New Roman"/>
                <w:color w:val="auto"/>
                <w:kern w:val="0"/>
                <w:highlight w:val="none"/>
              </w:rPr>
            </w:pPr>
            <w:r>
              <w:rPr>
                <w:rFonts w:hint="eastAsia" w:ascii="宋体" w:hAnsi="宋体" w:eastAsia="宋体" w:cs="Times New Roman"/>
                <w:color w:val="auto"/>
                <w:kern w:val="0"/>
                <w:highlight w:val="none"/>
              </w:rPr>
              <w:t>培训方案（3分）</w:t>
            </w:r>
          </w:p>
        </w:tc>
        <w:tc>
          <w:tcPr>
            <w:tcW w:w="7041" w:type="dxa"/>
            <w:tcBorders>
              <w:top w:val="single" w:color="auto" w:sz="4" w:space="0"/>
              <w:left w:val="single" w:color="auto" w:sz="4" w:space="0"/>
              <w:right w:val="single" w:color="auto" w:sz="4" w:space="0"/>
            </w:tcBorders>
            <w:shd w:val="clear" w:color="auto" w:fill="FFFFFF"/>
            <w:noWrap/>
            <w:vAlign w:val="center"/>
          </w:tcPr>
          <w:p w14:paraId="50321C06">
            <w:pPr>
              <w:rPr>
                <w:rFonts w:hint="eastAsia" w:ascii="宋体" w:hAnsi="宋体" w:eastAsia="宋体" w:cs="宋体"/>
                <w:color w:val="auto"/>
                <w:highlight w:val="none"/>
              </w:rPr>
            </w:pPr>
            <w:r>
              <w:rPr>
                <w:rFonts w:hint="eastAsia" w:ascii="宋体" w:hAnsi="宋体" w:eastAsia="宋体" w:cs="宋体"/>
                <w:color w:val="auto"/>
                <w:highlight w:val="none"/>
              </w:rPr>
              <w:t>投标人制定上岗人员垃圾分类培训及环卫保洁专业培训的培训方案：</w:t>
            </w:r>
          </w:p>
          <w:p w14:paraId="75B6D23B">
            <w:pPr>
              <w:rPr>
                <w:rFonts w:hint="eastAsia" w:ascii="宋体" w:hAnsi="宋体" w:eastAsia="宋体" w:cs="宋体"/>
                <w:color w:val="auto"/>
                <w:highlight w:val="none"/>
              </w:rPr>
            </w:pPr>
            <w:r>
              <w:rPr>
                <w:rFonts w:hint="eastAsia" w:ascii="宋体" w:hAnsi="宋体" w:eastAsia="宋体" w:cs="宋体"/>
                <w:color w:val="auto"/>
                <w:highlight w:val="none"/>
              </w:rPr>
              <w:t>培训方案完整、全面的，得3分；</w:t>
            </w:r>
          </w:p>
          <w:p w14:paraId="5428C7EA">
            <w:pPr>
              <w:rPr>
                <w:rFonts w:hint="eastAsia" w:ascii="宋体" w:hAnsi="宋体" w:eastAsia="宋体" w:cs="宋体"/>
                <w:color w:val="auto"/>
                <w:highlight w:val="none"/>
              </w:rPr>
            </w:pPr>
            <w:r>
              <w:rPr>
                <w:rFonts w:hint="eastAsia" w:ascii="宋体" w:hAnsi="宋体" w:eastAsia="宋体" w:cs="宋体"/>
                <w:color w:val="auto"/>
                <w:highlight w:val="none"/>
              </w:rPr>
              <w:t>培训方案基本全面，得1分；</w:t>
            </w:r>
          </w:p>
          <w:p w14:paraId="6CE8E915">
            <w:pPr>
              <w:rPr>
                <w:rFonts w:hint="eastAsia" w:ascii="宋体" w:hAnsi="宋体" w:eastAsia="宋体" w:cs="Times New Roman"/>
                <w:color w:val="auto"/>
                <w:szCs w:val="21"/>
                <w:highlight w:val="none"/>
              </w:rPr>
            </w:pPr>
            <w:r>
              <w:rPr>
                <w:rFonts w:hint="eastAsia" w:ascii="宋体" w:hAnsi="宋体" w:eastAsia="宋体" w:cs="宋体"/>
                <w:color w:val="auto"/>
                <w:highlight w:val="none"/>
              </w:rPr>
              <w:t>未提及不得分。</w:t>
            </w:r>
          </w:p>
        </w:tc>
        <w:tc>
          <w:tcPr>
            <w:tcW w:w="656" w:type="dxa"/>
            <w:tcBorders>
              <w:top w:val="single" w:color="auto" w:sz="4" w:space="0"/>
              <w:left w:val="single" w:color="auto" w:sz="4" w:space="0"/>
              <w:right w:val="single" w:color="auto" w:sz="4" w:space="0"/>
            </w:tcBorders>
            <w:noWrap/>
            <w:vAlign w:val="center"/>
          </w:tcPr>
          <w:p w14:paraId="6672E8D9">
            <w:pPr>
              <w:ind w:firstLine="210" w:firstLineChars="100"/>
              <w:rPr>
                <w:rFonts w:ascii="Times New Roman" w:hAnsi="Times New Roman" w:eastAsia="宋体" w:cs="Times New Roman"/>
                <w:color w:val="auto"/>
                <w:highlight w:val="none"/>
              </w:rPr>
            </w:pPr>
          </w:p>
        </w:tc>
      </w:tr>
      <w:tr w14:paraId="290DE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left w:val="single" w:color="auto" w:sz="4" w:space="0"/>
              <w:right w:val="single" w:color="auto" w:sz="4" w:space="0"/>
            </w:tcBorders>
            <w:shd w:val="clear" w:color="auto" w:fill="auto"/>
            <w:noWrap/>
            <w:vAlign w:val="center"/>
          </w:tcPr>
          <w:p w14:paraId="63DBBF5A">
            <w:pPr>
              <w:jc w:val="center"/>
              <w:rPr>
                <w:rFonts w:ascii="Times New Roman" w:hAnsi="Times New Roman" w:eastAsia="宋体" w:cs="Times New Roman"/>
                <w:color w:val="auto"/>
                <w:highlight w:val="none"/>
              </w:rPr>
            </w:pPr>
          </w:p>
        </w:tc>
        <w:tc>
          <w:tcPr>
            <w:tcW w:w="1152" w:type="dxa"/>
            <w:tcBorders>
              <w:left w:val="single" w:color="auto" w:sz="4" w:space="0"/>
              <w:right w:val="single" w:color="auto" w:sz="4" w:space="0"/>
            </w:tcBorders>
            <w:shd w:val="clear" w:color="auto" w:fill="auto"/>
            <w:noWrap/>
            <w:vAlign w:val="center"/>
          </w:tcPr>
          <w:p w14:paraId="738FF18B">
            <w:pPr>
              <w:jc w:val="center"/>
              <w:rPr>
                <w:rFonts w:hint="eastAsia" w:ascii="宋体" w:hAnsi="宋体" w:eastAsia="宋体" w:cs="Times New Roman"/>
                <w:color w:val="auto"/>
                <w:kern w:val="0"/>
                <w:highlight w:val="none"/>
              </w:rPr>
            </w:pPr>
            <w:r>
              <w:rPr>
                <w:rFonts w:hint="eastAsia" w:ascii="宋体" w:hAnsi="宋体" w:eastAsia="宋体" w:cs="Times New Roman"/>
                <w:color w:val="auto"/>
                <w:kern w:val="0"/>
                <w:highlight w:val="none"/>
              </w:rPr>
              <w:t>应急保障措施</w:t>
            </w:r>
          </w:p>
          <w:p w14:paraId="0BEED252">
            <w:pPr>
              <w:jc w:val="center"/>
              <w:rPr>
                <w:rFonts w:hint="eastAsia" w:ascii="宋体" w:hAnsi="宋体" w:eastAsia="宋体" w:cs="Times New Roman"/>
                <w:color w:val="auto"/>
                <w:kern w:val="0"/>
                <w:highlight w:val="none"/>
              </w:rPr>
            </w:pPr>
            <w:r>
              <w:rPr>
                <w:rFonts w:hint="eastAsia" w:ascii="宋体" w:hAnsi="宋体" w:eastAsia="宋体" w:cs="Times New Roman"/>
                <w:color w:val="auto"/>
                <w:kern w:val="0"/>
                <w:highlight w:val="none"/>
              </w:rPr>
              <w:t>（5分）</w:t>
            </w:r>
          </w:p>
        </w:tc>
        <w:tc>
          <w:tcPr>
            <w:tcW w:w="7041" w:type="dxa"/>
            <w:tcBorders>
              <w:top w:val="single" w:color="auto" w:sz="4" w:space="0"/>
              <w:left w:val="nil"/>
              <w:bottom w:val="single" w:color="auto" w:sz="4" w:space="0"/>
              <w:right w:val="single" w:color="auto" w:sz="4" w:space="0"/>
            </w:tcBorders>
            <w:noWrap/>
            <w:vAlign w:val="center"/>
          </w:tcPr>
          <w:p w14:paraId="5CF049FD">
            <w:pPr>
              <w:snapToGrid w:val="0"/>
              <w:rPr>
                <w:rFonts w:hint="eastAsia" w:ascii="宋体" w:hAnsi="宋体" w:eastAsia="宋体"/>
                <w:color w:val="auto"/>
                <w:szCs w:val="21"/>
                <w:highlight w:val="none"/>
              </w:rPr>
            </w:pPr>
            <w:r>
              <w:rPr>
                <w:rFonts w:hint="eastAsia" w:ascii="宋体" w:hAnsi="宋体" w:eastAsia="宋体"/>
                <w:color w:val="auto"/>
                <w:szCs w:val="21"/>
                <w:highlight w:val="none"/>
              </w:rPr>
              <w:t>投标人制定详细的应急工作方案计划，包括但不限于招标人临时安排的任务、重大社会活动日、迎接检查、突发问题处理、纠纷解决等应急方案：</w:t>
            </w:r>
          </w:p>
          <w:p w14:paraId="6BDA4EC5">
            <w:pPr>
              <w:snapToGrid w:val="0"/>
              <w:rPr>
                <w:rFonts w:hint="eastAsia" w:ascii="宋体" w:hAnsi="宋体" w:eastAsia="宋体"/>
                <w:color w:val="auto"/>
                <w:szCs w:val="21"/>
                <w:highlight w:val="none"/>
              </w:rPr>
            </w:pPr>
            <w:r>
              <w:rPr>
                <w:rFonts w:hint="eastAsia" w:ascii="宋体" w:hAnsi="宋体" w:eastAsia="宋体"/>
                <w:color w:val="auto"/>
                <w:szCs w:val="21"/>
                <w:highlight w:val="none"/>
              </w:rPr>
              <w:t>方案完整全面、应对措施切实可行的，得5分；</w:t>
            </w:r>
          </w:p>
          <w:p w14:paraId="3D712185">
            <w:pPr>
              <w:snapToGrid w:val="0"/>
              <w:rPr>
                <w:rFonts w:hint="eastAsia" w:ascii="宋体" w:hAnsi="宋体" w:eastAsia="宋体"/>
                <w:color w:val="auto"/>
                <w:szCs w:val="21"/>
                <w:highlight w:val="none"/>
              </w:rPr>
            </w:pPr>
            <w:r>
              <w:rPr>
                <w:rFonts w:hint="eastAsia" w:ascii="宋体" w:hAnsi="宋体" w:eastAsia="宋体"/>
                <w:color w:val="auto"/>
                <w:szCs w:val="21"/>
                <w:highlight w:val="none"/>
              </w:rPr>
              <w:t xml:space="preserve">方案基本完整、应对措施较可行的，得2分； </w:t>
            </w:r>
          </w:p>
          <w:p w14:paraId="51E4CB40">
            <w:pPr>
              <w:rPr>
                <w:rFonts w:hint="eastAsia" w:ascii="宋体" w:hAnsi="宋体" w:eastAsia="宋体" w:cs="Times New Roman"/>
                <w:color w:val="auto"/>
                <w:szCs w:val="21"/>
                <w:highlight w:val="none"/>
              </w:rPr>
            </w:pPr>
            <w:r>
              <w:rPr>
                <w:rFonts w:hint="eastAsia" w:ascii="宋体" w:hAnsi="宋体" w:eastAsia="宋体"/>
                <w:color w:val="auto"/>
                <w:szCs w:val="21"/>
                <w:highlight w:val="none"/>
              </w:rPr>
              <w:t>未提及不得分。</w:t>
            </w:r>
          </w:p>
        </w:tc>
        <w:tc>
          <w:tcPr>
            <w:tcW w:w="656" w:type="dxa"/>
            <w:tcBorders>
              <w:top w:val="single" w:color="auto" w:sz="4" w:space="0"/>
              <w:left w:val="single" w:color="auto" w:sz="4" w:space="0"/>
              <w:right w:val="single" w:color="auto" w:sz="4" w:space="0"/>
            </w:tcBorders>
            <w:noWrap/>
            <w:vAlign w:val="center"/>
          </w:tcPr>
          <w:p w14:paraId="62F55FBE">
            <w:pPr>
              <w:ind w:firstLine="210" w:firstLineChars="100"/>
              <w:rPr>
                <w:rFonts w:ascii="Times New Roman" w:hAnsi="Times New Roman" w:eastAsia="宋体" w:cs="Times New Roman"/>
                <w:color w:val="auto"/>
                <w:highlight w:val="none"/>
              </w:rPr>
            </w:pPr>
          </w:p>
        </w:tc>
      </w:tr>
      <w:tr w14:paraId="68ED0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left w:val="single" w:color="auto" w:sz="4" w:space="0"/>
              <w:right w:val="single" w:color="auto" w:sz="4" w:space="0"/>
            </w:tcBorders>
            <w:shd w:val="clear" w:color="auto" w:fill="auto"/>
            <w:noWrap/>
            <w:vAlign w:val="center"/>
          </w:tcPr>
          <w:p w14:paraId="27948B48">
            <w:pPr>
              <w:jc w:val="center"/>
              <w:rPr>
                <w:rFonts w:ascii="Times New Roman" w:hAnsi="Times New Roman" w:eastAsia="宋体" w:cs="Times New Roman"/>
                <w:color w:val="auto"/>
                <w:highlight w:val="none"/>
              </w:rPr>
            </w:pPr>
          </w:p>
        </w:tc>
        <w:tc>
          <w:tcPr>
            <w:tcW w:w="1152" w:type="dxa"/>
            <w:tcBorders>
              <w:left w:val="single" w:color="auto" w:sz="4" w:space="0"/>
              <w:right w:val="single" w:color="auto" w:sz="4" w:space="0"/>
            </w:tcBorders>
            <w:shd w:val="clear" w:color="auto" w:fill="auto"/>
            <w:noWrap/>
            <w:vAlign w:val="center"/>
          </w:tcPr>
          <w:p w14:paraId="449880E9">
            <w:pPr>
              <w:jc w:val="center"/>
              <w:rPr>
                <w:rFonts w:hint="eastAsia" w:ascii="宋体" w:hAnsi="宋体" w:eastAsia="宋体" w:cs="Times New Roman"/>
                <w:color w:val="auto"/>
                <w:kern w:val="0"/>
                <w:highlight w:val="none"/>
              </w:rPr>
            </w:pPr>
            <w:r>
              <w:rPr>
                <w:rFonts w:hint="eastAsia" w:ascii="宋体" w:hAnsi="宋体" w:eastAsia="宋体" w:cs="Times New Roman"/>
                <w:color w:val="auto"/>
                <w:kern w:val="0"/>
                <w:highlight w:val="none"/>
              </w:rPr>
              <w:t>环卫工人权益保障及福利奖金（5分）</w:t>
            </w:r>
          </w:p>
        </w:tc>
        <w:tc>
          <w:tcPr>
            <w:tcW w:w="7041" w:type="dxa"/>
            <w:tcBorders>
              <w:top w:val="single" w:color="auto" w:sz="4" w:space="0"/>
              <w:left w:val="nil"/>
              <w:bottom w:val="single" w:color="auto" w:sz="4" w:space="0"/>
              <w:right w:val="single" w:color="auto" w:sz="4" w:space="0"/>
            </w:tcBorders>
            <w:noWrap/>
            <w:vAlign w:val="center"/>
          </w:tcPr>
          <w:p w14:paraId="7F448504">
            <w:pPr>
              <w:rPr>
                <w:rFonts w:hint="eastAsia" w:ascii="宋体" w:hAnsi="宋体" w:eastAsia="宋体"/>
                <w:color w:val="auto"/>
                <w:szCs w:val="21"/>
                <w:highlight w:val="none"/>
              </w:rPr>
            </w:pPr>
            <w:r>
              <w:rPr>
                <w:rFonts w:hint="eastAsia" w:ascii="宋体" w:hAnsi="宋体" w:eastAsia="宋体"/>
                <w:color w:val="auto"/>
                <w:szCs w:val="21"/>
                <w:highlight w:val="none"/>
              </w:rPr>
              <w:t>环卫工人权益保及福利奖金方案：</w:t>
            </w:r>
          </w:p>
          <w:p w14:paraId="562E9C39">
            <w:pPr>
              <w:pStyle w:val="2"/>
              <w:rPr>
                <w:rFonts w:ascii="宋体" w:hAnsi="宋体"/>
                <w:color w:val="auto"/>
                <w:highlight w:val="none"/>
              </w:rPr>
            </w:pPr>
            <w:r>
              <w:rPr>
                <w:rFonts w:hint="eastAsia" w:ascii="宋体" w:hAnsi="宋体"/>
                <w:color w:val="auto"/>
                <w:highlight w:val="none"/>
              </w:rPr>
              <w:t>方案全面完整，按规定发放工资福利，保障环卫工人的权益</w:t>
            </w:r>
            <w:r>
              <w:rPr>
                <w:rFonts w:hint="eastAsia" w:ascii="宋体" w:hAnsi="宋体"/>
                <w:color w:val="auto"/>
                <w:highlight w:val="none"/>
                <w:lang w:eastAsia="zh-CN"/>
              </w:rPr>
              <w:t>，制定合理有效的评优评奖体系并落实到位的</w:t>
            </w:r>
            <w:r>
              <w:rPr>
                <w:rFonts w:hint="eastAsia" w:ascii="宋体" w:hAnsi="宋体"/>
                <w:color w:val="auto"/>
                <w:highlight w:val="none"/>
              </w:rPr>
              <w:t>，得5分；</w:t>
            </w:r>
          </w:p>
          <w:p w14:paraId="6D38AFB8">
            <w:pPr>
              <w:rPr>
                <w:rFonts w:hint="eastAsia" w:ascii="宋体" w:hAnsi="宋体" w:eastAsia="宋体"/>
                <w:color w:val="auto"/>
                <w:szCs w:val="21"/>
                <w:highlight w:val="none"/>
              </w:rPr>
            </w:pPr>
            <w:r>
              <w:rPr>
                <w:rFonts w:hint="eastAsia" w:ascii="宋体" w:hAnsi="宋体" w:eastAsia="宋体"/>
                <w:color w:val="auto"/>
                <w:highlight w:val="none"/>
              </w:rPr>
              <w:t>方案较完整，基本保障环卫工人权益的</w:t>
            </w:r>
            <w:r>
              <w:rPr>
                <w:rFonts w:hint="eastAsia" w:ascii="宋体" w:hAnsi="宋体" w:eastAsia="宋体"/>
                <w:color w:val="auto"/>
                <w:highlight w:val="none"/>
                <w:lang w:eastAsia="zh-CN"/>
              </w:rPr>
              <w:t>，制定较为合理的评优评奖体系并落实到位的</w:t>
            </w:r>
            <w:r>
              <w:rPr>
                <w:rFonts w:hint="eastAsia" w:ascii="宋体" w:hAnsi="宋体" w:eastAsia="宋体"/>
                <w:color w:val="auto"/>
                <w:highlight w:val="none"/>
              </w:rPr>
              <w:t>，得2分，其它不得分。</w:t>
            </w:r>
          </w:p>
        </w:tc>
        <w:tc>
          <w:tcPr>
            <w:tcW w:w="656" w:type="dxa"/>
            <w:tcBorders>
              <w:top w:val="single" w:color="auto" w:sz="4" w:space="0"/>
              <w:left w:val="single" w:color="auto" w:sz="4" w:space="0"/>
              <w:right w:val="single" w:color="auto" w:sz="4" w:space="0"/>
            </w:tcBorders>
            <w:noWrap/>
            <w:vAlign w:val="center"/>
          </w:tcPr>
          <w:p w14:paraId="58B744E7">
            <w:pPr>
              <w:ind w:firstLine="210" w:firstLineChars="100"/>
              <w:rPr>
                <w:rFonts w:ascii="Times New Roman" w:hAnsi="Times New Roman" w:eastAsia="宋体" w:cs="Times New Roman"/>
                <w:color w:val="auto"/>
                <w:highlight w:val="none"/>
              </w:rPr>
            </w:pPr>
          </w:p>
        </w:tc>
      </w:tr>
      <w:tr w14:paraId="59653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left w:val="single" w:color="auto" w:sz="4" w:space="0"/>
              <w:right w:val="single" w:color="auto" w:sz="4" w:space="0"/>
            </w:tcBorders>
            <w:shd w:val="clear" w:color="auto" w:fill="auto"/>
            <w:noWrap/>
            <w:vAlign w:val="center"/>
          </w:tcPr>
          <w:p w14:paraId="4A2C72D8">
            <w:pPr>
              <w:jc w:val="center"/>
              <w:rPr>
                <w:rFonts w:ascii="Times New Roman" w:hAnsi="Times New Roman" w:eastAsia="宋体" w:cs="Times New Roman"/>
                <w:color w:val="auto"/>
                <w:highlight w:val="none"/>
              </w:rPr>
            </w:pPr>
          </w:p>
        </w:tc>
        <w:tc>
          <w:tcPr>
            <w:tcW w:w="1152" w:type="dxa"/>
            <w:tcBorders>
              <w:left w:val="single" w:color="auto" w:sz="4" w:space="0"/>
              <w:right w:val="single" w:color="auto" w:sz="4" w:space="0"/>
            </w:tcBorders>
            <w:shd w:val="clear" w:color="auto" w:fill="auto"/>
            <w:noWrap/>
            <w:vAlign w:val="center"/>
          </w:tcPr>
          <w:p w14:paraId="5843C66A">
            <w:pPr>
              <w:jc w:val="center"/>
              <w:rPr>
                <w:rFonts w:hint="eastAsia" w:ascii="宋体" w:hAnsi="宋体" w:eastAsia="宋体" w:cs="Times New Roman"/>
                <w:color w:val="auto"/>
                <w:kern w:val="0"/>
                <w:highlight w:val="none"/>
              </w:rPr>
            </w:pPr>
            <w:r>
              <w:rPr>
                <w:rFonts w:hint="eastAsia" w:ascii="宋体" w:hAnsi="宋体" w:eastAsia="宋体" w:cs="Times New Roman"/>
                <w:color w:val="auto"/>
                <w:kern w:val="0"/>
                <w:highlight w:val="none"/>
              </w:rPr>
              <w:t>维稳交接（3分）</w:t>
            </w:r>
          </w:p>
        </w:tc>
        <w:tc>
          <w:tcPr>
            <w:tcW w:w="7041" w:type="dxa"/>
            <w:tcBorders>
              <w:top w:val="single" w:color="auto" w:sz="4" w:space="0"/>
              <w:left w:val="nil"/>
              <w:bottom w:val="single" w:color="auto" w:sz="4" w:space="0"/>
              <w:right w:val="single" w:color="auto" w:sz="4" w:space="0"/>
            </w:tcBorders>
            <w:noWrap/>
            <w:vAlign w:val="center"/>
          </w:tcPr>
          <w:p w14:paraId="5EE66728">
            <w:pPr>
              <w:rPr>
                <w:rFonts w:hint="eastAsia" w:ascii="宋体" w:hAnsi="宋体" w:eastAsia="宋体"/>
                <w:color w:val="auto"/>
                <w:szCs w:val="21"/>
                <w:highlight w:val="none"/>
              </w:rPr>
            </w:pPr>
            <w:r>
              <w:rPr>
                <w:rFonts w:ascii="宋体" w:hAnsi="宋体" w:eastAsia="宋体"/>
                <w:color w:val="auto"/>
                <w:szCs w:val="21"/>
                <w:highlight w:val="none"/>
              </w:rPr>
              <w:t>投标人提出的为确保项目顺利交接和平稳过渡所采取的各项措施与承诺，包括中标后项目所需人员到位时间的承诺、风险排除、平稳过渡等</w:t>
            </w:r>
            <w:r>
              <w:rPr>
                <w:rFonts w:hint="eastAsia" w:ascii="宋体" w:hAnsi="宋体" w:eastAsia="宋体"/>
                <w:color w:val="auto"/>
                <w:szCs w:val="21"/>
                <w:highlight w:val="none"/>
              </w:rPr>
              <w:t>：</w:t>
            </w:r>
          </w:p>
          <w:p w14:paraId="5E89CE04">
            <w:pPr>
              <w:rPr>
                <w:rFonts w:hint="eastAsia" w:ascii="宋体" w:hAnsi="宋体" w:eastAsia="宋体"/>
                <w:color w:val="auto"/>
                <w:szCs w:val="21"/>
                <w:highlight w:val="none"/>
              </w:rPr>
            </w:pPr>
            <w:r>
              <w:rPr>
                <w:rFonts w:ascii="宋体" w:hAnsi="宋体" w:eastAsia="宋体"/>
                <w:color w:val="auto"/>
                <w:szCs w:val="21"/>
                <w:highlight w:val="none"/>
              </w:rPr>
              <w:t>各项措施及承诺全面</w:t>
            </w:r>
            <w:r>
              <w:rPr>
                <w:rFonts w:hint="eastAsia" w:ascii="宋体" w:hAnsi="宋体" w:eastAsia="宋体"/>
                <w:color w:val="auto"/>
                <w:szCs w:val="21"/>
                <w:highlight w:val="none"/>
              </w:rPr>
              <w:t>完整的，得3分；</w:t>
            </w:r>
          </w:p>
          <w:p w14:paraId="1A0F23B2">
            <w:pPr>
              <w:rPr>
                <w:rFonts w:hint="eastAsia" w:ascii="宋体" w:hAnsi="宋体" w:eastAsia="宋体"/>
                <w:color w:val="auto"/>
                <w:szCs w:val="21"/>
                <w:highlight w:val="none"/>
              </w:rPr>
            </w:pPr>
            <w:r>
              <w:rPr>
                <w:rFonts w:ascii="宋体" w:hAnsi="宋体" w:eastAsia="宋体"/>
                <w:color w:val="auto"/>
                <w:szCs w:val="21"/>
                <w:highlight w:val="none"/>
              </w:rPr>
              <w:t>各项措施及承诺</w:t>
            </w:r>
            <w:r>
              <w:rPr>
                <w:rFonts w:hint="eastAsia" w:ascii="宋体" w:hAnsi="宋体" w:eastAsia="宋体"/>
                <w:color w:val="auto"/>
                <w:szCs w:val="21"/>
                <w:highlight w:val="none"/>
              </w:rPr>
              <w:t>基本完整</w:t>
            </w:r>
            <w:r>
              <w:rPr>
                <w:rFonts w:ascii="宋体" w:hAnsi="宋体" w:eastAsia="宋体"/>
                <w:color w:val="auto"/>
                <w:szCs w:val="21"/>
                <w:highlight w:val="none"/>
              </w:rPr>
              <w:t>的</w:t>
            </w:r>
            <w:r>
              <w:rPr>
                <w:rFonts w:hint="eastAsia" w:ascii="宋体" w:hAnsi="宋体" w:eastAsia="宋体"/>
                <w:color w:val="auto"/>
                <w:szCs w:val="21"/>
                <w:highlight w:val="none"/>
              </w:rPr>
              <w:t>,</w:t>
            </w:r>
            <w:r>
              <w:rPr>
                <w:rFonts w:ascii="宋体" w:hAnsi="宋体" w:eastAsia="宋体"/>
                <w:color w:val="auto"/>
                <w:szCs w:val="21"/>
                <w:highlight w:val="none"/>
              </w:rPr>
              <w:t>得</w:t>
            </w:r>
            <w:r>
              <w:rPr>
                <w:rFonts w:hint="eastAsia" w:ascii="宋体" w:hAnsi="宋体" w:eastAsia="宋体"/>
                <w:color w:val="auto"/>
                <w:szCs w:val="21"/>
                <w:highlight w:val="none"/>
              </w:rPr>
              <w:t>1</w:t>
            </w:r>
            <w:r>
              <w:rPr>
                <w:rFonts w:ascii="宋体" w:hAnsi="宋体" w:eastAsia="宋体"/>
                <w:color w:val="auto"/>
                <w:szCs w:val="21"/>
                <w:highlight w:val="none"/>
              </w:rPr>
              <w:t>分</w:t>
            </w:r>
            <w:r>
              <w:rPr>
                <w:rFonts w:hint="eastAsia" w:ascii="宋体" w:hAnsi="宋体" w:eastAsia="宋体"/>
                <w:color w:val="auto"/>
                <w:szCs w:val="21"/>
                <w:highlight w:val="none"/>
              </w:rPr>
              <w:t>；</w:t>
            </w:r>
          </w:p>
          <w:p w14:paraId="6EB980EE">
            <w:pPr>
              <w:rPr>
                <w:rFonts w:hint="eastAsia" w:ascii="宋体" w:hAnsi="宋体" w:eastAsia="宋体" w:cs="Times New Roman"/>
                <w:color w:val="auto"/>
                <w:szCs w:val="21"/>
                <w:highlight w:val="none"/>
              </w:rPr>
            </w:pPr>
            <w:r>
              <w:rPr>
                <w:rFonts w:hint="eastAsia" w:ascii="宋体" w:hAnsi="宋体" w:eastAsia="宋体"/>
                <w:color w:val="auto"/>
                <w:szCs w:val="21"/>
                <w:highlight w:val="none"/>
              </w:rPr>
              <w:t>未提及不得分。</w:t>
            </w:r>
          </w:p>
        </w:tc>
        <w:tc>
          <w:tcPr>
            <w:tcW w:w="656" w:type="dxa"/>
            <w:tcBorders>
              <w:top w:val="single" w:color="auto" w:sz="4" w:space="0"/>
              <w:left w:val="single" w:color="auto" w:sz="4" w:space="0"/>
              <w:right w:val="single" w:color="auto" w:sz="4" w:space="0"/>
            </w:tcBorders>
            <w:noWrap/>
            <w:vAlign w:val="center"/>
          </w:tcPr>
          <w:p w14:paraId="7AF59E75">
            <w:pPr>
              <w:ind w:firstLine="210" w:firstLineChars="100"/>
              <w:rPr>
                <w:rFonts w:ascii="Times New Roman" w:hAnsi="Times New Roman" w:eastAsia="宋体" w:cs="Times New Roman"/>
                <w:color w:val="auto"/>
                <w:highlight w:val="none"/>
              </w:rPr>
            </w:pPr>
          </w:p>
        </w:tc>
      </w:tr>
      <w:tr w14:paraId="13DFF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104" w:type="dxa"/>
            <w:tcBorders>
              <w:top w:val="single" w:color="auto" w:sz="4" w:space="0"/>
              <w:left w:val="single" w:color="auto" w:sz="4" w:space="0"/>
              <w:bottom w:val="single" w:color="auto" w:sz="4" w:space="0"/>
              <w:right w:val="single" w:color="auto" w:sz="4" w:space="0"/>
            </w:tcBorders>
            <w:noWrap/>
            <w:vAlign w:val="center"/>
          </w:tcPr>
          <w:p w14:paraId="58DCE37F">
            <w:pPr>
              <w:widowControl/>
              <w:ind w:right="-341"/>
              <w:rPr>
                <w:rFonts w:ascii="Times New Roman" w:hAnsi="Times New Roman" w:eastAsia="宋体" w:cs="Times New Roman"/>
                <w:color w:val="auto"/>
                <w:highlight w:val="none"/>
              </w:rPr>
            </w:pPr>
            <w:r>
              <w:rPr>
                <w:rFonts w:ascii="Times New Roman" w:hAnsi="Times New Roman" w:eastAsia="宋体" w:cs="Times New Roman"/>
                <w:color w:val="auto"/>
                <w:highlight w:val="none"/>
              </w:rPr>
              <w:t>价格得分</w:t>
            </w:r>
          </w:p>
          <w:p w14:paraId="020120B5">
            <w:pPr>
              <w:widowControl/>
              <w:ind w:right="-341"/>
              <w:rPr>
                <w:rFonts w:ascii="Times New Roman" w:hAnsi="Times New Roman" w:eastAsia="宋体" w:cs="Times New Roman"/>
                <w:color w:val="auto"/>
                <w:highlight w:val="none"/>
              </w:rPr>
            </w:pP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rPr>
              <w:t>1</w:t>
            </w:r>
            <w:r>
              <w:rPr>
                <w:rFonts w:ascii="Times New Roman" w:hAnsi="Times New Roman" w:eastAsia="宋体" w:cs="Times New Roman"/>
                <w:color w:val="auto"/>
                <w:highlight w:val="none"/>
              </w:rPr>
              <w:t>0分）</w:t>
            </w:r>
          </w:p>
        </w:tc>
        <w:tc>
          <w:tcPr>
            <w:tcW w:w="8193" w:type="dxa"/>
            <w:gridSpan w:val="2"/>
            <w:tcBorders>
              <w:top w:val="single" w:color="auto" w:sz="4" w:space="0"/>
              <w:left w:val="single" w:color="auto" w:sz="4" w:space="0"/>
              <w:bottom w:val="single" w:color="auto" w:sz="4" w:space="0"/>
              <w:right w:val="single" w:color="auto" w:sz="4" w:space="0"/>
            </w:tcBorders>
            <w:noWrap/>
            <w:vAlign w:val="center"/>
          </w:tcPr>
          <w:p w14:paraId="3598D1BD">
            <w:pPr>
              <w:snapToGrid w:val="0"/>
              <w:spacing w:line="336" w:lineRule="auto"/>
              <w:rPr>
                <w:rFonts w:hint="eastAsia" w:ascii="宋体" w:hAnsi="宋体" w:eastAsia="宋体" w:cs="Times New Roman"/>
                <w:bCs/>
                <w:color w:val="auto"/>
                <w:highlight w:val="none"/>
              </w:rPr>
            </w:pPr>
            <w:r>
              <w:rPr>
                <w:rFonts w:hint="eastAsia" w:ascii="宋体" w:hAnsi="宋体" w:eastAsia="宋体" w:cs="Times New Roman"/>
                <w:bCs/>
                <w:color w:val="auto"/>
                <w:highlight w:val="none"/>
              </w:rPr>
              <w:t>满足投标文件要求且投标报价最低的为评标基准价，其价格分为满分，其他投标人的价格分按下列公式计算：</w:t>
            </w:r>
          </w:p>
          <w:p w14:paraId="3D2054B0">
            <w:pPr>
              <w:ind w:right="-341"/>
              <w:jc w:val="left"/>
              <w:rPr>
                <w:rFonts w:ascii="Times New Roman" w:hAnsi="Times New Roman" w:eastAsia="宋体" w:cs="Times New Roman"/>
                <w:color w:val="auto"/>
                <w:highlight w:val="none"/>
              </w:rPr>
            </w:pPr>
            <w:r>
              <w:rPr>
                <w:rFonts w:hint="eastAsia" w:ascii="宋体" w:hAnsi="宋体" w:eastAsia="宋体" w:cs="Times New Roman"/>
                <w:bCs/>
                <w:color w:val="auto"/>
                <w:highlight w:val="none"/>
              </w:rPr>
              <w:t>价格得分＝（评标基准价/投标报价）×价格权重×100。</w:t>
            </w:r>
          </w:p>
        </w:tc>
        <w:tc>
          <w:tcPr>
            <w:tcW w:w="656" w:type="dxa"/>
            <w:tcBorders>
              <w:top w:val="single" w:color="auto" w:sz="4" w:space="0"/>
              <w:left w:val="single" w:color="auto" w:sz="4" w:space="0"/>
              <w:bottom w:val="single" w:color="auto" w:sz="4" w:space="0"/>
              <w:right w:val="single" w:color="auto" w:sz="4" w:space="0"/>
            </w:tcBorders>
            <w:noWrap/>
          </w:tcPr>
          <w:p w14:paraId="337DC9FC">
            <w:pPr>
              <w:ind w:firstLine="210" w:firstLineChars="100"/>
              <w:rPr>
                <w:rFonts w:ascii="Times New Roman" w:hAnsi="Times New Roman" w:eastAsia="宋体" w:cs="Times New Roman"/>
                <w:color w:val="auto"/>
                <w:highlight w:val="none"/>
              </w:rPr>
            </w:pPr>
          </w:p>
        </w:tc>
      </w:tr>
    </w:tbl>
    <w:p w14:paraId="42AC1349">
      <w:pPr>
        <w:spacing w:line="440" w:lineRule="exact"/>
        <w:rPr>
          <w:rFonts w:ascii="Times New Roman" w:hAnsi="Times New Roman" w:eastAsia="黑体" w:cs="Times New Roman"/>
          <w:color w:val="auto"/>
          <w:sz w:val="30"/>
          <w:highlight w:val="none"/>
        </w:rPr>
      </w:pPr>
    </w:p>
    <w:p w14:paraId="4C90074E">
      <w:pPr>
        <w:spacing w:line="360" w:lineRule="auto"/>
        <w:ind w:right="-341"/>
        <w:jc w:val="left"/>
        <w:rPr>
          <w:rFonts w:hint="eastAsia"/>
          <w:color w:val="auto"/>
          <w:highlight w:val="none"/>
        </w:rPr>
      </w:pPr>
    </w:p>
    <w:p w14:paraId="20A528FA">
      <w:pPr>
        <w:spacing w:line="360" w:lineRule="auto"/>
        <w:ind w:right="-341"/>
        <w:jc w:val="left"/>
        <w:rPr>
          <w:rFonts w:ascii="Times New Roman" w:hAnsi="Times New Roman" w:eastAsia="黑体" w:cs="Times New Roman"/>
          <w:color w:val="auto"/>
          <w:sz w:val="30"/>
          <w:highlight w:val="none"/>
        </w:rPr>
      </w:pPr>
    </w:p>
    <w:p w14:paraId="242DD730">
      <w:pPr>
        <w:spacing w:line="360" w:lineRule="auto"/>
        <w:ind w:right="-341"/>
        <w:jc w:val="left"/>
        <w:rPr>
          <w:rFonts w:ascii="Times New Roman" w:hAnsi="Times New Roman" w:eastAsia="黑体" w:cs="Times New Roman"/>
          <w:color w:val="auto"/>
          <w:sz w:val="30"/>
          <w:highlight w:val="none"/>
        </w:rPr>
      </w:pPr>
    </w:p>
    <w:p w14:paraId="7AEA7F84">
      <w:pPr>
        <w:spacing w:line="360" w:lineRule="auto"/>
        <w:ind w:right="-341"/>
        <w:jc w:val="left"/>
        <w:rPr>
          <w:rFonts w:ascii="Times New Roman" w:hAnsi="Times New Roman" w:eastAsia="黑体" w:cs="Times New Roman"/>
          <w:color w:val="auto"/>
          <w:sz w:val="30"/>
          <w:highlight w:val="none"/>
        </w:rPr>
      </w:pPr>
    </w:p>
    <w:p w14:paraId="7DC90AD9">
      <w:pPr>
        <w:spacing w:line="360" w:lineRule="auto"/>
        <w:ind w:right="-341"/>
        <w:jc w:val="left"/>
        <w:rPr>
          <w:rFonts w:ascii="Times New Roman" w:hAnsi="Times New Roman" w:eastAsia="黑体" w:cs="Times New Roman"/>
          <w:color w:val="auto"/>
          <w:sz w:val="30"/>
          <w:highlight w:val="none"/>
        </w:rPr>
      </w:pPr>
    </w:p>
    <w:p w14:paraId="23CAA79B">
      <w:pPr>
        <w:spacing w:line="360" w:lineRule="auto"/>
        <w:ind w:right="-341"/>
        <w:jc w:val="left"/>
        <w:rPr>
          <w:rFonts w:ascii="Times New Roman" w:hAnsi="Times New Roman" w:eastAsia="黑体" w:cs="Times New Roman"/>
          <w:color w:val="auto"/>
          <w:sz w:val="30"/>
          <w:highlight w:val="none"/>
        </w:rPr>
      </w:pPr>
    </w:p>
    <w:p w14:paraId="720231BC">
      <w:pPr>
        <w:spacing w:line="360" w:lineRule="auto"/>
        <w:ind w:right="-341"/>
        <w:jc w:val="left"/>
        <w:rPr>
          <w:rFonts w:ascii="Times New Roman" w:hAnsi="Times New Roman" w:eastAsia="黑体" w:cs="Times New Roman"/>
          <w:color w:val="auto"/>
          <w:sz w:val="30"/>
          <w:highlight w:val="none"/>
        </w:rPr>
      </w:pPr>
    </w:p>
    <w:p w14:paraId="5C45B107">
      <w:pPr>
        <w:spacing w:line="360" w:lineRule="auto"/>
        <w:ind w:right="-341"/>
        <w:jc w:val="left"/>
        <w:rPr>
          <w:rFonts w:ascii="Times New Roman" w:hAnsi="Times New Roman" w:eastAsia="黑体" w:cs="Times New Roman"/>
          <w:color w:val="auto"/>
          <w:sz w:val="30"/>
          <w:highlight w:val="none"/>
        </w:rPr>
      </w:pPr>
    </w:p>
    <w:p w14:paraId="4816D48B">
      <w:pPr>
        <w:spacing w:line="360" w:lineRule="auto"/>
        <w:ind w:right="-341"/>
        <w:jc w:val="left"/>
        <w:rPr>
          <w:rFonts w:ascii="Times New Roman" w:hAnsi="Times New Roman" w:eastAsia="黑体" w:cs="Times New Roman"/>
          <w:color w:val="auto"/>
          <w:sz w:val="30"/>
          <w:highlight w:val="none"/>
        </w:rPr>
      </w:pPr>
    </w:p>
    <w:p w14:paraId="7529E996">
      <w:pPr>
        <w:spacing w:line="360" w:lineRule="auto"/>
        <w:ind w:right="-341"/>
        <w:jc w:val="left"/>
        <w:rPr>
          <w:rFonts w:ascii="Times New Roman" w:hAnsi="Times New Roman" w:eastAsia="黑体" w:cs="Times New Roman"/>
          <w:color w:val="auto"/>
          <w:sz w:val="30"/>
          <w:highlight w:val="none"/>
        </w:rPr>
      </w:pPr>
    </w:p>
    <w:p w14:paraId="6D27FE83">
      <w:pPr>
        <w:spacing w:line="360" w:lineRule="auto"/>
        <w:ind w:right="-341"/>
        <w:jc w:val="left"/>
        <w:rPr>
          <w:rFonts w:ascii="Times New Roman" w:hAnsi="Times New Roman" w:eastAsia="黑体" w:cs="Times New Roman"/>
          <w:color w:val="auto"/>
          <w:sz w:val="30"/>
          <w:highlight w:val="none"/>
        </w:rPr>
      </w:pPr>
    </w:p>
    <w:p w14:paraId="091A1146">
      <w:pPr>
        <w:spacing w:line="360" w:lineRule="auto"/>
        <w:ind w:right="-341"/>
        <w:jc w:val="left"/>
        <w:rPr>
          <w:rFonts w:ascii="Times New Roman" w:hAnsi="Times New Roman" w:eastAsia="黑体" w:cs="Times New Roman"/>
          <w:color w:val="auto"/>
          <w:sz w:val="30"/>
          <w:highlight w:val="none"/>
        </w:rPr>
      </w:pPr>
    </w:p>
    <w:p w14:paraId="248D8681">
      <w:pPr>
        <w:spacing w:line="360" w:lineRule="auto"/>
        <w:ind w:right="-341"/>
        <w:jc w:val="left"/>
        <w:rPr>
          <w:rFonts w:ascii="Times New Roman" w:hAnsi="Times New Roman" w:eastAsia="黑体" w:cs="Times New Roman"/>
          <w:color w:val="auto"/>
          <w:sz w:val="30"/>
          <w:highlight w:val="none"/>
        </w:rPr>
      </w:pPr>
    </w:p>
    <w:p w14:paraId="2A3E2F0E">
      <w:pPr>
        <w:spacing w:line="360" w:lineRule="auto"/>
        <w:ind w:right="-341"/>
        <w:jc w:val="left"/>
        <w:rPr>
          <w:rFonts w:ascii="Times New Roman" w:hAnsi="Times New Roman" w:eastAsia="黑体" w:cs="Times New Roman"/>
          <w:color w:val="auto"/>
          <w:sz w:val="30"/>
          <w:highlight w:val="none"/>
        </w:rPr>
      </w:pPr>
    </w:p>
    <w:p w14:paraId="7D6DBA9B">
      <w:pPr>
        <w:spacing w:line="360" w:lineRule="auto"/>
        <w:ind w:right="-341" w:firstLine="3300" w:firstLineChars="1100"/>
        <w:jc w:val="left"/>
        <w:rPr>
          <w:rFonts w:ascii="Times New Roman" w:hAnsi="Times New Roman" w:eastAsia="黑体" w:cs="Times New Roman"/>
          <w:color w:val="auto"/>
          <w:sz w:val="30"/>
          <w:highlight w:val="none"/>
        </w:rPr>
      </w:pPr>
      <w:r>
        <w:rPr>
          <w:rFonts w:hint="eastAsia" w:ascii="Times New Roman" w:hAnsi="Times New Roman" w:eastAsia="黑体" w:cs="Times New Roman"/>
          <w:color w:val="auto"/>
          <w:sz w:val="30"/>
          <w:highlight w:val="none"/>
        </w:rPr>
        <w:t>第五章  合同主要条款</w:t>
      </w:r>
      <w:bookmarkEnd w:id="0"/>
    </w:p>
    <w:p w14:paraId="0D9D0944">
      <w:pPr>
        <w:pStyle w:val="82"/>
        <w:rPr>
          <w:rFonts w:hint="eastAsia"/>
          <w:color w:val="auto"/>
          <w:highlight w:val="none"/>
        </w:rPr>
      </w:pPr>
    </w:p>
    <w:p w14:paraId="5B48EBB1">
      <w:pPr>
        <w:snapToGrid w:val="0"/>
        <w:jc w:val="center"/>
        <w:textAlignment w:val="baseline"/>
        <w:rPr>
          <w:rFonts w:hint="eastAsia"/>
          <w:b/>
          <w:color w:val="auto"/>
          <w:sz w:val="28"/>
          <w:highlight w:val="none"/>
        </w:rPr>
      </w:pPr>
      <w:r>
        <w:rPr>
          <w:rFonts w:hint="eastAsia"/>
          <w:b/>
          <w:color w:val="auto"/>
          <w:sz w:val="28"/>
          <w:highlight w:val="none"/>
        </w:rPr>
        <w:t>采购合同</w:t>
      </w:r>
      <w:r>
        <w:rPr>
          <w:b/>
          <w:color w:val="auto"/>
          <w:sz w:val="28"/>
          <w:highlight w:val="none"/>
        </w:rPr>
        <w:t>(</w:t>
      </w:r>
      <w:r>
        <w:rPr>
          <w:rFonts w:hint="eastAsia"/>
          <w:b/>
          <w:color w:val="auto"/>
          <w:sz w:val="28"/>
          <w:highlight w:val="none"/>
        </w:rPr>
        <w:t>仅供参考</w:t>
      </w:r>
      <w:r>
        <w:rPr>
          <w:b/>
          <w:color w:val="auto"/>
          <w:sz w:val="28"/>
          <w:highlight w:val="none"/>
        </w:rPr>
        <w:t>)</w:t>
      </w:r>
    </w:p>
    <w:p w14:paraId="0B1650C7">
      <w:pPr>
        <w:spacing w:line="288" w:lineRule="auto"/>
        <w:rPr>
          <w:rFonts w:hint="eastAsia" w:ascii="宋体" w:hAnsi="宋体"/>
          <w:color w:val="auto"/>
          <w:highlight w:val="none"/>
        </w:rPr>
      </w:pPr>
    </w:p>
    <w:p w14:paraId="14812CBF">
      <w:pPr>
        <w:spacing w:line="288" w:lineRule="auto"/>
        <w:jc w:val="center"/>
        <w:rPr>
          <w:rFonts w:hint="eastAsia" w:ascii="宋体" w:hAnsi="宋体" w:eastAsia="宋体" w:cs="宋体"/>
          <w:b/>
          <w:color w:val="auto"/>
          <w:szCs w:val="21"/>
          <w:highlight w:val="none"/>
        </w:rPr>
      </w:pPr>
      <w:r>
        <w:rPr>
          <w:rFonts w:hint="eastAsia" w:ascii="Times New Roman" w:hAnsi="Times New Roman" w:eastAsia="宋体" w:cs="Times New Roman"/>
          <w:b/>
          <w:color w:val="auto"/>
          <w:szCs w:val="21"/>
          <w:highlight w:val="none"/>
        </w:rPr>
        <w:t>新城千岛路以东、勾山及小干岛区域环境卫生及环卫设施设备保洁管理项目</w:t>
      </w:r>
      <w:r>
        <w:rPr>
          <w:rFonts w:hint="eastAsia" w:ascii="宋体" w:hAnsi="宋体" w:eastAsia="宋体" w:cs="宋体"/>
          <w:b/>
          <w:color w:val="auto"/>
          <w:szCs w:val="21"/>
          <w:highlight w:val="none"/>
        </w:rPr>
        <w:t>合同（范本）</w:t>
      </w:r>
    </w:p>
    <w:p w14:paraId="70D3D599">
      <w:pPr>
        <w:spacing w:before="156" w:after="156" w:line="360" w:lineRule="auto"/>
        <w:ind w:left="420" w:leftChars="200" w:right="150" w:firstLine="474"/>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招标文件、中标人的投标文件及其澄清文件等，均为合同的组成部分。</w:t>
      </w:r>
    </w:p>
    <w:p w14:paraId="0266B948">
      <w:pPr>
        <w:spacing w:line="50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甲方：舟山市新城公用事业管理中心          （以下简称甲方）</w:t>
      </w:r>
    </w:p>
    <w:p w14:paraId="2DB6BBC6">
      <w:pPr>
        <w:spacing w:line="50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乙方：                                    （以下简称乙方）</w:t>
      </w:r>
    </w:p>
    <w:p w14:paraId="3BC5E59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为加强新城城区环境卫生管理，创造整洁、优美、文明的生活、工作环境，保障城乡居民身体健康，创建和保持全国文明城市，根据《浙江省城市市容和环境卫生管理条例》规定和全国文明城市对环境卫生的要求，结合新城城区实际，经甲、乙双方协商，甲方委托乙方代管，订立如下合同：</w:t>
      </w:r>
    </w:p>
    <w:p w14:paraId="20D17B11">
      <w:pPr>
        <w:spacing w:line="360" w:lineRule="auto"/>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第一章、承包范围</w:t>
      </w:r>
    </w:p>
    <w:p w14:paraId="2A5C511D">
      <w:pPr>
        <w:spacing w:line="360" w:lineRule="auto"/>
        <w:rPr>
          <w:rFonts w:hint="eastAsia" w:ascii="宋体" w:hAnsi="宋体" w:eastAsia="宋体" w:cs="Times New Roman"/>
          <w:b/>
          <w:color w:val="auto"/>
          <w:szCs w:val="21"/>
          <w:highlight w:val="none"/>
        </w:rPr>
      </w:pPr>
      <w:bookmarkStart w:id="8" w:name="_Hlk183015385"/>
      <w:r>
        <w:rPr>
          <w:rFonts w:hint="eastAsia" w:ascii="宋体" w:hAnsi="宋体" w:eastAsia="宋体" w:cs="Times New Roman"/>
          <w:b/>
          <w:color w:val="auto"/>
          <w:szCs w:val="21"/>
          <w:highlight w:val="none"/>
        </w:rPr>
        <w:t>第一条  项目内容及要求</w:t>
      </w:r>
    </w:p>
    <w:bookmarkEnd w:id="8"/>
    <w:p w14:paraId="51774BCC">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1.道路保洁</w:t>
      </w:r>
    </w:p>
    <w:p w14:paraId="3FC83BA5">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保洁面积：约    万平方米</w:t>
      </w:r>
      <w:bookmarkStart w:id="9" w:name="_Hlk183015308"/>
      <w:r>
        <w:rPr>
          <w:rFonts w:hint="eastAsia" w:ascii="宋体" w:hAnsi="宋体" w:eastAsia="宋体" w:cs="宋体"/>
          <w:color w:val="auto"/>
          <w:szCs w:val="21"/>
          <w:highlight w:val="none"/>
        </w:rPr>
        <w:t>（明细详见附件）</w:t>
      </w:r>
      <w:bookmarkEnd w:id="9"/>
      <w:r>
        <w:rPr>
          <w:rFonts w:hint="eastAsia" w:ascii="宋体" w:hAnsi="宋体" w:eastAsia="宋体" w:cs="宋体"/>
          <w:color w:val="auto"/>
          <w:szCs w:val="21"/>
          <w:highlight w:val="none"/>
        </w:rPr>
        <w:t>。</w:t>
      </w:r>
    </w:p>
    <w:p w14:paraId="63EC17EA">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2.绿化带保洁</w:t>
      </w:r>
    </w:p>
    <w:p w14:paraId="29DEBF8A">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保洁面积：约     万平方米（明细详见附件）。</w:t>
      </w:r>
    </w:p>
    <w:p w14:paraId="66CAB561">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3.果壳箱保洁、垃圾桶清洗清运</w:t>
      </w:r>
    </w:p>
    <w:p w14:paraId="62F444CA">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保洁数量：果壳箱约815只，垃圾桶约 121只，垃圾袋一天一换（数量如有出入，以实际为准）。</w:t>
      </w:r>
    </w:p>
    <w:p w14:paraId="0AED1B31">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4.多把扫把并一把和沿街店铺垃圾收运</w:t>
      </w:r>
    </w:p>
    <w:p w14:paraId="5274B9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沿街店铺门口人行道保洁面积：约     万平方米（明细详见附件）。</w:t>
      </w:r>
    </w:p>
    <w:p w14:paraId="3B254473">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清运街区数量：22条。</w:t>
      </w:r>
    </w:p>
    <w:p w14:paraId="7EF3E116">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5.生活垃圾收运</w:t>
      </w:r>
    </w:p>
    <w:p w14:paraId="715BB1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其他垃圾收运：</w:t>
      </w:r>
    </w:p>
    <w:p w14:paraId="4516FD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对保洁区块内的部分开放式小区和城中村（浦西新村、浦西1-5号楼、勾山1-5号楼、颐景1-2号楼、百嘉苑、三益花苑）产生的其他垃圾进行收运，一日三次，垃圾日产日清。</w:t>
      </w:r>
    </w:p>
    <w:p w14:paraId="43B6E1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餐厨垃圾（泔水）收运：</w:t>
      </w:r>
    </w:p>
    <w:p w14:paraId="11352B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对千岛路以东区域（包括小干岛、勾山）所有产生餐厨垃圾（泔水）的单位进行收运，采购人提供2辆餐厨垃圾车，垃圾（泔水）收运费用向服务单位收取，收取费用按照舟发改价格〔2023〕14 号文件规定：厨余垃圾清运处置费按桶(120升)收取为10元/桶，不足1桶按1桶收取。</w:t>
      </w:r>
    </w:p>
    <w:p w14:paraId="6153BA32">
      <w:pPr>
        <w:pStyle w:val="2"/>
        <w:spacing w:after="0"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6.栏杆清洗</w:t>
      </w:r>
    </w:p>
    <w:p w14:paraId="4802887A">
      <w:pPr>
        <w:pStyle w:val="3"/>
        <w:spacing w:after="0" w:line="360" w:lineRule="auto"/>
        <w:ind w:firstLineChars="200"/>
        <w:rPr>
          <w:rFonts w:hint="eastAsia" w:ascii="宋体" w:hAnsi="宋体" w:cs="宋体"/>
          <w:color w:val="auto"/>
          <w:kern w:val="2"/>
          <w:szCs w:val="21"/>
          <w:highlight w:val="none"/>
        </w:rPr>
      </w:pPr>
      <w:r>
        <w:rPr>
          <w:rFonts w:hint="eastAsia" w:ascii="宋体" w:hAnsi="宋体" w:cs="宋体"/>
          <w:color w:val="auto"/>
          <w:kern w:val="2"/>
          <w:szCs w:val="21"/>
          <w:highlight w:val="none"/>
        </w:rPr>
        <w:t>栏杆长度：31548米（</w:t>
      </w:r>
      <w:r>
        <w:rPr>
          <w:rFonts w:hint="eastAsia" w:ascii="宋体" w:hAnsi="宋体" w:cs="宋体"/>
          <w:color w:val="auto"/>
          <w:szCs w:val="21"/>
          <w:highlight w:val="none"/>
        </w:rPr>
        <w:t>明细详见附件</w:t>
      </w:r>
      <w:r>
        <w:rPr>
          <w:rFonts w:hint="eastAsia" w:ascii="宋体" w:hAnsi="宋体" w:cs="宋体"/>
          <w:color w:val="auto"/>
          <w:kern w:val="2"/>
          <w:szCs w:val="21"/>
          <w:highlight w:val="none"/>
        </w:rPr>
        <w:t>）</w:t>
      </w:r>
    </w:p>
    <w:p w14:paraId="1D99CC33">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7.小干岛公共厕所</w:t>
      </w:r>
    </w:p>
    <w:p w14:paraId="66FAA403">
      <w:pPr>
        <w:pStyle w:val="3"/>
        <w:ind w:firstLine="211"/>
        <w:jc w:val="center"/>
        <w:rPr>
          <w:rFonts w:hint="eastAsia" w:ascii="宋体" w:hAnsi="宋体" w:cs="宋体"/>
          <w:b/>
          <w:bCs/>
          <w:color w:val="auto"/>
          <w:szCs w:val="21"/>
          <w:highlight w:val="none"/>
        </w:rPr>
      </w:pPr>
      <w:r>
        <w:rPr>
          <w:rFonts w:hint="eastAsia" w:ascii="宋体" w:hAnsi="宋体" w:cs="宋体"/>
          <w:b/>
          <w:bCs/>
          <w:color w:val="auto"/>
          <w:szCs w:val="21"/>
          <w:highlight w:val="none"/>
        </w:rPr>
        <w:t>公厕工作范围、保洁时间及保洁人员配置要求：</w:t>
      </w:r>
    </w:p>
    <w:tbl>
      <w:tblPr>
        <w:tblStyle w:val="61"/>
        <w:tblW w:w="9197" w:type="dxa"/>
        <w:jc w:val="center"/>
        <w:tblLayout w:type="fixed"/>
        <w:tblCellMar>
          <w:top w:w="0" w:type="dxa"/>
          <w:left w:w="108" w:type="dxa"/>
          <w:bottom w:w="0" w:type="dxa"/>
          <w:right w:w="108" w:type="dxa"/>
        </w:tblCellMar>
      </w:tblPr>
      <w:tblGrid>
        <w:gridCol w:w="640"/>
        <w:gridCol w:w="1650"/>
        <w:gridCol w:w="2030"/>
        <w:gridCol w:w="1791"/>
        <w:gridCol w:w="1275"/>
        <w:gridCol w:w="986"/>
        <w:gridCol w:w="825"/>
      </w:tblGrid>
      <w:tr w14:paraId="6484EC25">
        <w:tblPrEx>
          <w:tblCellMar>
            <w:top w:w="0" w:type="dxa"/>
            <w:left w:w="108" w:type="dxa"/>
            <w:bottom w:w="0" w:type="dxa"/>
            <w:right w:w="108" w:type="dxa"/>
          </w:tblCellMar>
        </w:tblPrEx>
        <w:trPr>
          <w:cantSplit/>
          <w:trHeight w:val="312" w:hRule="atLeast"/>
          <w:jc w:val="center"/>
        </w:trPr>
        <w:tc>
          <w:tcPr>
            <w:tcW w:w="640" w:type="dxa"/>
            <w:vMerge w:val="restart"/>
            <w:tcBorders>
              <w:top w:val="single" w:color="auto" w:sz="4" w:space="0"/>
              <w:left w:val="single" w:color="auto" w:sz="4" w:space="0"/>
              <w:bottom w:val="single" w:color="auto" w:sz="4" w:space="0"/>
              <w:right w:val="single" w:color="auto" w:sz="4" w:space="0"/>
            </w:tcBorders>
            <w:noWrap/>
            <w:vAlign w:val="center"/>
          </w:tcPr>
          <w:p w14:paraId="3248D52D">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650" w:type="dxa"/>
            <w:vMerge w:val="restart"/>
            <w:tcBorders>
              <w:top w:val="single" w:color="auto" w:sz="4" w:space="0"/>
              <w:left w:val="single" w:color="auto" w:sz="4" w:space="0"/>
              <w:bottom w:val="single" w:color="auto" w:sz="4" w:space="0"/>
              <w:right w:val="single" w:color="auto" w:sz="4" w:space="0"/>
            </w:tcBorders>
            <w:vAlign w:val="center"/>
          </w:tcPr>
          <w:p w14:paraId="35F557D5">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公厕名称</w:t>
            </w:r>
          </w:p>
        </w:tc>
        <w:tc>
          <w:tcPr>
            <w:tcW w:w="2030" w:type="dxa"/>
            <w:vMerge w:val="restart"/>
            <w:tcBorders>
              <w:top w:val="single" w:color="auto" w:sz="4" w:space="0"/>
              <w:left w:val="single" w:color="auto" w:sz="4" w:space="0"/>
              <w:bottom w:val="single" w:color="auto" w:sz="4" w:space="0"/>
              <w:right w:val="single" w:color="auto" w:sz="4" w:space="0"/>
            </w:tcBorders>
            <w:noWrap/>
            <w:vAlign w:val="center"/>
          </w:tcPr>
          <w:p w14:paraId="2F81CE6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公厕地址</w:t>
            </w:r>
          </w:p>
        </w:tc>
        <w:tc>
          <w:tcPr>
            <w:tcW w:w="1791" w:type="dxa"/>
            <w:vMerge w:val="restart"/>
            <w:tcBorders>
              <w:top w:val="single" w:color="auto" w:sz="4" w:space="0"/>
              <w:left w:val="single" w:color="auto" w:sz="4" w:space="0"/>
              <w:bottom w:val="single" w:color="000000" w:sz="4" w:space="0"/>
              <w:right w:val="single" w:color="auto" w:sz="4" w:space="0"/>
            </w:tcBorders>
            <w:vAlign w:val="center"/>
          </w:tcPr>
          <w:p w14:paraId="357BDD64">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保洁时间</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14:paraId="4D19418A">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人员配置</w:t>
            </w:r>
          </w:p>
        </w:tc>
        <w:tc>
          <w:tcPr>
            <w:tcW w:w="986" w:type="dxa"/>
            <w:vMerge w:val="restart"/>
            <w:tcBorders>
              <w:top w:val="single" w:color="auto" w:sz="4" w:space="0"/>
              <w:left w:val="single" w:color="auto" w:sz="4" w:space="0"/>
              <w:bottom w:val="single" w:color="auto" w:sz="4" w:space="0"/>
              <w:right w:val="single" w:color="auto" w:sz="4" w:space="0"/>
            </w:tcBorders>
            <w:vAlign w:val="center"/>
          </w:tcPr>
          <w:p w14:paraId="47F2BEAE">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类别</w:t>
            </w:r>
          </w:p>
        </w:tc>
        <w:tc>
          <w:tcPr>
            <w:tcW w:w="825" w:type="dxa"/>
            <w:vMerge w:val="restart"/>
            <w:tcBorders>
              <w:top w:val="single" w:color="auto" w:sz="4" w:space="0"/>
              <w:left w:val="single" w:color="auto" w:sz="4" w:space="0"/>
              <w:bottom w:val="single" w:color="000000" w:sz="4" w:space="0"/>
              <w:right w:val="single" w:color="auto" w:sz="4" w:space="0"/>
            </w:tcBorders>
            <w:vAlign w:val="center"/>
          </w:tcPr>
          <w:p w14:paraId="736D770B">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11A626B0">
        <w:tblPrEx>
          <w:tblCellMar>
            <w:top w:w="0" w:type="dxa"/>
            <w:left w:w="108" w:type="dxa"/>
            <w:bottom w:w="0" w:type="dxa"/>
            <w:right w:w="108" w:type="dxa"/>
          </w:tblCellMar>
        </w:tblPrEx>
        <w:trPr>
          <w:trHeight w:val="312" w:hRule="atLeast"/>
          <w:jc w:val="center"/>
        </w:trPr>
        <w:tc>
          <w:tcPr>
            <w:tcW w:w="640" w:type="dxa"/>
            <w:vMerge w:val="continue"/>
            <w:tcBorders>
              <w:top w:val="single" w:color="auto" w:sz="4" w:space="0"/>
              <w:left w:val="single" w:color="auto" w:sz="4" w:space="0"/>
              <w:bottom w:val="single" w:color="auto" w:sz="4" w:space="0"/>
              <w:right w:val="single" w:color="auto" w:sz="4" w:space="0"/>
            </w:tcBorders>
            <w:vAlign w:val="center"/>
          </w:tcPr>
          <w:p w14:paraId="191CD209">
            <w:pPr>
              <w:widowControl/>
              <w:jc w:val="left"/>
              <w:rPr>
                <w:rFonts w:hint="eastAsia" w:ascii="宋体" w:hAnsi="宋体" w:eastAsia="宋体" w:cs="宋体"/>
                <w:color w:val="auto"/>
                <w:kern w:val="0"/>
                <w:szCs w:val="21"/>
                <w:highlight w:val="none"/>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14:paraId="6E443A5B">
            <w:pPr>
              <w:widowControl/>
              <w:jc w:val="left"/>
              <w:rPr>
                <w:rFonts w:hint="eastAsia" w:ascii="宋体" w:hAnsi="宋体" w:eastAsia="宋体" w:cs="宋体"/>
                <w:color w:val="auto"/>
                <w:kern w:val="0"/>
                <w:szCs w:val="21"/>
                <w:highlight w:val="none"/>
              </w:rPr>
            </w:pPr>
          </w:p>
        </w:tc>
        <w:tc>
          <w:tcPr>
            <w:tcW w:w="2030" w:type="dxa"/>
            <w:vMerge w:val="continue"/>
            <w:tcBorders>
              <w:top w:val="single" w:color="auto" w:sz="4" w:space="0"/>
              <w:left w:val="single" w:color="auto" w:sz="4" w:space="0"/>
              <w:bottom w:val="single" w:color="auto" w:sz="4" w:space="0"/>
              <w:right w:val="single" w:color="auto" w:sz="4" w:space="0"/>
            </w:tcBorders>
            <w:vAlign w:val="center"/>
          </w:tcPr>
          <w:p w14:paraId="0F5FEE38">
            <w:pPr>
              <w:widowControl/>
              <w:jc w:val="left"/>
              <w:rPr>
                <w:rFonts w:hint="eastAsia" w:ascii="宋体" w:hAnsi="宋体" w:eastAsia="宋体" w:cs="宋体"/>
                <w:color w:val="auto"/>
                <w:kern w:val="0"/>
                <w:szCs w:val="21"/>
                <w:highlight w:val="none"/>
              </w:rPr>
            </w:pPr>
          </w:p>
        </w:tc>
        <w:tc>
          <w:tcPr>
            <w:tcW w:w="1791" w:type="dxa"/>
            <w:vMerge w:val="continue"/>
            <w:tcBorders>
              <w:top w:val="single" w:color="auto" w:sz="4" w:space="0"/>
              <w:left w:val="single" w:color="auto" w:sz="4" w:space="0"/>
              <w:bottom w:val="single" w:color="000000" w:sz="4" w:space="0"/>
              <w:right w:val="single" w:color="auto" w:sz="4" w:space="0"/>
            </w:tcBorders>
            <w:vAlign w:val="center"/>
          </w:tcPr>
          <w:p w14:paraId="28E0A398">
            <w:pPr>
              <w:widowControl/>
              <w:jc w:val="left"/>
              <w:rPr>
                <w:rFonts w:hint="eastAsia" w:ascii="宋体" w:hAnsi="宋体" w:eastAsia="宋体" w:cs="宋体"/>
                <w:color w:val="auto"/>
                <w:kern w:val="0"/>
                <w:szCs w:val="21"/>
                <w:highlight w:val="none"/>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11D46375">
            <w:pPr>
              <w:widowControl/>
              <w:jc w:val="left"/>
              <w:rPr>
                <w:rFonts w:hint="eastAsia" w:ascii="宋体" w:hAnsi="宋体" w:eastAsia="宋体" w:cs="宋体"/>
                <w:color w:val="auto"/>
                <w:kern w:val="0"/>
                <w:szCs w:val="21"/>
                <w:highlight w:val="none"/>
              </w:rPr>
            </w:pPr>
          </w:p>
        </w:tc>
        <w:tc>
          <w:tcPr>
            <w:tcW w:w="986" w:type="dxa"/>
            <w:vMerge w:val="continue"/>
            <w:tcBorders>
              <w:top w:val="single" w:color="auto" w:sz="4" w:space="0"/>
              <w:left w:val="single" w:color="auto" w:sz="4" w:space="0"/>
              <w:bottom w:val="single" w:color="auto" w:sz="4" w:space="0"/>
              <w:right w:val="single" w:color="auto" w:sz="4" w:space="0"/>
            </w:tcBorders>
            <w:vAlign w:val="center"/>
          </w:tcPr>
          <w:p w14:paraId="1B9706C1">
            <w:pPr>
              <w:widowControl/>
              <w:jc w:val="left"/>
              <w:rPr>
                <w:rFonts w:hint="eastAsia" w:ascii="宋体" w:hAnsi="宋体" w:eastAsia="宋体" w:cs="宋体"/>
                <w:color w:val="auto"/>
                <w:kern w:val="0"/>
                <w:szCs w:val="21"/>
                <w:highlight w:val="none"/>
              </w:rPr>
            </w:pPr>
          </w:p>
        </w:tc>
        <w:tc>
          <w:tcPr>
            <w:tcW w:w="825" w:type="dxa"/>
            <w:vMerge w:val="continue"/>
            <w:tcBorders>
              <w:top w:val="single" w:color="auto" w:sz="4" w:space="0"/>
              <w:left w:val="single" w:color="auto" w:sz="4" w:space="0"/>
              <w:bottom w:val="single" w:color="000000" w:sz="4" w:space="0"/>
              <w:right w:val="single" w:color="auto" w:sz="4" w:space="0"/>
            </w:tcBorders>
            <w:vAlign w:val="center"/>
          </w:tcPr>
          <w:p w14:paraId="063874EC">
            <w:pPr>
              <w:widowControl/>
              <w:jc w:val="left"/>
              <w:rPr>
                <w:rFonts w:hint="eastAsia" w:ascii="宋体" w:hAnsi="宋体" w:eastAsia="宋体" w:cs="宋体"/>
                <w:color w:val="auto"/>
                <w:kern w:val="0"/>
                <w:szCs w:val="21"/>
                <w:highlight w:val="none"/>
              </w:rPr>
            </w:pPr>
          </w:p>
        </w:tc>
      </w:tr>
      <w:tr w14:paraId="04D64D2E">
        <w:tblPrEx>
          <w:tblCellMar>
            <w:top w:w="0" w:type="dxa"/>
            <w:left w:w="108" w:type="dxa"/>
            <w:bottom w:w="0" w:type="dxa"/>
            <w:right w:w="108" w:type="dxa"/>
          </w:tblCellMar>
        </w:tblPrEx>
        <w:trPr>
          <w:trHeight w:val="287" w:hRule="atLeast"/>
          <w:jc w:val="center"/>
        </w:trPr>
        <w:tc>
          <w:tcPr>
            <w:tcW w:w="640" w:type="dxa"/>
            <w:tcBorders>
              <w:top w:val="nil"/>
              <w:left w:val="single" w:color="auto" w:sz="4" w:space="0"/>
              <w:bottom w:val="single" w:color="auto" w:sz="4" w:space="0"/>
              <w:right w:val="single" w:color="auto" w:sz="4" w:space="0"/>
            </w:tcBorders>
            <w:noWrap/>
            <w:vAlign w:val="center"/>
          </w:tcPr>
          <w:p w14:paraId="21BA2073">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650" w:type="dxa"/>
            <w:tcBorders>
              <w:top w:val="nil"/>
              <w:left w:val="nil"/>
              <w:bottom w:val="single" w:color="auto" w:sz="4" w:space="0"/>
              <w:right w:val="single" w:color="auto" w:sz="4" w:space="0"/>
            </w:tcBorders>
            <w:vAlign w:val="center"/>
          </w:tcPr>
          <w:p w14:paraId="3E98840F">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环岛南路公厕</w:t>
            </w:r>
          </w:p>
        </w:tc>
        <w:tc>
          <w:tcPr>
            <w:tcW w:w="2030" w:type="dxa"/>
            <w:tcBorders>
              <w:top w:val="nil"/>
              <w:left w:val="nil"/>
              <w:bottom w:val="single" w:color="auto" w:sz="4" w:space="0"/>
              <w:right w:val="single" w:color="auto" w:sz="4" w:space="0"/>
            </w:tcBorders>
            <w:noWrap/>
            <w:vAlign w:val="center"/>
          </w:tcPr>
          <w:p w14:paraId="54593642">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小干岛</w:t>
            </w:r>
          </w:p>
        </w:tc>
        <w:tc>
          <w:tcPr>
            <w:tcW w:w="1791" w:type="dxa"/>
            <w:tcBorders>
              <w:top w:val="nil"/>
              <w:left w:val="nil"/>
              <w:bottom w:val="single" w:color="auto" w:sz="4" w:space="0"/>
              <w:right w:val="single" w:color="auto" w:sz="4" w:space="0"/>
            </w:tcBorders>
            <w:noWrap/>
            <w:vAlign w:val="center"/>
          </w:tcPr>
          <w:p w14:paraId="61B951CD">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均为12小时</w:t>
            </w:r>
          </w:p>
        </w:tc>
        <w:tc>
          <w:tcPr>
            <w:tcW w:w="1275" w:type="dxa"/>
            <w:tcBorders>
              <w:top w:val="nil"/>
              <w:left w:val="nil"/>
              <w:bottom w:val="single" w:color="auto" w:sz="4" w:space="0"/>
              <w:right w:val="single" w:color="auto" w:sz="4" w:space="0"/>
            </w:tcBorders>
            <w:noWrap/>
            <w:vAlign w:val="center"/>
          </w:tcPr>
          <w:p w14:paraId="4125073B">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5人</w:t>
            </w:r>
          </w:p>
        </w:tc>
        <w:tc>
          <w:tcPr>
            <w:tcW w:w="986" w:type="dxa"/>
            <w:tcBorders>
              <w:top w:val="nil"/>
              <w:left w:val="nil"/>
              <w:bottom w:val="single" w:color="auto" w:sz="4" w:space="0"/>
              <w:right w:val="single" w:color="auto" w:sz="4" w:space="0"/>
            </w:tcBorders>
            <w:noWrap/>
            <w:vAlign w:val="center"/>
          </w:tcPr>
          <w:p w14:paraId="43D04C8D">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二类</w:t>
            </w:r>
          </w:p>
        </w:tc>
        <w:tc>
          <w:tcPr>
            <w:tcW w:w="825" w:type="dxa"/>
            <w:tcBorders>
              <w:top w:val="nil"/>
              <w:left w:val="nil"/>
              <w:bottom w:val="single" w:color="auto" w:sz="4" w:space="0"/>
              <w:right w:val="single" w:color="auto" w:sz="4" w:space="0"/>
            </w:tcBorders>
            <w:noWrap/>
            <w:vAlign w:val="center"/>
          </w:tcPr>
          <w:p w14:paraId="23F47887">
            <w:pPr>
              <w:widowControl/>
              <w:jc w:val="center"/>
              <w:rPr>
                <w:rFonts w:hint="eastAsia" w:ascii="宋体" w:hAnsi="宋体" w:eastAsia="宋体" w:cs="宋体"/>
                <w:color w:val="auto"/>
                <w:kern w:val="0"/>
                <w:szCs w:val="21"/>
                <w:highlight w:val="none"/>
              </w:rPr>
            </w:pPr>
          </w:p>
        </w:tc>
      </w:tr>
      <w:tr w14:paraId="660A6242">
        <w:tblPrEx>
          <w:tblCellMar>
            <w:top w:w="0" w:type="dxa"/>
            <w:left w:w="108" w:type="dxa"/>
            <w:bottom w:w="0" w:type="dxa"/>
            <w:right w:w="108" w:type="dxa"/>
          </w:tblCellMar>
        </w:tblPrEx>
        <w:trPr>
          <w:trHeight w:val="134"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14:paraId="7D16CFB7">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650" w:type="dxa"/>
            <w:tcBorders>
              <w:top w:val="single" w:color="auto" w:sz="4" w:space="0"/>
              <w:left w:val="single" w:color="auto" w:sz="4" w:space="0"/>
              <w:bottom w:val="single" w:color="auto" w:sz="4" w:space="0"/>
              <w:right w:val="single" w:color="auto" w:sz="4" w:space="0"/>
            </w:tcBorders>
            <w:vAlign w:val="center"/>
          </w:tcPr>
          <w:p w14:paraId="58F390B0">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公厕数据</w:t>
            </w:r>
          </w:p>
        </w:tc>
        <w:tc>
          <w:tcPr>
            <w:tcW w:w="6907" w:type="dxa"/>
            <w:gridSpan w:val="5"/>
            <w:tcBorders>
              <w:top w:val="single" w:color="auto" w:sz="4" w:space="0"/>
              <w:left w:val="single" w:color="auto" w:sz="4" w:space="0"/>
              <w:bottom w:val="single" w:color="auto" w:sz="4" w:space="0"/>
              <w:right w:val="single" w:color="auto" w:sz="4" w:space="0"/>
            </w:tcBorders>
            <w:noWrap/>
            <w:vAlign w:val="center"/>
          </w:tcPr>
          <w:p w14:paraId="2C3DD346">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1.管理用房：10.83平方米；男厕：9.63平方米（蹲坑1个，马桶1个，小便池2个）；女厕：12.43平方米（蹲坑3个，马桶1个）；第三人群卫生间：6.93平方米（马桶2个，小便池1个）；淋浴房：7平方米</w:t>
            </w:r>
          </w:p>
          <w:p w14:paraId="56325E3A">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2.管理用房：3.51平方米；男厕：14.07平方米（蹲坑1个，马桶1个，小便池4个）；女厕：16.70平方米（蹲坑4个，马桶1个）；第三人群卫生间：7.56平方米（马桶2个，小便池1个）</w:t>
            </w:r>
          </w:p>
          <w:p w14:paraId="04D83C98">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3.管理用房：3.51平方米；男厕：14.07平方米（蹲坑1个，马桶1个，小便池4个）；女厕：16.70平方米（蹲坑4个，马桶1个）；第三人群卫生间：7.56平方米（马桶2个，小便池1个）</w:t>
            </w:r>
          </w:p>
        </w:tc>
      </w:tr>
    </w:tbl>
    <w:p w14:paraId="65C0F03F">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8.应急保洁</w:t>
      </w:r>
    </w:p>
    <w:p w14:paraId="09A44F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⑴24小时应急联动响应；</w:t>
      </w:r>
    </w:p>
    <w:p w14:paraId="7CF530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⑵自然灾害如台风等的及时清理；</w:t>
      </w:r>
    </w:p>
    <w:p w14:paraId="41C27FDF">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⑶无主垃圾、偷倒垃圾和清理和其他需要应急保洁的工作</w:t>
      </w:r>
      <w:r>
        <w:rPr>
          <w:rFonts w:hint="eastAsia" w:ascii="宋体" w:hAnsi="宋体" w:eastAsia="宋体" w:cs="宋体"/>
          <w:color w:val="auto"/>
          <w:szCs w:val="21"/>
          <w:highlight w:val="none"/>
          <w:lang w:eastAsia="zh-CN"/>
        </w:rPr>
        <w:t>；</w:t>
      </w:r>
    </w:p>
    <w:p w14:paraId="7F2D0F02">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⑷各种重大活动（包括国家、省、市大检查、评比）及重大节假日的重点保洁</w:t>
      </w:r>
      <w:r>
        <w:rPr>
          <w:rFonts w:hint="eastAsia" w:ascii="宋体" w:hAnsi="宋体" w:eastAsia="宋体" w:cs="宋体"/>
          <w:color w:val="auto"/>
          <w:szCs w:val="21"/>
          <w:highlight w:val="none"/>
          <w:lang w:eastAsia="zh-CN"/>
        </w:rPr>
        <w:t>。</w:t>
      </w:r>
    </w:p>
    <w:p w14:paraId="2BCA9D09">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9.人员配置：  </w:t>
      </w:r>
    </w:p>
    <w:p w14:paraId="01FF1CBE">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合同签订后1个月内提供人员意外保险清单。 </w:t>
      </w:r>
    </w:p>
    <w:p w14:paraId="7F629FAD">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10.车辆配置： </w:t>
      </w:r>
    </w:p>
    <w:p w14:paraId="77FE8963">
      <w:pPr>
        <w:spacing w:line="360" w:lineRule="auto"/>
        <w:jc w:val="center"/>
        <w:rPr>
          <w:rFonts w:hint="eastAsia" w:ascii="宋体" w:hAnsi="宋体" w:eastAsia="宋体" w:cs="Times New Roman"/>
          <w:b/>
          <w:bCs/>
          <w:color w:val="auto"/>
          <w:szCs w:val="21"/>
          <w:highlight w:val="none"/>
        </w:rPr>
      </w:pPr>
    </w:p>
    <w:p w14:paraId="67D4E71F">
      <w:pPr>
        <w:spacing w:line="360" w:lineRule="auto"/>
        <w:jc w:val="center"/>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第二章、承包作业服务要求</w:t>
      </w:r>
    </w:p>
    <w:p w14:paraId="4022CF5F">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第二条 作业内容：</w:t>
      </w:r>
    </w:p>
    <w:p w14:paraId="1630D23F">
      <w:pPr>
        <w:pStyle w:val="2"/>
        <w:spacing w:after="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（1）项目内主次干道，背街小巷，村民房前屋后（如有），开放式公园，广场（已有保洁责任主体的除外），游步道，沿街店铺、地下通道、天桥的清扫保洁，以及甲方指定的新增道路等。</w:t>
      </w:r>
    </w:p>
    <w:p w14:paraId="5C78BD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（2）项目范围内道路洒水作业、机扫作业与人行道的清洗作业；</w:t>
      </w:r>
    </w:p>
    <w:p w14:paraId="6A3C87ED">
      <w:pPr>
        <w:pStyle w:val="2"/>
        <w:spacing w:after="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（3）绿地（包括游步道和打开围墙区域）、绿化带、空旷地白色垃圾、动物粪便、烟蒂等废弃物的清理保洁；</w:t>
      </w:r>
    </w:p>
    <w:p w14:paraId="41B89D50">
      <w:pPr>
        <w:pStyle w:val="2"/>
        <w:spacing w:after="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（4）项目范围内果壳箱、分类垃圾桶，现有二分类点、四分类亭及垃圾房等环卫设施的清运、日常保洁、消杀、清洗和维护；</w:t>
      </w:r>
    </w:p>
    <w:p w14:paraId="216C171E">
      <w:pPr>
        <w:pStyle w:val="2"/>
        <w:spacing w:after="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（5）项目范围内“牛皮癣”（小广告、涂鸦）的清理、清洗；</w:t>
      </w:r>
    </w:p>
    <w:p w14:paraId="6CDF5601">
      <w:pPr>
        <w:pStyle w:val="3"/>
        <w:spacing w:after="0" w:line="360" w:lineRule="auto"/>
        <w:ind w:firstLineChars="200"/>
        <w:rPr>
          <w:rFonts w:hint="eastAsia" w:ascii="宋体" w:hAnsi="宋体" w:cs="宋体"/>
          <w:color w:val="auto"/>
          <w:kern w:val="2"/>
          <w:szCs w:val="21"/>
          <w:highlight w:val="none"/>
        </w:rPr>
      </w:pPr>
      <w:r>
        <w:rPr>
          <w:rFonts w:hint="eastAsia" w:ascii="宋体" w:hAnsi="宋体" w:cs="宋体"/>
          <w:color w:val="auto"/>
          <w:kern w:val="2"/>
          <w:szCs w:val="21"/>
          <w:highlight w:val="none"/>
        </w:rPr>
        <w:t>（6）小干岛3座公厕的管理与运维；</w:t>
      </w:r>
    </w:p>
    <w:p w14:paraId="0581822D">
      <w:pPr>
        <w:pStyle w:val="3"/>
        <w:spacing w:after="0" w:line="360" w:lineRule="auto"/>
        <w:ind w:firstLineChars="200"/>
        <w:rPr>
          <w:rFonts w:hint="eastAsia" w:ascii="宋体" w:hAnsi="宋体" w:cs="宋体"/>
          <w:color w:val="auto"/>
          <w:kern w:val="2"/>
          <w:szCs w:val="21"/>
          <w:highlight w:val="none"/>
        </w:rPr>
      </w:pPr>
      <w:r>
        <w:rPr>
          <w:rFonts w:hint="eastAsia" w:ascii="宋体" w:hAnsi="宋体" w:cs="宋体"/>
          <w:color w:val="auto"/>
          <w:kern w:val="2"/>
          <w:szCs w:val="21"/>
          <w:highlight w:val="none"/>
        </w:rPr>
        <w:t>（7）爱国卫生、文明城市、城乡人居环境整治、智慧城管指令、交警应急联动、信访等相关清扫保洁工作。</w:t>
      </w:r>
    </w:p>
    <w:p w14:paraId="3FB682EA">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第三条 作业时间要求：</w:t>
      </w:r>
    </w:p>
    <w:p w14:paraId="10A1C8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年原则上实行365天清扫保洁作业，以机扫保洁为主，人工保洁为辅。适合机扫的路段应实行机扫，提高路面清洁度，每天不少于1次机扫，必要时增加清扫次数，每天每台班累计作业时间不应少于6小时。不适合机扫的路段安排人工作业，主要路段、重要节点应安排巡回保洁，保洁作业时间按照路段人流量不同需求分为12-16小时不等，其它区域清扫保洁作业时间不得少于8小时。夜间应配备值班人员和应急突击小队，若遇恶劣天气除外。</w:t>
      </w:r>
    </w:p>
    <w:p w14:paraId="46E4D9E4">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第四条 道路、绿化带保洁作业要求：</w:t>
      </w:r>
    </w:p>
    <w:p w14:paraId="2C264B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（1）作业质量标准应达到《城市环境卫生质量标准》、《浙江省城市道路清扫保洁质量标准》、《舟山市环境卫生管理工作考核办法》及采购人规定的相关质量标准及全国文明城市创建实地考察标准。</w:t>
      </w:r>
    </w:p>
    <w:p w14:paraId="412B17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路面见本色，保洁区域内做到“五无五净”，“五无”既无果皮纸屑、无土石杂草、无积水积泥、无痰迹烟蒂小广告、无堆积物；“五净”既路面干净、道路绿地树圈干净、边角侧石干净、窨井沟眼畅通干净、果壳箱等环卫设施、设备整齐干净。清扫出的垃圾现堆现收，不漏扫不漏收，车行道、人行道不得漏扫或反扫到交叉路口、里弄口内侧、喇叭口；也不得扫入窨井和绿化带内。</w:t>
      </w:r>
    </w:p>
    <w:p w14:paraId="0F894C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路面每1000平方米废弃物控制指标：果皮≤4－6个（片），纸屑塑膜≤4－6片，烟蒂≤4－8只，痰迹≤4－8处，污水≤0－0.5平方米，其它≤0－2处，垃圾滞留时间≤20－25分钟（每类废弃物的前项数据为一级路面控制指标，后项数据为二级路面控制指标）。</w:t>
      </w:r>
    </w:p>
    <w:p w14:paraId="2F9E42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（4）道路粉尘控制在25克/ m2以下。</w:t>
      </w:r>
    </w:p>
    <w:p w14:paraId="01377B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道路路面应定时清洗和洒水，清洗时间一般应在晚上或清晨，每周不应少于一次，其中主要路段辅以多功能洗扫作业，提高路面的清洁度与减轻扬尘污染；气温在30℃以上时，每天洒水不应少于3次，平常不应少于2次，气温低于3℃时应停止清洗和洒水。</w:t>
      </w:r>
    </w:p>
    <w:p w14:paraId="6DA832BB">
      <w:pPr>
        <w:pStyle w:val="2"/>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（6）保洁路段如遇无法机扫的障碍物和污渍应安排应急小队及时处置。</w:t>
      </w:r>
    </w:p>
    <w:p w14:paraId="167C4B21">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第五条 生活垃圾分类收集、运输作业要求：</w:t>
      </w:r>
    </w:p>
    <w:p w14:paraId="7A0D0F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区域内实施生活垃圾分类作业，执行《浙江省生活垃圾管理条例》、《浙江省城镇生活垃圾分类标准》等规定，按标准设置垃圾分类投放容器，设立分类垃圾收集点，引导城乡居民、沿街商户、企事业单位等进行分类投放，建立分类收集、分类运输机制，做到项目区域内产生的垃圾“日产日清”，严禁随意倾倒和焚烧垃圾。</w:t>
      </w:r>
    </w:p>
    <w:p w14:paraId="43D0A9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由乙方对生活垃圾实施分类收集（收运）到指定的6个垃圾中转站，易腐垃圾分类运输至团鸡山垃圾焚烧厂等环卫终端设施处置；对大件垃圾、无主垃圾等废弃物，由乙方收运至辖区的分拣中心，分类堆放。</w:t>
      </w:r>
    </w:p>
    <w:p w14:paraId="0133BE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收运车辆要做到每天清洗，保持车容整洁，安装分类标识、反光警示条，不得吊挂杂物，做到密闭化运输，严禁抛洒滴漏。</w:t>
      </w:r>
    </w:p>
    <w:p w14:paraId="7D29DFD2">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第六条 公共厕所保洁管理要求：</w:t>
      </w:r>
    </w:p>
    <w:p w14:paraId="53E14E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（1）未经环卫部门批准，不准擅自关闭、停用公共厕所。</w:t>
      </w:r>
    </w:p>
    <w:p w14:paraId="19906E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（2）公共厕所管理规章制度信息牌健全，并上墙。</w:t>
      </w:r>
    </w:p>
    <w:p w14:paraId="696C9A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（3）公共厕所配备的照明灯、洗手用具、镜子、冲水设备等应完好，无积灰、污物，如有损坏，及时上报维修。</w:t>
      </w:r>
    </w:p>
    <w:p w14:paraId="3398E5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（4）公共厕所外墙及外环境应整洁，无乱涂乱画，无乱堆杂物，公厕四周5米范围内，应无垃圾、粪便、污水等污物。</w:t>
      </w:r>
    </w:p>
    <w:p w14:paraId="60FFBA9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（5）公共厕所内墙面、天花板、门窗和隔离板应无剥落、积灰、污迹、蛛网，乱涂乱画；地面整洁，无积水；便池和管道无破损，如有损坏，及时上报维修。</w:t>
      </w:r>
    </w:p>
    <w:p w14:paraId="27544B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（6）小便池内应无水锈、尿垢、垃圾，基本无臭，沟眼、管道保持畅通。</w:t>
      </w:r>
    </w:p>
    <w:p w14:paraId="56E428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（7）公共厕所无明显臭味，蹲位整洁。</w:t>
      </w:r>
    </w:p>
    <w:p w14:paraId="7BB79A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（8）蝇蚊孳生季节，定时喷洒灭蝇药物，有效控制蝇蛆孳生的。</w:t>
      </w:r>
    </w:p>
    <w:p w14:paraId="28B3F434">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第七条 安全生产要求：</w:t>
      </w:r>
    </w:p>
    <w:p w14:paraId="3FFF59C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乙方应建立健全安全生产管理制度和落实安全生产责任人。作业人员、作业车辆应严格遵守交通规则，作业车辆应集中规范停放。若出现安全生产、意外事故等情况，明确由乙方负责协调解决，并承担全部责任与经济赔偿。</w:t>
      </w:r>
    </w:p>
    <w:p w14:paraId="08B3164B">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第八条 文明作业要求：</w:t>
      </w:r>
    </w:p>
    <w:p w14:paraId="34CD64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乙方要加强环卫工人文明作业宣传教育，环卫工人需着装规范，荧光条无剥落，作业时无吸烟、闲聊等现象，遵守交通秩序，不得横穿马路，作业车辆礼让斑马线。</w:t>
      </w:r>
    </w:p>
    <w:p w14:paraId="365C019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车辆作业需注意滴洒抛漏，降低噪音，减少对周边群众的影响。洒水车要根据气象情况，避免3℃以下洒水作业，作业时要注意周边行人，防止喷溅。</w:t>
      </w:r>
    </w:p>
    <w:p w14:paraId="1F874A46">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第九条 管理机构要求：</w:t>
      </w:r>
    </w:p>
    <w:p w14:paraId="73FD089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必须建立清扫保洁管理机构，分解管理责任目标；建立应对遭遇恶劣天气环境卫生作业的应急机制；建立健全各项保洁管理的规章制度，明确各路段及作业点位作业人员分工情况表；健全巡查、考核制度，有巡查日志；各项台帐资料齐全、确实可信，并按月提交甲方所需的台账资料（月度小计、清扫保洁记录、垃圾清运记录、应急突击记录、巡查日志记录、车辆维修保养记录等）。</w:t>
      </w:r>
    </w:p>
    <w:p w14:paraId="4F401572">
      <w:pPr>
        <w:pStyle w:val="2"/>
        <w:spacing w:after="0"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第十条 人员、设备投入要求：</w:t>
      </w:r>
    </w:p>
    <w:p w14:paraId="68D43FF4">
      <w:pPr>
        <w:pStyle w:val="2"/>
        <w:spacing w:after="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针对本项目需求，要求配置足够的扫把、铁锹、电动（人力）保洁车，包括（但不限于）拟配置的其它作业设备、机具、工具、易耗材料等物资；配置完整的办公场所、办公设备、停车场；配置规范的从业人员服装、劳动防护等物资。</w:t>
      </w:r>
    </w:p>
    <w:p w14:paraId="268DE54C">
      <w:pPr>
        <w:pStyle w:val="2"/>
        <w:spacing w:after="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（2）投标人须按要求投入作业人员，作业人员应经环境卫生专业培训后方可上岗作业。</w:t>
      </w:r>
    </w:p>
    <w:p w14:paraId="4C1E22C9">
      <w:pPr>
        <w:pStyle w:val="2"/>
        <w:spacing w:after="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为保证城市环卫作业机械化水平，乙方必须按照投标方案配置必须的车辆、设备及器具，机械化操作人员必须持有相应的证书方可上岗作业。投标人承诺配置的新能源车辆，必须是投标人自有且车龄不超过3年（指车辆购置首次上牌注册时间为2021年1月1日之后车况良好的车辆）或承诺中标后购买的新车辆，车辆性能满足本项目环境卫生作业要求。</w:t>
      </w:r>
    </w:p>
    <w:p w14:paraId="14A77003">
      <w:pPr>
        <w:pStyle w:val="2"/>
        <w:spacing w:after="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乙方承诺投入的各类环卫车辆、设备及器具等装备，要求在合同签订后向甲方报备环卫从业人员、车辆、设备、器具等具体信息，并接收投标人的验收审核。如无法在甲方指定进场时间一个月内配齐，并投入持续运行，每缺一项按中标单价费用的120%扣除当月项目承包费，次月起仍未整改到位的项目合同终止并追究乙方的责任，赔偿由此造成的经济损失。</w:t>
      </w:r>
    </w:p>
    <w:p w14:paraId="504E160E">
      <w:pPr>
        <w:pStyle w:val="2"/>
        <w:spacing w:after="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乙方需将车辆接入环卫主管部门提供的智慧城管平台确保项目专用清扫保洁作业及垃圾运输等车辆的定位、超速的预警、跨区域作业预警、作业视频监控查询功能系统等正常使用，以便甲方随时检查车辆位置及工作情况。</w:t>
      </w:r>
    </w:p>
    <w:p w14:paraId="0A4759F7">
      <w:pPr>
        <w:pStyle w:val="2"/>
        <w:spacing w:after="0"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第十一条 其他要求</w:t>
      </w:r>
    </w:p>
    <w:p w14:paraId="4DEAA508">
      <w:pPr>
        <w:pStyle w:val="2"/>
        <w:spacing w:after="0" w:line="360" w:lineRule="auto"/>
        <w:ind w:firstLine="465"/>
        <w:rPr>
          <w:rFonts w:hint="eastAsia" w:ascii="宋体" w:hAnsi="宋体" w:cs="宋体"/>
          <w:b/>
          <w:bCs/>
          <w:color w:val="auto"/>
          <w:szCs w:val="21"/>
          <w:highlight w:val="none"/>
        </w:rPr>
      </w:pPr>
      <w:r>
        <w:rPr>
          <w:rFonts w:hint="eastAsia" w:ascii="宋体" w:hAnsi="宋体" w:cs="宋体"/>
          <w:color w:val="auto"/>
          <w:szCs w:val="21"/>
          <w:highlight w:val="none"/>
        </w:rPr>
        <w:t>（1）为提升作业队伍形象，保证作业质量，保洁人员应着甲方要求的服装，甲方每两年配发一次服装，交接过渡期环卫工人服装双方协商解决，其他需要更换的情况，由乙方补足。</w:t>
      </w:r>
    </w:p>
    <w:p w14:paraId="506AE5D3">
      <w:pPr>
        <w:pStyle w:val="2"/>
        <w:spacing w:after="0" w:line="360" w:lineRule="auto"/>
        <w:ind w:firstLine="465"/>
        <w:rPr>
          <w:rFonts w:hint="eastAsia" w:ascii="宋体" w:hAnsi="宋体" w:cs="宋体"/>
          <w:color w:val="auto"/>
          <w:szCs w:val="21"/>
          <w:highlight w:val="none"/>
        </w:rPr>
      </w:pPr>
      <w:r>
        <w:rPr>
          <w:rFonts w:hint="eastAsia" w:ascii="宋体" w:hAnsi="宋体" w:cs="宋体"/>
          <w:color w:val="auto"/>
          <w:szCs w:val="21"/>
          <w:highlight w:val="none"/>
        </w:rPr>
        <w:t>（2）乙方应优先录用项目内原有保洁人员，配合采购人做好原有保洁人员的安置、过渡及遗留问题。根据《浙江省人民政府办公厅关于进一步改善环卫工人工作生活条件促进环卫事业持续健康发展的若干意见》，确保环卫工人月工资收入不低于当地最低工资标准的110%，岗位津贴标准提高到每人每出勤日10元，每月按26日计算，按规定发放夏季清凉饮料费和福利，并按照甲方要求为环卫工人购买意外保险。</w:t>
      </w:r>
    </w:p>
    <w:p w14:paraId="2CDD38C9">
      <w:pPr>
        <w:pStyle w:val="2"/>
        <w:spacing w:after="0" w:line="360" w:lineRule="auto"/>
        <w:ind w:firstLine="465"/>
        <w:rPr>
          <w:rFonts w:hint="eastAsia" w:ascii="宋体" w:hAnsi="宋体" w:cs="宋体"/>
          <w:color w:val="auto"/>
          <w:szCs w:val="21"/>
          <w:highlight w:val="none"/>
        </w:rPr>
      </w:pPr>
      <w:r>
        <w:rPr>
          <w:rFonts w:hint="eastAsia" w:ascii="宋体" w:hAnsi="宋体" w:cs="宋体"/>
          <w:color w:val="auto"/>
          <w:szCs w:val="21"/>
          <w:highlight w:val="none"/>
        </w:rPr>
        <w:t>（3）甲方如有超出本项目委托范围之外的内容，如新移交区域的保洁、新增需要清运垃圾的单位或其他临时保洁清运任务，乙方需无条件接受，保洁费由甲方根据分类作业标准及商务报价中单价予以追加，以工作签证单形式计入当月承包费。</w:t>
      </w:r>
    </w:p>
    <w:p w14:paraId="599963E2">
      <w:pPr>
        <w:pStyle w:val="2"/>
        <w:spacing w:after="0" w:line="360" w:lineRule="auto"/>
        <w:ind w:firstLine="465"/>
        <w:rPr>
          <w:rFonts w:hint="eastAsia" w:ascii="宋体" w:hAnsi="宋体" w:cs="宋体"/>
          <w:color w:val="auto"/>
          <w:szCs w:val="21"/>
          <w:highlight w:val="none"/>
        </w:rPr>
      </w:pPr>
      <w:r>
        <w:rPr>
          <w:rFonts w:hint="eastAsia" w:ascii="宋体" w:hAnsi="宋体" w:cs="宋体"/>
          <w:color w:val="auto"/>
          <w:szCs w:val="21"/>
          <w:highlight w:val="none"/>
        </w:rPr>
        <w:t>（4）现有的车辆如无法满足项目运行，双方协商增加车辆，运行费用按同类型车辆运营费的投标报价计算。</w:t>
      </w:r>
    </w:p>
    <w:p w14:paraId="05F2EA97">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（5）道路保洁中，如有道路因改造等原因不需要保洁，减少面积的费用以工作签证单形式，按照中标综合单价按月扣除。</w:t>
      </w:r>
    </w:p>
    <w:p w14:paraId="286433A5">
      <w:pPr>
        <w:spacing w:line="360" w:lineRule="auto"/>
        <w:ind w:firstLine="527" w:firstLineChars="250"/>
        <w:rPr>
          <w:rFonts w:hint="eastAsia" w:ascii="宋体" w:hAnsi="宋体" w:eastAsia="宋体" w:cs="宋体"/>
          <w:b/>
          <w:bCs/>
          <w:color w:val="auto"/>
          <w:szCs w:val="21"/>
          <w:highlight w:val="none"/>
        </w:rPr>
      </w:pPr>
    </w:p>
    <w:p w14:paraId="51E7A1B7">
      <w:pPr>
        <w:spacing w:line="360" w:lineRule="auto"/>
        <w:ind w:left="-144" w:leftChars="-229" w:hanging="337" w:hangingChars="16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第三章  服务承包期限</w:t>
      </w:r>
    </w:p>
    <w:p w14:paraId="70982B2F">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 xml:space="preserve">第十二条 </w:t>
      </w:r>
      <w:r>
        <w:rPr>
          <w:rFonts w:hint="eastAsia" w:ascii="宋体" w:hAnsi="宋体" w:eastAsia="宋体" w:cs="宋体"/>
          <w:color w:val="auto"/>
          <w:szCs w:val="21"/>
          <w:highlight w:val="none"/>
        </w:rPr>
        <w:t>本项目服务期限为2025年1月1日至2025年12月31日，若合同到期，服务质量好，在政策允许的情况下，可以续签，续签时间一年，最多续签二次，小干岛三座公厕保洁预计在2026年6月30日后撤出本项目，续签合同时，扣除相应报价。续签期间如测绘面积有改动，按原实际测绘面积进行调整。如合同期间，服务不到位，甲方可中止合同，重新招 标。另如遇政策调整需要，甲方有权提前取消合作协议，乙方需无条件配合。</w:t>
      </w:r>
    </w:p>
    <w:p w14:paraId="2E977866">
      <w:pPr>
        <w:spacing w:line="360" w:lineRule="auto"/>
        <w:ind w:left="-144" w:leftChars="-229" w:hanging="337" w:hangingChars="16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第四章  承包经费</w:t>
      </w:r>
    </w:p>
    <w:p w14:paraId="06E0F3E7">
      <w:pPr>
        <w:tabs>
          <w:tab w:val="left" w:pos="0"/>
        </w:tabs>
        <w:spacing w:line="360" w:lineRule="auto"/>
        <w:ind w:firstLine="422" w:firstLineChars="200"/>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第十三条</w:t>
      </w:r>
      <w:r>
        <w:rPr>
          <w:rFonts w:hint="eastAsia" w:ascii="宋体" w:hAnsi="宋体" w:eastAsia="宋体" w:cs="宋体"/>
          <w:color w:val="auto"/>
          <w:szCs w:val="21"/>
          <w:highlight w:val="none"/>
        </w:rPr>
        <w:t>本合同总承包金额为        元（大写：     元整）。承包总金额内容包括员工工资、劳保、社保、医保、风险金、福利奖金、税费、人身意外保险及各种补贴，各种日常突击性劳动及日常加班费，各种材料费、燃料费，各种工具、设备维修费及行政管理费等，以及合理利润（不含超出本合同范围之外的内容）。</w:t>
      </w:r>
    </w:p>
    <w:p w14:paraId="7EB9C755">
      <w:pPr>
        <w:spacing w:line="360" w:lineRule="auto"/>
        <w:ind w:firstLine="482"/>
        <w:rPr>
          <w:rFonts w:hint="eastAsia" w:ascii="宋体" w:hAnsi="宋体"/>
          <w:color w:val="auto"/>
          <w:szCs w:val="21"/>
          <w:highlight w:val="none"/>
        </w:rPr>
      </w:pPr>
      <w:r>
        <w:rPr>
          <w:rFonts w:hint="eastAsia" w:ascii="宋体" w:hAnsi="宋体" w:eastAsia="宋体" w:cs="宋体"/>
          <w:color w:val="auto"/>
          <w:szCs w:val="21"/>
          <w:highlight w:val="none"/>
        </w:rPr>
        <w:t>经费支付方式：合同生效以及具备实施条件后，根据考核结果和当月的工作签证单，按月支付承包费。</w:t>
      </w:r>
    </w:p>
    <w:p w14:paraId="29FBC2EA">
      <w:pPr>
        <w:spacing w:line="360" w:lineRule="auto"/>
        <w:ind w:left="-144" w:leftChars="-229" w:hanging="337" w:hangingChars="16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第五章  双方权利义务</w:t>
      </w:r>
    </w:p>
    <w:p w14:paraId="2F72A165">
      <w:pPr>
        <w:spacing w:line="360" w:lineRule="auto"/>
        <w:ind w:firstLine="48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 xml:space="preserve">第十四条 </w:t>
      </w:r>
      <w:r>
        <w:rPr>
          <w:rFonts w:hint="eastAsia" w:ascii="宋体" w:hAnsi="宋体" w:eastAsia="宋体" w:cs="宋体"/>
          <w:color w:val="auto"/>
          <w:szCs w:val="21"/>
          <w:highlight w:val="none"/>
        </w:rPr>
        <w:t xml:space="preserve">甲方权利义务 </w:t>
      </w:r>
    </w:p>
    <w:p w14:paraId="14148C1C">
      <w:pPr>
        <w:spacing w:line="360" w:lineRule="auto"/>
        <w:ind w:left="120" w:leftChars="57"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1.在承包期内，甲方必须在承包款支付时间内，将乙方的实额应发承包款汇到乙方指定的银行（遇法定公休节假日顺延）。</w:t>
      </w:r>
    </w:p>
    <w:p w14:paraId="3C035FCC">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甲方及其上级环卫行政主管部门和环卫专业管理部门有权组织对乙方作业质量、文明、安全作业情况进行的定期检查考评，有权查阅、复制承包项目的有关文件和资料以及进入现场开展检查，但不得干扰乙方的正常作业。甲方应将每月检查考评情况以书面形式通知乙方。</w:t>
      </w:r>
    </w:p>
    <w:p w14:paraId="2A209166">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因乙方经营管理不善，发生重大质量或发生生产安全事故，或乙方擅自停业歇业，严重影响社会公共利益，或乙方作业过程造成重大环境污染，或其他重大、紧急可能危急公共安全行为的，环境卫生行政主管部门可以决定由甲方或指派他人临时接管乙方的承包项目。乙方必须赔偿因自己的责任所造成的经济损失。事故处理后是否恢复履行合同另议。</w:t>
      </w:r>
    </w:p>
    <w:p w14:paraId="4B6C85AE">
      <w:pPr>
        <w:spacing w:line="360" w:lineRule="auto"/>
        <w:ind w:firstLine="48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pacing w:val="-6"/>
          <w:szCs w:val="21"/>
          <w:highlight w:val="none"/>
        </w:rPr>
        <w:t>甲方有权协同劳动监察部门对乙方用工情况进行检查，有权要求乙方按招标要求保障作业人员的福利待遇。甲方不承担任何由于乙方未办理员工劳动关系由此而产生的纠纷等责任。</w:t>
      </w:r>
    </w:p>
    <w:p w14:paraId="4F67957D">
      <w:pPr>
        <w:spacing w:line="360" w:lineRule="auto"/>
        <w:ind w:firstLine="420" w:firstLineChars="200"/>
        <w:rPr>
          <w:rFonts w:hint="eastAsia" w:ascii="宋体" w:hAnsi="宋体" w:eastAsia="宋体" w:cs="宋体"/>
          <w:color w:val="auto"/>
          <w:spacing w:val="-5"/>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pacing w:val="-5"/>
          <w:szCs w:val="21"/>
          <w:highlight w:val="none"/>
        </w:rPr>
        <w:t>甲方提供给乙方的车辆、设备、工具，应由甲方进行全面检查维修维护，保证车辆、设备、工具交付给乙方时的完好，确保正常使用。</w:t>
      </w:r>
    </w:p>
    <w:p w14:paraId="700F09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6.遇重大活动或检查突击任务需要时，甲方应及时通知乙方做好重点保洁保障工作。</w:t>
      </w:r>
    </w:p>
    <w:p w14:paraId="52BC05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7.甲方应积极协助乙方解决在承包期内出现的相关问题。</w:t>
      </w:r>
    </w:p>
    <w:p w14:paraId="7F845E52">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 xml:space="preserve">第十五条 </w:t>
      </w:r>
      <w:r>
        <w:rPr>
          <w:rFonts w:hint="eastAsia" w:ascii="宋体" w:hAnsi="宋体" w:eastAsia="宋体" w:cs="宋体"/>
          <w:color w:val="auto"/>
          <w:szCs w:val="21"/>
          <w:highlight w:val="none"/>
        </w:rPr>
        <w:t>乙方权利义务</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 xml:space="preserve">    1.在承包期内，乙方有权在承包款支付时间内，开具发票向甲方领取实额应发承包费。</w:t>
      </w:r>
    </w:p>
    <w:p w14:paraId="6D2863F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2.乙方必须依照本合同规定的作业形式、作业质量标准及行业有关作业规范、作业质量标准，按时、保质、保量完成所承包作业项目范围、承包事项的工作。</w:t>
      </w:r>
    </w:p>
    <w:p w14:paraId="757E28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3.乙方上岗员工由乙方自行负责招聘、管理、解雇，乙方雇用的员工应严格遵守国家的法律、法规、村规民约，如果乙方及其所雇用的工人违反法律、法规和相关规定，所造成的后果由其自行负责，与甲方无关。</w:t>
      </w:r>
    </w:p>
    <w:p w14:paraId="5CC698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必须根据国家、省、地方和本市环卫行政主管部门、环卫专业管理部门颁布的各项环卫作业规范、安全规范、质量标准，建立自身的运营管理机制和质量检查机制、实行自查自纠，并定期向甲方通报执行合同情况；若出现严重的质量问题或安全事故，在采取措施补救的同时，当日应向甲方报告；若出现紧急事故，应在1小时内报告环卫行政主管部门。</w:t>
      </w:r>
    </w:p>
    <w:p w14:paraId="50D2D5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乙方必须按国家的劳动法律法规规定与企业员工确立合法的劳资关系，签定用工劳务合同，为员工办理养老、医疗等基本社会保险，并为作业人员办理有关工伤人身意外保险手续。若员工发生事故，必须按有关规定处理，一切经济损失和各项费用由乙方自理。</w:t>
      </w:r>
    </w:p>
    <w:p w14:paraId="66109AE2">
      <w:pPr>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6.乙方有义务参加甲方通知的相关作业会议，通报作业情况，完善作业措施，提高作业水平。</w:t>
      </w:r>
    </w:p>
    <w:p w14:paraId="013B454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乙方必须自觉接受甲方及其各级环卫行政主管部门和环卫专业管理部门及劳动监察部门的管理、监督和检查，根据需要提供相关的检查文件和资料，以及作必要的解释和说明，乙方不得阻扰检查人员的检查工作。如遇突发事件或重大活动的突击任务，乙方须无条件服从甲方的安排。若不服从安排，甲方可将其作为不良记录上报环卫作业资信等级审查机构和服务许可审批机构，一年中如不服从安排达三次以上的，甲方将有权解除合同。</w:t>
      </w:r>
    </w:p>
    <w:p w14:paraId="545F0B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8.乙方必须对员工进行道德教育和工作培训。教育职工严格遵守国家法律法规及环卫作业操作规程。作业人员应经环卫专业培训后方可上岗作业。</w:t>
      </w:r>
    </w:p>
    <w:p w14:paraId="5B6E05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9.乙方应不断提高企业管理水平和作业能力，提高运营管理实力。</w:t>
      </w:r>
    </w:p>
    <w:p w14:paraId="3172F25E">
      <w:pPr>
        <w:spacing w:line="360" w:lineRule="auto"/>
        <w:ind w:firstLine="382" w:firstLineChars="182"/>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10.承包期满后，在同等条件下，在乙方无不良作业记录的情况下，乙方有相应的优先权。</w:t>
      </w:r>
    </w:p>
    <w:p w14:paraId="6ADA08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11.乙方有权对甲方人员在检查考评乙方作业质量过程中的违规行为向甲方行政主管部门举报。</w:t>
      </w:r>
    </w:p>
    <w:p w14:paraId="4C2F73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12.未经甲方同意，乙方不得擅自将所承包的合同转变给他人，或肢解分包给他人。</w:t>
      </w:r>
    </w:p>
    <w:p w14:paraId="564A0D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13.甲方提供的保洁工具、车辆、代管理的设施设备等，乙方应在合同期满后退还给甲方，如整体损坏或遗失的，必须照价赔偿。</w:t>
      </w:r>
    </w:p>
    <w:p w14:paraId="241737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14.乙方职工上岗作业时，必须遵守交通规则，安全规范停放车辆，作业时如发生安全等意外事故，由乙方负责处理，在事故处理过程中甲方予以协助。</w:t>
      </w:r>
    </w:p>
    <w:p w14:paraId="0B953026">
      <w:pPr>
        <w:spacing w:line="360" w:lineRule="auto"/>
        <w:ind w:left="-144" w:leftChars="-229" w:hanging="337" w:hangingChars="160"/>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第六章  质量考评</w:t>
      </w:r>
    </w:p>
    <w:p w14:paraId="27F5ADE6">
      <w:pPr>
        <w:spacing w:line="360" w:lineRule="auto"/>
        <w:ind w:firstLine="413" w:firstLineChars="196"/>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 xml:space="preserve">第十六条 </w:t>
      </w:r>
      <w:r>
        <w:rPr>
          <w:rFonts w:hint="eastAsia" w:ascii="宋体" w:hAnsi="宋体" w:eastAsia="宋体" w:cs="宋体"/>
          <w:color w:val="auto"/>
          <w:szCs w:val="21"/>
          <w:highlight w:val="none"/>
        </w:rPr>
        <w:t>承包期内，甲方有权组织考评人员负责对乙方承包范围内的作业质量进行考评。</w:t>
      </w:r>
    </w:p>
    <w:p w14:paraId="010FA3A0">
      <w:pPr>
        <w:spacing w:line="360" w:lineRule="auto"/>
        <w:ind w:firstLine="480"/>
        <w:outlineLvl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1.考核原则</w:t>
      </w:r>
    </w:p>
    <w:p w14:paraId="78CAC4B1">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甲方根据清扫保洁质量标准及环卫设施运行规范，结合当地实际制定考核办法。</w:t>
      </w:r>
    </w:p>
    <w:p w14:paraId="59BC84DB">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在合同实施期间，甲方有权对乙方按环境卫生管理规范进行监督考核。乙方必须按照环境卫生行业管理规范进行作业，服从甲方的管理，接受甲方的检查考核，实事求是地向甲方汇报每月项目履约情况。</w:t>
      </w:r>
    </w:p>
    <w:p w14:paraId="0A8E0B41">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检查考核中发现的问题，乙方应及时整改。在甲方整改通知书（电话、短信、信息平台）送达或上传1小时内未整改或整改不力的，纳入月绩效考核，同一问题多次抄告的加倍处罚。</w:t>
      </w:r>
    </w:p>
    <w:p w14:paraId="17E48019">
      <w:pPr>
        <w:spacing w:line="360" w:lineRule="auto"/>
        <w:ind w:firstLine="48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2.考核方式</w:t>
      </w:r>
    </w:p>
    <w:p w14:paraId="50868B77">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每月组织考评人员负责对乙方承包范围内的作业质量进行考评（考核办法详见附件），并结合行政主管部门和市级环卫专业管理部门的考评、媒体曝光、群众投诉情况综合计算考评分数。考核人员采取每天巡查、明查与暗访、定期与不定期、定性和定量相结合的方式进行考核。</w:t>
      </w:r>
    </w:p>
    <w:p w14:paraId="0AAD45FC">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3.考核分的运用</w:t>
      </w:r>
    </w:p>
    <w:p w14:paraId="225E06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考核办法采用100分制与直接处罚相结合，根据检查考核实绩确定保洁成效，作为支付每月环卫保洁服务项目费用的依据。在项目实施过程中，甲方可根据实际情况对本《考核办法》进行修改。</w:t>
      </w:r>
    </w:p>
    <w:p w14:paraId="1F139F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考核扣分扣款全部由乙方承担，每次考核95分（包括95分）及以上合格。考核合格的，全额支付当月费用，其他情况按以下方案执行：</w:t>
      </w:r>
    </w:p>
    <w:p w14:paraId="514EB3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得分值在90-94之间的，在当月收运费用中相应扣除（95-得分值）*200元；</w:t>
      </w:r>
    </w:p>
    <w:p w14:paraId="350540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得分值在86-89之间的，在当月收运费用中相应扣除（95-得分值）*500元；</w:t>
      </w:r>
    </w:p>
    <w:p w14:paraId="3184E1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得分值在80-85之间的，在当月收运费用中相应扣除（95-得分值）*1000元；</w:t>
      </w:r>
    </w:p>
    <w:p w14:paraId="1B25EC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如低于80分（不含80分），则为不合格，扣除当月承包费用的30%，连续两次考核不合格的，则甲方有权单方面解除合同。</w:t>
      </w:r>
    </w:p>
    <w:p w14:paraId="0B9330CC">
      <w:pPr>
        <w:spacing w:line="360" w:lineRule="auto"/>
        <w:ind w:firstLine="422" w:firstLineChars="200"/>
        <w:rPr>
          <w:rFonts w:hint="eastAsia" w:ascii="宋体" w:hAnsi="宋体" w:eastAsia="宋体"/>
          <w:color w:val="auto"/>
          <w:szCs w:val="21"/>
          <w:highlight w:val="none"/>
        </w:rPr>
      </w:pPr>
      <w:r>
        <w:rPr>
          <w:rFonts w:hint="eastAsia" w:ascii="宋体" w:hAnsi="宋体" w:eastAsia="宋体" w:cs="宋体"/>
          <w:b/>
          <w:bCs/>
          <w:color w:val="auto"/>
          <w:szCs w:val="21"/>
          <w:highlight w:val="none"/>
        </w:rPr>
        <w:t>4.考核细则</w:t>
      </w:r>
      <w:r>
        <w:rPr>
          <w:rFonts w:hint="eastAsia" w:ascii="宋体" w:hAnsi="宋体" w:eastAsia="宋体"/>
          <w:color w:val="auto"/>
          <w:szCs w:val="21"/>
          <w:highlight w:val="none"/>
        </w:rPr>
        <w:t>（详见招标文件）（</w:t>
      </w:r>
      <w:r>
        <w:rPr>
          <w:rFonts w:hint="eastAsia" w:ascii="宋体" w:hAnsi="宋体" w:eastAsia="宋体" w:cs="宋体"/>
          <w:color w:val="auto"/>
          <w:szCs w:val="21"/>
          <w:highlight w:val="none"/>
        </w:rPr>
        <w:t>项目履行期间，甲方有权因承包范围变化，对考核评分细则进行调整。）</w:t>
      </w:r>
    </w:p>
    <w:p w14:paraId="36A0D3D7">
      <w:pPr>
        <w:spacing w:line="360" w:lineRule="auto"/>
        <w:ind w:left="-144" w:leftChars="-229" w:hanging="337" w:hangingChars="160"/>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第七章  违约责任</w:t>
      </w:r>
    </w:p>
    <w:p w14:paraId="3FED6DFF">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第十七条</w:t>
      </w:r>
      <w:r>
        <w:rPr>
          <w:rFonts w:hint="eastAsia" w:ascii="宋体" w:hAnsi="宋体" w:eastAsia="宋体" w:cs="宋体"/>
          <w:color w:val="auto"/>
          <w:szCs w:val="21"/>
          <w:highlight w:val="none"/>
        </w:rPr>
        <w:t>乙方隐瞒不报，及导致发生重大质量事故和安全事故的，依据情节严重程度，甲方在取得行政主管部门的同意后，有权临时接管乙方承包的项目，并取消承包合同，由此造成的损失由乙方承担。</w:t>
      </w:r>
    </w:p>
    <w:p w14:paraId="733CA3A6">
      <w:pPr>
        <w:spacing w:line="360" w:lineRule="auto"/>
        <w:ind w:firstLine="48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第十八条</w:t>
      </w:r>
      <w:r>
        <w:rPr>
          <w:rFonts w:hint="eastAsia" w:ascii="宋体" w:hAnsi="宋体" w:eastAsia="宋体" w:cs="宋体"/>
          <w:color w:val="auto"/>
          <w:szCs w:val="21"/>
          <w:highlight w:val="none"/>
        </w:rPr>
        <w:t>将承包的合同转包或肢解分包给他人，甲方有权取消合同，乙方应赔偿甲方由此产生的经济损失。</w:t>
      </w:r>
    </w:p>
    <w:p w14:paraId="46391CAC">
      <w:pPr>
        <w:spacing w:line="360" w:lineRule="auto"/>
        <w:ind w:left="-144" w:leftChars="-229" w:hanging="337" w:hangingChars="16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第八章  合同的中断与终止</w:t>
      </w:r>
    </w:p>
    <w:p w14:paraId="2300A507">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 xml:space="preserve">第十九条 </w:t>
      </w:r>
      <w:r>
        <w:rPr>
          <w:rFonts w:hint="eastAsia" w:ascii="宋体" w:hAnsi="宋体" w:eastAsia="宋体" w:cs="宋体"/>
          <w:color w:val="auto"/>
          <w:szCs w:val="21"/>
          <w:highlight w:val="none"/>
        </w:rPr>
        <w:t>由于政策的变化和其它甲乙双方之外的原因使合同不能继续履行，视为合同中断。合同中断后，乙方应妥善做好承包项目的移交工作，按甲方的要求做好善后清理工作。甲方应为乙方撤离现场提供必要的条件。</w:t>
      </w:r>
    </w:p>
    <w:p w14:paraId="319EA567">
      <w:pPr>
        <w:spacing w:line="360" w:lineRule="auto"/>
        <w:ind w:left="-144" w:leftChars="-229" w:hanging="337" w:hangingChars="16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第九章  附则</w:t>
      </w:r>
    </w:p>
    <w:p w14:paraId="71C9DB5D">
      <w:pPr>
        <w:spacing w:line="360" w:lineRule="auto"/>
        <w:ind w:firstLine="48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 xml:space="preserve">第二十条 </w:t>
      </w:r>
      <w:r>
        <w:rPr>
          <w:rFonts w:hint="eastAsia" w:ascii="宋体" w:hAnsi="宋体" w:eastAsia="宋体" w:cs="宋体"/>
          <w:color w:val="auto"/>
          <w:szCs w:val="21"/>
          <w:highlight w:val="none"/>
        </w:rPr>
        <w:t xml:space="preserve">双方约定自本合同生效之日起，根据甲方委托承包事项，办理接管验收手续。 </w:t>
      </w:r>
    </w:p>
    <w:p w14:paraId="04EC0750">
      <w:pPr>
        <w:spacing w:line="360" w:lineRule="auto"/>
        <w:ind w:firstLine="48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 xml:space="preserve">第二十一条 </w:t>
      </w:r>
      <w:r>
        <w:rPr>
          <w:rFonts w:hint="eastAsia" w:ascii="宋体" w:hAnsi="宋体" w:eastAsia="宋体" w:cs="宋体"/>
          <w:color w:val="auto"/>
          <w:szCs w:val="21"/>
          <w:highlight w:val="none"/>
        </w:rPr>
        <w:t>双方可对本合同的条款进行补充，以书面形式签订补充协议，补充协议与合同具有相同等效力。</w:t>
      </w:r>
    </w:p>
    <w:p w14:paraId="25E753A9">
      <w:pPr>
        <w:spacing w:line="360" w:lineRule="auto"/>
        <w:ind w:firstLine="48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 xml:space="preserve">第二十二条 </w:t>
      </w:r>
      <w:r>
        <w:rPr>
          <w:rFonts w:hint="eastAsia" w:ascii="宋体" w:hAnsi="宋体" w:eastAsia="宋体" w:cs="宋体"/>
          <w:color w:val="auto"/>
          <w:szCs w:val="21"/>
          <w:highlight w:val="none"/>
        </w:rPr>
        <w:t xml:space="preserve">本合同之附件均为合同有效组成部分。本合同及其附件和补充协议中未规定的事宜，均遵照中华人民共和国有关法律、法规和规章执行。   </w:t>
      </w:r>
    </w:p>
    <w:p w14:paraId="1A379981">
      <w:pPr>
        <w:spacing w:line="360" w:lineRule="auto"/>
        <w:ind w:firstLine="48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 xml:space="preserve">第二十三条 </w:t>
      </w:r>
      <w:r>
        <w:rPr>
          <w:rFonts w:hint="eastAsia" w:ascii="宋体" w:hAnsi="宋体" w:eastAsia="宋体" w:cs="宋体"/>
          <w:color w:val="auto"/>
          <w:szCs w:val="21"/>
          <w:highlight w:val="none"/>
        </w:rPr>
        <w:t xml:space="preserve">本合同执行期间，如遇不可抗力，致使合同无法履行时，双方应按有关法律规定及时协商处理。 </w:t>
      </w:r>
    </w:p>
    <w:p w14:paraId="4D9EE141">
      <w:pPr>
        <w:spacing w:line="360" w:lineRule="auto"/>
        <w:ind w:firstLine="48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 xml:space="preserve">第二十四条 </w:t>
      </w:r>
      <w:r>
        <w:rPr>
          <w:rFonts w:hint="eastAsia" w:ascii="宋体" w:hAnsi="宋体" w:eastAsia="宋体" w:cs="宋体"/>
          <w:color w:val="auto"/>
          <w:szCs w:val="21"/>
          <w:highlight w:val="none"/>
        </w:rPr>
        <w:t xml:space="preserve">本合同在履行中如发生争议，双方应协商解决，协商不成时，提请舟山市仲裁委员会裁决（当事人双方没有达成书面仲裁协议的，可以向人民法院起诉）。  </w:t>
      </w:r>
    </w:p>
    <w:p w14:paraId="2C5C283B">
      <w:pPr>
        <w:spacing w:line="360" w:lineRule="auto"/>
        <w:ind w:firstLine="48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第二十五条</w:t>
      </w:r>
      <w:r>
        <w:rPr>
          <w:rFonts w:hint="eastAsia" w:ascii="宋体" w:hAnsi="宋体" w:eastAsia="宋体" w:cs="宋体"/>
          <w:color w:val="auto"/>
          <w:szCs w:val="21"/>
          <w:highlight w:val="none"/>
        </w:rPr>
        <w:t>合同期满，本合同自然终止，双方如续订合同，应在该事同期满</w:t>
      </w:r>
      <w:r>
        <w:rPr>
          <w:rFonts w:hint="eastAsia" w:ascii="宋体" w:hAnsi="宋体" w:eastAsia="宋体" w:cs="宋体"/>
          <w:color w:val="auto"/>
          <w:szCs w:val="21"/>
          <w:highlight w:val="none"/>
          <w:u w:val="single"/>
        </w:rPr>
        <w:t>30</w:t>
      </w:r>
      <w:r>
        <w:rPr>
          <w:rFonts w:hint="eastAsia" w:ascii="宋体" w:hAnsi="宋体" w:eastAsia="宋体" w:cs="宋体"/>
          <w:color w:val="auto"/>
          <w:szCs w:val="21"/>
          <w:highlight w:val="none"/>
        </w:rPr>
        <w:t xml:space="preserve">天前向对方提出书面意见。 </w:t>
      </w:r>
    </w:p>
    <w:p w14:paraId="34A285AE">
      <w:pPr>
        <w:snapToGrid w:val="0"/>
        <w:spacing w:line="312" w:lineRule="auto"/>
        <w:ind w:right="-340"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 xml:space="preserve">第二十六条 </w:t>
      </w:r>
      <w:r>
        <w:rPr>
          <w:rFonts w:hint="eastAsia" w:ascii="宋体" w:hAnsi="宋体" w:eastAsia="宋体" w:cs="宋体"/>
          <w:color w:val="auto"/>
          <w:szCs w:val="21"/>
          <w:highlight w:val="none"/>
        </w:rPr>
        <w:t>本协议未尽事宜，由双方协商解决。本协议一式六份，甲方持三份，乙方持两份，招标代理机构持一份。经甲乙双方签字盖章后生效。</w:t>
      </w:r>
    </w:p>
    <w:p w14:paraId="362B6C6D">
      <w:pPr>
        <w:snapToGrid w:val="0"/>
        <w:spacing w:line="312" w:lineRule="auto"/>
        <w:ind w:right="-340" w:firstLine="1260" w:firstLineChars="600"/>
        <w:rPr>
          <w:rFonts w:hint="eastAsia" w:ascii="宋体" w:hAnsi="宋体" w:eastAsia="宋体" w:cs="宋体"/>
          <w:color w:val="auto"/>
          <w:szCs w:val="21"/>
          <w:highlight w:val="none"/>
        </w:rPr>
      </w:pPr>
    </w:p>
    <w:p w14:paraId="60DAB7D9">
      <w:pPr>
        <w:snapToGrid w:val="0"/>
        <w:spacing w:line="312" w:lineRule="auto"/>
        <w:ind w:right="-340" w:firstLine="1260" w:firstLineChars="600"/>
        <w:rPr>
          <w:rFonts w:hint="eastAsia" w:ascii="宋体" w:hAnsi="宋体" w:eastAsia="宋体" w:cs="宋体"/>
          <w:color w:val="auto"/>
          <w:szCs w:val="21"/>
          <w:highlight w:val="none"/>
        </w:rPr>
      </w:pPr>
    </w:p>
    <w:p w14:paraId="65A467E6">
      <w:pPr>
        <w:snapToGrid w:val="0"/>
        <w:spacing w:line="312" w:lineRule="auto"/>
        <w:ind w:right="-340" w:firstLine="1260" w:firstLineChars="600"/>
        <w:rPr>
          <w:rFonts w:hint="eastAsia" w:ascii="宋体" w:hAnsi="宋体" w:eastAsia="宋体" w:cs="宋体"/>
          <w:color w:val="auto"/>
          <w:szCs w:val="21"/>
          <w:highlight w:val="none"/>
        </w:rPr>
      </w:pPr>
    </w:p>
    <w:p w14:paraId="028C7FFC">
      <w:pPr>
        <w:snapToGrid w:val="0"/>
        <w:spacing w:line="312" w:lineRule="auto"/>
        <w:ind w:right="-340" w:firstLine="1260" w:firstLineChars="6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                          乙方：</w:t>
      </w:r>
    </w:p>
    <w:p w14:paraId="5B2EE1F9">
      <w:pPr>
        <w:snapToGrid w:val="0"/>
        <w:spacing w:line="312" w:lineRule="auto"/>
        <w:ind w:right="-340" w:firstLine="1260" w:firstLineChars="6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                          地址：</w:t>
      </w:r>
    </w:p>
    <w:p w14:paraId="00B4E44D">
      <w:pPr>
        <w:snapToGrid w:val="0"/>
        <w:spacing w:line="312" w:lineRule="auto"/>
        <w:ind w:right="-340" w:firstLine="1260" w:firstLineChars="6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法人代表：                      法人代表：</w:t>
      </w:r>
    </w:p>
    <w:p w14:paraId="241FA3ED">
      <w:pPr>
        <w:snapToGrid w:val="0"/>
        <w:spacing w:line="312" w:lineRule="auto"/>
        <w:ind w:right="-340" w:firstLine="1260" w:firstLineChars="6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                          电话：</w:t>
      </w:r>
    </w:p>
    <w:p w14:paraId="41595FA8">
      <w:pPr>
        <w:snapToGrid w:val="0"/>
        <w:spacing w:line="312" w:lineRule="auto"/>
        <w:ind w:right="-340" w:firstLine="1260" w:firstLineChars="6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电传：                          电传：</w:t>
      </w:r>
    </w:p>
    <w:p w14:paraId="24641B98">
      <w:pPr>
        <w:snapToGrid w:val="0"/>
        <w:spacing w:line="312" w:lineRule="auto"/>
        <w:ind w:right="-340" w:firstLine="1260" w:firstLineChars="6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                      开户银行：</w:t>
      </w:r>
    </w:p>
    <w:p w14:paraId="6366BD17">
      <w:pPr>
        <w:snapToGrid w:val="0"/>
        <w:spacing w:line="360" w:lineRule="auto"/>
        <w:ind w:right="-340" w:firstLine="1260" w:firstLineChars="6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                          账号：</w:t>
      </w:r>
    </w:p>
    <w:p w14:paraId="0E309E1F">
      <w:pPr>
        <w:pStyle w:val="26"/>
        <w:spacing w:line="360" w:lineRule="auto"/>
        <w:ind w:firstLine="1298" w:firstLineChars="643"/>
        <w:rPr>
          <w:color w:val="auto"/>
          <w:highlight w:val="none"/>
          <w:lang w:val="zh-TW" w:bidi="zh-TW"/>
        </w:rPr>
      </w:pPr>
      <w:r>
        <w:rPr>
          <w:rFonts w:hint="eastAsia" w:hAnsi="宋体" w:cs="宋体"/>
          <w:color w:val="auto"/>
          <w:sz w:val="21"/>
          <w:szCs w:val="21"/>
          <w:highlight w:val="none"/>
        </w:rPr>
        <w:t>日期：                            日期：</w:t>
      </w:r>
      <w:bookmarkStart w:id="10" w:name="_Hlk118299836"/>
    </w:p>
    <w:p w14:paraId="7956A6EF">
      <w:pPr>
        <w:pStyle w:val="2"/>
        <w:rPr>
          <w:color w:val="auto"/>
          <w:highlight w:val="none"/>
          <w:lang w:val="zh-TW" w:bidi="zh-TW"/>
        </w:rPr>
      </w:pPr>
    </w:p>
    <w:p w14:paraId="57E4D953">
      <w:pPr>
        <w:spacing w:line="239" w:lineRule="auto"/>
        <w:jc w:val="center"/>
        <w:rPr>
          <w:rFonts w:hint="eastAsia" w:ascii="宋体" w:hAnsi="宋体" w:eastAsia="宋体" w:cs="Times New Roman"/>
          <w:b/>
          <w:color w:val="auto"/>
          <w:sz w:val="32"/>
          <w:szCs w:val="24"/>
          <w:highlight w:val="none"/>
        </w:rPr>
      </w:pPr>
    </w:p>
    <w:p w14:paraId="5D0DB7BB">
      <w:pPr>
        <w:spacing w:line="239" w:lineRule="auto"/>
        <w:jc w:val="center"/>
        <w:rPr>
          <w:rFonts w:hint="eastAsia" w:ascii="宋体" w:hAnsi="宋体" w:eastAsia="宋体" w:cs="Times New Roman"/>
          <w:b/>
          <w:color w:val="auto"/>
          <w:sz w:val="32"/>
          <w:szCs w:val="24"/>
          <w:highlight w:val="none"/>
        </w:rPr>
      </w:pPr>
    </w:p>
    <w:p w14:paraId="17FD5ACE">
      <w:pPr>
        <w:spacing w:line="239" w:lineRule="auto"/>
        <w:jc w:val="center"/>
        <w:rPr>
          <w:rFonts w:hint="eastAsia" w:ascii="宋体" w:hAnsi="宋体" w:eastAsia="宋体" w:cs="Times New Roman"/>
          <w:b/>
          <w:color w:val="auto"/>
          <w:sz w:val="32"/>
          <w:szCs w:val="24"/>
          <w:highlight w:val="none"/>
        </w:rPr>
      </w:pPr>
    </w:p>
    <w:p w14:paraId="12B984AA">
      <w:pPr>
        <w:spacing w:line="239" w:lineRule="auto"/>
        <w:jc w:val="center"/>
        <w:rPr>
          <w:rFonts w:hint="eastAsia" w:ascii="宋体" w:hAnsi="宋体" w:eastAsia="宋体" w:cs="Times New Roman"/>
          <w:b/>
          <w:color w:val="auto"/>
          <w:sz w:val="32"/>
          <w:szCs w:val="24"/>
          <w:highlight w:val="none"/>
        </w:rPr>
      </w:pPr>
    </w:p>
    <w:p w14:paraId="370B7394">
      <w:pPr>
        <w:spacing w:line="239" w:lineRule="auto"/>
        <w:jc w:val="center"/>
        <w:rPr>
          <w:rFonts w:hint="eastAsia" w:ascii="宋体" w:hAnsi="宋体" w:eastAsia="宋体" w:cs="Times New Roman"/>
          <w:b/>
          <w:color w:val="auto"/>
          <w:sz w:val="32"/>
          <w:szCs w:val="24"/>
          <w:highlight w:val="none"/>
        </w:rPr>
      </w:pPr>
    </w:p>
    <w:p w14:paraId="62851BFD">
      <w:pPr>
        <w:spacing w:line="239" w:lineRule="auto"/>
        <w:jc w:val="center"/>
        <w:rPr>
          <w:rFonts w:hint="eastAsia" w:ascii="宋体" w:hAnsi="宋体" w:eastAsia="宋体" w:cs="Times New Roman"/>
          <w:b/>
          <w:color w:val="auto"/>
          <w:sz w:val="32"/>
          <w:szCs w:val="24"/>
          <w:highlight w:val="none"/>
        </w:rPr>
      </w:pPr>
    </w:p>
    <w:p w14:paraId="467C92DA">
      <w:pPr>
        <w:spacing w:line="239" w:lineRule="auto"/>
        <w:jc w:val="center"/>
        <w:rPr>
          <w:rFonts w:hint="eastAsia" w:ascii="宋体" w:hAnsi="宋体" w:eastAsia="宋体" w:cs="Times New Roman"/>
          <w:b/>
          <w:color w:val="auto"/>
          <w:sz w:val="32"/>
          <w:szCs w:val="24"/>
          <w:highlight w:val="none"/>
        </w:rPr>
      </w:pPr>
    </w:p>
    <w:p w14:paraId="68B802BA">
      <w:pPr>
        <w:spacing w:line="239" w:lineRule="auto"/>
        <w:jc w:val="center"/>
        <w:rPr>
          <w:rFonts w:hint="eastAsia" w:ascii="宋体" w:hAnsi="宋体" w:eastAsia="宋体" w:cs="Times New Roman"/>
          <w:b/>
          <w:color w:val="auto"/>
          <w:sz w:val="32"/>
          <w:szCs w:val="24"/>
          <w:highlight w:val="none"/>
        </w:rPr>
      </w:pPr>
    </w:p>
    <w:p w14:paraId="1FD62AA6">
      <w:pPr>
        <w:spacing w:line="239" w:lineRule="auto"/>
        <w:jc w:val="center"/>
        <w:rPr>
          <w:rFonts w:hint="eastAsia" w:ascii="宋体" w:hAnsi="宋体" w:eastAsia="宋体" w:cs="Times New Roman"/>
          <w:b/>
          <w:color w:val="auto"/>
          <w:sz w:val="32"/>
          <w:szCs w:val="24"/>
          <w:highlight w:val="none"/>
        </w:rPr>
      </w:pPr>
    </w:p>
    <w:p w14:paraId="223B3A64">
      <w:pPr>
        <w:spacing w:line="239" w:lineRule="auto"/>
        <w:jc w:val="center"/>
        <w:rPr>
          <w:rFonts w:hint="eastAsia" w:ascii="宋体" w:hAnsi="宋体" w:eastAsia="宋体" w:cs="Times New Roman"/>
          <w:b/>
          <w:color w:val="auto"/>
          <w:sz w:val="32"/>
          <w:szCs w:val="24"/>
          <w:highlight w:val="none"/>
        </w:rPr>
      </w:pPr>
    </w:p>
    <w:p w14:paraId="2C5B7CC9">
      <w:pPr>
        <w:spacing w:line="239" w:lineRule="auto"/>
        <w:jc w:val="center"/>
        <w:rPr>
          <w:rFonts w:hint="eastAsia" w:ascii="宋体" w:hAnsi="宋体" w:eastAsia="宋体" w:cs="Times New Roman"/>
          <w:b/>
          <w:color w:val="auto"/>
          <w:sz w:val="32"/>
          <w:szCs w:val="24"/>
          <w:highlight w:val="none"/>
        </w:rPr>
      </w:pPr>
    </w:p>
    <w:p w14:paraId="75331324">
      <w:pPr>
        <w:spacing w:line="239" w:lineRule="auto"/>
        <w:jc w:val="center"/>
        <w:rPr>
          <w:rFonts w:hint="eastAsia" w:ascii="宋体" w:hAnsi="宋体" w:eastAsia="宋体" w:cs="Times New Roman"/>
          <w:b/>
          <w:color w:val="auto"/>
          <w:sz w:val="32"/>
          <w:szCs w:val="24"/>
          <w:highlight w:val="none"/>
        </w:rPr>
      </w:pPr>
    </w:p>
    <w:p w14:paraId="46FD1103">
      <w:pPr>
        <w:spacing w:line="239" w:lineRule="auto"/>
        <w:jc w:val="center"/>
        <w:rPr>
          <w:rFonts w:hint="eastAsia" w:ascii="宋体" w:hAnsi="宋体" w:eastAsia="宋体" w:cs="Times New Roman"/>
          <w:b/>
          <w:color w:val="auto"/>
          <w:sz w:val="32"/>
          <w:szCs w:val="24"/>
          <w:highlight w:val="none"/>
        </w:rPr>
      </w:pPr>
    </w:p>
    <w:p w14:paraId="56F70894">
      <w:pPr>
        <w:spacing w:line="239" w:lineRule="auto"/>
        <w:jc w:val="center"/>
        <w:rPr>
          <w:rFonts w:hint="eastAsia" w:ascii="宋体" w:hAnsi="宋体" w:eastAsia="宋体" w:cs="Times New Roman"/>
          <w:b/>
          <w:color w:val="auto"/>
          <w:sz w:val="32"/>
          <w:szCs w:val="24"/>
          <w:highlight w:val="none"/>
        </w:rPr>
      </w:pPr>
    </w:p>
    <w:p w14:paraId="4E5D3063">
      <w:pPr>
        <w:spacing w:line="239" w:lineRule="auto"/>
        <w:rPr>
          <w:rFonts w:hint="eastAsia" w:ascii="宋体" w:hAnsi="宋体" w:eastAsia="宋体" w:cs="Times New Roman"/>
          <w:b/>
          <w:color w:val="auto"/>
          <w:sz w:val="32"/>
          <w:szCs w:val="24"/>
          <w:highlight w:val="none"/>
        </w:rPr>
      </w:pPr>
    </w:p>
    <w:p w14:paraId="7F679DC8">
      <w:pPr>
        <w:spacing w:line="239" w:lineRule="auto"/>
        <w:jc w:val="center"/>
        <w:rPr>
          <w:rFonts w:hint="eastAsia" w:ascii="宋体" w:hAnsi="宋体" w:eastAsia="宋体" w:cs="Times New Roman"/>
          <w:b/>
          <w:color w:val="auto"/>
          <w:sz w:val="32"/>
          <w:szCs w:val="24"/>
          <w:highlight w:val="none"/>
        </w:rPr>
      </w:pPr>
    </w:p>
    <w:p w14:paraId="74B4EC05">
      <w:pPr>
        <w:spacing w:line="239" w:lineRule="auto"/>
        <w:jc w:val="center"/>
        <w:rPr>
          <w:rFonts w:hint="eastAsia" w:ascii="宋体" w:hAnsi="宋体" w:eastAsia="宋体" w:cs="Times New Roman"/>
          <w:b/>
          <w:color w:val="auto"/>
          <w:sz w:val="32"/>
          <w:szCs w:val="24"/>
          <w:highlight w:val="none"/>
        </w:rPr>
      </w:pPr>
    </w:p>
    <w:p w14:paraId="7D70D6E7">
      <w:pPr>
        <w:spacing w:line="239" w:lineRule="auto"/>
        <w:jc w:val="center"/>
        <w:rPr>
          <w:rFonts w:hint="eastAsia" w:ascii="宋体" w:hAnsi="宋体" w:eastAsia="宋体" w:cs="Times New Roman"/>
          <w:b/>
          <w:color w:val="auto"/>
          <w:sz w:val="32"/>
          <w:szCs w:val="24"/>
          <w:highlight w:val="none"/>
        </w:rPr>
      </w:pPr>
    </w:p>
    <w:p w14:paraId="5C85E959">
      <w:pPr>
        <w:spacing w:line="239" w:lineRule="auto"/>
        <w:jc w:val="center"/>
        <w:rPr>
          <w:rFonts w:hint="eastAsia" w:ascii="宋体" w:hAnsi="宋体" w:eastAsia="宋体" w:cs="Times New Roman"/>
          <w:color w:val="auto"/>
          <w:szCs w:val="24"/>
          <w:highlight w:val="none"/>
        </w:rPr>
      </w:pPr>
      <w:r>
        <w:rPr>
          <w:rFonts w:ascii="宋体" w:hAnsi="宋体" w:eastAsia="宋体" w:cs="Times New Roman"/>
          <w:b/>
          <w:color w:val="auto"/>
          <w:sz w:val="32"/>
          <w:szCs w:val="24"/>
          <w:highlight w:val="none"/>
        </w:rPr>
        <w:t>安全生产合同</w:t>
      </w:r>
    </w:p>
    <w:p w14:paraId="030913AB">
      <w:pPr>
        <w:spacing w:line="360" w:lineRule="auto"/>
        <w:ind w:left="420" w:firstLine="420" w:firstLineChars="200"/>
        <w:rPr>
          <w:rFonts w:hint="eastAsia" w:ascii="宋体" w:hAnsi="宋体" w:eastAsia="宋体" w:cs="Times New Roman"/>
          <w:color w:val="auto"/>
          <w:szCs w:val="24"/>
          <w:highlight w:val="none"/>
        </w:rPr>
      </w:pPr>
    </w:p>
    <w:p w14:paraId="331CE9CA">
      <w:pPr>
        <w:spacing w:line="360" w:lineRule="auto"/>
        <w:ind w:left="420" w:firstLine="420" w:firstLineChars="200"/>
        <w:rPr>
          <w:rFonts w:hint="eastAsia" w:ascii="宋体" w:hAnsi="宋体" w:eastAsia="宋体" w:cs="Times New Roman"/>
          <w:color w:val="auto"/>
          <w:szCs w:val="24"/>
          <w:highlight w:val="none"/>
        </w:rPr>
      </w:pPr>
      <w:r>
        <w:rPr>
          <w:rFonts w:ascii="宋体" w:hAnsi="宋体" w:eastAsia="宋体" w:cs="Times New Roman"/>
          <w:color w:val="auto"/>
          <w:szCs w:val="24"/>
          <w:highlight w:val="none"/>
        </w:rPr>
        <w:t>为在（项目名称）合同的实施过程中创造安全、高效的</w:t>
      </w:r>
      <w:r>
        <w:rPr>
          <w:rFonts w:hint="eastAsia" w:ascii="宋体" w:hAnsi="宋体" w:eastAsia="宋体" w:cs="Times New Roman"/>
          <w:color w:val="auto"/>
          <w:szCs w:val="24"/>
          <w:highlight w:val="none"/>
        </w:rPr>
        <w:t>工作</w:t>
      </w:r>
      <w:r>
        <w:rPr>
          <w:rFonts w:ascii="宋体" w:hAnsi="宋体" w:eastAsia="宋体" w:cs="Times New Roman"/>
          <w:color w:val="auto"/>
          <w:szCs w:val="24"/>
          <w:highlight w:val="none"/>
        </w:rPr>
        <w:t>环境，切实搞好本项目的安全管理工作，本项目发包人（发包人名称，以下简称</w:t>
      </w:r>
      <w:r>
        <w:rPr>
          <w:rFonts w:ascii="Calibri" w:hAnsi="Calibri" w:eastAsia="Times New Roman" w:cs="Times New Roman"/>
          <w:color w:val="auto"/>
          <w:szCs w:val="24"/>
          <w:highlight w:val="none"/>
        </w:rPr>
        <w:t>“</w:t>
      </w:r>
      <w:r>
        <w:rPr>
          <w:rFonts w:ascii="宋体" w:hAnsi="宋体" w:eastAsia="宋体" w:cs="Times New Roman"/>
          <w:color w:val="auto"/>
          <w:szCs w:val="24"/>
          <w:highlight w:val="none"/>
        </w:rPr>
        <w:t>发包人</w:t>
      </w:r>
      <w:r>
        <w:rPr>
          <w:rFonts w:ascii="Calibri" w:hAnsi="Calibri" w:eastAsia="Times New Roman" w:cs="Times New Roman"/>
          <w:color w:val="auto"/>
          <w:szCs w:val="24"/>
          <w:highlight w:val="none"/>
        </w:rPr>
        <w:t>”</w:t>
      </w:r>
      <w:r>
        <w:rPr>
          <w:rFonts w:ascii="宋体" w:hAnsi="宋体" w:eastAsia="宋体" w:cs="Times New Roman"/>
          <w:color w:val="auto"/>
          <w:szCs w:val="24"/>
          <w:highlight w:val="none"/>
        </w:rPr>
        <w:t>）与承包人（承包人名称，以下简称</w:t>
      </w:r>
      <w:r>
        <w:rPr>
          <w:rFonts w:ascii="Calibri" w:hAnsi="Calibri" w:eastAsia="Times New Roman" w:cs="Times New Roman"/>
          <w:color w:val="auto"/>
          <w:szCs w:val="24"/>
          <w:highlight w:val="none"/>
        </w:rPr>
        <w:t>“</w:t>
      </w:r>
      <w:r>
        <w:rPr>
          <w:rFonts w:ascii="宋体" w:hAnsi="宋体" w:eastAsia="宋体" w:cs="Times New Roman"/>
          <w:color w:val="auto"/>
          <w:szCs w:val="24"/>
          <w:highlight w:val="none"/>
        </w:rPr>
        <w:t>承包人</w:t>
      </w:r>
      <w:r>
        <w:rPr>
          <w:rFonts w:ascii="Calibri" w:hAnsi="Calibri" w:eastAsia="Times New Roman" w:cs="Times New Roman"/>
          <w:color w:val="auto"/>
          <w:szCs w:val="24"/>
          <w:highlight w:val="none"/>
        </w:rPr>
        <w:t>”</w:t>
      </w:r>
      <w:r>
        <w:rPr>
          <w:rFonts w:ascii="宋体" w:hAnsi="宋体" w:eastAsia="宋体" w:cs="Times New Roman"/>
          <w:color w:val="auto"/>
          <w:szCs w:val="24"/>
          <w:highlight w:val="none"/>
        </w:rPr>
        <w:t>）特此签订安全生产合同：</w:t>
      </w:r>
    </w:p>
    <w:p w14:paraId="05F96C03">
      <w:pPr>
        <w:spacing w:line="360" w:lineRule="auto"/>
        <w:ind w:left="420" w:firstLine="420" w:firstLineChars="200"/>
        <w:rPr>
          <w:rFonts w:hint="eastAsia" w:ascii="宋体" w:hAnsi="宋体" w:eastAsia="宋体" w:cs="Times New Roman"/>
          <w:color w:val="auto"/>
          <w:szCs w:val="24"/>
          <w:highlight w:val="none"/>
        </w:rPr>
      </w:pPr>
      <w:r>
        <w:rPr>
          <w:rFonts w:ascii="Calibri" w:hAnsi="Calibri" w:eastAsia="Times New Roman" w:cs="Times New Roman"/>
          <w:color w:val="auto"/>
          <w:szCs w:val="24"/>
          <w:highlight w:val="none"/>
        </w:rPr>
        <w:t>1.</w:t>
      </w:r>
      <w:r>
        <w:rPr>
          <w:rFonts w:ascii="宋体" w:hAnsi="宋体" w:eastAsia="宋体" w:cs="Times New Roman"/>
          <w:color w:val="auto"/>
          <w:szCs w:val="24"/>
          <w:highlight w:val="none"/>
        </w:rPr>
        <w:t>发包人职责</w:t>
      </w:r>
    </w:p>
    <w:p w14:paraId="597F2507">
      <w:pPr>
        <w:spacing w:line="360" w:lineRule="auto"/>
        <w:ind w:left="420" w:firstLine="420" w:firstLineChars="200"/>
        <w:rPr>
          <w:rFonts w:hint="eastAsia" w:ascii="宋体" w:hAnsi="宋体" w:eastAsia="宋体" w:cs="Times New Roman"/>
          <w:color w:val="auto"/>
          <w:szCs w:val="24"/>
          <w:highlight w:val="none"/>
        </w:rPr>
      </w:pPr>
      <w:r>
        <w:rPr>
          <w:rFonts w:ascii="宋体" w:hAnsi="宋体" w:eastAsia="宋体" w:cs="Times New Roman"/>
          <w:color w:val="auto"/>
          <w:szCs w:val="24"/>
          <w:highlight w:val="none"/>
        </w:rPr>
        <w:t>（</w:t>
      </w:r>
      <w:r>
        <w:rPr>
          <w:rFonts w:ascii="Calibri" w:hAnsi="Calibri" w:eastAsia="Times New Roman" w:cs="Times New Roman"/>
          <w:color w:val="auto"/>
          <w:szCs w:val="24"/>
          <w:highlight w:val="none"/>
        </w:rPr>
        <w:t>1</w:t>
      </w:r>
      <w:r>
        <w:rPr>
          <w:rFonts w:ascii="宋体" w:hAnsi="宋体" w:eastAsia="宋体" w:cs="Times New Roman"/>
          <w:color w:val="auto"/>
          <w:szCs w:val="24"/>
          <w:highlight w:val="none"/>
        </w:rPr>
        <w:t>）严格遵守国家有关安全生产的法律法规，认真执行</w:t>
      </w:r>
      <w:r>
        <w:rPr>
          <w:rFonts w:hint="eastAsia" w:ascii="宋体" w:hAnsi="宋体" w:eastAsia="宋体" w:cs="Times New Roman"/>
          <w:color w:val="auto"/>
          <w:szCs w:val="24"/>
          <w:highlight w:val="none"/>
        </w:rPr>
        <w:t>项目</w:t>
      </w:r>
      <w:r>
        <w:rPr>
          <w:rFonts w:ascii="宋体" w:hAnsi="宋体" w:eastAsia="宋体" w:cs="Times New Roman"/>
          <w:color w:val="auto"/>
          <w:szCs w:val="24"/>
          <w:highlight w:val="none"/>
        </w:rPr>
        <w:t>承包合同中的有关安全要求。</w:t>
      </w:r>
    </w:p>
    <w:p w14:paraId="0367F86B">
      <w:pPr>
        <w:spacing w:line="360" w:lineRule="auto"/>
        <w:ind w:left="420" w:firstLine="420" w:firstLineChars="200"/>
        <w:rPr>
          <w:rFonts w:hint="eastAsia" w:ascii="宋体" w:hAnsi="宋体" w:eastAsia="宋体" w:cs="Times New Roman"/>
          <w:color w:val="auto"/>
          <w:szCs w:val="24"/>
          <w:highlight w:val="none"/>
        </w:rPr>
      </w:pPr>
      <w:r>
        <w:rPr>
          <w:rFonts w:ascii="宋体" w:hAnsi="宋体" w:eastAsia="宋体" w:cs="Times New Roman"/>
          <w:color w:val="auto"/>
          <w:szCs w:val="24"/>
          <w:highlight w:val="none"/>
        </w:rPr>
        <w:t>（</w:t>
      </w:r>
      <w:r>
        <w:rPr>
          <w:rFonts w:ascii="Calibri" w:hAnsi="Calibri" w:eastAsia="Times New Roman" w:cs="Times New Roman"/>
          <w:color w:val="auto"/>
          <w:szCs w:val="24"/>
          <w:highlight w:val="none"/>
        </w:rPr>
        <w:t>2</w:t>
      </w:r>
      <w:r>
        <w:rPr>
          <w:rFonts w:ascii="宋体" w:hAnsi="宋体" w:eastAsia="宋体" w:cs="Times New Roman"/>
          <w:color w:val="auto"/>
          <w:szCs w:val="24"/>
          <w:highlight w:val="none"/>
        </w:rPr>
        <w:t>）按照</w:t>
      </w:r>
      <w:r>
        <w:rPr>
          <w:rFonts w:ascii="Calibri" w:hAnsi="Calibri" w:eastAsia="Times New Roman" w:cs="Times New Roman"/>
          <w:color w:val="auto"/>
          <w:szCs w:val="24"/>
          <w:highlight w:val="none"/>
        </w:rPr>
        <w:t>“</w:t>
      </w:r>
      <w:r>
        <w:rPr>
          <w:rFonts w:ascii="宋体" w:hAnsi="宋体" w:eastAsia="宋体" w:cs="Times New Roman"/>
          <w:color w:val="auto"/>
          <w:szCs w:val="24"/>
          <w:highlight w:val="none"/>
        </w:rPr>
        <w:t>安全第一、预防为主</w:t>
      </w:r>
      <w:r>
        <w:rPr>
          <w:rFonts w:ascii="Calibri" w:hAnsi="Calibri" w:eastAsia="Times New Roman" w:cs="Times New Roman"/>
          <w:color w:val="auto"/>
          <w:szCs w:val="24"/>
          <w:highlight w:val="none"/>
        </w:rPr>
        <w:t>”</w:t>
      </w:r>
      <w:r>
        <w:rPr>
          <w:rFonts w:hint="eastAsia" w:ascii="Calibri" w:hAnsi="Calibri" w:eastAsia="宋体" w:cs="Times New Roman"/>
          <w:color w:val="auto"/>
          <w:szCs w:val="24"/>
          <w:highlight w:val="none"/>
        </w:rPr>
        <w:t>的</w:t>
      </w:r>
      <w:r>
        <w:rPr>
          <w:rFonts w:ascii="宋体" w:hAnsi="宋体" w:eastAsia="宋体" w:cs="Times New Roman"/>
          <w:color w:val="auto"/>
          <w:szCs w:val="24"/>
          <w:highlight w:val="none"/>
        </w:rPr>
        <w:t>原则进行安全管理，做到</w:t>
      </w:r>
      <w:r>
        <w:rPr>
          <w:rFonts w:hint="eastAsia" w:ascii="宋体" w:hAnsi="宋体" w:eastAsia="宋体" w:cs="Times New Roman"/>
          <w:color w:val="auto"/>
          <w:szCs w:val="24"/>
          <w:highlight w:val="none"/>
        </w:rPr>
        <w:t>工作</w:t>
      </w:r>
      <w:r>
        <w:rPr>
          <w:rFonts w:ascii="宋体" w:hAnsi="宋体" w:eastAsia="宋体" w:cs="Times New Roman"/>
          <w:color w:val="auto"/>
          <w:szCs w:val="24"/>
          <w:highlight w:val="none"/>
        </w:rPr>
        <w:t>与安全同时计划、布置、检查、总结和评比。</w:t>
      </w:r>
    </w:p>
    <w:p w14:paraId="1B07A8B7">
      <w:pPr>
        <w:spacing w:line="360" w:lineRule="auto"/>
        <w:ind w:left="420" w:firstLine="420" w:firstLineChars="200"/>
        <w:rPr>
          <w:rFonts w:hint="eastAsia" w:ascii="宋体" w:hAnsi="宋体" w:eastAsia="宋体" w:cs="Times New Roman"/>
          <w:color w:val="auto"/>
          <w:szCs w:val="24"/>
          <w:highlight w:val="none"/>
        </w:rPr>
      </w:pPr>
      <w:r>
        <w:rPr>
          <w:rFonts w:ascii="宋体" w:hAnsi="宋体" w:eastAsia="宋体" w:cs="Times New Roman"/>
          <w:color w:val="auto"/>
          <w:szCs w:val="24"/>
          <w:highlight w:val="none"/>
        </w:rPr>
        <w:t>（</w:t>
      </w:r>
      <w:r>
        <w:rPr>
          <w:rFonts w:ascii="Calibri" w:hAnsi="Calibri" w:eastAsia="Times New Roman" w:cs="Times New Roman"/>
          <w:color w:val="auto"/>
          <w:szCs w:val="24"/>
          <w:highlight w:val="none"/>
        </w:rPr>
        <w:t>3</w:t>
      </w:r>
      <w:r>
        <w:rPr>
          <w:rFonts w:ascii="宋体" w:hAnsi="宋体" w:eastAsia="宋体" w:cs="Times New Roman"/>
          <w:color w:val="auto"/>
          <w:szCs w:val="24"/>
          <w:highlight w:val="none"/>
        </w:rPr>
        <w:t>）定期</w:t>
      </w:r>
      <w:r>
        <w:rPr>
          <w:rFonts w:hint="eastAsia" w:ascii="宋体" w:hAnsi="宋体" w:eastAsia="宋体" w:cs="Times New Roman"/>
          <w:color w:val="auto"/>
          <w:szCs w:val="24"/>
          <w:highlight w:val="none"/>
        </w:rPr>
        <w:t>学习</w:t>
      </w:r>
      <w:r>
        <w:rPr>
          <w:rFonts w:ascii="宋体" w:hAnsi="宋体" w:eastAsia="宋体" w:cs="Times New Roman"/>
          <w:color w:val="auto"/>
          <w:szCs w:val="24"/>
          <w:highlight w:val="none"/>
        </w:rPr>
        <w:t>中央及地方有关安全生产的精神。</w:t>
      </w:r>
    </w:p>
    <w:p w14:paraId="0C8093FB">
      <w:pPr>
        <w:spacing w:line="360" w:lineRule="auto"/>
        <w:ind w:left="420" w:firstLine="420" w:firstLineChars="200"/>
        <w:rPr>
          <w:rFonts w:hint="eastAsia" w:ascii="宋体" w:hAnsi="宋体" w:eastAsia="宋体" w:cs="Times New Roman"/>
          <w:color w:val="auto"/>
          <w:szCs w:val="24"/>
          <w:highlight w:val="none"/>
        </w:rPr>
      </w:pPr>
      <w:r>
        <w:rPr>
          <w:rFonts w:ascii="宋体" w:hAnsi="宋体" w:eastAsia="宋体" w:cs="Times New Roman"/>
          <w:color w:val="auto"/>
          <w:szCs w:val="24"/>
          <w:highlight w:val="none"/>
        </w:rPr>
        <w:t>（</w:t>
      </w:r>
      <w:r>
        <w:rPr>
          <w:rFonts w:ascii="Calibri" w:hAnsi="Calibri" w:eastAsia="Times New Roman" w:cs="Times New Roman"/>
          <w:color w:val="auto"/>
          <w:szCs w:val="24"/>
          <w:highlight w:val="none"/>
        </w:rPr>
        <w:t>4</w:t>
      </w:r>
      <w:r>
        <w:rPr>
          <w:rFonts w:ascii="宋体" w:hAnsi="宋体" w:eastAsia="宋体" w:cs="Times New Roman"/>
          <w:color w:val="auto"/>
          <w:szCs w:val="24"/>
          <w:highlight w:val="none"/>
        </w:rPr>
        <w:t>）组织对承包人现场</w:t>
      </w:r>
      <w:r>
        <w:rPr>
          <w:rFonts w:hint="eastAsia" w:ascii="宋体" w:hAnsi="宋体" w:eastAsia="宋体" w:cs="Times New Roman"/>
          <w:color w:val="auto"/>
          <w:szCs w:val="24"/>
          <w:highlight w:val="none"/>
        </w:rPr>
        <w:t>或工作时的</w:t>
      </w:r>
      <w:r>
        <w:rPr>
          <w:rFonts w:ascii="宋体" w:hAnsi="宋体" w:eastAsia="宋体" w:cs="Times New Roman"/>
          <w:color w:val="auto"/>
          <w:szCs w:val="24"/>
          <w:highlight w:val="none"/>
        </w:rPr>
        <w:t>安全生产检查，监督承包人及时处理发现的各种安全隐患。</w:t>
      </w:r>
    </w:p>
    <w:p w14:paraId="21D8D31D">
      <w:pPr>
        <w:spacing w:line="360" w:lineRule="auto"/>
        <w:ind w:left="420" w:firstLine="420" w:firstLineChars="200"/>
        <w:rPr>
          <w:rFonts w:hint="eastAsia" w:ascii="宋体" w:hAnsi="宋体" w:eastAsia="宋体" w:cs="Times New Roman"/>
          <w:color w:val="auto"/>
          <w:szCs w:val="24"/>
          <w:highlight w:val="none"/>
        </w:rPr>
      </w:pPr>
      <w:r>
        <w:rPr>
          <w:rFonts w:ascii="Calibri" w:hAnsi="Calibri" w:eastAsia="Times New Roman" w:cs="Times New Roman"/>
          <w:color w:val="auto"/>
          <w:szCs w:val="24"/>
          <w:highlight w:val="none"/>
        </w:rPr>
        <w:t>2.</w:t>
      </w:r>
      <w:r>
        <w:rPr>
          <w:rFonts w:ascii="宋体" w:hAnsi="宋体" w:eastAsia="宋体" w:cs="Times New Roman"/>
          <w:color w:val="auto"/>
          <w:szCs w:val="24"/>
          <w:highlight w:val="none"/>
        </w:rPr>
        <w:t>承包人职责</w:t>
      </w:r>
    </w:p>
    <w:p w14:paraId="5B589873">
      <w:pPr>
        <w:spacing w:line="360" w:lineRule="auto"/>
        <w:ind w:left="420" w:firstLine="420" w:firstLineChars="200"/>
        <w:rPr>
          <w:rFonts w:hint="eastAsia" w:ascii="宋体" w:hAnsi="宋体" w:eastAsia="宋体" w:cs="Times New Roman"/>
          <w:color w:val="auto"/>
          <w:szCs w:val="24"/>
          <w:highlight w:val="none"/>
        </w:rPr>
      </w:pPr>
      <w:r>
        <w:rPr>
          <w:rFonts w:ascii="宋体" w:hAnsi="宋体" w:eastAsia="宋体" w:cs="Times New Roman"/>
          <w:color w:val="auto"/>
          <w:szCs w:val="24"/>
          <w:highlight w:val="none"/>
        </w:rPr>
        <w:t>（</w:t>
      </w:r>
      <w:r>
        <w:rPr>
          <w:rFonts w:ascii="Calibri" w:hAnsi="Calibri" w:eastAsia="Times New Roman" w:cs="Times New Roman"/>
          <w:color w:val="auto"/>
          <w:szCs w:val="24"/>
          <w:highlight w:val="none"/>
        </w:rPr>
        <w:t>1</w:t>
      </w:r>
      <w:r>
        <w:rPr>
          <w:rFonts w:ascii="宋体" w:hAnsi="宋体" w:eastAsia="宋体" w:cs="Times New Roman"/>
          <w:color w:val="auto"/>
          <w:szCs w:val="24"/>
          <w:highlight w:val="none"/>
        </w:rPr>
        <w:t>）严格遵守《中华人民共和国安全生产法》等国家有关安全生产的法律法规</w:t>
      </w:r>
      <w:r>
        <w:rPr>
          <w:rFonts w:hint="eastAsia" w:ascii="宋体" w:hAnsi="宋体" w:eastAsia="宋体" w:cs="Times New Roman"/>
          <w:color w:val="auto"/>
          <w:szCs w:val="24"/>
          <w:highlight w:val="none"/>
        </w:rPr>
        <w:t>，</w:t>
      </w:r>
      <w:r>
        <w:rPr>
          <w:rFonts w:ascii="宋体" w:hAnsi="宋体" w:eastAsia="宋体" w:cs="Times New Roman"/>
          <w:color w:val="auto"/>
          <w:szCs w:val="24"/>
          <w:highlight w:val="none"/>
        </w:rPr>
        <w:t>认真执行</w:t>
      </w:r>
      <w:r>
        <w:rPr>
          <w:rFonts w:hint="eastAsia" w:ascii="宋体" w:hAnsi="宋体" w:eastAsia="宋体" w:cs="Times New Roman"/>
          <w:color w:val="auto"/>
          <w:szCs w:val="24"/>
          <w:highlight w:val="none"/>
        </w:rPr>
        <w:t>项目</w:t>
      </w:r>
      <w:r>
        <w:rPr>
          <w:rFonts w:ascii="宋体" w:hAnsi="宋体" w:eastAsia="宋体" w:cs="Times New Roman"/>
          <w:color w:val="auto"/>
          <w:szCs w:val="24"/>
          <w:highlight w:val="none"/>
        </w:rPr>
        <w:t>承包合同中的有关安全要求。</w:t>
      </w:r>
    </w:p>
    <w:p w14:paraId="4FF604D7">
      <w:pPr>
        <w:spacing w:line="360" w:lineRule="auto"/>
        <w:ind w:left="420" w:firstLine="420" w:firstLineChars="200"/>
        <w:rPr>
          <w:rFonts w:hint="eastAsia" w:ascii="宋体" w:hAnsi="宋体" w:eastAsia="宋体" w:cs="Times New Roman"/>
          <w:color w:val="auto"/>
          <w:szCs w:val="24"/>
          <w:highlight w:val="none"/>
        </w:rPr>
      </w:pPr>
      <w:r>
        <w:rPr>
          <w:rFonts w:ascii="宋体" w:hAnsi="宋体" w:eastAsia="宋体" w:cs="Times New Roman"/>
          <w:color w:val="auto"/>
          <w:szCs w:val="24"/>
          <w:highlight w:val="none"/>
        </w:rPr>
        <w:t>（</w:t>
      </w:r>
      <w:r>
        <w:rPr>
          <w:rFonts w:ascii="Calibri" w:hAnsi="Calibri" w:eastAsia="Times New Roman" w:cs="Times New Roman"/>
          <w:color w:val="auto"/>
          <w:szCs w:val="24"/>
          <w:highlight w:val="none"/>
        </w:rPr>
        <w:t>2</w:t>
      </w:r>
      <w:r>
        <w:rPr>
          <w:rFonts w:ascii="宋体" w:hAnsi="宋体" w:eastAsia="宋体" w:cs="Times New Roman"/>
          <w:color w:val="auto"/>
          <w:szCs w:val="24"/>
          <w:highlight w:val="none"/>
        </w:rPr>
        <w:t>）坚持</w:t>
      </w:r>
      <w:r>
        <w:rPr>
          <w:rFonts w:ascii="Calibri" w:hAnsi="Calibri" w:eastAsia="Times New Roman" w:cs="Times New Roman"/>
          <w:color w:val="auto"/>
          <w:szCs w:val="24"/>
          <w:highlight w:val="none"/>
        </w:rPr>
        <w:t>“</w:t>
      </w:r>
      <w:r>
        <w:rPr>
          <w:rFonts w:ascii="宋体" w:hAnsi="宋体" w:eastAsia="宋体" w:cs="Times New Roman"/>
          <w:color w:val="auto"/>
          <w:szCs w:val="24"/>
          <w:highlight w:val="none"/>
        </w:rPr>
        <w:t>安全第一、预防为主</w:t>
      </w:r>
      <w:r>
        <w:rPr>
          <w:rFonts w:ascii="Calibri" w:hAnsi="Calibri" w:eastAsia="Times New Roman" w:cs="Times New Roman"/>
          <w:color w:val="auto"/>
          <w:szCs w:val="24"/>
          <w:highlight w:val="none"/>
        </w:rPr>
        <w:t>”</w:t>
      </w:r>
      <w:r>
        <w:rPr>
          <w:rFonts w:ascii="宋体" w:hAnsi="宋体" w:eastAsia="宋体" w:cs="Times New Roman"/>
          <w:color w:val="auto"/>
          <w:szCs w:val="24"/>
          <w:highlight w:val="none"/>
        </w:rPr>
        <w:t>的原则，加强安全生产宣传教育，增强全员安全生产意识，建立健全各项安全生产的管理机构和安全生产管理制度，有组织有领导地开展安全生产活动。各级领导、生产管理人员和具体操作人员，必须熟悉和遵守本合同的各项规定，做到</w:t>
      </w:r>
      <w:r>
        <w:rPr>
          <w:rFonts w:hint="eastAsia" w:ascii="宋体" w:hAnsi="宋体" w:eastAsia="宋体" w:cs="Times New Roman"/>
          <w:color w:val="auto"/>
          <w:szCs w:val="24"/>
          <w:highlight w:val="none"/>
        </w:rPr>
        <w:t>工作</w:t>
      </w:r>
      <w:r>
        <w:rPr>
          <w:rFonts w:ascii="宋体" w:hAnsi="宋体" w:eastAsia="宋体" w:cs="Times New Roman"/>
          <w:color w:val="auto"/>
          <w:szCs w:val="24"/>
          <w:highlight w:val="none"/>
        </w:rPr>
        <w:t>与安全工作同时计划、布置、检查、总结和评比。</w:t>
      </w:r>
    </w:p>
    <w:p w14:paraId="0C10EC3D">
      <w:pPr>
        <w:spacing w:line="360" w:lineRule="auto"/>
        <w:ind w:left="420" w:firstLine="420" w:firstLineChars="200"/>
        <w:rPr>
          <w:rFonts w:hint="eastAsia" w:ascii="宋体" w:hAnsi="宋体" w:eastAsia="宋体" w:cs="Times New Roman"/>
          <w:color w:val="auto"/>
          <w:szCs w:val="24"/>
          <w:highlight w:val="none"/>
        </w:rPr>
      </w:pPr>
      <w:r>
        <w:rPr>
          <w:rFonts w:ascii="宋体" w:hAnsi="宋体" w:eastAsia="宋体" w:cs="Times New Roman"/>
          <w:color w:val="auto"/>
          <w:szCs w:val="24"/>
          <w:highlight w:val="none"/>
        </w:rPr>
        <w:t>（</w:t>
      </w:r>
      <w:r>
        <w:rPr>
          <w:rFonts w:ascii="Calibri" w:hAnsi="Calibri" w:eastAsia="Times New Roman" w:cs="Times New Roman"/>
          <w:color w:val="auto"/>
          <w:szCs w:val="24"/>
          <w:highlight w:val="none"/>
        </w:rPr>
        <w:t>3</w:t>
      </w:r>
      <w:r>
        <w:rPr>
          <w:rFonts w:ascii="宋体" w:hAnsi="宋体" w:eastAsia="宋体" w:cs="Times New Roman"/>
          <w:color w:val="auto"/>
          <w:szCs w:val="24"/>
          <w:highlight w:val="none"/>
        </w:rPr>
        <w:t>）建立健全安全生产责任制。从项目</w:t>
      </w:r>
      <w:r>
        <w:rPr>
          <w:rFonts w:hint="eastAsia" w:ascii="宋体" w:hAnsi="宋体" w:eastAsia="宋体" w:cs="Times New Roman"/>
          <w:color w:val="auto"/>
          <w:szCs w:val="24"/>
          <w:highlight w:val="none"/>
        </w:rPr>
        <w:t>负责人</w:t>
      </w:r>
      <w:r>
        <w:rPr>
          <w:rFonts w:ascii="宋体" w:hAnsi="宋体" w:eastAsia="宋体" w:cs="Times New Roman"/>
          <w:color w:val="auto"/>
          <w:szCs w:val="24"/>
          <w:highlight w:val="none"/>
        </w:rPr>
        <w:t>到</w:t>
      </w:r>
      <w:r>
        <w:rPr>
          <w:rFonts w:hint="eastAsia" w:ascii="宋体" w:hAnsi="宋体" w:eastAsia="宋体" w:cs="Times New Roman"/>
          <w:color w:val="auto"/>
          <w:szCs w:val="24"/>
          <w:highlight w:val="none"/>
        </w:rPr>
        <w:t>具体操作</w:t>
      </w:r>
      <w:r>
        <w:rPr>
          <w:rFonts w:ascii="宋体" w:hAnsi="宋体" w:eastAsia="宋体" w:cs="Times New Roman"/>
          <w:color w:val="auto"/>
          <w:szCs w:val="24"/>
          <w:highlight w:val="none"/>
        </w:rPr>
        <w:t>工人的安全生产管理系统必须做到纵向到底，</w:t>
      </w:r>
      <w:r>
        <w:rPr>
          <w:rFonts w:ascii="Calibri" w:hAnsi="Calibri" w:eastAsia="Times New Roman" w:cs="Times New Roman"/>
          <w:color w:val="auto"/>
          <w:szCs w:val="24"/>
          <w:highlight w:val="none"/>
        </w:rPr>
        <w:t>—</w:t>
      </w:r>
      <w:r>
        <w:rPr>
          <w:rFonts w:ascii="宋体" w:hAnsi="宋体" w:eastAsia="宋体" w:cs="Times New Roman"/>
          <w:color w:val="auto"/>
          <w:szCs w:val="24"/>
          <w:highlight w:val="none"/>
        </w:rPr>
        <w:t>环不漏；各部门、人员的安全生产责任制做到横向到边，人人有责。</w:t>
      </w:r>
    </w:p>
    <w:p w14:paraId="56B55343">
      <w:pPr>
        <w:spacing w:line="360" w:lineRule="auto"/>
        <w:ind w:left="420" w:firstLine="420" w:firstLineChars="200"/>
        <w:rPr>
          <w:rFonts w:hint="eastAsia" w:ascii="宋体" w:hAnsi="宋体" w:eastAsia="宋体" w:cs="Times New Roman"/>
          <w:color w:val="auto"/>
          <w:szCs w:val="24"/>
          <w:highlight w:val="none"/>
        </w:rPr>
      </w:pPr>
      <w:r>
        <w:rPr>
          <w:rFonts w:ascii="宋体" w:hAnsi="宋体" w:eastAsia="宋体" w:cs="Times New Roman"/>
          <w:color w:val="auto"/>
          <w:szCs w:val="24"/>
          <w:highlight w:val="none"/>
        </w:rPr>
        <w:t>（</w:t>
      </w:r>
      <w:r>
        <w:rPr>
          <w:rFonts w:ascii="Calibri" w:hAnsi="Calibri" w:eastAsia="Times New Roman" w:cs="Times New Roman"/>
          <w:color w:val="auto"/>
          <w:szCs w:val="24"/>
          <w:highlight w:val="none"/>
        </w:rPr>
        <w:t>4</w:t>
      </w:r>
      <w:r>
        <w:rPr>
          <w:rFonts w:ascii="宋体" w:hAnsi="宋体" w:eastAsia="宋体" w:cs="Times New Roman"/>
          <w:color w:val="auto"/>
          <w:szCs w:val="24"/>
          <w:highlight w:val="none"/>
        </w:rPr>
        <w:t>）承包人在任何时候都应采取各种合理的预防措施，防止其员工发生任何违法、违禁、暴力或妨碍治安的行为。</w:t>
      </w:r>
    </w:p>
    <w:p w14:paraId="4A844DE0">
      <w:pPr>
        <w:spacing w:line="360" w:lineRule="auto"/>
        <w:ind w:left="420" w:leftChars="200" w:firstLine="420" w:firstLineChars="200"/>
        <w:rPr>
          <w:rFonts w:hint="eastAsia" w:ascii="宋体" w:hAnsi="宋体" w:eastAsia="宋体" w:cs="Times New Roman"/>
          <w:color w:val="auto"/>
          <w:szCs w:val="24"/>
          <w:highlight w:val="none"/>
        </w:rPr>
      </w:pPr>
      <w:r>
        <w:rPr>
          <w:rFonts w:ascii="宋体" w:hAnsi="宋体" w:eastAsia="宋体" w:cs="Times New Roman"/>
          <w:color w:val="auto"/>
          <w:szCs w:val="24"/>
          <w:highlight w:val="none"/>
        </w:rPr>
        <w:t>（</w:t>
      </w:r>
      <w:r>
        <w:rPr>
          <w:rFonts w:ascii="Calibri" w:hAnsi="Calibri" w:eastAsia="Times New Roman" w:cs="Times New Roman"/>
          <w:color w:val="auto"/>
          <w:szCs w:val="24"/>
          <w:highlight w:val="none"/>
        </w:rPr>
        <w:t>5</w:t>
      </w:r>
      <w:r>
        <w:rPr>
          <w:rFonts w:ascii="宋体" w:hAnsi="宋体" w:eastAsia="宋体" w:cs="Times New Roman"/>
          <w:color w:val="auto"/>
          <w:szCs w:val="24"/>
          <w:highlight w:val="none"/>
        </w:rPr>
        <w:t>）承包人必须接受安全技术教育，熟知和遵守本工种的各项安全技术操作规程，定期进行安全技术考核，合格者方准上岗操作。</w:t>
      </w:r>
    </w:p>
    <w:p w14:paraId="31A37859">
      <w:pPr>
        <w:spacing w:line="360" w:lineRule="auto"/>
        <w:ind w:left="420" w:firstLine="420" w:firstLineChars="200"/>
        <w:rPr>
          <w:rFonts w:hint="eastAsia" w:ascii="宋体" w:hAnsi="宋体" w:eastAsia="宋体" w:cs="Times New Roman"/>
          <w:color w:val="auto"/>
          <w:szCs w:val="24"/>
          <w:highlight w:val="none"/>
        </w:rPr>
      </w:pPr>
      <w:r>
        <w:rPr>
          <w:rFonts w:ascii="宋体" w:hAnsi="宋体" w:eastAsia="宋体" w:cs="Times New Roman"/>
          <w:color w:val="auto"/>
          <w:szCs w:val="24"/>
          <w:highlight w:val="none"/>
        </w:rPr>
        <w:t>（</w:t>
      </w:r>
      <w:r>
        <w:rPr>
          <w:rFonts w:ascii="Calibri" w:hAnsi="Calibri" w:eastAsia="Times New Roman" w:cs="Times New Roman"/>
          <w:color w:val="auto"/>
          <w:szCs w:val="24"/>
          <w:highlight w:val="none"/>
        </w:rPr>
        <w:t>6</w:t>
      </w:r>
      <w:r>
        <w:rPr>
          <w:rFonts w:ascii="宋体" w:hAnsi="宋体" w:eastAsia="宋体" w:cs="Times New Roman"/>
          <w:color w:val="auto"/>
          <w:szCs w:val="24"/>
          <w:highlight w:val="none"/>
        </w:rPr>
        <w:t>）操作人员上岗，必须按规定穿戴防护用品。不按规定穿戴防护用品的人员不得上岗。</w:t>
      </w:r>
    </w:p>
    <w:p w14:paraId="70E6462C">
      <w:pPr>
        <w:spacing w:line="360" w:lineRule="auto"/>
        <w:ind w:left="420" w:firstLine="420" w:firstLineChars="200"/>
        <w:rPr>
          <w:rFonts w:hint="eastAsia" w:ascii="宋体" w:hAnsi="宋体" w:eastAsia="宋体" w:cs="Times New Roman"/>
          <w:color w:val="auto"/>
          <w:szCs w:val="24"/>
          <w:highlight w:val="none"/>
        </w:rPr>
      </w:pPr>
      <w:r>
        <w:rPr>
          <w:rFonts w:ascii="宋体" w:hAnsi="宋体" w:eastAsia="宋体" w:cs="Times New Roman"/>
          <w:color w:val="auto"/>
          <w:szCs w:val="24"/>
          <w:highlight w:val="none"/>
        </w:rPr>
        <w:t>（</w:t>
      </w:r>
      <w:r>
        <w:rPr>
          <w:rFonts w:ascii="Calibri" w:hAnsi="Calibri" w:eastAsia="Times New Roman" w:cs="Times New Roman"/>
          <w:color w:val="auto"/>
          <w:szCs w:val="24"/>
          <w:highlight w:val="none"/>
        </w:rPr>
        <w:t>7</w:t>
      </w:r>
      <w:r>
        <w:rPr>
          <w:rFonts w:ascii="宋体" w:hAnsi="宋体" w:eastAsia="宋体" w:cs="Times New Roman"/>
          <w:color w:val="auto"/>
          <w:szCs w:val="24"/>
          <w:highlight w:val="none"/>
        </w:rPr>
        <w:t>）所有施工机具设备</w:t>
      </w:r>
      <w:r>
        <w:rPr>
          <w:rFonts w:hint="eastAsia" w:ascii="宋体" w:hAnsi="宋体" w:eastAsia="宋体" w:cs="Times New Roman"/>
          <w:color w:val="auto"/>
          <w:szCs w:val="24"/>
          <w:highlight w:val="none"/>
        </w:rPr>
        <w:t>、车辆</w:t>
      </w:r>
      <w:r>
        <w:rPr>
          <w:rFonts w:ascii="宋体" w:hAnsi="宋体" w:eastAsia="宋体" w:cs="Times New Roman"/>
          <w:color w:val="auto"/>
          <w:szCs w:val="24"/>
          <w:highlight w:val="none"/>
        </w:rPr>
        <w:t>均应定期检查，并有安全员的签字记录，保证其经常处于完好状态；不合格的机具、设备和劳动保护用品严禁使用。</w:t>
      </w:r>
    </w:p>
    <w:p w14:paraId="27C982AA">
      <w:pPr>
        <w:spacing w:line="360" w:lineRule="auto"/>
        <w:ind w:left="420" w:firstLine="420" w:firstLineChars="200"/>
        <w:rPr>
          <w:rFonts w:hint="eastAsia" w:ascii="宋体" w:hAnsi="宋体" w:eastAsia="宋体" w:cs="Times New Roman"/>
          <w:color w:val="auto"/>
          <w:szCs w:val="24"/>
          <w:highlight w:val="none"/>
        </w:rPr>
      </w:pPr>
      <w:r>
        <w:rPr>
          <w:rFonts w:ascii="宋体" w:hAnsi="宋体" w:eastAsia="宋体" w:cs="Times New Roman"/>
          <w:color w:val="auto"/>
          <w:szCs w:val="24"/>
          <w:highlight w:val="none"/>
        </w:rPr>
        <w:t>（</w:t>
      </w:r>
      <w:r>
        <w:rPr>
          <w:rFonts w:ascii="Calibri" w:hAnsi="Calibri" w:eastAsia="Times New Roman" w:cs="Times New Roman"/>
          <w:color w:val="auto"/>
          <w:szCs w:val="24"/>
          <w:highlight w:val="none"/>
        </w:rPr>
        <w:t>8</w:t>
      </w:r>
      <w:r>
        <w:rPr>
          <w:rFonts w:ascii="宋体" w:hAnsi="宋体" w:eastAsia="宋体" w:cs="Times New Roman"/>
          <w:color w:val="auto"/>
          <w:szCs w:val="24"/>
          <w:highlight w:val="none"/>
        </w:rPr>
        <w:t>）承包人必须按照本项目特点，组织制定本</w:t>
      </w:r>
      <w:r>
        <w:rPr>
          <w:rFonts w:hint="eastAsia" w:ascii="宋体" w:hAnsi="宋体" w:eastAsia="宋体" w:cs="Times New Roman"/>
          <w:color w:val="auto"/>
          <w:szCs w:val="24"/>
          <w:highlight w:val="none"/>
        </w:rPr>
        <w:t>项目</w:t>
      </w:r>
      <w:r>
        <w:rPr>
          <w:rFonts w:ascii="宋体" w:hAnsi="宋体" w:eastAsia="宋体" w:cs="Times New Roman"/>
          <w:color w:val="auto"/>
          <w:szCs w:val="24"/>
          <w:highlight w:val="none"/>
        </w:rPr>
        <w:t>实施中的生产安全事故应急救援预案；如果发生安全事故，应按照《国务院关于特大安全事故行政责任追究的规定》以及其他有关规定，及时上报有关部门，并坚持</w:t>
      </w:r>
      <w:r>
        <w:rPr>
          <w:rFonts w:ascii="Calibri" w:hAnsi="Calibri" w:eastAsia="Times New Roman" w:cs="Times New Roman"/>
          <w:color w:val="auto"/>
          <w:szCs w:val="24"/>
          <w:highlight w:val="none"/>
        </w:rPr>
        <w:t>“</w:t>
      </w:r>
      <w:r>
        <w:rPr>
          <w:rFonts w:ascii="宋体" w:hAnsi="宋体" w:eastAsia="宋体" w:cs="Times New Roman"/>
          <w:color w:val="auto"/>
          <w:szCs w:val="24"/>
          <w:highlight w:val="none"/>
        </w:rPr>
        <w:t>四不放过</w:t>
      </w:r>
      <w:r>
        <w:rPr>
          <w:rFonts w:ascii="Calibri" w:hAnsi="Calibri" w:eastAsia="Times New Roman" w:cs="Times New Roman"/>
          <w:color w:val="auto"/>
          <w:szCs w:val="24"/>
          <w:highlight w:val="none"/>
        </w:rPr>
        <w:t>”</w:t>
      </w:r>
      <w:r>
        <w:rPr>
          <w:rFonts w:ascii="宋体" w:hAnsi="宋体" w:eastAsia="宋体" w:cs="Times New Roman"/>
          <w:color w:val="auto"/>
          <w:szCs w:val="24"/>
          <w:highlight w:val="none"/>
        </w:rPr>
        <w:t>的原则，严肃处理相关责任人。</w:t>
      </w:r>
    </w:p>
    <w:p w14:paraId="0D4FC915">
      <w:pPr>
        <w:spacing w:line="360" w:lineRule="auto"/>
        <w:ind w:left="420" w:firstLine="420" w:firstLineChars="200"/>
        <w:rPr>
          <w:rFonts w:hint="eastAsia" w:ascii="宋体" w:hAnsi="宋体" w:eastAsia="宋体" w:cs="Times New Roman"/>
          <w:color w:val="auto"/>
          <w:szCs w:val="24"/>
          <w:highlight w:val="none"/>
        </w:rPr>
      </w:pPr>
      <w:r>
        <w:rPr>
          <w:rFonts w:ascii="宋体" w:hAnsi="宋体" w:eastAsia="宋体" w:cs="Times New Roman"/>
          <w:color w:val="auto"/>
          <w:szCs w:val="24"/>
          <w:highlight w:val="none"/>
        </w:rPr>
        <w:t>（</w:t>
      </w:r>
      <w:r>
        <w:rPr>
          <w:rFonts w:hint="eastAsia" w:ascii="Calibri" w:hAnsi="Calibri" w:eastAsia="宋体" w:cs="Times New Roman"/>
          <w:color w:val="auto"/>
          <w:szCs w:val="24"/>
          <w:highlight w:val="none"/>
        </w:rPr>
        <w:t>9</w:t>
      </w:r>
      <w:r>
        <w:rPr>
          <w:rFonts w:ascii="宋体" w:hAnsi="宋体" w:eastAsia="宋体" w:cs="Times New Roman"/>
          <w:color w:val="auto"/>
          <w:szCs w:val="24"/>
          <w:highlight w:val="none"/>
        </w:rPr>
        <w:t>）承包人在</w:t>
      </w:r>
      <w:r>
        <w:rPr>
          <w:rFonts w:hint="eastAsia" w:ascii="宋体" w:hAnsi="宋体" w:eastAsia="宋体" w:cs="Times New Roman"/>
          <w:color w:val="auto"/>
          <w:szCs w:val="24"/>
          <w:highlight w:val="none"/>
        </w:rPr>
        <w:t>项目实施</w:t>
      </w:r>
      <w:r>
        <w:rPr>
          <w:rFonts w:ascii="宋体" w:hAnsi="宋体" w:eastAsia="宋体" w:cs="Times New Roman"/>
          <w:color w:val="auto"/>
          <w:szCs w:val="24"/>
          <w:highlight w:val="none"/>
        </w:rPr>
        <w:t>期间应当服从发包人等行业主管部门的监督、检查、指令，并积极做好相关配合工作。</w:t>
      </w:r>
    </w:p>
    <w:p w14:paraId="157A14AD">
      <w:pPr>
        <w:spacing w:line="360" w:lineRule="auto"/>
        <w:ind w:left="420" w:firstLine="420" w:firstLineChars="200"/>
        <w:rPr>
          <w:rFonts w:hint="eastAsia" w:ascii="宋体" w:hAnsi="宋体" w:eastAsia="宋体" w:cs="Times New Roman"/>
          <w:color w:val="auto"/>
          <w:szCs w:val="24"/>
          <w:highlight w:val="none"/>
        </w:rPr>
      </w:pPr>
      <w:r>
        <w:rPr>
          <w:rFonts w:ascii="Calibri" w:hAnsi="Calibri" w:eastAsia="Times New Roman" w:cs="Times New Roman"/>
          <w:color w:val="auto"/>
          <w:szCs w:val="24"/>
          <w:highlight w:val="none"/>
        </w:rPr>
        <w:t>3.</w:t>
      </w:r>
      <w:r>
        <w:rPr>
          <w:rFonts w:ascii="宋体" w:hAnsi="宋体" w:eastAsia="宋体" w:cs="Times New Roman"/>
          <w:color w:val="auto"/>
          <w:szCs w:val="24"/>
          <w:highlight w:val="none"/>
        </w:rPr>
        <w:t>违约责任</w:t>
      </w:r>
    </w:p>
    <w:p w14:paraId="414AB80F">
      <w:pPr>
        <w:spacing w:line="360" w:lineRule="auto"/>
        <w:ind w:left="420" w:firstLine="420" w:firstLineChars="200"/>
        <w:rPr>
          <w:rFonts w:hint="eastAsia" w:ascii="宋体" w:hAnsi="宋体" w:eastAsia="宋体" w:cs="Times New Roman"/>
          <w:color w:val="auto"/>
          <w:szCs w:val="24"/>
          <w:highlight w:val="none"/>
        </w:rPr>
      </w:pPr>
      <w:r>
        <w:rPr>
          <w:rFonts w:ascii="宋体" w:hAnsi="宋体" w:eastAsia="宋体" w:cs="Times New Roman"/>
          <w:color w:val="auto"/>
          <w:szCs w:val="24"/>
          <w:highlight w:val="none"/>
        </w:rPr>
        <w:t>如因发包人或承包人违约造成安全事故，将依法追究责任。</w:t>
      </w:r>
    </w:p>
    <w:p w14:paraId="049F2C44">
      <w:pPr>
        <w:spacing w:line="360" w:lineRule="auto"/>
        <w:ind w:firstLine="840" w:firstLineChars="400"/>
        <w:rPr>
          <w:rFonts w:hint="eastAsia" w:ascii="宋体" w:hAnsi="宋体" w:eastAsia="宋体" w:cs="Times New Roman"/>
          <w:color w:val="auto"/>
          <w:szCs w:val="24"/>
          <w:highlight w:val="none"/>
        </w:rPr>
      </w:pPr>
      <w:r>
        <w:rPr>
          <w:rFonts w:ascii="Calibri" w:hAnsi="Calibri" w:eastAsia="Times New Roman" w:cs="Times New Roman"/>
          <w:color w:val="auto"/>
          <w:szCs w:val="24"/>
          <w:highlight w:val="none"/>
        </w:rPr>
        <w:t>4.</w:t>
      </w:r>
      <w:r>
        <w:rPr>
          <w:rFonts w:ascii="宋体" w:hAnsi="宋体" w:eastAsia="宋体" w:cs="Times New Roman"/>
          <w:color w:val="auto"/>
          <w:szCs w:val="24"/>
          <w:highlight w:val="none"/>
        </w:rPr>
        <w:t>本合同由双方法定代表人或其授权的代理人签署并加盖单位章后生效。</w:t>
      </w:r>
    </w:p>
    <w:p w14:paraId="57BF1CF5">
      <w:pPr>
        <w:spacing w:line="360" w:lineRule="auto"/>
        <w:ind w:left="420" w:firstLine="420" w:firstLineChars="200"/>
        <w:rPr>
          <w:rFonts w:hint="eastAsia" w:ascii="宋体" w:hAnsi="宋体" w:eastAsia="宋体" w:cs="Times New Roman"/>
          <w:color w:val="auto"/>
          <w:szCs w:val="24"/>
          <w:highlight w:val="none"/>
        </w:rPr>
      </w:pPr>
      <w:r>
        <w:rPr>
          <w:rFonts w:ascii="Calibri" w:hAnsi="Calibri" w:eastAsia="Times New Roman" w:cs="Times New Roman"/>
          <w:color w:val="auto"/>
          <w:szCs w:val="24"/>
          <w:highlight w:val="none"/>
        </w:rPr>
        <w:t>5.</w:t>
      </w:r>
      <w:r>
        <w:rPr>
          <w:rFonts w:ascii="宋体" w:hAnsi="宋体" w:eastAsia="宋体" w:cs="Times New Roman"/>
          <w:color w:val="auto"/>
          <w:szCs w:val="24"/>
          <w:highlight w:val="none"/>
        </w:rPr>
        <w:t>本合同正本</w:t>
      </w:r>
      <w:r>
        <w:rPr>
          <w:rFonts w:ascii="Calibri" w:hAnsi="Calibri" w:eastAsia="Times New Roman" w:cs="Times New Roman"/>
          <w:color w:val="auto"/>
          <w:szCs w:val="24"/>
          <w:highlight w:val="none"/>
        </w:rPr>
        <w:t>—</w:t>
      </w:r>
      <w:r>
        <w:rPr>
          <w:rFonts w:ascii="宋体" w:hAnsi="宋体" w:eastAsia="宋体" w:cs="Times New Roman"/>
          <w:color w:val="auto"/>
          <w:szCs w:val="24"/>
          <w:highlight w:val="none"/>
        </w:rPr>
        <w:t>式二份，副本份，合同双方各执正本</w:t>
      </w:r>
      <w:r>
        <w:rPr>
          <w:rFonts w:ascii="Calibri" w:hAnsi="Calibri" w:eastAsia="Times New Roman" w:cs="Times New Roman"/>
          <w:color w:val="auto"/>
          <w:szCs w:val="24"/>
          <w:highlight w:val="none"/>
        </w:rPr>
        <w:t>—</w:t>
      </w:r>
      <w:r>
        <w:rPr>
          <w:rFonts w:ascii="宋体" w:hAnsi="宋体" w:eastAsia="宋体" w:cs="Times New Roman"/>
          <w:color w:val="auto"/>
          <w:szCs w:val="24"/>
          <w:highlight w:val="none"/>
        </w:rPr>
        <w:t>份，副本份，当正本与副本的内容不一致时，以正本为准。</w:t>
      </w:r>
    </w:p>
    <w:p w14:paraId="09466A5C">
      <w:pPr>
        <w:spacing w:line="360" w:lineRule="auto"/>
        <w:ind w:firstLine="420" w:firstLineChars="200"/>
        <w:rPr>
          <w:rFonts w:ascii="Calibri" w:hAnsi="Calibri" w:eastAsia="Times New Roman" w:cs="Times New Roman"/>
          <w:color w:val="auto"/>
          <w:szCs w:val="24"/>
          <w:highlight w:val="none"/>
        </w:rPr>
      </w:pPr>
    </w:p>
    <w:p w14:paraId="668C532D">
      <w:pPr>
        <w:spacing w:line="360" w:lineRule="auto"/>
        <w:ind w:firstLine="420" w:firstLineChars="200"/>
        <w:rPr>
          <w:rFonts w:ascii="Calibri" w:hAnsi="Calibri" w:eastAsia="宋体" w:cs="Times New Roman"/>
          <w:color w:val="auto"/>
          <w:szCs w:val="24"/>
          <w:highlight w:val="none"/>
        </w:rPr>
      </w:pPr>
    </w:p>
    <w:p w14:paraId="02461E45">
      <w:pPr>
        <w:spacing w:line="360" w:lineRule="auto"/>
        <w:ind w:firstLine="420" w:firstLineChars="200"/>
        <w:rPr>
          <w:rFonts w:ascii="Calibri" w:hAnsi="Calibri" w:eastAsia="宋体" w:cs="Times New Roman"/>
          <w:color w:val="auto"/>
          <w:szCs w:val="24"/>
          <w:highlight w:val="none"/>
        </w:rPr>
      </w:pPr>
    </w:p>
    <w:p w14:paraId="5AB45D7F">
      <w:pPr>
        <w:spacing w:line="360" w:lineRule="auto"/>
        <w:ind w:firstLine="420" w:firstLineChars="200"/>
        <w:rPr>
          <w:rFonts w:ascii="Calibri" w:hAnsi="Calibri" w:eastAsia="宋体" w:cs="Times New Roman"/>
          <w:color w:val="auto"/>
          <w:szCs w:val="24"/>
          <w:highlight w:val="none"/>
        </w:rPr>
      </w:pPr>
    </w:p>
    <w:p w14:paraId="3B40498C">
      <w:pPr>
        <w:tabs>
          <w:tab w:val="left" w:pos="4410"/>
        </w:tabs>
        <w:spacing w:line="360" w:lineRule="auto"/>
        <w:ind w:firstLine="420" w:firstLineChars="200"/>
        <w:rPr>
          <w:rFonts w:hint="eastAsia" w:ascii="宋体" w:hAnsi="宋体" w:eastAsia="宋体" w:cs="Times New Roman"/>
          <w:color w:val="auto"/>
          <w:szCs w:val="24"/>
          <w:highlight w:val="none"/>
        </w:rPr>
      </w:pPr>
      <w:r>
        <w:rPr>
          <w:rFonts w:ascii="宋体" w:hAnsi="宋体" w:eastAsia="宋体" w:cs="Times New Roman"/>
          <w:color w:val="auto"/>
          <w:szCs w:val="24"/>
          <w:highlight w:val="none"/>
        </w:rPr>
        <w:t>发包人：（盖单位章）</w:t>
      </w:r>
      <w:r>
        <w:rPr>
          <w:rFonts w:ascii="Calibri" w:hAnsi="Calibri" w:eastAsia="Times New Roman" w:cs="Times New Roman"/>
          <w:color w:val="auto"/>
          <w:szCs w:val="24"/>
          <w:highlight w:val="none"/>
        </w:rPr>
        <w:tab/>
      </w:r>
      <w:r>
        <w:rPr>
          <w:rFonts w:ascii="宋体" w:hAnsi="宋体" w:eastAsia="宋体" w:cs="Times New Roman"/>
          <w:color w:val="auto"/>
          <w:szCs w:val="24"/>
          <w:highlight w:val="none"/>
        </w:rPr>
        <w:t>承包人：（盖单位章）</w:t>
      </w:r>
    </w:p>
    <w:p w14:paraId="624DDEFF">
      <w:pPr>
        <w:spacing w:line="360" w:lineRule="auto"/>
        <w:ind w:firstLine="420" w:firstLineChars="200"/>
        <w:rPr>
          <w:rFonts w:ascii="Calibri" w:hAnsi="Calibri" w:eastAsia="Times New Roman" w:cs="Times New Roman"/>
          <w:color w:val="auto"/>
          <w:szCs w:val="24"/>
          <w:highlight w:val="none"/>
        </w:rPr>
      </w:pPr>
    </w:p>
    <w:p w14:paraId="44E5E871">
      <w:pPr>
        <w:tabs>
          <w:tab w:val="left" w:pos="4420"/>
        </w:tabs>
        <w:spacing w:line="360" w:lineRule="auto"/>
        <w:ind w:firstLine="420" w:firstLineChars="200"/>
        <w:rPr>
          <w:rFonts w:hint="eastAsia" w:ascii="宋体" w:hAnsi="宋体" w:eastAsia="宋体" w:cs="Times New Roman"/>
          <w:color w:val="auto"/>
          <w:szCs w:val="24"/>
          <w:highlight w:val="none"/>
        </w:rPr>
      </w:pPr>
      <w:r>
        <w:rPr>
          <w:rFonts w:ascii="宋体" w:hAnsi="宋体" w:eastAsia="宋体" w:cs="Times New Roman"/>
          <w:color w:val="auto"/>
          <w:szCs w:val="24"/>
          <w:highlight w:val="none"/>
        </w:rPr>
        <w:t>法定代表人或其委托代理人：（签字）</w:t>
      </w:r>
      <w:r>
        <w:rPr>
          <w:rFonts w:ascii="Calibri" w:hAnsi="Calibri" w:eastAsia="Times New Roman" w:cs="Times New Roman"/>
          <w:color w:val="auto"/>
          <w:szCs w:val="24"/>
          <w:highlight w:val="none"/>
        </w:rPr>
        <w:tab/>
      </w:r>
      <w:r>
        <w:rPr>
          <w:rFonts w:ascii="宋体" w:hAnsi="宋体" w:eastAsia="宋体" w:cs="Times New Roman"/>
          <w:color w:val="auto"/>
          <w:szCs w:val="24"/>
          <w:highlight w:val="none"/>
        </w:rPr>
        <w:t>法定代表人或其委托代理人：（签字）</w:t>
      </w:r>
    </w:p>
    <w:p w14:paraId="52700496">
      <w:pPr>
        <w:spacing w:line="360" w:lineRule="auto"/>
        <w:ind w:firstLine="420" w:firstLineChars="200"/>
        <w:rPr>
          <w:rFonts w:ascii="Calibri" w:hAnsi="Calibri" w:eastAsia="Times New Roman" w:cs="Times New Roman"/>
          <w:color w:val="auto"/>
          <w:szCs w:val="24"/>
          <w:highlight w:val="none"/>
        </w:rPr>
      </w:pPr>
    </w:p>
    <w:p w14:paraId="49612169">
      <w:pPr>
        <w:tabs>
          <w:tab w:val="left" w:pos="4500"/>
        </w:tabs>
        <w:spacing w:line="360" w:lineRule="auto"/>
        <w:ind w:firstLine="420" w:firstLineChars="200"/>
        <w:rPr>
          <w:rFonts w:hint="eastAsia" w:ascii="宋体" w:hAnsi="宋体" w:eastAsia="宋体" w:cs="Times New Roman"/>
          <w:color w:val="auto"/>
          <w:szCs w:val="24"/>
          <w:highlight w:val="none"/>
        </w:rPr>
      </w:pPr>
      <w:r>
        <w:rPr>
          <w:rFonts w:ascii="宋体" w:hAnsi="宋体" w:eastAsia="宋体" w:cs="Times New Roman"/>
          <w:color w:val="auto"/>
          <w:szCs w:val="24"/>
          <w:highlight w:val="none"/>
        </w:rPr>
        <w:t>年月日</w:t>
      </w:r>
      <w:r>
        <w:rPr>
          <w:rFonts w:ascii="Calibri" w:hAnsi="Calibri" w:eastAsia="Times New Roman" w:cs="Times New Roman"/>
          <w:color w:val="auto"/>
          <w:szCs w:val="24"/>
          <w:highlight w:val="none"/>
        </w:rPr>
        <w:tab/>
      </w:r>
      <w:r>
        <w:rPr>
          <w:rFonts w:ascii="宋体" w:hAnsi="宋体" w:eastAsia="宋体" w:cs="Times New Roman"/>
          <w:color w:val="auto"/>
          <w:szCs w:val="24"/>
          <w:highlight w:val="none"/>
        </w:rPr>
        <w:t>年月日</w:t>
      </w:r>
    </w:p>
    <w:p w14:paraId="533DE148">
      <w:pPr>
        <w:spacing w:line="400" w:lineRule="exact"/>
        <w:ind w:firstLine="420" w:firstLineChars="200"/>
        <w:rPr>
          <w:rFonts w:hint="eastAsia" w:ascii="宋体" w:hAnsi="宋体" w:eastAsia="宋体" w:cs="Times New Roman"/>
          <w:color w:val="auto"/>
          <w:szCs w:val="21"/>
          <w:highlight w:val="none"/>
        </w:rPr>
      </w:pPr>
    </w:p>
    <w:p w14:paraId="46EB7872">
      <w:pPr>
        <w:snapToGrid w:val="0"/>
        <w:spacing w:line="260" w:lineRule="exact"/>
        <w:rPr>
          <w:rFonts w:hint="eastAsia" w:ascii="宋体" w:hAnsi="宋体" w:eastAsia="宋体" w:cs="Times New Roman"/>
          <w:color w:val="auto"/>
          <w:szCs w:val="21"/>
          <w:highlight w:val="none"/>
        </w:rPr>
      </w:pPr>
    </w:p>
    <w:p w14:paraId="1FE8DEAC">
      <w:pPr>
        <w:snapToGrid w:val="0"/>
        <w:spacing w:line="260" w:lineRule="exact"/>
        <w:rPr>
          <w:rFonts w:hint="eastAsia" w:ascii="宋体" w:hAnsi="宋体" w:eastAsia="宋体" w:cs="Times New Roman"/>
          <w:color w:val="auto"/>
          <w:szCs w:val="21"/>
          <w:highlight w:val="none"/>
        </w:rPr>
      </w:pPr>
    </w:p>
    <w:p w14:paraId="101E31AA">
      <w:pPr>
        <w:snapToGrid w:val="0"/>
        <w:spacing w:line="260" w:lineRule="exact"/>
        <w:rPr>
          <w:rFonts w:hint="eastAsia" w:ascii="宋体" w:hAnsi="宋体" w:eastAsia="宋体" w:cs="Times New Roman"/>
          <w:color w:val="auto"/>
          <w:szCs w:val="21"/>
          <w:highlight w:val="none"/>
        </w:rPr>
      </w:pPr>
    </w:p>
    <w:p w14:paraId="187EE57D">
      <w:pPr>
        <w:snapToGrid w:val="0"/>
        <w:spacing w:line="260" w:lineRule="exact"/>
        <w:rPr>
          <w:rFonts w:hint="eastAsia" w:ascii="宋体" w:hAnsi="宋体" w:eastAsia="宋体" w:cs="Times New Roman"/>
          <w:color w:val="auto"/>
          <w:szCs w:val="21"/>
          <w:highlight w:val="none"/>
        </w:rPr>
      </w:pPr>
    </w:p>
    <w:p w14:paraId="7ED81069">
      <w:pPr>
        <w:snapToGrid w:val="0"/>
        <w:spacing w:line="260" w:lineRule="exact"/>
        <w:rPr>
          <w:rFonts w:hint="eastAsia" w:ascii="宋体" w:hAnsi="宋体" w:eastAsia="宋体" w:cs="Times New Roman"/>
          <w:color w:val="auto"/>
          <w:szCs w:val="21"/>
          <w:highlight w:val="none"/>
        </w:rPr>
      </w:pPr>
    </w:p>
    <w:p w14:paraId="08E0B37F">
      <w:pPr>
        <w:snapToGrid w:val="0"/>
        <w:spacing w:line="260" w:lineRule="exact"/>
        <w:rPr>
          <w:rFonts w:hint="eastAsia" w:ascii="宋体" w:hAnsi="宋体" w:eastAsia="宋体" w:cs="Times New Roman"/>
          <w:color w:val="auto"/>
          <w:szCs w:val="21"/>
          <w:highlight w:val="none"/>
        </w:rPr>
      </w:pPr>
    </w:p>
    <w:p w14:paraId="6BB8E95E">
      <w:pPr>
        <w:snapToGrid w:val="0"/>
        <w:spacing w:line="260" w:lineRule="exact"/>
        <w:rPr>
          <w:rFonts w:hint="eastAsia" w:ascii="宋体" w:hAnsi="宋体" w:eastAsia="宋体" w:cs="Times New Roman"/>
          <w:color w:val="auto"/>
          <w:szCs w:val="21"/>
          <w:highlight w:val="none"/>
        </w:rPr>
      </w:pPr>
    </w:p>
    <w:p w14:paraId="6CF62117">
      <w:pPr>
        <w:snapToGrid w:val="0"/>
        <w:spacing w:line="260" w:lineRule="exact"/>
        <w:rPr>
          <w:rFonts w:hint="eastAsia" w:ascii="宋体" w:hAnsi="宋体" w:eastAsia="宋体" w:cs="Times New Roman"/>
          <w:color w:val="auto"/>
          <w:szCs w:val="21"/>
          <w:highlight w:val="none"/>
        </w:rPr>
      </w:pPr>
    </w:p>
    <w:p w14:paraId="3B189E7C">
      <w:pPr>
        <w:snapToGrid w:val="0"/>
        <w:spacing w:line="260" w:lineRule="exact"/>
        <w:rPr>
          <w:rFonts w:hint="eastAsia" w:ascii="宋体" w:hAnsi="宋体" w:eastAsia="宋体" w:cs="Times New Roman"/>
          <w:color w:val="auto"/>
          <w:szCs w:val="21"/>
          <w:highlight w:val="none"/>
        </w:rPr>
      </w:pPr>
    </w:p>
    <w:p w14:paraId="01AB97F2">
      <w:pPr>
        <w:snapToGrid w:val="0"/>
        <w:spacing w:line="260" w:lineRule="exact"/>
        <w:rPr>
          <w:rFonts w:hint="eastAsia" w:ascii="宋体" w:hAnsi="宋体" w:eastAsia="宋体" w:cs="Times New Roman"/>
          <w:color w:val="auto"/>
          <w:szCs w:val="21"/>
          <w:highlight w:val="none"/>
        </w:rPr>
      </w:pPr>
    </w:p>
    <w:p w14:paraId="7B658D33">
      <w:pPr>
        <w:snapToGrid w:val="0"/>
        <w:spacing w:line="260" w:lineRule="exact"/>
        <w:rPr>
          <w:rFonts w:hint="eastAsia" w:ascii="宋体" w:hAnsi="宋体" w:eastAsia="宋体" w:cs="Times New Roman"/>
          <w:color w:val="auto"/>
          <w:szCs w:val="21"/>
          <w:highlight w:val="none"/>
        </w:rPr>
      </w:pPr>
    </w:p>
    <w:p w14:paraId="6ABF1767">
      <w:pPr>
        <w:snapToGrid w:val="0"/>
        <w:spacing w:line="260" w:lineRule="exact"/>
        <w:rPr>
          <w:rFonts w:hint="eastAsia" w:ascii="宋体" w:hAnsi="宋体" w:eastAsia="宋体" w:cs="Times New Roman"/>
          <w:color w:val="auto"/>
          <w:szCs w:val="21"/>
          <w:highlight w:val="none"/>
        </w:rPr>
      </w:pPr>
    </w:p>
    <w:p w14:paraId="5A244449">
      <w:pPr>
        <w:snapToGrid w:val="0"/>
        <w:spacing w:line="260" w:lineRule="exact"/>
        <w:rPr>
          <w:rFonts w:hint="eastAsia" w:ascii="宋体" w:hAnsi="宋体" w:eastAsia="宋体" w:cs="Times New Roman"/>
          <w:color w:val="auto"/>
          <w:szCs w:val="21"/>
          <w:highlight w:val="none"/>
        </w:rPr>
      </w:pPr>
    </w:p>
    <w:p w14:paraId="1F5D1236">
      <w:pPr>
        <w:snapToGrid w:val="0"/>
        <w:spacing w:line="260" w:lineRule="exact"/>
        <w:rPr>
          <w:rFonts w:hint="eastAsia" w:ascii="宋体" w:hAnsi="宋体" w:eastAsia="宋体" w:cs="Times New Roman"/>
          <w:color w:val="auto"/>
          <w:szCs w:val="21"/>
          <w:highlight w:val="none"/>
        </w:rPr>
      </w:pPr>
    </w:p>
    <w:p w14:paraId="72CDA7AB">
      <w:pPr>
        <w:snapToGrid w:val="0"/>
        <w:spacing w:line="260" w:lineRule="exact"/>
        <w:rPr>
          <w:rFonts w:hint="eastAsia" w:ascii="宋体" w:hAnsi="宋体" w:eastAsia="宋体" w:cs="Times New Roman"/>
          <w:color w:val="auto"/>
          <w:szCs w:val="21"/>
          <w:highlight w:val="none"/>
        </w:rPr>
      </w:pPr>
    </w:p>
    <w:p w14:paraId="09965DA7">
      <w:pPr>
        <w:snapToGrid w:val="0"/>
        <w:spacing w:line="260" w:lineRule="exact"/>
        <w:rPr>
          <w:rFonts w:hint="eastAsia" w:ascii="宋体" w:hAnsi="宋体" w:eastAsia="宋体" w:cs="Times New Roman"/>
          <w:color w:val="auto"/>
          <w:szCs w:val="21"/>
          <w:highlight w:val="none"/>
        </w:rPr>
      </w:pPr>
    </w:p>
    <w:p w14:paraId="4D4A2DED">
      <w:pPr>
        <w:snapToGrid w:val="0"/>
        <w:spacing w:line="260" w:lineRule="exact"/>
        <w:rPr>
          <w:rFonts w:hint="eastAsia" w:ascii="宋体" w:hAnsi="宋体" w:eastAsia="宋体" w:cs="Times New Roman"/>
          <w:color w:val="auto"/>
          <w:szCs w:val="21"/>
          <w:highlight w:val="none"/>
        </w:rPr>
      </w:pPr>
    </w:p>
    <w:p w14:paraId="424D4F9B">
      <w:pPr>
        <w:snapToGrid w:val="0"/>
        <w:spacing w:line="260" w:lineRule="exact"/>
        <w:rPr>
          <w:rFonts w:hint="eastAsia" w:ascii="宋体" w:hAnsi="宋体" w:eastAsia="宋体" w:cs="Times New Roman"/>
          <w:color w:val="auto"/>
          <w:szCs w:val="21"/>
          <w:highlight w:val="none"/>
        </w:rPr>
      </w:pPr>
    </w:p>
    <w:p w14:paraId="7602867A">
      <w:pPr>
        <w:snapToGrid w:val="0"/>
        <w:spacing w:line="260" w:lineRule="exact"/>
        <w:rPr>
          <w:rFonts w:hint="eastAsia" w:ascii="宋体" w:hAnsi="宋体" w:eastAsia="宋体" w:cs="Times New Roman"/>
          <w:color w:val="auto"/>
          <w:szCs w:val="21"/>
          <w:highlight w:val="none"/>
        </w:rPr>
      </w:pPr>
    </w:p>
    <w:p w14:paraId="6A3A01F9">
      <w:pPr>
        <w:snapToGrid w:val="0"/>
        <w:spacing w:line="260" w:lineRule="exact"/>
        <w:rPr>
          <w:rFonts w:hint="eastAsia" w:ascii="宋体" w:hAnsi="宋体" w:eastAsia="宋体" w:cs="Times New Roman"/>
          <w:color w:val="auto"/>
          <w:szCs w:val="21"/>
          <w:highlight w:val="none"/>
        </w:rPr>
      </w:pPr>
    </w:p>
    <w:p w14:paraId="0221AF36">
      <w:pPr>
        <w:snapToGrid w:val="0"/>
        <w:spacing w:line="260" w:lineRule="exact"/>
        <w:rPr>
          <w:rFonts w:hint="eastAsia" w:ascii="宋体" w:hAnsi="宋体" w:eastAsia="宋体" w:cs="Times New Roman"/>
          <w:color w:val="auto"/>
          <w:szCs w:val="21"/>
          <w:highlight w:val="none"/>
        </w:rPr>
      </w:pPr>
    </w:p>
    <w:p w14:paraId="046AAFBE">
      <w:pPr>
        <w:snapToGrid w:val="0"/>
        <w:spacing w:line="260" w:lineRule="exact"/>
        <w:rPr>
          <w:rFonts w:hint="eastAsia" w:ascii="宋体" w:hAnsi="宋体" w:eastAsia="宋体" w:cs="Times New Roman"/>
          <w:color w:val="auto"/>
          <w:szCs w:val="21"/>
          <w:highlight w:val="none"/>
        </w:rPr>
      </w:pPr>
    </w:p>
    <w:p w14:paraId="579CBFC6">
      <w:pPr>
        <w:snapToGrid w:val="0"/>
        <w:spacing w:line="260" w:lineRule="exact"/>
        <w:rPr>
          <w:rFonts w:hint="eastAsia" w:ascii="宋体" w:hAnsi="宋体" w:eastAsia="宋体" w:cs="Times New Roman"/>
          <w:color w:val="auto"/>
          <w:szCs w:val="21"/>
          <w:highlight w:val="none"/>
        </w:rPr>
      </w:pPr>
    </w:p>
    <w:p w14:paraId="3728B5A5">
      <w:pPr>
        <w:snapToGrid w:val="0"/>
        <w:spacing w:line="260" w:lineRule="exact"/>
        <w:rPr>
          <w:rFonts w:hint="eastAsia" w:ascii="宋体" w:hAnsi="宋体" w:eastAsia="宋体" w:cs="Times New Roman"/>
          <w:color w:val="auto"/>
          <w:szCs w:val="21"/>
          <w:highlight w:val="none"/>
        </w:rPr>
      </w:pPr>
    </w:p>
    <w:p w14:paraId="0674074A">
      <w:pPr>
        <w:snapToGrid w:val="0"/>
        <w:spacing w:line="260" w:lineRule="exact"/>
        <w:rPr>
          <w:rFonts w:hint="eastAsia" w:ascii="宋体" w:hAnsi="宋体" w:eastAsia="宋体" w:cs="Times New Roman"/>
          <w:color w:val="auto"/>
          <w:szCs w:val="21"/>
          <w:highlight w:val="none"/>
        </w:rPr>
      </w:pPr>
    </w:p>
    <w:p w14:paraId="3D7DA89C">
      <w:pPr>
        <w:snapToGrid w:val="0"/>
        <w:spacing w:line="260" w:lineRule="exact"/>
        <w:rPr>
          <w:rFonts w:hint="eastAsia" w:ascii="宋体" w:hAnsi="宋体" w:eastAsia="宋体" w:cs="Times New Roman"/>
          <w:color w:val="auto"/>
          <w:szCs w:val="21"/>
          <w:highlight w:val="none"/>
        </w:rPr>
      </w:pPr>
    </w:p>
    <w:p w14:paraId="1339B16D">
      <w:pPr>
        <w:snapToGrid w:val="0"/>
        <w:spacing w:line="260" w:lineRule="exact"/>
        <w:rPr>
          <w:rFonts w:hint="eastAsia" w:ascii="宋体" w:hAnsi="宋体" w:eastAsia="宋体" w:cs="Times New Roman"/>
          <w:color w:val="auto"/>
          <w:szCs w:val="21"/>
          <w:highlight w:val="none"/>
        </w:rPr>
      </w:pPr>
    </w:p>
    <w:p w14:paraId="1087072F">
      <w:pPr>
        <w:snapToGrid w:val="0"/>
        <w:spacing w:line="260" w:lineRule="exact"/>
        <w:rPr>
          <w:rFonts w:hint="eastAsia" w:ascii="宋体" w:hAnsi="宋体" w:eastAsia="宋体" w:cs="Times New Roman"/>
          <w:color w:val="auto"/>
          <w:szCs w:val="21"/>
          <w:highlight w:val="none"/>
        </w:rPr>
      </w:pPr>
    </w:p>
    <w:p w14:paraId="5C7F921B">
      <w:pPr>
        <w:snapToGrid w:val="0"/>
        <w:spacing w:line="260" w:lineRule="exact"/>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信贷政策</w:t>
      </w:r>
    </w:p>
    <w:p w14:paraId="705F7D7A">
      <w:pPr>
        <w:spacing w:line="260" w:lineRule="exact"/>
        <w:ind w:firstLine="420" w:firstLineChars="200"/>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p w14:paraId="5A820267">
      <w:pPr>
        <w:spacing w:line="240" w:lineRule="exact"/>
        <w:contextualSpacing/>
        <w:rPr>
          <w:rFonts w:hint="eastAsia" w:ascii="宋体" w:hAnsi="宋体" w:eastAsia="宋体" w:cs="Times New Roman"/>
          <w:color w:val="auto"/>
          <w:sz w:val="24"/>
          <w:szCs w:val="20"/>
          <w:highlight w:val="none"/>
        </w:rPr>
      </w:pPr>
    </w:p>
    <w:tbl>
      <w:tblPr>
        <w:tblStyle w:val="61"/>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4A783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563" w:type="dxa"/>
            <w:gridSpan w:val="4"/>
            <w:vAlign w:val="center"/>
          </w:tcPr>
          <w:p w14:paraId="7E50591F">
            <w:p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舟山市政府采购信用融资合作银行</w:t>
            </w:r>
          </w:p>
        </w:tc>
      </w:tr>
      <w:tr w14:paraId="1D874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460" w:type="dxa"/>
            <w:vAlign w:val="center"/>
          </w:tcPr>
          <w:p w14:paraId="0CBCF5FC">
            <w:pPr>
              <w:spacing w:line="240" w:lineRule="exact"/>
              <w:contextualSpacing/>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银行名称</w:t>
            </w:r>
          </w:p>
        </w:tc>
        <w:tc>
          <w:tcPr>
            <w:tcW w:w="3975" w:type="dxa"/>
            <w:vAlign w:val="center"/>
          </w:tcPr>
          <w:p w14:paraId="6D6A3DA3">
            <w:pPr>
              <w:spacing w:line="240" w:lineRule="exact"/>
              <w:contextualSpacing/>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各银行介绍的产品特点</w:t>
            </w:r>
          </w:p>
        </w:tc>
        <w:tc>
          <w:tcPr>
            <w:tcW w:w="2220" w:type="dxa"/>
            <w:vAlign w:val="center"/>
          </w:tcPr>
          <w:p w14:paraId="5F33E897">
            <w:pPr>
              <w:spacing w:line="240" w:lineRule="exact"/>
              <w:contextualSpacing/>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经办人</w:t>
            </w:r>
          </w:p>
        </w:tc>
        <w:tc>
          <w:tcPr>
            <w:tcW w:w="1908" w:type="dxa"/>
            <w:vAlign w:val="center"/>
          </w:tcPr>
          <w:p w14:paraId="0AFD3728">
            <w:pPr>
              <w:spacing w:line="240" w:lineRule="exact"/>
              <w:contextualSpacing/>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联系方式</w:t>
            </w:r>
          </w:p>
        </w:tc>
      </w:tr>
      <w:tr w14:paraId="3BCEF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460" w:type="dxa"/>
            <w:vAlign w:val="center"/>
          </w:tcPr>
          <w:p w14:paraId="0AFC34BF">
            <w:p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中国工商银行股份有限公司舟山分行</w:t>
            </w:r>
          </w:p>
        </w:tc>
        <w:tc>
          <w:tcPr>
            <w:tcW w:w="3975" w:type="dxa"/>
          </w:tcPr>
          <w:p w14:paraId="4A5DBE25">
            <w:pPr>
              <w:numPr>
                <w:ilvl w:val="0"/>
                <w:numId w:val="12"/>
              </w:numPr>
              <w:spacing w:line="240" w:lineRule="exact"/>
              <w:contextualSpacing/>
              <w:rPr>
                <w:rFonts w:hint="eastAsia" w:ascii="宋体" w:hAnsi="宋体" w:eastAsia="宋体" w:cs="仿宋_GB2312"/>
                <w:color w:val="auto"/>
                <w:szCs w:val="21"/>
                <w:highlight w:val="none"/>
              </w:rPr>
            </w:pPr>
            <w:r>
              <w:rPr>
                <w:rFonts w:hint="eastAsia" w:ascii="宋体" w:hAnsi="宋体" w:eastAsia="宋体" w:cs="仿宋_GB2312"/>
                <w:color w:val="auto"/>
                <w:szCs w:val="21"/>
                <w:highlight w:val="none"/>
              </w:rPr>
              <w:t>融资额度高，融资金额最高可至订单金额70%，线上申请，随借随还。2.融资利率低，最低可至当期LPR利率。</w:t>
            </w:r>
          </w:p>
          <w:p w14:paraId="48DD10C1">
            <w:pPr>
              <w:spacing w:line="240" w:lineRule="exact"/>
              <w:contextualSpacing/>
              <w:rPr>
                <w:rFonts w:hint="eastAsia" w:ascii="宋体" w:hAnsi="宋体" w:eastAsia="宋体" w:cs="Times New Roman"/>
                <w:color w:val="auto"/>
                <w:szCs w:val="21"/>
                <w:highlight w:val="none"/>
              </w:rPr>
            </w:pPr>
            <w:r>
              <w:rPr>
                <w:rFonts w:hint="eastAsia" w:ascii="宋体" w:hAnsi="宋体" w:eastAsia="宋体" w:cs="仿宋_GB2312"/>
                <w:color w:val="auto"/>
                <w:szCs w:val="21"/>
                <w:highlight w:val="none"/>
              </w:rPr>
              <w:t>3.担保方式灵活，以政府采购合同进行融资，无需另外抵押。</w:t>
            </w:r>
          </w:p>
        </w:tc>
        <w:tc>
          <w:tcPr>
            <w:tcW w:w="2220" w:type="dxa"/>
            <w:vAlign w:val="center"/>
          </w:tcPr>
          <w:p w14:paraId="4839CEF2">
            <w:pPr>
              <w:spacing w:line="240" w:lineRule="exact"/>
              <w:contextualSpacing/>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柳超颖</w:t>
            </w:r>
          </w:p>
        </w:tc>
        <w:tc>
          <w:tcPr>
            <w:tcW w:w="1908" w:type="dxa"/>
            <w:vAlign w:val="center"/>
          </w:tcPr>
          <w:p w14:paraId="4629DCAD">
            <w:p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0580-2166242, 15858076468</w:t>
            </w:r>
          </w:p>
        </w:tc>
      </w:tr>
      <w:tr w14:paraId="57F5B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56D20F6F">
            <w:p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中国建设银行股份有限公司舟山分行</w:t>
            </w:r>
          </w:p>
        </w:tc>
        <w:tc>
          <w:tcPr>
            <w:tcW w:w="3975" w:type="dxa"/>
          </w:tcPr>
          <w:p w14:paraId="0BAC80FD">
            <w:pPr>
              <w:numPr>
                <w:ilvl w:val="0"/>
                <w:numId w:val="13"/>
              </w:num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快速便捷：全流程线上操作，通过浙江省政府采购网数据审核信用额度，建行供应链平台快速放款。</w:t>
            </w:r>
          </w:p>
          <w:p w14:paraId="1C139DF9">
            <w:pPr>
              <w:numPr>
                <w:ilvl w:val="0"/>
                <w:numId w:val="13"/>
              </w:num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申请额度高：单笔融资额度最高可达政府采购合同金额的90%，单户额度最高可达3000万。</w:t>
            </w:r>
          </w:p>
          <w:p w14:paraId="24B87B0F">
            <w:pPr>
              <w:numPr>
                <w:ilvl w:val="0"/>
                <w:numId w:val="13"/>
              </w:num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无需额外抵押：以浙江省政府采购网备案公示的政府采购合同进行融资，无需额外抵押担保。</w:t>
            </w:r>
          </w:p>
          <w:p w14:paraId="132037CD">
            <w:pPr>
              <w:numPr>
                <w:ilvl w:val="0"/>
                <w:numId w:val="13"/>
              </w:num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利率优惠：给予流动资金贷款最优惠利率。</w:t>
            </w:r>
          </w:p>
        </w:tc>
        <w:tc>
          <w:tcPr>
            <w:tcW w:w="2220" w:type="dxa"/>
            <w:vAlign w:val="center"/>
          </w:tcPr>
          <w:p w14:paraId="4DF808F1">
            <w:pPr>
              <w:spacing w:line="240" w:lineRule="exact"/>
              <w:contextualSpacing/>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普陀片区：蔡妮妮</w:t>
            </w:r>
          </w:p>
          <w:p w14:paraId="773D41B7">
            <w:pPr>
              <w:spacing w:line="240" w:lineRule="exact"/>
              <w:contextualSpacing/>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定海片区：杨莹</w:t>
            </w:r>
          </w:p>
          <w:p w14:paraId="6038CF01">
            <w:pPr>
              <w:spacing w:line="240" w:lineRule="exact"/>
              <w:contextualSpacing/>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自贸区片区：方晓</w:t>
            </w:r>
          </w:p>
        </w:tc>
        <w:tc>
          <w:tcPr>
            <w:tcW w:w="1908" w:type="dxa"/>
            <w:vAlign w:val="center"/>
          </w:tcPr>
          <w:p w14:paraId="71F6CE13">
            <w:p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普陀片区：13957201791</w:t>
            </w:r>
          </w:p>
          <w:p w14:paraId="09C54D9D">
            <w:p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定海片区：13655803997</w:t>
            </w:r>
          </w:p>
          <w:p w14:paraId="7159197C">
            <w:p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自贸区片区：13587086324</w:t>
            </w:r>
          </w:p>
        </w:tc>
      </w:tr>
      <w:tr w14:paraId="178A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4C9ED471">
            <w:p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杭州银行股份有限公司舟山市分行</w:t>
            </w:r>
          </w:p>
        </w:tc>
        <w:tc>
          <w:tcPr>
            <w:tcW w:w="3975" w:type="dxa"/>
          </w:tcPr>
          <w:p w14:paraId="23B9CA47">
            <w:p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5469C17E">
            <w:pPr>
              <w:spacing w:line="240" w:lineRule="exact"/>
              <w:contextualSpacing/>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方经理</w:t>
            </w:r>
          </w:p>
        </w:tc>
        <w:tc>
          <w:tcPr>
            <w:tcW w:w="1908" w:type="dxa"/>
            <w:vAlign w:val="center"/>
          </w:tcPr>
          <w:p w14:paraId="2A1A0184">
            <w:p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0580-2185201，18205800451</w:t>
            </w:r>
          </w:p>
        </w:tc>
      </w:tr>
      <w:tr w14:paraId="7B724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395FADC0">
            <w:p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招商银行股份有限公司浙江自贸试验区舟山分行</w:t>
            </w:r>
          </w:p>
        </w:tc>
        <w:tc>
          <w:tcPr>
            <w:tcW w:w="3975" w:type="dxa"/>
          </w:tcPr>
          <w:p w14:paraId="1CECDA56">
            <w:pPr>
              <w:spacing w:line="240" w:lineRule="exact"/>
              <w:rPr>
                <w:rFonts w:hint="eastAsia" w:ascii="宋体" w:hAnsi="宋体" w:eastAsia="宋体" w:cs="Times New Roman"/>
                <w:color w:val="auto"/>
                <w:szCs w:val="21"/>
                <w:highlight w:val="none"/>
              </w:rPr>
            </w:pPr>
            <w:r>
              <w:rPr>
                <w:rFonts w:hint="eastAsia" w:ascii="宋体" w:hAnsi="宋体" w:eastAsia="宋体" w:cs="仿宋_GB2312"/>
                <w:color w:val="auto"/>
                <w:szCs w:val="21"/>
                <w:highlight w:val="none"/>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3E001ECD">
            <w:pPr>
              <w:spacing w:line="240" w:lineRule="exact"/>
              <w:contextualSpacing/>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李玲</w:t>
            </w:r>
          </w:p>
        </w:tc>
        <w:tc>
          <w:tcPr>
            <w:tcW w:w="1908" w:type="dxa"/>
            <w:vAlign w:val="center"/>
          </w:tcPr>
          <w:p w14:paraId="3C58482F">
            <w:p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0580-2061710，13957227971</w:t>
            </w:r>
          </w:p>
        </w:tc>
      </w:tr>
      <w:tr w14:paraId="23CF8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460" w:type="dxa"/>
            <w:vAlign w:val="center"/>
          </w:tcPr>
          <w:p w14:paraId="13FBF048">
            <w:p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温州银行股份有限公司舟山市分行</w:t>
            </w:r>
          </w:p>
        </w:tc>
        <w:tc>
          <w:tcPr>
            <w:tcW w:w="3975" w:type="dxa"/>
          </w:tcPr>
          <w:p w14:paraId="63DC88DD">
            <w:pPr>
              <w:numPr>
                <w:ilvl w:val="0"/>
                <w:numId w:val="14"/>
              </w:num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单户授信敞口最高不超过1000万元，且最高额度核定一般不超过借款人（含实际控制人控制的其他经营实体）最近13个月合计有效中标合同金额的70%。</w:t>
            </w:r>
          </w:p>
          <w:p w14:paraId="055F14B0">
            <w:pPr>
              <w:numPr>
                <w:ilvl w:val="0"/>
                <w:numId w:val="14"/>
              </w:num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单笔借款额度最高不超过1000万元，单笔业务授信额度不超过“政采云平台”提供的中标通知书承载的中标金额或本次申请授信提供的采购合同金额的80%，且用信金额不超过采购合同未付金额的80%。</w:t>
            </w:r>
          </w:p>
          <w:p w14:paraId="102599A7">
            <w:pPr>
              <w:numPr>
                <w:ilvl w:val="0"/>
                <w:numId w:val="14"/>
              </w:num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借款人中标采购人自行采购项目并向我行发起授信申请的，单笔业务授信敞口不超500万元，且不超过借款人中标通知书承载的中标金额或本次申请授信提供的采购合同的80%。</w:t>
            </w:r>
          </w:p>
          <w:p w14:paraId="3E1441B9">
            <w:pPr>
              <w:numPr>
                <w:ilvl w:val="0"/>
                <w:numId w:val="14"/>
              </w:num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符合我行采购人资质的，且负债率不超75%，配合应收账款质押登记确认的，并可出具确认函，单笔借款额度可按不超过采购合同的90%办理。</w:t>
            </w:r>
          </w:p>
        </w:tc>
        <w:tc>
          <w:tcPr>
            <w:tcW w:w="2220" w:type="dxa"/>
            <w:vAlign w:val="center"/>
          </w:tcPr>
          <w:p w14:paraId="6C8689B2">
            <w:pPr>
              <w:spacing w:line="240" w:lineRule="exact"/>
              <w:contextualSpacing/>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郑贤栋</w:t>
            </w:r>
          </w:p>
        </w:tc>
        <w:tc>
          <w:tcPr>
            <w:tcW w:w="1908" w:type="dxa"/>
            <w:vAlign w:val="center"/>
          </w:tcPr>
          <w:p w14:paraId="52277596">
            <w:p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058—8866086</w:t>
            </w:r>
          </w:p>
        </w:tc>
      </w:tr>
      <w:tr w14:paraId="70BB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73DBB1B9">
            <w:p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交通银行股份有限公司舟山分行</w:t>
            </w:r>
          </w:p>
        </w:tc>
        <w:tc>
          <w:tcPr>
            <w:tcW w:w="3975" w:type="dxa"/>
          </w:tcPr>
          <w:p w14:paraId="75ACCFD8">
            <w:pPr>
              <w:spacing w:line="240" w:lineRule="exact"/>
              <w:contextualSpacing/>
              <w:rPr>
                <w:rFonts w:hint="eastAsia" w:ascii="宋体" w:hAnsi="宋体" w:eastAsia="宋体" w:cs="Times New Roman"/>
                <w:color w:val="auto"/>
                <w:szCs w:val="21"/>
                <w:highlight w:val="none"/>
              </w:rPr>
            </w:pPr>
            <w:r>
              <w:rPr>
                <w:rFonts w:hint="eastAsia" w:ascii="宋体" w:hAnsi="宋体" w:eastAsia="宋体" w:cs="仿宋_GB2312"/>
                <w:color w:val="auto"/>
                <w:szCs w:val="21"/>
                <w:highlight w:val="none"/>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宋体" w:hAnsi="宋体" w:eastAsia="宋体" w:cs="Times New Roman"/>
                <w:color w:val="auto"/>
                <w:szCs w:val="21"/>
                <w:highlight w:val="none"/>
              </w:rPr>
              <w:t>PR</w:t>
            </w:r>
            <w:r>
              <w:rPr>
                <w:rFonts w:ascii="宋体" w:hAnsi="宋体" w:eastAsia="宋体" w:cs="Times New Roman"/>
                <w:color w:val="auto"/>
                <w:szCs w:val="21"/>
                <w:highlight w:val="none"/>
              </w:rPr>
              <w:t>。</w:t>
            </w:r>
          </w:p>
        </w:tc>
        <w:tc>
          <w:tcPr>
            <w:tcW w:w="2220" w:type="dxa"/>
            <w:vAlign w:val="center"/>
          </w:tcPr>
          <w:p w14:paraId="4E68C05A">
            <w:pPr>
              <w:spacing w:line="240" w:lineRule="exact"/>
              <w:contextualSpacing/>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赵争艳</w:t>
            </w:r>
          </w:p>
        </w:tc>
        <w:tc>
          <w:tcPr>
            <w:tcW w:w="1908" w:type="dxa"/>
            <w:vAlign w:val="center"/>
          </w:tcPr>
          <w:p w14:paraId="5CAB2450">
            <w:p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0580-2260728</w:t>
            </w:r>
          </w:p>
          <w:p w14:paraId="5151B9B6">
            <w:p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13758007280</w:t>
            </w:r>
          </w:p>
        </w:tc>
      </w:tr>
      <w:tr w14:paraId="7B34B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1683F9F1">
            <w:p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中信银行股份有限公司舟山分行</w:t>
            </w:r>
          </w:p>
        </w:tc>
        <w:tc>
          <w:tcPr>
            <w:tcW w:w="3975" w:type="dxa"/>
          </w:tcPr>
          <w:p w14:paraId="0E3FEDBD">
            <w:p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21B3BEB3">
            <w:pPr>
              <w:spacing w:line="240" w:lineRule="exact"/>
              <w:contextualSpacing/>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黄丽</w:t>
            </w:r>
          </w:p>
        </w:tc>
        <w:tc>
          <w:tcPr>
            <w:tcW w:w="1908" w:type="dxa"/>
            <w:vAlign w:val="center"/>
          </w:tcPr>
          <w:p w14:paraId="7819DCA6">
            <w:pPr>
              <w:spacing w:line="240" w:lineRule="exact"/>
              <w:contextualSpacing/>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13905808032</w:t>
            </w:r>
          </w:p>
        </w:tc>
      </w:tr>
      <w:tr w14:paraId="5B55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759A450D">
            <w:p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泰隆银行舟山市分行</w:t>
            </w:r>
          </w:p>
        </w:tc>
        <w:tc>
          <w:tcPr>
            <w:tcW w:w="3975" w:type="dxa"/>
          </w:tcPr>
          <w:p w14:paraId="60A325D7">
            <w:p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0C295120">
            <w:pPr>
              <w:spacing w:line="240" w:lineRule="exact"/>
              <w:contextualSpacing/>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胡亢宇</w:t>
            </w:r>
          </w:p>
        </w:tc>
        <w:tc>
          <w:tcPr>
            <w:tcW w:w="1908" w:type="dxa"/>
            <w:vAlign w:val="center"/>
          </w:tcPr>
          <w:p w14:paraId="2EA65D54">
            <w:p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17605868703</w:t>
            </w:r>
          </w:p>
        </w:tc>
      </w:tr>
      <w:tr w14:paraId="7C24E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155D4AC8">
            <w:p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中国农业银行股份有限公司舟山分行</w:t>
            </w:r>
          </w:p>
        </w:tc>
        <w:tc>
          <w:tcPr>
            <w:tcW w:w="3975" w:type="dxa"/>
          </w:tcPr>
          <w:p w14:paraId="51B965D6">
            <w:p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27EF6AEF">
            <w:pPr>
              <w:spacing w:line="240" w:lineRule="exact"/>
              <w:contextualSpacing/>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苏华瞻</w:t>
            </w:r>
          </w:p>
        </w:tc>
        <w:tc>
          <w:tcPr>
            <w:tcW w:w="1908" w:type="dxa"/>
            <w:vAlign w:val="center"/>
          </w:tcPr>
          <w:p w14:paraId="2F880ACF">
            <w:pPr>
              <w:spacing w:line="240" w:lineRule="exact"/>
              <w:contextualSpacing/>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13967228926</w:t>
            </w:r>
          </w:p>
        </w:tc>
      </w:tr>
      <w:tr w14:paraId="28981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2FC287C7">
            <w:p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中国邮政储蓄银行股份有限公司舟山市分行</w:t>
            </w:r>
          </w:p>
        </w:tc>
        <w:tc>
          <w:tcPr>
            <w:tcW w:w="3975" w:type="dxa"/>
          </w:tcPr>
          <w:p w14:paraId="6E025EC9">
            <w:pPr>
              <w:tabs>
                <w:tab w:val="left" w:pos="0"/>
              </w:tabs>
              <w:spacing w:line="24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54465769">
            <w:pPr>
              <w:spacing w:line="240" w:lineRule="exact"/>
              <w:contextualSpacing/>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蒋志燕</w:t>
            </w:r>
          </w:p>
        </w:tc>
        <w:tc>
          <w:tcPr>
            <w:tcW w:w="1908" w:type="dxa"/>
            <w:vAlign w:val="center"/>
          </w:tcPr>
          <w:p w14:paraId="63ED56FC">
            <w:pPr>
              <w:spacing w:line="240" w:lineRule="exact"/>
              <w:contextualSpacing/>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13732527321</w:t>
            </w:r>
          </w:p>
        </w:tc>
      </w:tr>
      <w:bookmarkEnd w:id="10"/>
    </w:tbl>
    <w:p w14:paraId="7CAFCA14">
      <w:pPr>
        <w:spacing w:line="260" w:lineRule="exact"/>
        <w:ind w:firstLine="555"/>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2.一般步骤</w:t>
      </w:r>
    </w:p>
    <w:p w14:paraId="07E2918B">
      <w:pPr>
        <w:spacing w:line="260" w:lineRule="exact"/>
        <w:ind w:firstLine="555"/>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（1）供应商先与银行对接，办理融资前期手续；</w:t>
      </w:r>
    </w:p>
    <w:p w14:paraId="72A1D43E">
      <w:pPr>
        <w:spacing w:line="260" w:lineRule="exact"/>
        <w:ind w:firstLine="555"/>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（2）供应商中标后，凭中标通知书等材料，向相关合作银行发出融资申请；</w:t>
      </w:r>
    </w:p>
    <w:p w14:paraId="63EF7C6F">
      <w:pPr>
        <w:spacing w:line="260" w:lineRule="exact"/>
        <w:ind w:firstLine="555"/>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（3）银行、供应商线</w:t>
      </w:r>
      <w:r>
        <w:rPr>
          <w:rFonts w:hint="eastAsia" w:ascii="宋体" w:hAnsi="宋体" w:eastAsia="宋体" w:cs="Times New Roman"/>
          <w:color w:val="auto"/>
          <w:szCs w:val="21"/>
          <w:highlight w:val="none"/>
        </w:rPr>
        <w:t>上</w:t>
      </w:r>
      <w:r>
        <w:rPr>
          <w:rFonts w:ascii="宋体" w:hAnsi="宋体" w:eastAsia="宋体" w:cs="Times New Roman"/>
          <w:color w:val="auto"/>
          <w:szCs w:val="21"/>
          <w:highlight w:val="none"/>
        </w:rPr>
        <w:t>办理审批、放贷事宜。</w:t>
      </w:r>
    </w:p>
    <w:p w14:paraId="3A1335C2">
      <w:pPr>
        <w:spacing w:line="260" w:lineRule="exact"/>
        <w:ind w:firstLine="555"/>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3.注意事项</w:t>
      </w:r>
    </w:p>
    <w:p w14:paraId="0FF9C3E3">
      <w:pPr>
        <w:spacing w:line="260" w:lineRule="exact"/>
        <w:ind w:firstLine="555"/>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中标人</w:t>
      </w:r>
      <w:r>
        <w:rPr>
          <w:rFonts w:ascii="宋体" w:hAnsi="宋体" w:eastAsia="宋体" w:cs="Times New Roman"/>
          <w:color w:val="auto"/>
          <w:szCs w:val="21"/>
          <w:highlight w:val="none"/>
        </w:rPr>
        <w:t>需确保政府采购合同的收款账户与融资银行开户账户一致。</w:t>
      </w:r>
    </w:p>
    <w:p w14:paraId="0805F633">
      <w:pPr>
        <w:spacing w:line="260" w:lineRule="exact"/>
        <w:ind w:firstLine="555"/>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（2）用于政府采购信用融资的政府采购合同，应当包含如下条款：“第条：政府采购合同贷款</w:t>
      </w:r>
    </w:p>
    <w:p w14:paraId="1E98F76B">
      <w:pPr>
        <w:spacing w:line="260" w:lineRule="exact"/>
        <w:ind w:firstLine="555"/>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本合同同时用于乙方向银行（金融机构）申请政府采购信用贷款。</w:t>
      </w:r>
    </w:p>
    <w:p w14:paraId="34B9D0AD">
      <w:pPr>
        <w:spacing w:line="260" w:lineRule="exact"/>
        <w:ind w:firstLine="555"/>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本合同一经签订，原则上不得更改乙方收款账户信息。确须更改的，乙方应取得原合同收款账户开户银行书面同意，否则修改后的合同不予备案，采购资金不予支付。”</w:t>
      </w:r>
    </w:p>
    <w:p w14:paraId="3CA243A9">
      <w:pPr>
        <w:tabs>
          <w:tab w:val="left" w:pos="2472"/>
        </w:tabs>
        <w:snapToGrid w:val="0"/>
        <w:spacing w:before="120" w:line="312" w:lineRule="auto"/>
        <w:ind w:right="-87"/>
        <w:rPr>
          <w:rFonts w:ascii="Times New Roman" w:hAnsi="Times New Roman" w:eastAsia="黑体" w:cs="Times New Roman"/>
          <w:color w:val="auto"/>
          <w:sz w:val="30"/>
          <w:highlight w:val="none"/>
        </w:rPr>
      </w:pPr>
    </w:p>
    <w:p w14:paraId="2E495226">
      <w:pPr>
        <w:tabs>
          <w:tab w:val="left" w:pos="2472"/>
        </w:tabs>
        <w:snapToGrid w:val="0"/>
        <w:spacing w:before="120" w:line="312" w:lineRule="auto"/>
        <w:ind w:right="-87"/>
        <w:jc w:val="center"/>
        <w:rPr>
          <w:rFonts w:ascii="Times New Roman" w:hAnsi="Times New Roman" w:eastAsia="黑体" w:cs="Times New Roman"/>
          <w:color w:val="auto"/>
          <w:sz w:val="30"/>
          <w:highlight w:val="none"/>
        </w:rPr>
      </w:pPr>
    </w:p>
    <w:p w14:paraId="3F74B727">
      <w:pPr>
        <w:tabs>
          <w:tab w:val="left" w:pos="2472"/>
        </w:tabs>
        <w:snapToGrid w:val="0"/>
        <w:spacing w:before="120" w:line="312" w:lineRule="auto"/>
        <w:ind w:right="-87"/>
        <w:jc w:val="center"/>
        <w:rPr>
          <w:rFonts w:ascii="Times New Roman" w:hAnsi="Times New Roman" w:eastAsia="黑体" w:cs="Times New Roman"/>
          <w:color w:val="auto"/>
          <w:sz w:val="30"/>
          <w:highlight w:val="none"/>
        </w:rPr>
      </w:pPr>
    </w:p>
    <w:p w14:paraId="1E40C502">
      <w:pPr>
        <w:tabs>
          <w:tab w:val="left" w:pos="2472"/>
        </w:tabs>
        <w:snapToGrid w:val="0"/>
        <w:spacing w:before="120" w:line="312" w:lineRule="auto"/>
        <w:ind w:right="-87"/>
        <w:jc w:val="center"/>
        <w:rPr>
          <w:rFonts w:ascii="Times New Roman" w:hAnsi="Times New Roman" w:eastAsia="黑体" w:cs="Times New Roman"/>
          <w:color w:val="auto"/>
          <w:sz w:val="30"/>
          <w:highlight w:val="none"/>
        </w:rPr>
      </w:pPr>
      <w:r>
        <w:rPr>
          <w:rFonts w:hint="eastAsia" w:ascii="Times New Roman" w:hAnsi="Times New Roman" w:eastAsia="黑体" w:cs="Times New Roman"/>
          <w:color w:val="auto"/>
          <w:sz w:val="30"/>
          <w:highlight w:val="none"/>
        </w:rPr>
        <w:t>第六章　投标文件格式</w:t>
      </w:r>
    </w:p>
    <w:p w14:paraId="7F88E524">
      <w:pPr>
        <w:tabs>
          <w:tab w:val="left" w:pos="2472"/>
        </w:tabs>
        <w:snapToGrid w:val="0"/>
        <w:spacing w:before="120" w:line="312" w:lineRule="auto"/>
        <w:ind w:right="-87"/>
        <w:jc w:val="center"/>
        <w:rPr>
          <w:rFonts w:ascii="Times New Roman" w:hAnsi="Times New Roman" w:eastAsia="黑体" w:cs="Times New Roman"/>
          <w:color w:val="auto"/>
          <w:sz w:val="30"/>
          <w:highlight w:val="none"/>
        </w:rPr>
      </w:pPr>
    </w:p>
    <w:p w14:paraId="1D5465CE">
      <w:pPr>
        <w:snapToGrid w:val="0"/>
        <w:spacing w:line="360" w:lineRule="auto"/>
        <w:ind w:right="-85"/>
        <w:rPr>
          <w:rFonts w:ascii="Times New Roman" w:hAnsi="Times New Roman" w:eastAsia="宋体" w:cs="Times New Roman"/>
          <w:color w:val="auto"/>
          <w:sz w:val="24"/>
          <w:highlight w:val="none"/>
        </w:rPr>
      </w:pPr>
    </w:p>
    <w:p w14:paraId="34FC7D53">
      <w:pPr>
        <w:snapToGrid w:val="0"/>
        <w:spacing w:line="360" w:lineRule="auto"/>
        <w:ind w:right="-85"/>
        <w:rPr>
          <w:rFonts w:ascii="Times New Roman" w:hAnsi="Times New Roman" w:eastAsia="宋体" w:cs="Times New Roman"/>
          <w:color w:val="auto"/>
          <w:sz w:val="24"/>
          <w:highlight w:val="none"/>
        </w:rPr>
      </w:pPr>
    </w:p>
    <w:p w14:paraId="54CAFFB7">
      <w:pPr>
        <w:snapToGrid w:val="0"/>
        <w:spacing w:line="360" w:lineRule="auto"/>
        <w:ind w:right="-85"/>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一、</w:t>
      </w:r>
      <w:r>
        <w:rPr>
          <w:rFonts w:hint="eastAsia" w:ascii="Times New Roman" w:hAnsi="Times New Roman" w:eastAsia="宋体" w:cs="Times New Roman"/>
          <w:b/>
          <w:color w:val="auto"/>
          <w:sz w:val="24"/>
          <w:highlight w:val="none"/>
        </w:rPr>
        <w:t>备份文件包装封面（格式供参考）</w:t>
      </w:r>
      <w:r>
        <w:rPr>
          <w:rFonts w:hint="eastAsia" w:ascii="Times New Roman" w:hAnsi="Times New Roman" w:eastAsia="宋体" w:cs="Times New Roman"/>
          <w:color w:val="auto"/>
          <w:sz w:val="24"/>
          <w:highlight w:val="none"/>
        </w:rPr>
        <w:t>：</w:t>
      </w:r>
    </w:p>
    <w:p w14:paraId="4F165BD0">
      <w:pPr>
        <w:snapToGrid w:val="0"/>
        <w:spacing w:line="360" w:lineRule="auto"/>
        <w:ind w:right="-85"/>
        <w:jc w:val="center"/>
        <w:rPr>
          <w:rFonts w:ascii="Times New Roman" w:hAnsi="Times New Roman" w:eastAsia="宋体" w:cs="Times New Roman"/>
          <w:color w:val="auto"/>
          <w:sz w:val="24"/>
          <w:highlight w:val="none"/>
        </w:rPr>
      </w:pPr>
    </w:p>
    <w:p w14:paraId="4CE5FB08">
      <w:pPr>
        <w:snapToGrid w:val="0"/>
        <w:spacing w:line="360" w:lineRule="auto"/>
        <w:ind w:right="-85"/>
        <w:jc w:val="center"/>
        <w:rPr>
          <w:rFonts w:ascii="Times New Roman" w:hAnsi="Times New Roman" w:eastAsia="宋体" w:cs="Times New Roman"/>
          <w:b/>
          <w:color w:val="auto"/>
          <w:sz w:val="44"/>
          <w:highlight w:val="none"/>
        </w:rPr>
      </w:pPr>
      <w:r>
        <w:rPr>
          <w:rFonts w:hint="eastAsia" w:ascii="Times New Roman" w:hAnsi="Times New Roman" w:eastAsia="宋体" w:cs="Times New Roman"/>
          <w:b/>
          <w:color w:val="auto"/>
          <w:sz w:val="44"/>
          <w:highlight w:val="none"/>
        </w:rPr>
        <w:t>投标文件</w:t>
      </w:r>
    </w:p>
    <w:p w14:paraId="311CAE37">
      <w:pPr>
        <w:snapToGrid w:val="0"/>
        <w:spacing w:line="360" w:lineRule="auto"/>
        <w:ind w:right="-85"/>
        <w:rPr>
          <w:rFonts w:ascii="Times New Roman" w:hAnsi="Times New Roman" w:eastAsia="宋体" w:cs="Times New Roman"/>
          <w:color w:val="auto"/>
          <w:sz w:val="24"/>
          <w:highlight w:val="none"/>
        </w:rPr>
      </w:pPr>
    </w:p>
    <w:p w14:paraId="4E1E2516">
      <w:pPr>
        <w:snapToGrid w:val="0"/>
        <w:spacing w:line="360" w:lineRule="auto"/>
        <w:ind w:right="-85" w:firstLine="1124" w:firstLineChars="400"/>
        <w:rPr>
          <w:rFonts w:ascii="Times New Roman" w:hAnsi="Times New Roman" w:eastAsia="宋体" w:cs="Times New Roman"/>
          <w:b/>
          <w:color w:val="auto"/>
          <w:sz w:val="28"/>
          <w:highlight w:val="none"/>
        </w:rPr>
      </w:pPr>
      <w:r>
        <w:rPr>
          <w:rFonts w:hint="eastAsia" w:ascii="Times New Roman" w:hAnsi="Times New Roman" w:eastAsia="宋体" w:cs="Times New Roman"/>
          <w:b/>
          <w:color w:val="auto"/>
          <w:sz w:val="28"/>
          <w:highlight w:val="none"/>
        </w:rPr>
        <w:t>项目名称：</w:t>
      </w:r>
    </w:p>
    <w:p w14:paraId="0C5540D0">
      <w:pPr>
        <w:snapToGrid w:val="0"/>
        <w:spacing w:line="360" w:lineRule="auto"/>
        <w:ind w:right="-85" w:firstLine="1113" w:firstLineChars="396"/>
        <w:rPr>
          <w:rFonts w:ascii="Times New Roman" w:hAnsi="Times New Roman" w:eastAsia="宋体" w:cs="Times New Roman"/>
          <w:b/>
          <w:color w:val="auto"/>
          <w:sz w:val="28"/>
          <w:highlight w:val="none"/>
          <w:u w:val="single"/>
        </w:rPr>
      </w:pPr>
      <w:r>
        <w:rPr>
          <w:rFonts w:hint="eastAsia" w:ascii="Times New Roman" w:hAnsi="Times New Roman" w:eastAsia="宋体" w:cs="Times New Roman"/>
          <w:b/>
          <w:color w:val="auto"/>
          <w:sz w:val="28"/>
          <w:highlight w:val="none"/>
        </w:rPr>
        <w:t>项目编号：</w:t>
      </w:r>
    </w:p>
    <w:p w14:paraId="41CAEE23">
      <w:pPr>
        <w:snapToGrid w:val="0"/>
        <w:spacing w:line="360" w:lineRule="auto"/>
        <w:ind w:right="-85" w:firstLine="1169" w:firstLineChars="416"/>
        <w:rPr>
          <w:rFonts w:ascii="Times New Roman" w:hAnsi="Times New Roman" w:eastAsia="宋体" w:cs="Times New Roman"/>
          <w:b/>
          <w:color w:val="auto"/>
          <w:sz w:val="28"/>
          <w:highlight w:val="none"/>
        </w:rPr>
      </w:pPr>
      <w:r>
        <w:rPr>
          <w:rFonts w:hint="eastAsia" w:ascii="Times New Roman" w:hAnsi="Times New Roman" w:eastAsia="宋体" w:cs="Times New Roman"/>
          <w:b/>
          <w:color w:val="auto"/>
          <w:sz w:val="28"/>
          <w:highlight w:val="none"/>
        </w:rPr>
        <w:t>投标人名称：</w:t>
      </w:r>
      <w:r>
        <w:rPr>
          <w:rFonts w:hint="eastAsia" w:ascii="Times New Roman" w:hAnsi="Times New Roman" w:eastAsia="宋体" w:cs="Times New Roman"/>
          <w:b/>
          <w:color w:val="auto"/>
          <w:sz w:val="28"/>
          <w:highlight w:val="none"/>
          <w:u w:val="single"/>
        </w:rPr>
        <w:t>（</w:t>
      </w:r>
      <w:r>
        <w:rPr>
          <w:rFonts w:hint="eastAsia" w:ascii="Times New Roman" w:hAnsi="Times New Roman" w:eastAsia="宋体" w:cs="Times New Roman"/>
          <w:b/>
          <w:color w:val="auto"/>
          <w:sz w:val="28"/>
          <w:highlight w:val="none"/>
        </w:rPr>
        <w:t>加盖公章）</w:t>
      </w:r>
    </w:p>
    <w:p w14:paraId="5EC75053">
      <w:pPr>
        <w:snapToGrid w:val="0"/>
        <w:spacing w:line="360" w:lineRule="auto"/>
        <w:ind w:right="-85" w:firstLine="1169" w:firstLineChars="416"/>
        <w:rPr>
          <w:rFonts w:ascii="Times New Roman" w:hAnsi="Times New Roman" w:eastAsia="宋体" w:cs="Times New Roman"/>
          <w:b/>
          <w:color w:val="auto"/>
          <w:sz w:val="28"/>
          <w:highlight w:val="none"/>
          <w:u w:val="single"/>
        </w:rPr>
      </w:pPr>
      <w:r>
        <w:rPr>
          <w:rFonts w:hint="eastAsia" w:ascii="Times New Roman" w:hAnsi="Times New Roman" w:eastAsia="宋体" w:cs="Times New Roman"/>
          <w:b/>
          <w:color w:val="auto"/>
          <w:sz w:val="28"/>
          <w:highlight w:val="none"/>
        </w:rPr>
        <w:t>投标人地址：</w:t>
      </w:r>
    </w:p>
    <w:p w14:paraId="0DAA2E68">
      <w:pPr>
        <w:snapToGrid w:val="0"/>
        <w:spacing w:line="360" w:lineRule="auto"/>
        <w:ind w:right="-85" w:firstLine="1124" w:firstLineChars="400"/>
        <w:rPr>
          <w:rFonts w:ascii="Times New Roman" w:hAnsi="Times New Roman" w:eastAsia="宋体" w:cs="Times New Roman"/>
          <w:b/>
          <w:color w:val="auto"/>
          <w:sz w:val="28"/>
          <w:highlight w:val="none"/>
          <w:u w:val="single"/>
        </w:rPr>
      </w:pPr>
      <w:r>
        <w:rPr>
          <w:rFonts w:hint="eastAsia" w:ascii="Times New Roman" w:hAnsi="Times New Roman" w:eastAsia="宋体" w:cs="Times New Roman"/>
          <w:b/>
          <w:color w:val="auto"/>
          <w:sz w:val="28"/>
          <w:highlight w:val="none"/>
        </w:rPr>
        <w:t>投标联系人：电话</w:t>
      </w:r>
    </w:p>
    <w:p w14:paraId="6C450694">
      <w:pPr>
        <w:snapToGrid w:val="0"/>
        <w:spacing w:line="360" w:lineRule="auto"/>
        <w:ind w:right="-85" w:firstLine="1124" w:firstLineChars="400"/>
        <w:rPr>
          <w:rFonts w:ascii="Times New Roman" w:hAnsi="Times New Roman" w:eastAsia="宋体" w:cs="Times New Roman"/>
          <w:b/>
          <w:color w:val="auto"/>
          <w:sz w:val="28"/>
          <w:highlight w:val="none"/>
          <w:u w:val="single"/>
        </w:rPr>
      </w:pPr>
      <w:r>
        <w:rPr>
          <w:rFonts w:hint="eastAsia" w:ascii="Times New Roman" w:hAnsi="Times New Roman" w:eastAsia="宋体" w:cs="Times New Roman"/>
          <w:b/>
          <w:color w:val="auto"/>
          <w:sz w:val="28"/>
          <w:highlight w:val="none"/>
        </w:rPr>
        <w:t>启封时间：</w:t>
      </w:r>
      <w:r>
        <w:rPr>
          <w:rFonts w:hint="eastAsia" w:ascii="Times New Roman" w:hAnsi="Times New Roman" w:eastAsia="宋体" w:cs="Times New Roman"/>
          <w:b/>
          <w:color w:val="auto"/>
          <w:sz w:val="28"/>
          <w:highlight w:val="none"/>
          <w:u w:val="single"/>
        </w:rPr>
        <w:t>在</w:t>
      </w:r>
      <w:r>
        <w:rPr>
          <w:rFonts w:ascii="Times New Roman" w:hAnsi="Times New Roman" w:eastAsia="宋体" w:cs="Times New Roman"/>
          <w:b/>
          <w:color w:val="auto"/>
          <w:sz w:val="28"/>
          <w:highlight w:val="none"/>
          <w:u w:val="single"/>
        </w:rPr>
        <w:t>20</w:t>
      </w:r>
      <w:r>
        <w:rPr>
          <w:rFonts w:hint="eastAsia" w:ascii="Times New Roman" w:hAnsi="Times New Roman" w:eastAsia="宋体" w:cs="Times New Roman"/>
          <w:b/>
          <w:color w:val="auto"/>
          <w:sz w:val="28"/>
          <w:highlight w:val="none"/>
          <w:u w:val="single"/>
        </w:rPr>
        <w:t>年月日时分之前不得启封</w:t>
      </w:r>
    </w:p>
    <w:p w14:paraId="3A8F7B6B">
      <w:pPr>
        <w:snapToGrid w:val="0"/>
        <w:spacing w:line="360" w:lineRule="auto"/>
        <w:ind w:right="-85" w:firstLine="4080" w:firstLineChars="1700"/>
        <w:rPr>
          <w:rFonts w:ascii="Times New Roman" w:hAnsi="Times New Roman" w:eastAsia="宋体" w:cs="Times New Roman"/>
          <w:color w:val="auto"/>
          <w:sz w:val="24"/>
          <w:highlight w:val="none"/>
        </w:rPr>
      </w:pPr>
    </w:p>
    <w:p w14:paraId="6D22F5FA">
      <w:pPr>
        <w:snapToGrid w:val="0"/>
        <w:spacing w:line="360" w:lineRule="auto"/>
        <w:ind w:right="-85" w:firstLine="645"/>
        <w:jc w:val="center"/>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年月日</w:t>
      </w:r>
    </w:p>
    <w:p w14:paraId="3B20EC3A">
      <w:pPr>
        <w:snapToGrid w:val="0"/>
        <w:spacing w:line="360" w:lineRule="auto"/>
        <w:ind w:right="-85"/>
        <w:outlineLvl w:val="1"/>
        <w:rPr>
          <w:rFonts w:ascii="Times New Roman" w:hAnsi="Times New Roman" w:eastAsia="宋体" w:cs="Times New Roman"/>
          <w:color w:val="auto"/>
          <w:sz w:val="24"/>
          <w:highlight w:val="none"/>
          <w:u w:val="single"/>
        </w:rPr>
      </w:pPr>
    </w:p>
    <w:p w14:paraId="5750174E">
      <w:pPr>
        <w:snapToGrid w:val="0"/>
        <w:spacing w:before="120" w:beforeLines="50" w:line="312" w:lineRule="auto"/>
        <w:rPr>
          <w:rFonts w:ascii="Times New Roman" w:hAnsi="Times New Roman" w:eastAsia="宋体" w:cs="Times New Roman"/>
          <w:b/>
          <w:color w:val="auto"/>
          <w:sz w:val="32"/>
          <w:highlight w:val="none"/>
        </w:rPr>
      </w:pPr>
    </w:p>
    <w:p w14:paraId="2006DD2F">
      <w:pPr>
        <w:snapToGrid w:val="0"/>
        <w:spacing w:before="120" w:beforeLines="50" w:line="312" w:lineRule="auto"/>
        <w:rPr>
          <w:rFonts w:ascii="Times New Roman" w:hAnsi="Times New Roman" w:eastAsia="宋体" w:cs="Times New Roman"/>
          <w:b/>
          <w:color w:val="auto"/>
          <w:sz w:val="32"/>
          <w:highlight w:val="none"/>
        </w:rPr>
      </w:pPr>
    </w:p>
    <w:p w14:paraId="1149ABF3">
      <w:pPr>
        <w:snapToGrid w:val="0"/>
        <w:spacing w:before="120" w:beforeLines="50" w:line="312" w:lineRule="auto"/>
        <w:rPr>
          <w:rFonts w:ascii="Times New Roman" w:hAnsi="Times New Roman" w:eastAsia="宋体" w:cs="Times New Roman"/>
          <w:b/>
          <w:color w:val="auto"/>
          <w:sz w:val="32"/>
          <w:highlight w:val="none"/>
        </w:rPr>
      </w:pPr>
    </w:p>
    <w:p w14:paraId="3D831B79">
      <w:pPr>
        <w:snapToGrid w:val="0"/>
        <w:spacing w:before="120" w:beforeLines="50" w:line="312" w:lineRule="auto"/>
        <w:rPr>
          <w:rFonts w:ascii="Times New Roman" w:hAnsi="Times New Roman" w:eastAsia="宋体" w:cs="Times New Roman"/>
          <w:b/>
          <w:color w:val="auto"/>
          <w:sz w:val="32"/>
          <w:highlight w:val="none"/>
        </w:rPr>
      </w:pPr>
    </w:p>
    <w:p w14:paraId="2A954A19">
      <w:pPr>
        <w:snapToGrid w:val="0"/>
        <w:spacing w:before="120" w:beforeLines="50" w:line="312" w:lineRule="auto"/>
        <w:rPr>
          <w:rFonts w:ascii="Times New Roman" w:hAnsi="Times New Roman" w:eastAsia="宋体" w:cs="Times New Roman"/>
          <w:b/>
          <w:color w:val="auto"/>
          <w:sz w:val="32"/>
          <w:highlight w:val="none"/>
        </w:rPr>
      </w:pPr>
    </w:p>
    <w:p w14:paraId="6F01F7B4">
      <w:pPr>
        <w:snapToGrid w:val="0"/>
        <w:spacing w:before="120" w:beforeLines="50" w:line="312" w:lineRule="auto"/>
        <w:rPr>
          <w:rFonts w:ascii="Times New Roman" w:hAnsi="Times New Roman" w:eastAsia="宋体" w:cs="Times New Roman"/>
          <w:b/>
          <w:color w:val="auto"/>
          <w:sz w:val="32"/>
          <w:highlight w:val="none"/>
        </w:rPr>
      </w:pPr>
    </w:p>
    <w:p w14:paraId="63EAA342">
      <w:pPr>
        <w:snapToGrid w:val="0"/>
        <w:spacing w:before="120" w:beforeLines="50" w:line="312" w:lineRule="auto"/>
        <w:rPr>
          <w:rFonts w:ascii="Times New Roman" w:hAnsi="Times New Roman" w:eastAsia="宋体" w:cs="Times New Roman"/>
          <w:b/>
          <w:color w:val="auto"/>
          <w:sz w:val="28"/>
          <w:szCs w:val="28"/>
          <w:highlight w:val="none"/>
        </w:rPr>
      </w:pPr>
    </w:p>
    <w:p w14:paraId="00D9A1A7">
      <w:pPr>
        <w:pStyle w:val="3"/>
        <w:ind w:firstLine="0" w:firstLineChars="0"/>
        <w:rPr>
          <w:color w:val="auto"/>
          <w:highlight w:val="none"/>
        </w:rPr>
      </w:pPr>
    </w:p>
    <w:p w14:paraId="77F784BB">
      <w:pPr>
        <w:rPr>
          <w:rFonts w:hint="eastAsia"/>
          <w:color w:val="auto"/>
          <w:highlight w:val="none"/>
        </w:rPr>
      </w:pPr>
    </w:p>
    <w:p w14:paraId="34967637">
      <w:pPr>
        <w:snapToGrid w:val="0"/>
        <w:spacing w:before="120" w:beforeLines="50" w:line="312" w:lineRule="auto"/>
        <w:rPr>
          <w:rFonts w:ascii="Times New Roman" w:hAnsi="Times New Roman" w:eastAsia="宋体" w:cs="Times New Roman"/>
          <w:b/>
          <w:color w:val="auto"/>
          <w:sz w:val="28"/>
          <w:szCs w:val="28"/>
          <w:highlight w:val="none"/>
        </w:rPr>
      </w:pPr>
      <w:r>
        <w:rPr>
          <w:rFonts w:hint="eastAsia" w:ascii="Times New Roman" w:hAnsi="Times New Roman" w:eastAsia="宋体" w:cs="Times New Roman"/>
          <w:b/>
          <w:color w:val="auto"/>
          <w:sz w:val="28"/>
          <w:szCs w:val="28"/>
          <w:highlight w:val="none"/>
        </w:rPr>
        <w:t>二、</w:t>
      </w:r>
    </w:p>
    <w:p w14:paraId="42A4905C">
      <w:pPr>
        <w:snapToGrid w:val="0"/>
        <w:spacing w:before="120" w:beforeLines="50" w:line="312" w:lineRule="auto"/>
        <w:ind w:firstLine="3678" w:firstLineChars="1145"/>
        <w:rPr>
          <w:rFonts w:ascii="Times New Roman" w:hAnsi="Times New Roman" w:eastAsia="宋体" w:cs="Times New Roman"/>
          <w:b/>
          <w:color w:val="auto"/>
          <w:sz w:val="32"/>
          <w:highlight w:val="none"/>
        </w:rPr>
      </w:pPr>
      <w:r>
        <w:rPr>
          <w:rFonts w:hint="eastAsia" w:ascii="Times New Roman" w:hAnsi="Times New Roman" w:eastAsia="宋体" w:cs="Times New Roman"/>
          <w:b/>
          <w:color w:val="auto"/>
          <w:sz w:val="32"/>
          <w:highlight w:val="none"/>
        </w:rPr>
        <w:t>开标一览表</w:t>
      </w:r>
    </w:p>
    <w:p w14:paraId="65BF0E9E">
      <w:pPr>
        <w:spacing w:line="360" w:lineRule="auto"/>
        <w:rPr>
          <w:rFonts w:ascii="Times New Roman" w:hAnsi="Times New Roman" w:eastAsia="宋体" w:cs="Times New Roman"/>
          <w:b/>
          <w:color w:val="auto"/>
          <w:sz w:val="24"/>
          <w:szCs w:val="24"/>
          <w:highlight w:val="none"/>
        </w:rPr>
      </w:pPr>
    </w:p>
    <w:p w14:paraId="487046D2">
      <w:pPr>
        <w:snapToGrid w:val="0"/>
        <w:spacing w:before="50" w:after="5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项目名称：</w:t>
      </w:r>
    </w:p>
    <w:p w14:paraId="6295C900">
      <w:pPr>
        <w:snapToGrid w:val="0"/>
        <w:spacing w:before="50" w:after="5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项目编号：</w:t>
      </w:r>
    </w:p>
    <w:p w14:paraId="113E153E">
      <w:pPr>
        <w:spacing w:line="280" w:lineRule="exact"/>
        <w:ind w:firstLine="7350" w:firstLineChars="3500"/>
        <w:rPr>
          <w:rFonts w:ascii="Times New Roman" w:hAnsi="Times New Roman" w:eastAsia="宋体" w:cs="Times New Roman"/>
          <w:b/>
          <w:color w:val="auto"/>
          <w:szCs w:val="24"/>
          <w:highlight w:val="none"/>
        </w:rPr>
      </w:pPr>
      <w:r>
        <w:rPr>
          <w:rFonts w:hint="eastAsia" w:ascii="Times New Roman" w:hAnsi="Times New Roman" w:eastAsia="宋体" w:cs="Times New Roman"/>
          <w:color w:val="auto"/>
          <w:kern w:val="0"/>
          <w:szCs w:val="21"/>
          <w:highlight w:val="none"/>
        </w:rPr>
        <w:t>单位：元</w:t>
      </w:r>
    </w:p>
    <w:tbl>
      <w:tblPr>
        <w:tblStyle w:val="61"/>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976"/>
        <w:gridCol w:w="4111"/>
        <w:gridCol w:w="1559"/>
      </w:tblGrid>
      <w:tr w14:paraId="42046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0" w:type="dxa"/>
            <w:vAlign w:val="center"/>
          </w:tcPr>
          <w:p w14:paraId="61C869C6">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序号</w:t>
            </w:r>
          </w:p>
        </w:tc>
        <w:tc>
          <w:tcPr>
            <w:tcW w:w="2976" w:type="dxa"/>
            <w:vAlign w:val="center"/>
          </w:tcPr>
          <w:p w14:paraId="51BA529A">
            <w:pPr>
              <w:jc w:val="cente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项目名称</w:t>
            </w:r>
          </w:p>
        </w:tc>
        <w:tc>
          <w:tcPr>
            <w:tcW w:w="4111" w:type="dxa"/>
            <w:vAlign w:val="center"/>
          </w:tcPr>
          <w:p w14:paraId="2771DF3B">
            <w:pPr>
              <w:jc w:val="cente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投标报价</w:t>
            </w:r>
          </w:p>
        </w:tc>
        <w:tc>
          <w:tcPr>
            <w:tcW w:w="1559" w:type="dxa"/>
          </w:tcPr>
          <w:p w14:paraId="6583A08C">
            <w:pPr>
              <w:jc w:val="cente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备注</w:t>
            </w:r>
          </w:p>
        </w:tc>
      </w:tr>
      <w:tr w14:paraId="3F53E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10" w:type="dxa"/>
            <w:vAlign w:val="center"/>
          </w:tcPr>
          <w:p w14:paraId="62051CD6">
            <w:pPr>
              <w:jc w:val="center"/>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1</w:t>
            </w:r>
          </w:p>
        </w:tc>
        <w:tc>
          <w:tcPr>
            <w:tcW w:w="2976" w:type="dxa"/>
            <w:vAlign w:val="center"/>
          </w:tcPr>
          <w:p w14:paraId="791B7E7C">
            <w:pPr>
              <w:rPr>
                <w:rFonts w:hint="eastAsia" w:ascii="宋体" w:hAnsi="宋体" w:eastAsia="宋体" w:cs="Times New Roman"/>
                <w:color w:val="auto"/>
                <w:szCs w:val="24"/>
                <w:highlight w:val="none"/>
              </w:rPr>
            </w:pPr>
          </w:p>
        </w:tc>
        <w:tc>
          <w:tcPr>
            <w:tcW w:w="4111" w:type="dxa"/>
            <w:vAlign w:val="center"/>
          </w:tcPr>
          <w:p w14:paraId="300F30F4">
            <w:pPr>
              <w:jc w:val="center"/>
              <w:rPr>
                <w:rFonts w:ascii="Calibri" w:hAnsi="Calibri" w:eastAsia="宋体" w:cs="Times New Roman"/>
                <w:color w:val="auto"/>
                <w:szCs w:val="21"/>
                <w:highlight w:val="none"/>
              </w:rPr>
            </w:pPr>
          </w:p>
        </w:tc>
        <w:tc>
          <w:tcPr>
            <w:tcW w:w="1559" w:type="dxa"/>
            <w:vAlign w:val="center"/>
          </w:tcPr>
          <w:p w14:paraId="6B5A79F8">
            <w:pPr>
              <w:jc w:val="center"/>
              <w:rPr>
                <w:rFonts w:ascii="Calibri" w:hAnsi="Calibri" w:eastAsia="宋体" w:cs="Times New Roman"/>
                <w:color w:val="auto"/>
                <w:szCs w:val="21"/>
                <w:highlight w:val="none"/>
              </w:rPr>
            </w:pPr>
          </w:p>
        </w:tc>
      </w:tr>
      <w:tr w14:paraId="6B784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9356" w:type="dxa"/>
            <w:gridSpan w:val="4"/>
            <w:vAlign w:val="center"/>
          </w:tcPr>
          <w:p w14:paraId="08401CEC">
            <w:pPr>
              <w:rPr>
                <w:rFonts w:ascii="Calibri" w:hAnsi="Calibri" w:eastAsia="宋体" w:cs="Times New Roman"/>
                <w:color w:val="auto"/>
                <w:szCs w:val="21"/>
                <w:highlight w:val="none"/>
              </w:rPr>
            </w:pPr>
            <w:r>
              <w:rPr>
                <w:rFonts w:hint="eastAsia" w:ascii="宋体" w:hAnsi="宋体" w:eastAsia="宋体" w:cs="Times New Roman"/>
                <w:color w:val="auto"/>
                <w:szCs w:val="21"/>
                <w:highlight w:val="none"/>
              </w:rPr>
              <w:t>合计（大写）：</w:t>
            </w:r>
          </w:p>
        </w:tc>
      </w:tr>
    </w:tbl>
    <w:p w14:paraId="198E72F3">
      <w:pPr>
        <w:rPr>
          <w:rFonts w:hint="eastAsia" w:ascii="宋体" w:hAnsi="宋体" w:eastAsia="宋体" w:cs="Times New Roman"/>
          <w:b/>
          <w:bCs/>
          <w:color w:val="auto"/>
          <w:sz w:val="18"/>
          <w:szCs w:val="18"/>
          <w:highlight w:val="none"/>
        </w:rPr>
      </w:pPr>
    </w:p>
    <w:p w14:paraId="213F2F80">
      <w:pPr>
        <w:spacing w:line="360" w:lineRule="auto"/>
        <w:ind w:firstLine="301"/>
        <w:rPr>
          <w:rFonts w:hint="eastAsia" w:ascii="宋体" w:hAnsi="宋体" w:eastAsia="宋体" w:cs="Times New Roman"/>
          <w:color w:val="auto"/>
          <w:spacing w:val="-4"/>
          <w:szCs w:val="21"/>
          <w:highlight w:val="none"/>
        </w:rPr>
      </w:pPr>
      <w:r>
        <w:rPr>
          <w:rFonts w:hint="eastAsia" w:ascii="宋体" w:hAnsi="宋体" w:eastAsia="宋体" w:cs="Times New Roman"/>
          <w:b/>
          <w:bCs/>
          <w:color w:val="auto"/>
          <w:szCs w:val="21"/>
          <w:highlight w:val="none"/>
        </w:rPr>
        <w:t xml:space="preserve"> </w:t>
      </w:r>
    </w:p>
    <w:p w14:paraId="27B55B36">
      <w:pPr>
        <w:spacing w:after="120"/>
        <w:rPr>
          <w:rFonts w:ascii="Times New Roman" w:hAnsi="Times New Roman" w:eastAsia="宋体" w:cs="Times New Roman"/>
          <w:color w:val="auto"/>
          <w:highlight w:val="none"/>
        </w:rPr>
      </w:pPr>
    </w:p>
    <w:p w14:paraId="7F17DCB7">
      <w:pPr>
        <w:spacing w:after="12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投标人名称（盖章）：日期：年月日</w:t>
      </w:r>
    </w:p>
    <w:p w14:paraId="23AD9D73">
      <w:pPr>
        <w:snapToGrid w:val="0"/>
        <w:spacing w:before="50" w:after="50"/>
        <w:rPr>
          <w:rFonts w:ascii="Times New Roman" w:hAnsi="Times New Roman" w:eastAsia="宋体" w:cs="Times New Roman"/>
          <w:color w:val="auto"/>
          <w:spacing w:val="20"/>
          <w:highlight w:val="none"/>
          <w:u w:val="single"/>
        </w:rPr>
      </w:pPr>
    </w:p>
    <w:p w14:paraId="14D5B5AC">
      <w:pPr>
        <w:spacing w:after="120"/>
        <w:rPr>
          <w:rFonts w:ascii="Times New Roman" w:hAnsi="Times New Roman" w:eastAsia="宋体" w:cs="Times New Roman"/>
          <w:color w:val="auto"/>
          <w:highlight w:val="none"/>
        </w:rPr>
      </w:pPr>
    </w:p>
    <w:p w14:paraId="78C867FC">
      <w:pPr>
        <w:snapToGrid w:val="0"/>
        <w:spacing w:before="120" w:line="312" w:lineRule="auto"/>
        <w:ind w:right="-341"/>
        <w:jc w:val="center"/>
        <w:rPr>
          <w:rFonts w:ascii="Times New Roman" w:hAnsi="Times New Roman" w:eastAsia="宋体" w:cs="Times New Roman"/>
          <w:b/>
          <w:color w:val="auto"/>
          <w:sz w:val="32"/>
          <w:highlight w:val="none"/>
        </w:rPr>
      </w:pPr>
    </w:p>
    <w:p w14:paraId="08D2FC53">
      <w:pPr>
        <w:snapToGrid w:val="0"/>
        <w:spacing w:before="120" w:line="312" w:lineRule="auto"/>
        <w:ind w:right="-341"/>
        <w:jc w:val="center"/>
        <w:rPr>
          <w:rFonts w:ascii="Times New Roman" w:hAnsi="Times New Roman" w:eastAsia="宋体" w:cs="Times New Roman"/>
          <w:b/>
          <w:color w:val="auto"/>
          <w:sz w:val="32"/>
          <w:highlight w:val="none"/>
        </w:rPr>
      </w:pPr>
      <w:bookmarkStart w:id="11" w:name="_GoBack"/>
      <w:bookmarkEnd w:id="11"/>
    </w:p>
    <w:p w14:paraId="218DA13C">
      <w:pPr>
        <w:snapToGrid w:val="0"/>
        <w:spacing w:before="120" w:line="312" w:lineRule="auto"/>
        <w:ind w:right="-341"/>
        <w:rPr>
          <w:rFonts w:ascii="Times New Roman" w:hAnsi="Times New Roman" w:eastAsia="宋体" w:cs="Times New Roman"/>
          <w:b/>
          <w:color w:val="auto"/>
          <w:sz w:val="32"/>
          <w:highlight w:val="none"/>
        </w:rPr>
      </w:pPr>
    </w:p>
    <w:p w14:paraId="33150F9F">
      <w:pPr>
        <w:snapToGrid w:val="0"/>
        <w:spacing w:before="120" w:line="312" w:lineRule="auto"/>
        <w:ind w:right="-341"/>
        <w:jc w:val="center"/>
        <w:rPr>
          <w:rFonts w:ascii="Times New Roman" w:hAnsi="Times New Roman" w:eastAsia="宋体" w:cs="Times New Roman"/>
          <w:b/>
          <w:color w:val="auto"/>
          <w:sz w:val="32"/>
          <w:highlight w:val="none"/>
        </w:rPr>
      </w:pPr>
    </w:p>
    <w:p w14:paraId="188545D8">
      <w:pPr>
        <w:snapToGrid w:val="0"/>
        <w:spacing w:before="120" w:line="312" w:lineRule="auto"/>
        <w:ind w:right="-341"/>
        <w:jc w:val="center"/>
        <w:rPr>
          <w:rFonts w:ascii="Times New Roman" w:hAnsi="Times New Roman" w:eastAsia="宋体" w:cs="Times New Roman"/>
          <w:b/>
          <w:color w:val="auto"/>
          <w:sz w:val="32"/>
          <w:highlight w:val="none"/>
        </w:rPr>
      </w:pPr>
    </w:p>
    <w:p w14:paraId="4B141F95">
      <w:pPr>
        <w:pStyle w:val="82"/>
        <w:ind w:firstLine="0" w:firstLineChars="0"/>
        <w:rPr>
          <w:rFonts w:ascii="Times New Roman" w:hAnsi="Times New Roman" w:eastAsia="宋体" w:cs="Times New Roman"/>
          <w:b/>
          <w:color w:val="auto"/>
          <w:sz w:val="32"/>
          <w:highlight w:val="none"/>
        </w:rPr>
      </w:pPr>
    </w:p>
    <w:p w14:paraId="56ACDEFE">
      <w:pPr>
        <w:pStyle w:val="26"/>
        <w:ind w:firstLine="0"/>
        <w:rPr>
          <w:color w:val="auto"/>
          <w:highlight w:val="none"/>
        </w:rPr>
      </w:pPr>
    </w:p>
    <w:p w14:paraId="42375982">
      <w:pPr>
        <w:snapToGrid w:val="0"/>
        <w:spacing w:before="120" w:line="312" w:lineRule="auto"/>
        <w:ind w:right="-341"/>
        <w:jc w:val="center"/>
        <w:rPr>
          <w:rFonts w:ascii="Times New Roman" w:hAnsi="Times New Roman" w:eastAsia="宋体" w:cs="Times New Roman"/>
          <w:b/>
          <w:sz w:val="32"/>
        </w:rPr>
      </w:pPr>
    </w:p>
    <w:p w14:paraId="04813E27">
      <w:pPr>
        <w:snapToGrid w:val="0"/>
        <w:spacing w:before="120" w:line="312" w:lineRule="auto"/>
        <w:ind w:right="-341"/>
        <w:jc w:val="center"/>
        <w:rPr>
          <w:rFonts w:ascii="Times New Roman" w:hAnsi="Times New Roman" w:eastAsia="宋体" w:cs="Times New Roman"/>
          <w:b/>
          <w:sz w:val="32"/>
        </w:rPr>
      </w:pPr>
    </w:p>
    <w:p w14:paraId="67EAF724">
      <w:pPr>
        <w:snapToGrid w:val="0"/>
        <w:spacing w:before="120" w:line="312" w:lineRule="auto"/>
        <w:ind w:right="-341"/>
        <w:jc w:val="center"/>
        <w:rPr>
          <w:rFonts w:ascii="Times New Roman" w:hAnsi="Times New Roman" w:eastAsia="宋体" w:cs="Times New Roman"/>
          <w:b/>
          <w:sz w:val="32"/>
        </w:rPr>
      </w:pPr>
    </w:p>
    <w:p w14:paraId="0C005CD3">
      <w:pPr>
        <w:snapToGrid w:val="0"/>
        <w:spacing w:before="120" w:line="312" w:lineRule="auto"/>
        <w:ind w:right="-341"/>
        <w:jc w:val="center"/>
        <w:rPr>
          <w:rFonts w:ascii="Times New Roman" w:hAnsi="Times New Roman" w:eastAsia="宋体" w:cs="Times New Roman"/>
          <w:b/>
          <w:sz w:val="32"/>
        </w:rPr>
      </w:pPr>
    </w:p>
    <w:p w14:paraId="608FE8D6">
      <w:pPr>
        <w:snapToGrid w:val="0"/>
        <w:spacing w:before="120" w:line="312" w:lineRule="auto"/>
        <w:ind w:right="-341"/>
        <w:jc w:val="center"/>
        <w:rPr>
          <w:rFonts w:ascii="Times New Roman" w:hAnsi="Times New Roman" w:eastAsia="宋体" w:cs="Times New Roman"/>
          <w:b/>
          <w:sz w:val="32"/>
        </w:rPr>
      </w:pPr>
    </w:p>
    <w:p w14:paraId="4375A6BD">
      <w:pPr>
        <w:snapToGrid w:val="0"/>
        <w:spacing w:before="120" w:line="312" w:lineRule="auto"/>
        <w:ind w:right="-341"/>
        <w:jc w:val="center"/>
        <w:rPr>
          <w:rFonts w:ascii="Times New Roman" w:hAnsi="Times New Roman" w:eastAsia="宋体" w:cs="Times New Roman"/>
          <w:b/>
          <w:sz w:val="32"/>
        </w:rPr>
      </w:pPr>
      <w:r>
        <w:rPr>
          <w:rFonts w:hint="eastAsia" w:ascii="Times New Roman" w:hAnsi="Times New Roman" w:eastAsia="宋体" w:cs="Times New Roman"/>
          <w:b/>
          <w:sz w:val="32"/>
        </w:rPr>
        <w:t>三、投标报价明细表</w:t>
      </w:r>
    </w:p>
    <w:p w14:paraId="0A958773">
      <w:pPr>
        <w:snapToGrid w:val="0"/>
        <w:rPr>
          <w:rFonts w:ascii="Times New Roman" w:hAnsi="Times New Roman" w:eastAsia="宋体" w:cs="Times New Roman"/>
          <w:b/>
          <w:sz w:val="28"/>
        </w:rPr>
      </w:pPr>
    </w:p>
    <w:p w14:paraId="368E0D6B">
      <w:pPr>
        <w:snapToGrid w:val="0"/>
        <w:spacing w:line="240" w:lineRule="exact"/>
        <w:rPr>
          <w:rFonts w:ascii="Times New Roman" w:hAnsi="Times New Roman" w:eastAsia="宋体" w:cs="Times New Roman"/>
          <w:szCs w:val="21"/>
        </w:rPr>
      </w:pPr>
      <w:r>
        <w:rPr>
          <w:rFonts w:hint="eastAsia" w:ascii="Times New Roman" w:hAnsi="Times New Roman" w:eastAsia="宋体" w:cs="Times New Roman"/>
          <w:szCs w:val="21"/>
        </w:rPr>
        <w:t>项目名称：                                           金额单位：人民币（元）</w:t>
      </w:r>
    </w:p>
    <w:p w14:paraId="35700AA1">
      <w:pPr>
        <w:snapToGrid w:val="0"/>
        <w:spacing w:before="120" w:beforeLines="50" w:after="120" w:line="240" w:lineRule="exact"/>
        <w:rPr>
          <w:rFonts w:ascii="Times New Roman" w:hAnsi="Times New Roman" w:eastAsia="宋体" w:cs="Times New Roman"/>
          <w:szCs w:val="21"/>
        </w:rPr>
      </w:pPr>
      <w:r>
        <w:rPr>
          <w:rFonts w:hint="eastAsia" w:ascii="Times New Roman" w:hAnsi="Times New Roman" w:eastAsia="宋体" w:cs="Times New Roman"/>
          <w:szCs w:val="21"/>
        </w:rPr>
        <w:t>项目编号：</w:t>
      </w:r>
    </w:p>
    <w:tbl>
      <w:tblPr>
        <w:tblStyle w:val="61"/>
        <w:tblW w:w="493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2"/>
        <w:gridCol w:w="2131"/>
        <w:gridCol w:w="1421"/>
        <w:gridCol w:w="709"/>
        <w:gridCol w:w="685"/>
        <w:gridCol w:w="1178"/>
        <w:gridCol w:w="1170"/>
        <w:gridCol w:w="842"/>
      </w:tblGrid>
      <w:tr w14:paraId="19C2B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454" w:type="pct"/>
            <w:tcBorders>
              <w:top w:val="single" w:color="auto" w:sz="4" w:space="0"/>
              <w:left w:val="single" w:color="auto" w:sz="4" w:space="0"/>
              <w:bottom w:val="single" w:color="auto" w:sz="4" w:space="0"/>
              <w:right w:val="single" w:color="auto" w:sz="4" w:space="0"/>
            </w:tcBorders>
            <w:vAlign w:val="center"/>
          </w:tcPr>
          <w:p w14:paraId="16C237DD">
            <w:pPr>
              <w:tabs>
                <w:tab w:val="left" w:pos="1418"/>
              </w:tabs>
              <w:snapToGrid w:val="0"/>
              <w:spacing w:before="50" w:after="50"/>
              <w:jc w:val="center"/>
              <w:rPr>
                <w:rFonts w:hint="eastAsia" w:ascii="宋体" w:hAnsi="宋体" w:eastAsia="宋体" w:cs="宋体"/>
                <w:b/>
                <w:szCs w:val="21"/>
              </w:rPr>
            </w:pPr>
            <w:r>
              <w:rPr>
                <w:rFonts w:hint="eastAsia" w:ascii="宋体" w:hAnsi="宋体" w:eastAsia="宋体" w:cs="宋体"/>
                <w:szCs w:val="21"/>
              </w:rPr>
              <w:t>序号</w:t>
            </w:r>
          </w:p>
        </w:tc>
        <w:tc>
          <w:tcPr>
            <w:tcW w:w="1191" w:type="pct"/>
            <w:tcBorders>
              <w:top w:val="single" w:color="auto" w:sz="4" w:space="0"/>
              <w:left w:val="single" w:color="auto" w:sz="4" w:space="0"/>
              <w:bottom w:val="single" w:color="auto" w:sz="4" w:space="0"/>
              <w:right w:val="single" w:color="auto" w:sz="4" w:space="0"/>
            </w:tcBorders>
            <w:vAlign w:val="center"/>
          </w:tcPr>
          <w:p w14:paraId="150E8DB8">
            <w:pPr>
              <w:tabs>
                <w:tab w:val="left" w:pos="1418"/>
              </w:tabs>
              <w:snapToGrid w:val="0"/>
              <w:spacing w:before="50" w:after="50"/>
              <w:jc w:val="center"/>
              <w:rPr>
                <w:rFonts w:hint="eastAsia" w:ascii="宋体" w:hAnsi="宋体" w:eastAsia="宋体" w:cs="宋体"/>
                <w:b/>
                <w:color w:val="000000" w:themeColor="text1"/>
                <w:szCs w:val="21"/>
              </w:rPr>
            </w:pPr>
            <w:r>
              <w:rPr>
                <w:rFonts w:hint="eastAsia" w:ascii="宋体" w:hAnsi="宋体" w:eastAsia="宋体" w:cs="宋体"/>
                <w:color w:val="000000" w:themeColor="text1"/>
                <w:szCs w:val="21"/>
              </w:rPr>
              <w:t>项目类别</w:t>
            </w:r>
          </w:p>
        </w:tc>
        <w:tc>
          <w:tcPr>
            <w:tcW w:w="794" w:type="pct"/>
            <w:tcBorders>
              <w:top w:val="single" w:color="auto" w:sz="4" w:space="0"/>
              <w:left w:val="single" w:color="auto" w:sz="4" w:space="0"/>
              <w:bottom w:val="single" w:color="auto" w:sz="4" w:space="0"/>
              <w:right w:val="single" w:color="auto" w:sz="4" w:space="0"/>
            </w:tcBorders>
            <w:vAlign w:val="center"/>
          </w:tcPr>
          <w:p w14:paraId="669350EB">
            <w:pPr>
              <w:tabs>
                <w:tab w:val="left" w:pos="1418"/>
              </w:tabs>
              <w:snapToGrid w:val="0"/>
              <w:spacing w:before="50" w:after="50"/>
              <w:jc w:val="center"/>
              <w:rPr>
                <w:rFonts w:hint="eastAsia" w:ascii="宋体" w:hAnsi="宋体" w:eastAsia="宋体" w:cs="宋体"/>
                <w:szCs w:val="21"/>
              </w:rPr>
            </w:pPr>
            <w:r>
              <w:rPr>
                <w:rFonts w:hint="eastAsia" w:ascii="宋体" w:hAnsi="宋体" w:eastAsia="宋体" w:cs="宋体"/>
                <w:szCs w:val="21"/>
              </w:rPr>
              <w:t>项目内容</w:t>
            </w:r>
          </w:p>
        </w:tc>
        <w:tc>
          <w:tcPr>
            <w:tcW w:w="396" w:type="pct"/>
            <w:tcBorders>
              <w:top w:val="single" w:color="auto" w:sz="4" w:space="0"/>
              <w:left w:val="single" w:color="auto" w:sz="4" w:space="0"/>
              <w:bottom w:val="single" w:color="auto" w:sz="4" w:space="0"/>
              <w:right w:val="single" w:color="auto" w:sz="4" w:space="0"/>
            </w:tcBorders>
            <w:vAlign w:val="center"/>
          </w:tcPr>
          <w:p w14:paraId="7111E311">
            <w:pPr>
              <w:tabs>
                <w:tab w:val="left" w:pos="1418"/>
              </w:tabs>
              <w:snapToGrid w:val="0"/>
              <w:spacing w:before="50" w:after="50"/>
              <w:jc w:val="center"/>
              <w:rPr>
                <w:rFonts w:hint="eastAsia" w:ascii="宋体" w:hAnsi="宋体" w:eastAsia="宋体" w:cs="宋体"/>
                <w:b/>
                <w:szCs w:val="21"/>
              </w:rPr>
            </w:pPr>
            <w:r>
              <w:rPr>
                <w:rFonts w:hint="eastAsia" w:ascii="宋体" w:hAnsi="宋体" w:eastAsia="宋体" w:cs="宋体"/>
                <w:szCs w:val="21"/>
              </w:rPr>
              <w:t>单位</w:t>
            </w:r>
          </w:p>
        </w:tc>
        <w:tc>
          <w:tcPr>
            <w:tcW w:w="383" w:type="pct"/>
            <w:tcBorders>
              <w:top w:val="single" w:color="auto" w:sz="4" w:space="0"/>
              <w:left w:val="single" w:color="auto" w:sz="4" w:space="0"/>
              <w:bottom w:val="single" w:color="auto" w:sz="4" w:space="0"/>
              <w:right w:val="single" w:color="auto" w:sz="4" w:space="0"/>
            </w:tcBorders>
            <w:vAlign w:val="center"/>
          </w:tcPr>
          <w:p w14:paraId="3B87897E">
            <w:pPr>
              <w:tabs>
                <w:tab w:val="left" w:pos="1418"/>
              </w:tabs>
              <w:snapToGrid w:val="0"/>
              <w:spacing w:before="50" w:after="50"/>
              <w:jc w:val="center"/>
              <w:rPr>
                <w:rFonts w:hint="eastAsia" w:ascii="宋体" w:hAnsi="宋体" w:eastAsia="宋体" w:cs="宋体"/>
                <w:szCs w:val="21"/>
              </w:rPr>
            </w:pPr>
            <w:r>
              <w:rPr>
                <w:rFonts w:hint="eastAsia" w:ascii="宋体" w:hAnsi="宋体" w:eastAsia="宋体" w:cs="宋体"/>
                <w:szCs w:val="21"/>
              </w:rPr>
              <w:t>数量</w:t>
            </w:r>
          </w:p>
        </w:tc>
        <w:tc>
          <w:tcPr>
            <w:tcW w:w="658" w:type="pct"/>
            <w:tcBorders>
              <w:top w:val="single" w:color="auto" w:sz="4" w:space="0"/>
              <w:left w:val="single" w:color="auto" w:sz="4" w:space="0"/>
              <w:bottom w:val="single" w:color="auto" w:sz="4" w:space="0"/>
              <w:right w:val="single" w:color="auto" w:sz="4" w:space="0"/>
            </w:tcBorders>
            <w:vAlign w:val="center"/>
          </w:tcPr>
          <w:p w14:paraId="2D982A9E">
            <w:pPr>
              <w:tabs>
                <w:tab w:val="left" w:pos="1418"/>
              </w:tabs>
              <w:snapToGrid w:val="0"/>
              <w:spacing w:before="50" w:after="50"/>
              <w:jc w:val="center"/>
              <w:rPr>
                <w:rFonts w:hint="eastAsia" w:ascii="宋体" w:hAnsi="宋体" w:eastAsia="宋体" w:cs="宋体"/>
                <w:szCs w:val="21"/>
              </w:rPr>
            </w:pPr>
            <w:r>
              <w:rPr>
                <w:rFonts w:hint="eastAsia" w:ascii="宋体" w:hAnsi="宋体" w:eastAsia="宋体" w:cs="宋体"/>
                <w:szCs w:val="21"/>
              </w:rPr>
              <w:t>单价</w:t>
            </w:r>
          </w:p>
          <w:p w14:paraId="4F1B59A9">
            <w:pPr>
              <w:tabs>
                <w:tab w:val="left" w:pos="1418"/>
              </w:tabs>
              <w:snapToGrid w:val="0"/>
              <w:spacing w:before="50" w:after="50"/>
              <w:rPr>
                <w:rFonts w:hint="eastAsia" w:ascii="宋体" w:hAnsi="宋体" w:eastAsia="宋体" w:cs="宋体"/>
                <w:b/>
                <w:szCs w:val="21"/>
              </w:rPr>
            </w:pPr>
            <w:r>
              <w:rPr>
                <w:rFonts w:hint="eastAsia" w:ascii="宋体" w:hAnsi="宋体" w:eastAsia="宋体" w:cs="宋体"/>
                <w:szCs w:val="21"/>
              </w:rPr>
              <w:t>（元/月）</w:t>
            </w:r>
          </w:p>
        </w:tc>
        <w:tc>
          <w:tcPr>
            <w:tcW w:w="654" w:type="pct"/>
            <w:tcBorders>
              <w:top w:val="single" w:color="auto" w:sz="4" w:space="0"/>
              <w:left w:val="single" w:color="auto" w:sz="4" w:space="0"/>
              <w:bottom w:val="single" w:color="auto" w:sz="4" w:space="0"/>
              <w:right w:val="single" w:color="auto" w:sz="4" w:space="0"/>
            </w:tcBorders>
            <w:vAlign w:val="center"/>
          </w:tcPr>
          <w:p w14:paraId="0C0DBFFE">
            <w:pPr>
              <w:tabs>
                <w:tab w:val="left" w:pos="1418"/>
              </w:tabs>
              <w:snapToGrid w:val="0"/>
              <w:spacing w:before="50" w:after="50"/>
              <w:jc w:val="center"/>
              <w:rPr>
                <w:rFonts w:hint="eastAsia" w:ascii="宋体" w:hAnsi="宋体" w:eastAsia="宋体" w:cs="宋体"/>
                <w:szCs w:val="21"/>
              </w:rPr>
            </w:pPr>
            <w:r>
              <w:rPr>
                <w:rFonts w:hint="eastAsia" w:ascii="宋体" w:hAnsi="宋体" w:eastAsia="宋体" w:cs="宋体"/>
                <w:szCs w:val="21"/>
              </w:rPr>
              <w:t>合价</w:t>
            </w:r>
          </w:p>
          <w:p w14:paraId="76F1B626">
            <w:pPr>
              <w:tabs>
                <w:tab w:val="left" w:pos="1418"/>
              </w:tabs>
              <w:snapToGrid w:val="0"/>
              <w:spacing w:before="50" w:after="50"/>
              <w:jc w:val="center"/>
              <w:rPr>
                <w:rFonts w:hint="eastAsia" w:ascii="宋体" w:hAnsi="宋体" w:eastAsia="宋体" w:cs="宋体"/>
                <w:b/>
                <w:szCs w:val="21"/>
              </w:rPr>
            </w:pPr>
            <w:r>
              <w:rPr>
                <w:rFonts w:hint="eastAsia" w:ascii="宋体" w:hAnsi="宋体" w:eastAsia="宋体" w:cs="宋体"/>
                <w:szCs w:val="21"/>
              </w:rPr>
              <w:t>（元/月）</w:t>
            </w:r>
          </w:p>
        </w:tc>
        <w:tc>
          <w:tcPr>
            <w:tcW w:w="470" w:type="pct"/>
            <w:tcBorders>
              <w:top w:val="single" w:color="auto" w:sz="4" w:space="0"/>
              <w:left w:val="single" w:color="auto" w:sz="4" w:space="0"/>
              <w:bottom w:val="single" w:color="auto" w:sz="4" w:space="0"/>
              <w:right w:val="single" w:color="auto" w:sz="4" w:space="0"/>
            </w:tcBorders>
            <w:vAlign w:val="center"/>
          </w:tcPr>
          <w:p w14:paraId="329120F4">
            <w:pPr>
              <w:tabs>
                <w:tab w:val="left" w:pos="1418"/>
              </w:tabs>
              <w:snapToGrid w:val="0"/>
              <w:spacing w:before="50" w:after="50"/>
              <w:jc w:val="center"/>
              <w:rPr>
                <w:rFonts w:hint="eastAsia" w:ascii="宋体" w:hAnsi="宋体" w:eastAsia="宋体" w:cs="宋体"/>
                <w:b/>
                <w:szCs w:val="21"/>
              </w:rPr>
            </w:pPr>
            <w:r>
              <w:rPr>
                <w:rFonts w:hint="eastAsia" w:ascii="宋体" w:hAnsi="宋体" w:eastAsia="宋体" w:cs="宋体"/>
                <w:szCs w:val="21"/>
              </w:rPr>
              <w:t>备注</w:t>
            </w:r>
          </w:p>
        </w:tc>
      </w:tr>
      <w:tr w14:paraId="3BFBC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454" w:type="pct"/>
            <w:tcBorders>
              <w:top w:val="single" w:color="auto" w:sz="4" w:space="0"/>
              <w:left w:val="single" w:color="auto" w:sz="4" w:space="0"/>
              <w:right w:val="single" w:color="auto" w:sz="4" w:space="0"/>
            </w:tcBorders>
            <w:vAlign w:val="center"/>
          </w:tcPr>
          <w:p w14:paraId="144B5016">
            <w:pPr>
              <w:spacing w:line="240" w:lineRule="exact"/>
              <w:jc w:val="center"/>
              <w:rPr>
                <w:rFonts w:hint="eastAsia" w:ascii="宋体" w:hAnsi="宋体" w:eastAsia="宋体" w:cs="宋体"/>
                <w:bCs/>
                <w:szCs w:val="21"/>
              </w:rPr>
            </w:pPr>
            <w:r>
              <w:rPr>
                <w:rFonts w:hint="eastAsia" w:ascii="宋体" w:hAnsi="宋体" w:eastAsia="宋体" w:cs="宋体"/>
                <w:bCs/>
                <w:szCs w:val="21"/>
              </w:rPr>
              <w:t>1</w:t>
            </w:r>
          </w:p>
        </w:tc>
        <w:tc>
          <w:tcPr>
            <w:tcW w:w="1191" w:type="pct"/>
            <w:tcBorders>
              <w:top w:val="single" w:color="auto" w:sz="4" w:space="0"/>
              <w:left w:val="single" w:color="auto" w:sz="4" w:space="0"/>
              <w:right w:val="single" w:color="auto" w:sz="4" w:space="0"/>
            </w:tcBorders>
            <w:vAlign w:val="center"/>
          </w:tcPr>
          <w:p w14:paraId="5DF543D2">
            <w:pPr>
              <w:tabs>
                <w:tab w:val="left" w:pos="1418"/>
              </w:tabs>
              <w:snapToGrid w:val="0"/>
              <w:spacing w:before="50" w:after="50" w:line="240" w:lineRule="exact"/>
              <w:jc w:val="center"/>
              <w:rPr>
                <w:rFonts w:hint="eastAsia" w:ascii="宋体" w:hAnsi="宋体" w:eastAsia="宋体" w:cs="宋体"/>
                <w:b/>
                <w:bCs/>
                <w:color w:val="000000" w:themeColor="text1"/>
                <w:szCs w:val="21"/>
              </w:rPr>
            </w:pPr>
            <w:r>
              <w:rPr>
                <w:rFonts w:hint="eastAsia" w:ascii="宋体" w:hAnsi="宋体" w:eastAsia="宋体" w:cs="宋体"/>
                <w:b/>
                <w:bCs/>
                <w:color w:val="000000" w:themeColor="text1"/>
                <w:szCs w:val="21"/>
              </w:rPr>
              <w:t>道路保洁</w:t>
            </w:r>
          </w:p>
          <w:p w14:paraId="1BFFFA00">
            <w:pPr>
              <w:pStyle w:val="2"/>
              <w:spacing w:line="240" w:lineRule="exact"/>
              <w:rPr>
                <w:rFonts w:hint="eastAsia" w:ascii="宋体" w:hAnsi="宋体" w:cs="宋体"/>
                <w:color w:val="000000" w:themeColor="text1"/>
                <w:szCs w:val="21"/>
              </w:rPr>
            </w:pPr>
            <w:r>
              <w:rPr>
                <w:rFonts w:hint="eastAsia" w:ascii="宋体" w:hAnsi="宋体" w:cs="宋体"/>
                <w:color w:val="000000" w:themeColor="text1"/>
                <w:szCs w:val="21"/>
              </w:rPr>
              <w:t>（道路面积：约258.42万平方米）</w:t>
            </w:r>
          </w:p>
        </w:tc>
        <w:tc>
          <w:tcPr>
            <w:tcW w:w="794" w:type="pct"/>
            <w:tcBorders>
              <w:top w:val="single" w:color="auto" w:sz="4" w:space="0"/>
              <w:left w:val="single" w:color="auto" w:sz="4" w:space="0"/>
              <w:bottom w:val="single" w:color="auto" w:sz="4" w:space="0"/>
              <w:right w:val="single" w:color="auto" w:sz="4" w:space="0"/>
            </w:tcBorders>
            <w:vAlign w:val="center"/>
          </w:tcPr>
          <w:p w14:paraId="575EA9B5">
            <w:pPr>
              <w:spacing w:line="240" w:lineRule="exact"/>
              <w:jc w:val="center"/>
              <w:rPr>
                <w:rFonts w:hint="eastAsia" w:ascii="宋体" w:hAnsi="宋体" w:eastAsia="宋体" w:cs="宋体"/>
                <w:b/>
                <w:bCs/>
                <w:szCs w:val="21"/>
              </w:rPr>
            </w:pPr>
          </w:p>
        </w:tc>
        <w:tc>
          <w:tcPr>
            <w:tcW w:w="396" w:type="pct"/>
            <w:tcBorders>
              <w:top w:val="single" w:color="auto" w:sz="4" w:space="0"/>
              <w:left w:val="single" w:color="auto" w:sz="4" w:space="0"/>
              <w:bottom w:val="single" w:color="auto" w:sz="4" w:space="0"/>
              <w:right w:val="single" w:color="auto" w:sz="4" w:space="0"/>
            </w:tcBorders>
            <w:vAlign w:val="center"/>
          </w:tcPr>
          <w:p w14:paraId="453CC133">
            <w:pPr>
              <w:spacing w:line="240" w:lineRule="exact"/>
              <w:jc w:val="center"/>
              <w:rPr>
                <w:rFonts w:hint="eastAsia" w:ascii="宋体" w:hAnsi="宋体" w:eastAsia="宋体" w:cs="宋体"/>
                <w:szCs w:val="21"/>
              </w:rPr>
            </w:pPr>
          </w:p>
        </w:tc>
        <w:tc>
          <w:tcPr>
            <w:tcW w:w="383" w:type="pct"/>
            <w:tcBorders>
              <w:top w:val="single" w:color="auto" w:sz="4" w:space="0"/>
              <w:left w:val="single" w:color="auto" w:sz="4" w:space="0"/>
              <w:bottom w:val="single" w:color="auto" w:sz="4" w:space="0"/>
              <w:right w:val="single" w:color="auto" w:sz="4" w:space="0"/>
            </w:tcBorders>
            <w:vAlign w:val="center"/>
          </w:tcPr>
          <w:p w14:paraId="20579C6D">
            <w:pPr>
              <w:spacing w:line="240" w:lineRule="exact"/>
              <w:jc w:val="center"/>
              <w:rPr>
                <w:rFonts w:hint="eastAsia" w:ascii="宋体" w:hAnsi="宋体" w:eastAsia="宋体" w:cs="宋体"/>
                <w:bCs/>
                <w:szCs w:val="21"/>
              </w:rPr>
            </w:pPr>
          </w:p>
        </w:tc>
        <w:tc>
          <w:tcPr>
            <w:tcW w:w="658" w:type="pct"/>
            <w:tcBorders>
              <w:top w:val="single" w:color="auto" w:sz="4" w:space="0"/>
              <w:left w:val="single" w:color="auto" w:sz="4" w:space="0"/>
              <w:bottom w:val="single" w:color="auto" w:sz="4" w:space="0"/>
              <w:right w:val="single" w:color="auto" w:sz="4" w:space="0"/>
            </w:tcBorders>
            <w:vAlign w:val="center"/>
          </w:tcPr>
          <w:p w14:paraId="46B44A77">
            <w:pPr>
              <w:spacing w:line="240" w:lineRule="exact"/>
              <w:jc w:val="center"/>
              <w:rPr>
                <w:rFonts w:hint="eastAsia" w:ascii="宋体" w:hAnsi="宋体" w:eastAsia="宋体" w:cs="宋体"/>
                <w:b/>
                <w:bCs/>
                <w:szCs w:val="21"/>
              </w:rPr>
            </w:pPr>
          </w:p>
        </w:tc>
        <w:tc>
          <w:tcPr>
            <w:tcW w:w="654" w:type="pct"/>
            <w:tcBorders>
              <w:top w:val="single" w:color="auto" w:sz="4" w:space="0"/>
              <w:left w:val="single" w:color="auto" w:sz="4" w:space="0"/>
              <w:bottom w:val="single" w:color="auto" w:sz="4" w:space="0"/>
              <w:right w:val="single" w:color="auto" w:sz="4" w:space="0"/>
            </w:tcBorders>
            <w:vAlign w:val="center"/>
          </w:tcPr>
          <w:p w14:paraId="6710755B">
            <w:pPr>
              <w:spacing w:line="240" w:lineRule="exact"/>
              <w:jc w:val="center"/>
              <w:rPr>
                <w:rFonts w:hint="eastAsia" w:ascii="宋体" w:hAnsi="宋体" w:eastAsia="宋体" w:cs="宋体"/>
                <w:b/>
                <w:bCs/>
                <w:szCs w:val="21"/>
              </w:rPr>
            </w:pPr>
          </w:p>
        </w:tc>
        <w:tc>
          <w:tcPr>
            <w:tcW w:w="470" w:type="pct"/>
            <w:tcBorders>
              <w:top w:val="single" w:color="auto" w:sz="4" w:space="0"/>
              <w:left w:val="single" w:color="auto" w:sz="4" w:space="0"/>
              <w:bottom w:val="single" w:color="auto" w:sz="4" w:space="0"/>
              <w:right w:val="single" w:color="auto" w:sz="4" w:space="0"/>
            </w:tcBorders>
            <w:vAlign w:val="center"/>
          </w:tcPr>
          <w:p w14:paraId="557FA9EA">
            <w:pPr>
              <w:spacing w:line="240" w:lineRule="exact"/>
              <w:jc w:val="center"/>
              <w:rPr>
                <w:rFonts w:hint="eastAsia" w:ascii="宋体" w:hAnsi="宋体" w:eastAsia="宋体" w:cs="宋体"/>
                <w:b/>
                <w:bCs/>
                <w:szCs w:val="21"/>
              </w:rPr>
            </w:pPr>
          </w:p>
        </w:tc>
      </w:tr>
      <w:tr w14:paraId="4C85F6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454" w:type="pct"/>
            <w:tcBorders>
              <w:top w:val="single" w:color="auto" w:sz="4" w:space="0"/>
              <w:left w:val="single" w:color="auto" w:sz="4" w:space="0"/>
              <w:right w:val="single" w:color="auto" w:sz="4" w:space="0"/>
            </w:tcBorders>
            <w:vAlign w:val="center"/>
          </w:tcPr>
          <w:p w14:paraId="408A5D3D">
            <w:pPr>
              <w:spacing w:line="280" w:lineRule="exact"/>
              <w:jc w:val="center"/>
              <w:rPr>
                <w:rFonts w:hint="eastAsia" w:ascii="宋体" w:hAnsi="宋体" w:eastAsia="宋体" w:cs="宋体"/>
                <w:bCs/>
                <w:szCs w:val="21"/>
              </w:rPr>
            </w:pPr>
            <w:r>
              <w:rPr>
                <w:rFonts w:hint="eastAsia" w:ascii="宋体" w:hAnsi="宋体" w:eastAsia="宋体" w:cs="宋体"/>
                <w:bCs/>
                <w:szCs w:val="21"/>
              </w:rPr>
              <w:t>2</w:t>
            </w:r>
          </w:p>
        </w:tc>
        <w:tc>
          <w:tcPr>
            <w:tcW w:w="1191" w:type="pct"/>
            <w:tcBorders>
              <w:top w:val="single" w:color="auto" w:sz="4" w:space="0"/>
              <w:left w:val="single" w:color="auto" w:sz="4" w:space="0"/>
              <w:right w:val="single" w:color="auto" w:sz="4" w:space="0"/>
            </w:tcBorders>
            <w:vAlign w:val="center"/>
          </w:tcPr>
          <w:p w14:paraId="70C2D660">
            <w:pPr>
              <w:pStyle w:val="120"/>
              <w:tabs>
                <w:tab w:val="left" w:pos="1418"/>
              </w:tabs>
              <w:snapToGrid w:val="0"/>
              <w:spacing w:before="50" w:after="50" w:line="240" w:lineRule="exact"/>
              <w:jc w:val="center"/>
              <w:rPr>
                <w:rFonts w:hint="eastAsia" w:ascii="宋体" w:hAnsi="宋体" w:cs="宋体"/>
                <w:b/>
                <w:bCs/>
                <w:color w:val="000000" w:themeColor="text1"/>
                <w:sz w:val="21"/>
                <w:szCs w:val="21"/>
              </w:rPr>
            </w:pPr>
            <w:r>
              <w:rPr>
                <w:rFonts w:hint="eastAsia" w:ascii="宋体" w:hAnsi="宋体" w:cs="宋体"/>
                <w:b/>
                <w:bCs/>
                <w:color w:val="000000" w:themeColor="text1"/>
                <w:sz w:val="21"/>
                <w:szCs w:val="21"/>
              </w:rPr>
              <w:t>绿化带</w:t>
            </w:r>
          </w:p>
          <w:p w14:paraId="28593616">
            <w:pPr>
              <w:pStyle w:val="120"/>
              <w:tabs>
                <w:tab w:val="left" w:pos="1418"/>
              </w:tabs>
              <w:snapToGrid w:val="0"/>
              <w:spacing w:before="50" w:after="50" w:line="240" w:lineRule="exact"/>
              <w:jc w:val="center"/>
              <w:rPr>
                <w:rFonts w:hint="eastAsia" w:ascii="宋体" w:hAnsi="宋体" w:cs="宋体"/>
                <w:b/>
                <w:bCs/>
                <w:color w:val="000000" w:themeColor="text1"/>
                <w:sz w:val="21"/>
                <w:szCs w:val="21"/>
              </w:rPr>
            </w:pPr>
            <w:r>
              <w:rPr>
                <w:rFonts w:hint="eastAsia" w:ascii="宋体" w:hAnsi="宋体" w:cs="宋体"/>
                <w:b/>
                <w:bCs/>
                <w:color w:val="000000" w:themeColor="text1"/>
                <w:sz w:val="21"/>
                <w:szCs w:val="21"/>
              </w:rPr>
              <w:t>保洁</w:t>
            </w:r>
          </w:p>
          <w:p w14:paraId="073779D1">
            <w:pPr>
              <w:pStyle w:val="120"/>
              <w:tabs>
                <w:tab w:val="left" w:pos="1418"/>
              </w:tabs>
              <w:snapToGrid w:val="0"/>
              <w:spacing w:before="50" w:after="50" w:line="240" w:lineRule="exact"/>
              <w:rPr>
                <w:rFonts w:hint="eastAsia" w:ascii="宋体" w:hAnsi="宋体" w:cs="宋体"/>
                <w:b/>
                <w:bCs/>
                <w:color w:val="000000" w:themeColor="text1"/>
                <w:szCs w:val="21"/>
              </w:rPr>
            </w:pPr>
            <w:r>
              <w:rPr>
                <w:rFonts w:hint="eastAsia" w:ascii="宋体" w:hAnsi="宋体" w:cs="宋体"/>
                <w:color w:val="000000" w:themeColor="text1"/>
                <w:sz w:val="21"/>
                <w:szCs w:val="21"/>
              </w:rPr>
              <w:t>（绿化带面积：134.73万平方米）</w:t>
            </w:r>
          </w:p>
        </w:tc>
        <w:tc>
          <w:tcPr>
            <w:tcW w:w="794" w:type="pct"/>
            <w:tcBorders>
              <w:top w:val="single" w:color="auto" w:sz="4" w:space="0"/>
              <w:left w:val="single" w:color="auto" w:sz="4" w:space="0"/>
              <w:bottom w:val="single" w:color="auto" w:sz="4" w:space="0"/>
              <w:right w:val="single" w:color="auto" w:sz="4" w:space="0"/>
            </w:tcBorders>
            <w:vAlign w:val="center"/>
          </w:tcPr>
          <w:p w14:paraId="071D993F">
            <w:pPr>
              <w:spacing w:line="240" w:lineRule="exact"/>
              <w:jc w:val="center"/>
              <w:rPr>
                <w:rFonts w:hint="eastAsia" w:ascii="宋体" w:hAnsi="宋体" w:eastAsia="宋体" w:cs="宋体"/>
                <w:b/>
                <w:bCs/>
                <w:szCs w:val="21"/>
              </w:rPr>
            </w:pPr>
          </w:p>
        </w:tc>
        <w:tc>
          <w:tcPr>
            <w:tcW w:w="396" w:type="pct"/>
            <w:tcBorders>
              <w:top w:val="single" w:color="auto" w:sz="4" w:space="0"/>
              <w:left w:val="single" w:color="auto" w:sz="4" w:space="0"/>
              <w:bottom w:val="single" w:color="auto" w:sz="4" w:space="0"/>
              <w:right w:val="single" w:color="auto" w:sz="4" w:space="0"/>
            </w:tcBorders>
            <w:vAlign w:val="center"/>
          </w:tcPr>
          <w:p w14:paraId="3366FC80">
            <w:pPr>
              <w:spacing w:line="240" w:lineRule="exact"/>
              <w:jc w:val="center"/>
              <w:rPr>
                <w:rFonts w:hint="eastAsia" w:ascii="宋体" w:hAnsi="宋体" w:eastAsia="宋体" w:cs="宋体"/>
                <w:szCs w:val="21"/>
              </w:rPr>
            </w:pPr>
          </w:p>
        </w:tc>
        <w:tc>
          <w:tcPr>
            <w:tcW w:w="383" w:type="pct"/>
            <w:tcBorders>
              <w:top w:val="single" w:color="auto" w:sz="4" w:space="0"/>
              <w:left w:val="single" w:color="auto" w:sz="4" w:space="0"/>
              <w:bottom w:val="single" w:color="auto" w:sz="4" w:space="0"/>
              <w:right w:val="single" w:color="auto" w:sz="4" w:space="0"/>
            </w:tcBorders>
            <w:vAlign w:val="center"/>
          </w:tcPr>
          <w:p w14:paraId="347B2B8F">
            <w:pPr>
              <w:spacing w:line="240" w:lineRule="exact"/>
              <w:jc w:val="center"/>
              <w:rPr>
                <w:rFonts w:hint="eastAsia" w:ascii="宋体" w:hAnsi="宋体" w:eastAsia="宋体" w:cs="宋体"/>
                <w:bCs/>
                <w:szCs w:val="21"/>
              </w:rPr>
            </w:pPr>
          </w:p>
        </w:tc>
        <w:tc>
          <w:tcPr>
            <w:tcW w:w="658" w:type="pct"/>
            <w:tcBorders>
              <w:top w:val="single" w:color="auto" w:sz="4" w:space="0"/>
              <w:left w:val="single" w:color="auto" w:sz="4" w:space="0"/>
              <w:bottom w:val="single" w:color="auto" w:sz="4" w:space="0"/>
              <w:right w:val="single" w:color="auto" w:sz="4" w:space="0"/>
            </w:tcBorders>
            <w:vAlign w:val="center"/>
          </w:tcPr>
          <w:p w14:paraId="493893D6">
            <w:pPr>
              <w:spacing w:line="240" w:lineRule="exact"/>
              <w:jc w:val="center"/>
              <w:rPr>
                <w:rFonts w:hint="eastAsia" w:ascii="宋体" w:hAnsi="宋体" w:eastAsia="宋体" w:cs="宋体"/>
                <w:b/>
                <w:bCs/>
                <w:szCs w:val="21"/>
              </w:rPr>
            </w:pPr>
          </w:p>
        </w:tc>
        <w:tc>
          <w:tcPr>
            <w:tcW w:w="654" w:type="pct"/>
            <w:tcBorders>
              <w:top w:val="single" w:color="auto" w:sz="4" w:space="0"/>
              <w:left w:val="single" w:color="auto" w:sz="4" w:space="0"/>
              <w:bottom w:val="single" w:color="auto" w:sz="4" w:space="0"/>
              <w:right w:val="single" w:color="auto" w:sz="4" w:space="0"/>
            </w:tcBorders>
            <w:vAlign w:val="center"/>
          </w:tcPr>
          <w:p w14:paraId="08739CA4">
            <w:pPr>
              <w:spacing w:line="240" w:lineRule="exact"/>
              <w:jc w:val="center"/>
              <w:rPr>
                <w:rFonts w:hint="eastAsia" w:ascii="宋体" w:hAnsi="宋体" w:eastAsia="宋体" w:cs="宋体"/>
                <w:b/>
                <w:bCs/>
                <w:szCs w:val="21"/>
              </w:rPr>
            </w:pPr>
          </w:p>
        </w:tc>
        <w:tc>
          <w:tcPr>
            <w:tcW w:w="470" w:type="pct"/>
            <w:tcBorders>
              <w:top w:val="single" w:color="auto" w:sz="4" w:space="0"/>
              <w:left w:val="single" w:color="auto" w:sz="4" w:space="0"/>
              <w:bottom w:val="single" w:color="auto" w:sz="4" w:space="0"/>
              <w:right w:val="single" w:color="auto" w:sz="4" w:space="0"/>
            </w:tcBorders>
            <w:vAlign w:val="center"/>
          </w:tcPr>
          <w:p w14:paraId="21DA6766">
            <w:pPr>
              <w:spacing w:line="240" w:lineRule="exact"/>
              <w:jc w:val="center"/>
              <w:rPr>
                <w:rFonts w:hint="eastAsia" w:ascii="宋体" w:hAnsi="宋体" w:eastAsia="宋体" w:cs="宋体"/>
                <w:b/>
                <w:bCs/>
                <w:szCs w:val="21"/>
              </w:rPr>
            </w:pPr>
          </w:p>
        </w:tc>
      </w:tr>
      <w:tr w14:paraId="2B0D4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454" w:type="pct"/>
            <w:tcBorders>
              <w:top w:val="single" w:color="auto" w:sz="4" w:space="0"/>
              <w:left w:val="single" w:color="auto" w:sz="4" w:space="0"/>
              <w:right w:val="single" w:color="auto" w:sz="4" w:space="0"/>
            </w:tcBorders>
            <w:vAlign w:val="center"/>
          </w:tcPr>
          <w:p w14:paraId="32E1335B">
            <w:pPr>
              <w:spacing w:line="280" w:lineRule="exact"/>
              <w:jc w:val="center"/>
              <w:rPr>
                <w:rFonts w:hint="eastAsia" w:ascii="宋体" w:hAnsi="宋体" w:eastAsia="宋体" w:cs="宋体"/>
                <w:bCs/>
                <w:szCs w:val="21"/>
              </w:rPr>
            </w:pPr>
            <w:r>
              <w:rPr>
                <w:rFonts w:hint="eastAsia" w:ascii="宋体" w:hAnsi="宋体" w:eastAsia="宋体" w:cs="宋体"/>
                <w:bCs/>
                <w:szCs w:val="21"/>
              </w:rPr>
              <w:t>3</w:t>
            </w:r>
          </w:p>
        </w:tc>
        <w:tc>
          <w:tcPr>
            <w:tcW w:w="1191" w:type="pct"/>
            <w:tcBorders>
              <w:top w:val="single" w:color="auto" w:sz="4" w:space="0"/>
              <w:left w:val="single" w:color="auto" w:sz="4" w:space="0"/>
              <w:right w:val="single" w:color="auto" w:sz="4" w:space="0"/>
            </w:tcBorders>
            <w:vAlign w:val="center"/>
          </w:tcPr>
          <w:p w14:paraId="08198E40">
            <w:pPr>
              <w:tabs>
                <w:tab w:val="left" w:pos="1418"/>
              </w:tabs>
              <w:snapToGrid w:val="0"/>
              <w:spacing w:before="50" w:after="50" w:line="240" w:lineRule="exact"/>
              <w:jc w:val="center"/>
              <w:rPr>
                <w:rFonts w:hint="eastAsia" w:ascii="宋体" w:hAnsi="宋体" w:eastAsia="宋体" w:cs="宋体"/>
                <w:color w:val="000000" w:themeColor="text1"/>
                <w:szCs w:val="21"/>
              </w:rPr>
            </w:pPr>
            <w:r>
              <w:rPr>
                <w:rFonts w:hint="eastAsia" w:ascii="宋体" w:hAnsi="宋体" w:eastAsia="宋体" w:cs="宋体"/>
                <w:b/>
                <w:bCs/>
                <w:color w:val="000000" w:themeColor="text1"/>
                <w:szCs w:val="21"/>
              </w:rPr>
              <w:t>果壳箱保洁、垃圾桶清洗清运（</w:t>
            </w:r>
            <w:r>
              <w:rPr>
                <w:rFonts w:hint="eastAsia" w:ascii="宋体" w:hAnsi="宋体" w:eastAsia="宋体" w:cs="宋体"/>
                <w:color w:val="000000" w:themeColor="text1"/>
                <w:szCs w:val="21"/>
              </w:rPr>
              <w:t>果壳箱约815只，垃圾桶约 121只，垃圾袋一天一换</w:t>
            </w:r>
            <w:r>
              <w:rPr>
                <w:rFonts w:hint="eastAsia" w:ascii="宋体" w:hAnsi="宋体" w:eastAsia="宋体" w:cs="宋体"/>
                <w:b/>
                <w:bCs/>
                <w:color w:val="000000" w:themeColor="text1"/>
                <w:szCs w:val="21"/>
              </w:rPr>
              <w:t>）</w:t>
            </w:r>
          </w:p>
        </w:tc>
        <w:tc>
          <w:tcPr>
            <w:tcW w:w="794" w:type="pct"/>
            <w:tcBorders>
              <w:top w:val="single" w:color="auto" w:sz="4" w:space="0"/>
              <w:left w:val="single" w:color="auto" w:sz="4" w:space="0"/>
              <w:bottom w:val="single" w:color="auto" w:sz="4" w:space="0"/>
              <w:right w:val="single" w:color="auto" w:sz="4" w:space="0"/>
            </w:tcBorders>
            <w:vAlign w:val="center"/>
          </w:tcPr>
          <w:p w14:paraId="325B9889">
            <w:pPr>
              <w:spacing w:line="280" w:lineRule="exact"/>
              <w:jc w:val="center"/>
              <w:rPr>
                <w:rFonts w:hint="eastAsia" w:ascii="宋体" w:hAnsi="宋体" w:eastAsia="宋体" w:cs="宋体"/>
                <w:szCs w:val="21"/>
              </w:rPr>
            </w:pPr>
          </w:p>
        </w:tc>
        <w:tc>
          <w:tcPr>
            <w:tcW w:w="396" w:type="pct"/>
            <w:tcBorders>
              <w:top w:val="single" w:color="auto" w:sz="4" w:space="0"/>
              <w:left w:val="single" w:color="auto" w:sz="4" w:space="0"/>
              <w:bottom w:val="single" w:color="auto" w:sz="4" w:space="0"/>
              <w:right w:val="single" w:color="auto" w:sz="4" w:space="0"/>
            </w:tcBorders>
            <w:vAlign w:val="center"/>
          </w:tcPr>
          <w:p w14:paraId="47C9C9FC">
            <w:pPr>
              <w:spacing w:line="280" w:lineRule="exact"/>
              <w:jc w:val="center"/>
              <w:rPr>
                <w:rFonts w:hint="eastAsia" w:ascii="宋体" w:hAnsi="宋体" w:eastAsia="宋体" w:cs="宋体"/>
                <w:szCs w:val="21"/>
              </w:rPr>
            </w:pPr>
          </w:p>
        </w:tc>
        <w:tc>
          <w:tcPr>
            <w:tcW w:w="383" w:type="pct"/>
            <w:tcBorders>
              <w:top w:val="single" w:color="auto" w:sz="4" w:space="0"/>
              <w:left w:val="single" w:color="auto" w:sz="4" w:space="0"/>
              <w:bottom w:val="single" w:color="auto" w:sz="4" w:space="0"/>
              <w:right w:val="single" w:color="auto" w:sz="4" w:space="0"/>
            </w:tcBorders>
            <w:vAlign w:val="center"/>
          </w:tcPr>
          <w:p w14:paraId="5A992C7E">
            <w:pPr>
              <w:spacing w:line="280" w:lineRule="exact"/>
              <w:jc w:val="center"/>
              <w:rPr>
                <w:rFonts w:hint="eastAsia" w:ascii="宋体" w:hAnsi="宋体" w:eastAsia="宋体" w:cs="宋体"/>
                <w:b/>
                <w:bCs/>
                <w:szCs w:val="21"/>
              </w:rPr>
            </w:pPr>
          </w:p>
        </w:tc>
        <w:tc>
          <w:tcPr>
            <w:tcW w:w="658" w:type="pct"/>
            <w:tcBorders>
              <w:top w:val="single" w:color="auto" w:sz="4" w:space="0"/>
              <w:left w:val="single" w:color="auto" w:sz="4" w:space="0"/>
              <w:bottom w:val="single" w:color="auto" w:sz="4" w:space="0"/>
              <w:right w:val="single" w:color="auto" w:sz="4" w:space="0"/>
            </w:tcBorders>
            <w:vAlign w:val="center"/>
          </w:tcPr>
          <w:p w14:paraId="2F38C32D">
            <w:pPr>
              <w:spacing w:line="280" w:lineRule="exact"/>
              <w:jc w:val="center"/>
              <w:rPr>
                <w:rFonts w:hint="eastAsia" w:ascii="宋体" w:hAnsi="宋体" w:eastAsia="宋体" w:cs="宋体"/>
                <w:b/>
                <w:bCs/>
                <w:szCs w:val="21"/>
              </w:rPr>
            </w:pPr>
          </w:p>
        </w:tc>
        <w:tc>
          <w:tcPr>
            <w:tcW w:w="654" w:type="pct"/>
            <w:tcBorders>
              <w:top w:val="single" w:color="auto" w:sz="4" w:space="0"/>
              <w:left w:val="single" w:color="auto" w:sz="4" w:space="0"/>
              <w:bottom w:val="single" w:color="auto" w:sz="4" w:space="0"/>
              <w:right w:val="single" w:color="auto" w:sz="4" w:space="0"/>
            </w:tcBorders>
            <w:vAlign w:val="center"/>
          </w:tcPr>
          <w:p w14:paraId="5E33040E">
            <w:pPr>
              <w:spacing w:line="280" w:lineRule="exact"/>
              <w:jc w:val="center"/>
              <w:rPr>
                <w:rFonts w:hint="eastAsia" w:ascii="宋体" w:hAnsi="宋体" w:eastAsia="宋体" w:cs="宋体"/>
                <w:b/>
                <w:bCs/>
                <w:szCs w:val="21"/>
              </w:rPr>
            </w:pPr>
          </w:p>
        </w:tc>
        <w:tc>
          <w:tcPr>
            <w:tcW w:w="470" w:type="pct"/>
            <w:tcBorders>
              <w:top w:val="single" w:color="auto" w:sz="4" w:space="0"/>
              <w:left w:val="single" w:color="auto" w:sz="4" w:space="0"/>
              <w:bottom w:val="single" w:color="auto" w:sz="4" w:space="0"/>
              <w:right w:val="single" w:color="auto" w:sz="4" w:space="0"/>
            </w:tcBorders>
            <w:vAlign w:val="center"/>
          </w:tcPr>
          <w:p w14:paraId="0CA49A8A">
            <w:pPr>
              <w:spacing w:line="280" w:lineRule="exact"/>
              <w:jc w:val="center"/>
              <w:rPr>
                <w:rFonts w:hint="eastAsia" w:ascii="宋体" w:hAnsi="宋体" w:eastAsia="宋体" w:cs="宋体"/>
                <w:b/>
                <w:bCs/>
                <w:szCs w:val="21"/>
              </w:rPr>
            </w:pPr>
          </w:p>
        </w:tc>
      </w:tr>
      <w:tr w14:paraId="15853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454" w:type="pct"/>
            <w:tcBorders>
              <w:top w:val="single" w:color="auto" w:sz="4" w:space="0"/>
              <w:left w:val="single" w:color="auto" w:sz="4" w:space="0"/>
              <w:right w:val="single" w:color="auto" w:sz="4" w:space="0"/>
            </w:tcBorders>
            <w:vAlign w:val="center"/>
          </w:tcPr>
          <w:p w14:paraId="4C01FD90">
            <w:pPr>
              <w:spacing w:line="280" w:lineRule="exact"/>
              <w:jc w:val="center"/>
              <w:rPr>
                <w:rFonts w:hint="eastAsia" w:ascii="宋体" w:hAnsi="宋体" w:eastAsia="宋体" w:cs="宋体"/>
                <w:bCs/>
                <w:szCs w:val="21"/>
              </w:rPr>
            </w:pPr>
            <w:r>
              <w:rPr>
                <w:rFonts w:hint="eastAsia" w:ascii="宋体" w:hAnsi="宋体" w:eastAsia="宋体" w:cs="宋体"/>
                <w:bCs/>
                <w:szCs w:val="21"/>
              </w:rPr>
              <w:t>4</w:t>
            </w:r>
          </w:p>
        </w:tc>
        <w:tc>
          <w:tcPr>
            <w:tcW w:w="1191" w:type="pct"/>
            <w:tcBorders>
              <w:top w:val="single" w:color="auto" w:sz="4" w:space="0"/>
              <w:left w:val="single" w:color="auto" w:sz="4" w:space="0"/>
              <w:right w:val="single" w:color="auto" w:sz="4" w:space="0"/>
            </w:tcBorders>
            <w:vAlign w:val="center"/>
          </w:tcPr>
          <w:p w14:paraId="5AA9B891">
            <w:pPr>
              <w:jc w:val="center"/>
              <w:rPr>
                <w:rFonts w:hint="eastAsia" w:ascii="宋体" w:hAnsi="宋体" w:eastAsia="宋体" w:cs="宋体"/>
                <w:b/>
                <w:bCs/>
                <w:color w:val="000000" w:themeColor="text1"/>
                <w:szCs w:val="21"/>
              </w:rPr>
            </w:pPr>
            <w:r>
              <w:rPr>
                <w:rFonts w:hint="eastAsia" w:ascii="宋体" w:hAnsi="宋体" w:eastAsia="宋体" w:cs="宋体"/>
                <w:b/>
                <w:bCs/>
                <w:color w:val="000000" w:themeColor="text1"/>
                <w:szCs w:val="21"/>
              </w:rPr>
              <w:t>多把扫把并一把和沿街店面房垃圾收运</w:t>
            </w:r>
          </w:p>
          <w:p w14:paraId="51271A5F">
            <w:pPr>
              <w:tabs>
                <w:tab w:val="left" w:pos="1418"/>
              </w:tabs>
              <w:snapToGrid w:val="0"/>
              <w:spacing w:before="50" w:after="50" w:line="240" w:lineRule="exact"/>
              <w:jc w:val="center"/>
              <w:rPr>
                <w:rFonts w:hint="eastAsia" w:ascii="宋体" w:hAnsi="宋体" w:eastAsia="宋体" w:cs="宋体"/>
                <w:b/>
                <w:bCs/>
                <w:color w:val="000000" w:themeColor="text1"/>
                <w:szCs w:val="21"/>
              </w:rPr>
            </w:pPr>
            <w:r>
              <w:rPr>
                <w:rFonts w:hint="eastAsia" w:ascii="宋体" w:hAnsi="宋体" w:eastAsia="宋体" w:cs="宋体"/>
                <w:color w:val="000000" w:themeColor="text1"/>
                <w:szCs w:val="21"/>
              </w:rPr>
              <w:t>（人行道面积：15.013万平方米，垃圾清运的街区数量：22条）</w:t>
            </w:r>
          </w:p>
        </w:tc>
        <w:tc>
          <w:tcPr>
            <w:tcW w:w="794" w:type="pct"/>
            <w:tcBorders>
              <w:top w:val="single" w:color="auto" w:sz="4" w:space="0"/>
              <w:left w:val="single" w:color="auto" w:sz="4" w:space="0"/>
              <w:bottom w:val="single" w:color="auto" w:sz="4" w:space="0"/>
              <w:right w:val="single" w:color="auto" w:sz="4" w:space="0"/>
            </w:tcBorders>
            <w:vAlign w:val="center"/>
          </w:tcPr>
          <w:p w14:paraId="676B939D">
            <w:pPr>
              <w:spacing w:line="280" w:lineRule="exact"/>
              <w:jc w:val="center"/>
              <w:rPr>
                <w:rFonts w:hint="eastAsia" w:ascii="宋体" w:hAnsi="宋体" w:eastAsia="宋体" w:cs="宋体"/>
                <w:szCs w:val="21"/>
              </w:rPr>
            </w:pPr>
          </w:p>
        </w:tc>
        <w:tc>
          <w:tcPr>
            <w:tcW w:w="396" w:type="pct"/>
            <w:tcBorders>
              <w:top w:val="single" w:color="auto" w:sz="4" w:space="0"/>
              <w:left w:val="single" w:color="auto" w:sz="4" w:space="0"/>
              <w:bottom w:val="single" w:color="auto" w:sz="4" w:space="0"/>
              <w:right w:val="single" w:color="auto" w:sz="4" w:space="0"/>
            </w:tcBorders>
            <w:vAlign w:val="center"/>
          </w:tcPr>
          <w:p w14:paraId="4C551977">
            <w:pPr>
              <w:spacing w:line="280" w:lineRule="exact"/>
              <w:jc w:val="center"/>
              <w:rPr>
                <w:rFonts w:hint="eastAsia" w:ascii="宋体" w:hAnsi="宋体" w:eastAsia="宋体" w:cs="宋体"/>
                <w:szCs w:val="21"/>
              </w:rPr>
            </w:pPr>
          </w:p>
        </w:tc>
        <w:tc>
          <w:tcPr>
            <w:tcW w:w="383" w:type="pct"/>
            <w:tcBorders>
              <w:top w:val="single" w:color="auto" w:sz="4" w:space="0"/>
              <w:left w:val="single" w:color="auto" w:sz="4" w:space="0"/>
              <w:bottom w:val="single" w:color="auto" w:sz="4" w:space="0"/>
              <w:right w:val="single" w:color="auto" w:sz="4" w:space="0"/>
            </w:tcBorders>
            <w:vAlign w:val="center"/>
          </w:tcPr>
          <w:p w14:paraId="1A73075A">
            <w:pPr>
              <w:spacing w:line="280" w:lineRule="exact"/>
              <w:jc w:val="center"/>
              <w:rPr>
                <w:rFonts w:hint="eastAsia" w:ascii="宋体" w:hAnsi="宋体" w:eastAsia="宋体" w:cs="宋体"/>
                <w:b/>
                <w:bCs/>
                <w:szCs w:val="21"/>
              </w:rPr>
            </w:pPr>
          </w:p>
        </w:tc>
        <w:tc>
          <w:tcPr>
            <w:tcW w:w="658" w:type="pct"/>
            <w:tcBorders>
              <w:top w:val="single" w:color="auto" w:sz="4" w:space="0"/>
              <w:left w:val="single" w:color="auto" w:sz="4" w:space="0"/>
              <w:bottom w:val="single" w:color="auto" w:sz="4" w:space="0"/>
              <w:right w:val="single" w:color="auto" w:sz="4" w:space="0"/>
            </w:tcBorders>
            <w:vAlign w:val="center"/>
          </w:tcPr>
          <w:p w14:paraId="1322DB68">
            <w:pPr>
              <w:spacing w:line="280" w:lineRule="exact"/>
              <w:jc w:val="center"/>
              <w:rPr>
                <w:rFonts w:hint="eastAsia" w:ascii="宋体" w:hAnsi="宋体" w:eastAsia="宋体" w:cs="宋体"/>
                <w:b/>
                <w:bCs/>
                <w:szCs w:val="21"/>
              </w:rPr>
            </w:pPr>
          </w:p>
        </w:tc>
        <w:tc>
          <w:tcPr>
            <w:tcW w:w="654" w:type="pct"/>
            <w:tcBorders>
              <w:top w:val="single" w:color="auto" w:sz="4" w:space="0"/>
              <w:left w:val="single" w:color="auto" w:sz="4" w:space="0"/>
              <w:bottom w:val="single" w:color="auto" w:sz="4" w:space="0"/>
              <w:right w:val="single" w:color="auto" w:sz="4" w:space="0"/>
            </w:tcBorders>
            <w:vAlign w:val="center"/>
          </w:tcPr>
          <w:p w14:paraId="0663A013">
            <w:pPr>
              <w:spacing w:line="280" w:lineRule="exact"/>
              <w:jc w:val="center"/>
              <w:rPr>
                <w:rFonts w:hint="eastAsia" w:ascii="宋体" w:hAnsi="宋体" w:eastAsia="宋体" w:cs="宋体"/>
                <w:b/>
                <w:bCs/>
                <w:szCs w:val="21"/>
              </w:rPr>
            </w:pPr>
          </w:p>
        </w:tc>
        <w:tc>
          <w:tcPr>
            <w:tcW w:w="470" w:type="pct"/>
            <w:tcBorders>
              <w:top w:val="single" w:color="auto" w:sz="4" w:space="0"/>
              <w:left w:val="single" w:color="auto" w:sz="4" w:space="0"/>
              <w:right w:val="single" w:color="auto" w:sz="4" w:space="0"/>
            </w:tcBorders>
            <w:vAlign w:val="center"/>
          </w:tcPr>
          <w:p w14:paraId="625D83D1">
            <w:pPr>
              <w:spacing w:line="240" w:lineRule="exact"/>
              <w:jc w:val="center"/>
              <w:rPr>
                <w:rFonts w:hint="eastAsia" w:ascii="宋体" w:hAnsi="宋体" w:eastAsia="宋体" w:cs="宋体"/>
                <w:b/>
                <w:bCs/>
                <w:szCs w:val="21"/>
              </w:rPr>
            </w:pPr>
          </w:p>
        </w:tc>
      </w:tr>
      <w:tr w14:paraId="28B670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454" w:type="pct"/>
            <w:tcBorders>
              <w:top w:val="single" w:color="auto" w:sz="4" w:space="0"/>
              <w:left w:val="single" w:color="auto" w:sz="4" w:space="0"/>
              <w:right w:val="single" w:color="auto" w:sz="4" w:space="0"/>
            </w:tcBorders>
            <w:vAlign w:val="center"/>
          </w:tcPr>
          <w:p w14:paraId="73C7B941">
            <w:pPr>
              <w:spacing w:line="280" w:lineRule="exact"/>
              <w:jc w:val="center"/>
              <w:rPr>
                <w:rFonts w:hint="eastAsia" w:ascii="宋体" w:hAnsi="宋体" w:eastAsia="宋体" w:cs="宋体"/>
                <w:bCs/>
                <w:szCs w:val="21"/>
              </w:rPr>
            </w:pPr>
            <w:r>
              <w:rPr>
                <w:rFonts w:hint="eastAsia" w:ascii="宋体" w:hAnsi="宋体" w:eastAsia="宋体" w:cs="宋体"/>
                <w:bCs/>
                <w:szCs w:val="21"/>
              </w:rPr>
              <w:t>5</w:t>
            </w:r>
          </w:p>
        </w:tc>
        <w:tc>
          <w:tcPr>
            <w:tcW w:w="1191" w:type="pct"/>
            <w:tcBorders>
              <w:top w:val="single" w:color="auto" w:sz="4" w:space="0"/>
              <w:left w:val="single" w:color="auto" w:sz="4" w:space="0"/>
              <w:right w:val="single" w:color="auto" w:sz="4" w:space="0"/>
            </w:tcBorders>
            <w:vAlign w:val="center"/>
          </w:tcPr>
          <w:p w14:paraId="0C524DEF">
            <w:pPr>
              <w:pStyle w:val="2"/>
              <w:jc w:val="center"/>
              <w:rPr>
                <w:rFonts w:hint="eastAsia" w:ascii="宋体" w:hAnsi="宋体" w:cs="宋体"/>
                <w:szCs w:val="21"/>
              </w:rPr>
            </w:pPr>
            <w:r>
              <w:rPr>
                <w:rFonts w:hint="eastAsia" w:ascii="宋体" w:hAnsi="宋体" w:cs="宋体"/>
                <w:b/>
                <w:bCs/>
                <w:szCs w:val="21"/>
              </w:rPr>
              <w:t>生活垃圾收运</w:t>
            </w:r>
          </w:p>
        </w:tc>
        <w:tc>
          <w:tcPr>
            <w:tcW w:w="794" w:type="pct"/>
            <w:tcBorders>
              <w:top w:val="single" w:color="auto" w:sz="4" w:space="0"/>
              <w:left w:val="single" w:color="auto" w:sz="4" w:space="0"/>
              <w:bottom w:val="single" w:color="auto" w:sz="4" w:space="0"/>
              <w:right w:val="single" w:color="auto" w:sz="4" w:space="0"/>
            </w:tcBorders>
            <w:vAlign w:val="center"/>
          </w:tcPr>
          <w:p w14:paraId="4267E34F">
            <w:pPr>
              <w:spacing w:line="280" w:lineRule="exact"/>
              <w:jc w:val="center"/>
              <w:rPr>
                <w:rFonts w:hint="eastAsia" w:ascii="宋体" w:hAnsi="宋体" w:eastAsia="宋体" w:cs="宋体"/>
                <w:szCs w:val="21"/>
                <w:highlight w:val="yellow"/>
              </w:rPr>
            </w:pPr>
          </w:p>
        </w:tc>
        <w:tc>
          <w:tcPr>
            <w:tcW w:w="396" w:type="pct"/>
            <w:tcBorders>
              <w:top w:val="single" w:color="auto" w:sz="4" w:space="0"/>
              <w:left w:val="single" w:color="auto" w:sz="4" w:space="0"/>
              <w:bottom w:val="single" w:color="auto" w:sz="4" w:space="0"/>
              <w:right w:val="single" w:color="auto" w:sz="4" w:space="0"/>
            </w:tcBorders>
            <w:vAlign w:val="center"/>
          </w:tcPr>
          <w:p w14:paraId="7500AC57">
            <w:pPr>
              <w:spacing w:line="280" w:lineRule="exact"/>
              <w:jc w:val="center"/>
              <w:rPr>
                <w:rFonts w:hint="eastAsia" w:ascii="宋体" w:hAnsi="宋体" w:eastAsia="宋体" w:cs="宋体"/>
                <w:szCs w:val="21"/>
                <w:highlight w:val="yellow"/>
              </w:rPr>
            </w:pPr>
          </w:p>
        </w:tc>
        <w:tc>
          <w:tcPr>
            <w:tcW w:w="383" w:type="pct"/>
            <w:tcBorders>
              <w:top w:val="single" w:color="auto" w:sz="4" w:space="0"/>
              <w:left w:val="single" w:color="auto" w:sz="4" w:space="0"/>
              <w:bottom w:val="single" w:color="auto" w:sz="4" w:space="0"/>
              <w:right w:val="single" w:color="auto" w:sz="4" w:space="0"/>
            </w:tcBorders>
            <w:vAlign w:val="center"/>
          </w:tcPr>
          <w:p w14:paraId="4FFDA8E3">
            <w:pPr>
              <w:spacing w:line="280" w:lineRule="exact"/>
              <w:jc w:val="center"/>
              <w:rPr>
                <w:rFonts w:hint="eastAsia" w:ascii="宋体" w:hAnsi="宋体" w:eastAsia="宋体" w:cs="宋体"/>
                <w:b/>
                <w:bCs/>
                <w:szCs w:val="21"/>
                <w:highlight w:val="yellow"/>
              </w:rPr>
            </w:pPr>
          </w:p>
        </w:tc>
        <w:tc>
          <w:tcPr>
            <w:tcW w:w="658" w:type="pct"/>
            <w:tcBorders>
              <w:top w:val="single" w:color="auto" w:sz="4" w:space="0"/>
              <w:left w:val="single" w:color="auto" w:sz="4" w:space="0"/>
              <w:bottom w:val="single" w:color="auto" w:sz="4" w:space="0"/>
              <w:right w:val="single" w:color="auto" w:sz="4" w:space="0"/>
            </w:tcBorders>
            <w:vAlign w:val="center"/>
          </w:tcPr>
          <w:p w14:paraId="24C6C644">
            <w:pPr>
              <w:spacing w:line="280" w:lineRule="exact"/>
              <w:jc w:val="center"/>
              <w:rPr>
                <w:rFonts w:hint="eastAsia" w:ascii="宋体" w:hAnsi="宋体" w:eastAsia="宋体" w:cs="宋体"/>
                <w:b/>
                <w:bCs/>
                <w:szCs w:val="21"/>
                <w:highlight w:val="yellow"/>
              </w:rPr>
            </w:pPr>
          </w:p>
        </w:tc>
        <w:tc>
          <w:tcPr>
            <w:tcW w:w="654" w:type="pct"/>
            <w:tcBorders>
              <w:top w:val="single" w:color="auto" w:sz="4" w:space="0"/>
              <w:left w:val="single" w:color="auto" w:sz="4" w:space="0"/>
              <w:bottom w:val="single" w:color="auto" w:sz="4" w:space="0"/>
              <w:right w:val="single" w:color="auto" w:sz="4" w:space="0"/>
            </w:tcBorders>
            <w:vAlign w:val="center"/>
          </w:tcPr>
          <w:p w14:paraId="4B14A4E4">
            <w:pPr>
              <w:spacing w:line="280" w:lineRule="exact"/>
              <w:jc w:val="center"/>
              <w:rPr>
                <w:rFonts w:hint="eastAsia" w:ascii="宋体" w:hAnsi="宋体" w:eastAsia="宋体" w:cs="宋体"/>
                <w:b/>
                <w:bCs/>
                <w:szCs w:val="21"/>
                <w:highlight w:val="yellow"/>
              </w:rPr>
            </w:pPr>
          </w:p>
        </w:tc>
        <w:tc>
          <w:tcPr>
            <w:tcW w:w="470" w:type="pct"/>
            <w:tcBorders>
              <w:top w:val="single" w:color="auto" w:sz="4" w:space="0"/>
              <w:left w:val="single" w:color="auto" w:sz="4" w:space="0"/>
              <w:bottom w:val="single" w:color="auto" w:sz="4" w:space="0"/>
              <w:right w:val="single" w:color="auto" w:sz="4" w:space="0"/>
            </w:tcBorders>
            <w:vAlign w:val="center"/>
          </w:tcPr>
          <w:p w14:paraId="31788443">
            <w:pPr>
              <w:spacing w:line="280" w:lineRule="exact"/>
              <w:jc w:val="center"/>
              <w:rPr>
                <w:rFonts w:hint="eastAsia" w:ascii="宋体" w:hAnsi="宋体" w:eastAsia="宋体" w:cs="宋体"/>
                <w:b/>
                <w:bCs/>
                <w:szCs w:val="21"/>
                <w:highlight w:val="yellow"/>
              </w:rPr>
            </w:pPr>
          </w:p>
        </w:tc>
      </w:tr>
      <w:tr w14:paraId="3F57D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54" w:type="pct"/>
            <w:tcBorders>
              <w:top w:val="single" w:color="auto" w:sz="4" w:space="0"/>
              <w:left w:val="single" w:color="auto" w:sz="4" w:space="0"/>
              <w:right w:val="single" w:color="auto" w:sz="4" w:space="0"/>
            </w:tcBorders>
            <w:vAlign w:val="center"/>
          </w:tcPr>
          <w:p w14:paraId="28888F0F">
            <w:pPr>
              <w:spacing w:line="280" w:lineRule="exact"/>
              <w:jc w:val="center"/>
              <w:rPr>
                <w:rFonts w:hint="eastAsia" w:ascii="宋体" w:hAnsi="宋体" w:eastAsia="宋体" w:cs="宋体"/>
                <w:bCs/>
                <w:szCs w:val="21"/>
              </w:rPr>
            </w:pPr>
            <w:r>
              <w:rPr>
                <w:rFonts w:hint="eastAsia" w:ascii="宋体" w:hAnsi="宋体" w:eastAsia="宋体" w:cs="宋体"/>
                <w:bCs/>
                <w:szCs w:val="21"/>
              </w:rPr>
              <w:t>6</w:t>
            </w:r>
          </w:p>
        </w:tc>
        <w:tc>
          <w:tcPr>
            <w:tcW w:w="1191" w:type="pct"/>
            <w:tcBorders>
              <w:top w:val="single" w:color="auto" w:sz="4" w:space="0"/>
              <w:left w:val="single" w:color="auto" w:sz="4" w:space="0"/>
              <w:right w:val="single" w:color="auto" w:sz="4" w:space="0"/>
            </w:tcBorders>
            <w:vAlign w:val="center"/>
          </w:tcPr>
          <w:p w14:paraId="72BBD70B">
            <w:pPr>
              <w:spacing w:line="280" w:lineRule="exact"/>
              <w:jc w:val="center"/>
              <w:rPr>
                <w:rFonts w:hint="eastAsia" w:ascii="宋体" w:hAnsi="宋体" w:eastAsia="宋体" w:cs="宋体"/>
                <w:bCs/>
                <w:szCs w:val="21"/>
              </w:rPr>
            </w:pPr>
            <w:r>
              <w:rPr>
                <w:rFonts w:hint="eastAsia" w:ascii="宋体" w:hAnsi="宋体" w:eastAsia="宋体" w:cs="宋体"/>
                <w:b/>
                <w:bCs/>
                <w:szCs w:val="21"/>
              </w:rPr>
              <w:t>栏杆清洗</w:t>
            </w:r>
          </w:p>
        </w:tc>
        <w:tc>
          <w:tcPr>
            <w:tcW w:w="794" w:type="pct"/>
            <w:tcBorders>
              <w:top w:val="single" w:color="auto" w:sz="4" w:space="0"/>
              <w:left w:val="single" w:color="auto" w:sz="4" w:space="0"/>
              <w:bottom w:val="single" w:color="auto" w:sz="4" w:space="0"/>
              <w:right w:val="single" w:color="auto" w:sz="4" w:space="0"/>
            </w:tcBorders>
            <w:vAlign w:val="center"/>
          </w:tcPr>
          <w:p w14:paraId="7AF0BA9B">
            <w:pPr>
              <w:spacing w:line="280" w:lineRule="exact"/>
              <w:jc w:val="center"/>
              <w:rPr>
                <w:rFonts w:hint="eastAsia" w:ascii="宋体" w:hAnsi="宋体" w:eastAsia="宋体" w:cs="宋体"/>
                <w:szCs w:val="21"/>
              </w:rPr>
            </w:pPr>
          </w:p>
        </w:tc>
        <w:tc>
          <w:tcPr>
            <w:tcW w:w="396" w:type="pct"/>
            <w:tcBorders>
              <w:top w:val="single" w:color="auto" w:sz="4" w:space="0"/>
              <w:left w:val="single" w:color="auto" w:sz="4" w:space="0"/>
              <w:bottom w:val="single" w:color="auto" w:sz="4" w:space="0"/>
              <w:right w:val="single" w:color="auto" w:sz="4" w:space="0"/>
            </w:tcBorders>
            <w:vAlign w:val="center"/>
          </w:tcPr>
          <w:p w14:paraId="58C7FDAE">
            <w:pPr>
              <w:spacing w:line="280" w:lineRule="exact"/>
              <w:jc w:val="center"/>
              <w:rPr>
                <w:rFonts w:hint="eastAsia" w:ascii="宋体" w:hAnsi="宋体" w:eastAsia="宋体" w:cs="宋体"/>
                <w:szCs w:val="21"/>
              </w:rPr>
            </w:pPr>
          </w:p>
        </w:tc>
        <w:tc>
          <w:tcPr>
            <w:tcW w:w="383" w:type="pct"/>
            <w:tcBorders>
              <w:top w:val="single" w:color="auto" w:sz="4" w:space="0"/>
              <w:left w:val="single" w:color="auto" w:sz="4" w:space="0"/>
              <w:bottom w:val="single" w:color="auto" w:sz="4" w:space="0"/>
              <w:right w:val="single" w:color="auto" w:sz="4" w:space="0"/>
            </w:tcBorders>
            <w:vAlign w:val="center"/>
          </w:tcPr>
          <w:p w14:paraId="30A91492">
            <w:pPr>
              <w:spacing w:line="280" w:lineRule="exact"/>
              <w:jc w:val="center"/>
              <w:rPr>
                <w:rFonts w:hint="eastAsia" w:ascii="宋体" w:hAnsi="宋体" w:eastAsia="宋体" w:cs="宋体"/>
                <w:b/>
                <w:bCs/>
                <w:szCs w:val="21"/>
              </w:rPr>
            </w:pPr>
          </w:p>
        </w:tc>
        <w:tc>
          <w:tcPr>
            <w:tcW w:w="658" w:type="pct"/>
            <w:tcBorders>
              <w:top w:val="single" w:color="auto" w:sz="4" w:space="0"/>
              <w:left w:val="single" w:color="auto" w:sz="4" w:space="0"/>
              <w:bottom w:val="single" w:color="auto" w:sz="4" w:space="0"/>
              <w:right w:val="single" w:color="auto" w:sz="4" w:space="0"/>
            </w:tcBorders>
            <w:vAlign w:val="center"/>
          </w:tcPr>
          <w:p w14:paraId="7C7EEDCA">
            <w:pPr>
              <w:spacing w:line="280" w:lineRule="exact"/>
              <w:jc w:val="center"/>
              <w:rPr>
                <w:rFonts w:hint="eastAsia" w:ascii="宋体" w:hAnsi="宋体" w:eastAsia="宋体" w:cs="宋体"/>
                <w:b/>
                <w:bCs/>
                <w:szCs w:val="21"/>
              </w:rPr>
            </w:pPr>
          </w:p>
        </w:tc>
        <w:tc>
          <w:tcPr>
            <w:tcW w:w="654" w:type="pct"/>
            <w:tcBorders>
              <w:top w:val="single" w:color="auto" w:sz="4" w:space="0"/>
              <w:left w:val="single" w:color="auto" w:sz="4" w:space="0"/>
              <w:bottom w:val="single" w:color="auto" w:sz="4" w:space="0"/>
              <w:right w:val="single" w:color="auto" w:sz="4" w:space="0"/>
            </w:tcBorders>
            <w:vAlign w:val="center"/>
          </w:tcPr>
          <w:p w14:paraId="3B5A0858">
            <w:pPr>
              <w:spacing w:line="280" w:lineRule="exact"/>
              <w:jc w:val="center"/>
              <w:rPr>
                <w:rFonts w:hint="eastAsia" w:ascii="宋体" w:hAnsi="宋体" w:eastAsia="宋体" w:cs="宋体"/>
                <w:b/>
                <w:bCs/>
                <w:szCs w:val="21"/>
              </w:rPr>
            </w:pPr>
          </w:p>
        </w:tc>
        <w:tc>
          <w:tcPr>
            <w:tcW w:w="470" w:type="pct"/>
            <w:tcBorders>
              <w:top w:val="single" w:color="auto" w:sz="4" w:space="0"/>
              <w:left w:val="single" w:color="auto" w:sz="4" w:space="0"/>
              <w:bottom w:val="single" w:color="auto" w:sz="4" w:space="0"/>
              <w:right w:val="single" w:color="auto" w:sz="4" w:space="0"/>
            </w:tcBorders>
            <w:vAlign w:val="center"/>
          </w:tcPr>
          <w:p w14:paraId="46A268C0">
            <w:pPr>
              <w:spacing w:line="280" w:lineRule="exact"/>
              <w:jc w:val="center"/>
              <w:rPr>
                <w:rFonts w:hint="eastAsia" w:ascii="宋体" w:hAnsi="宋体" w:eastAsia="宋体" w:cs="宋体"/>
                <w:b/>
                <w:bCs/>
                <w:szCs w:val="21"/>
              </w:rPr>
            </w:pPr>
          </w:p>
        </w:tc>
      </w:tr>
      <w:tr w14:paraId="753B6A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454" w:type="pct"/>
            <w:tcBorders>
              <w:top w:val="single" w:color="auto" w:sz="4" w:space="0"/>
              <w:left w:val="single" w:color="auto" w:sz="4" w:space="0"/>
              <w:bottom w:val="single" w:color="auto" w:sz="4" w:space="0"/>
              <w:right w:val="single" w:color="auto" w:sz="4" w:space="0"/>
            </w:tcBorders>
            <w:vAlign w:val="center"/>
          </w:tcPr>
          <w:p w14:paraId="0A5E2949">
            <w:pPr>
              <w:spacing w:line="280" w:lineRule="exact"/>
              <w:jc w:val="center"/>
              <w:rPr>
                <w:rFonts w:hint="eastAsia" w:ascii="宋体" w:hAnsi="宋体" w:eastAsia="宋体" w:cs="宋体"/>
                <w:bCs/>
                <w:szCs w:val="21"/>
              </w:rPr>
            </w:pPr>
            <w:r>
              <w:rPr>
                <w:rFonts w:hint="eastAsia" w:ascii="宋体" w:hAnsi="宋体" w:eastAsia="宋体" w:cs="宋体"/>
                <w:bCs/>
                <w:szCs w:val="21"/>
              </w:rPr>
              <w:t>7</w:t>
            </w:r>
          </w:p>
        </w:tc>
        <w:tc>
          <w:tcPr>
            <w:tcW w:w="1191" w:type="pct"/>
            <w:tcBorders>
              <w:top w:val="single" w:color="auto" w:sz="4" w:space="0"/>
              <w:left w:val="single" w:color="auto" w:sz="4" w:space="0"/>
              <w:bottom w:val="single" w:color="auto" w:sz="4" w:space="0"/>
              <w:right w:val="single" w:color="auto" w:sz="4" w:space="0"/>
            </w:tcBorders>
            <w:vAlign w:val="center"/>
          </w:tcPr>
          <w:p w14:paraId="35362598">
            <w:pPr>
              <w:pStyle w:val="2"/>
              <w:jc w:val="center"/>
              <w:rPr>
                <w:rFonts w:hint="eastAsia" w:ascii="宋体" w:hAnsi="宋体" w:cs="宋体"/>
                <w:bCs/>
                <w:szCs w:val="21"/>
              </w:rPr>
            </w:pPr>
            <w:r>
              <w:rPr>
                <w:rFonts w:hint="eastAsia" w:ascii="宋体" w:hAnsi="宋体" w:cs="宋体"/>
                <w:b/>
                <w:bCs/>
                <w:szCs w:val="21"/>
              </w:rPr>
              <w:t>小干岛公共厕所</w:t>
            </w:r>
          </w:p>
        </w:tc>
        <w:tc>
          <w:tcPr>
            <w:tcW w:w="794" w:type="pct"/>
            <w:tcBorders>
              <w:top w:val="single" w:color="auto" w:sz="4" w:space="0"/>
              <w:left w:val="single" w:color="auto" w:sz="4" w:space="0"/>
              <w:right w:val="single" w:color="auto" w:sz="4" w:space="0"/>
            </w:tcBorders>
            <w:vAlign w:val="center"/>
          </w:tcPr>
          <w:p w14:paraId="60DDBB76">
            <w:pPr>
              <w:jc w:val="center"/>
              <w:rPr>
                <w:rFonts w:hint="eastAsia" w:ascii="宋体" w:hAnsi="宋体" w:eastAsia="宋体" w:cs="宋体"/>
                <w:szCs w:val="21"/>
              </w:rPr>
            </w:pPr>
          </w:p>
        </w:tc>
        <w:tc>
          <w:tcPr>
            <w:tcW w:w="396" w:type="pct"/>
            <w:tcBorders>
              <w:top w:val="single" w:color="auto" w:sz="4" w:space="0"/>
              <w:left w:val="single" w:color="auto" w:sz="4" w:space="0"/>
              <w:right w:val="single" w:color="auto" w:sz="4" w:space="0"/>
            </w:tcBorders>
            <w:vAlign w:val="center"/>
          </w:tcPr>
          <w:p w14:paraId="6D0D9819">
            <w:pPr>
              <w:spacing w:line="280" w:lineRule="exact"/>
              <w:jc w:val="center"/>
              <w:rPr>
                <w:rFonts w:hint="eastAsia" w:ascii="宋体" w:hAnsi="宋体" w:eastAsia="宋体" w:cs="宋体"/>
                <w:szCs w:val="21"/>
              </w:rPr>
            </w:pPr>
          </w:p>
        </w:tc>
        <w:tc>
          <w:tcPr>
            <w:tcW w:w="383" w:type="pct"/>
            <w:tcBorders>
              <w:top w:val="single" w:color="auto" w:sz="4" w:space="0"/>
              <w:left w:val="single" w:color="auto" w:sz="4" w:space="0"/>
              <w:right w:val="single" w:color="auto" w:sz="4" w:space="0"/>
            </w:tcBorders>
            <w:vAlign w:val="center"/>
          </w:tcPr>
          <w:p w14:paraId="67EE5742">
            <w:pPr>
              <w:spacing w:line="280" w:lineRule="exact"/>
              <w:jc w:val="center"/>
              <w:rPr>
                <w:rFonts w:hint="eastAsia" w:ascii="宋体" w:hAnsi="宋体" w:eastAsia="宋体" w:cs="宋体"/>
                <w:b/>
                <w:bCs/>
                <w:szCs w:val="21"/>
              </w:rPr>
            </w:pPr>
          </w:p>
        </w:tc>
        <w:tc>
          <w:tcPr>
            <w:tcW w:w="658" w:type="pct"/>
            <w:tcBorders>
              <w:top w:val="single" w:color="auto" w:sz="4" w:space="0"/>
              <w:left w:val="single" w:color="auto" w:sz="4" w:space="0"/>
              <w:right w:val="single" w:color="auto" w:sz="4" w:space="0"/>
            </w:tcBorders>
            <w:vAlign w:val="center"/>
          </w:tcPr>
          <w:p w14:paraId="6FA1092F">
            <w:pPr>
              <w:spacing w:line="280" w:lineRule="exact"/>
              <w:jc w:val="center"/>
              <w:rPr>
                <w:rFonts w:hint="eastAsia" w:ascii="宋体" w:hAnsi="宋体" w:eastAsia="宋体" w:cs="宋体"/>
                <w:b/>
                <w:bCs/>
                <w:szCs w:val="21"/>
              </w:rPr>
            </w:pPr>
          </w:p>
        </w:tc>
        <w:tc>
          <w:tcPr>
            <w:tcW w:w="654" w:type="pct"/>
            <w:tcBorders>
              <w:top w:val="single" w:color="auto" w:sz="4" w:space="0"/>
              <w:left w:val="single" w:color="auto" w:sz="4" w:space="0"/>
              <w:right w:val="single" w:color="auto" w:sz="4" w:space="0"/>
            </w:tcBorders>
            <w:vAlign w:val="center"/>
          </w:tcPr>
          <w:p w14:paraId="39850B22">
            <w:pPr>
              <w:spacing w:line="280" w:lineRule="exact"/>
              <w:jc w:val="center"/>
              <w:rPr>
                <w:rFonts w:hint="eastAsia" w:ascii="宋体" w:hAnsi="宋体" w:eastAsia="宋体" w:cs="宋体"/>
                <w:b/>
                <w:bCs/>
                <w:szCs w:val="21"/>
              </w:rPr>
            </w:pPr>
          </w:p>
        </w:tc>
        <w:tc>
          <w:tcPr>
            <w:tcW w:w="470" w:type="pct"/>
            <w:tcBorders>
              <w:top w:val="single" w:color="auto" w:sz="4" w:space="0"/>
              <w:left w:val="single" w:color="auto" w:sz="4" w:space="0"/>
              <w:right w:val="single" w:color="auto" w:sz="4" w:space="0"/>
            </w:tcBorders>
            <w:vAlign w:val="center"/>
          </w:tcPr>
          <w:p w14:paraId="07F78A0B">
            <w:pPr>
              <w:spacing w:line="280" w:lineRule="exact"/>
              <w:jc w:val="center"/>
              <w:rPr>
                <w:rFonts w:hint="eastAsia" w:ascii="宋体" w:hAnsi="宋体" w:eastAsia="宋体" w:cs="宋体"/>
                <w:b/>
                <w:bCs/>
                <w:szCs w:val="21"/>
              </w:rPr>
            </w:pPr>
          </w:p>
        </w:tc>
      </w:tr>
      <w:tr w14:paraId="64C9B3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4" w:type="pct"/>
            <w:tcBorders>
              <w:top w:val="single" w:color="auto" w:sz="4" w:space="0"/>
              <w:left w:val="single" w:color="auto" w:sz="4" w:space="0"/>
              <w:bottom w:val="single" w:color="auto" w:sz="4" w:space="0"/>
              <w:right w:val="single" w:color="auto" w:sz="4" w:space="0"/>
            </w:tcBorders>
            <w:vAlign w:val="center"/>
          </w:tcPr>
          <w:p w14:paraId="18935894">
            <w:pPr>
              <w:spacing w:line="280" w:lineRule="exact"/>
              <w:jc w:val="center"/>
              <w:rPr>
                <w:rFonts w:hint="eastAsia" w:ascii="宋体" w:hAnsi="宋体" w:eastAsia="宋体" w:cs="宋体"/>
                <w:bCs/>
                <w:szCs w:val="21"/>
              </w:rPr>
            </w:pPr>
            <w:r>
              <w:rPr>
                <w:rFonts w:hint="eastAsia" w:ascii="宋体" w:hAnsi="宋体" w:eastAsia="宋体" w:cs="宋体"/>
                <w:bCs/>
                <w:szCs w:val="21"/>
              </w:rPr>
              <w:t>8</w:t>
            </w:r>
          </w:p>
        </w:tc>
        <w:tc>
          <w:tcPr>
            <w:tcW w:w="1191" w:type="pct"/>
            <w:tcBorders>
              <w:top w:val="single" w:color="auto" w:sz="4" w:space="0"/>
              <w:left w:val="single" w:color="auto" w:sz="4" w:space="0"/>
              <w:bottom w:val="single" w:color="auto" w:sz="4" w:space="0"/>
              <w:right w:val="single" w:color="auto" w:sz="4" w:space="0"/>
            </w:tcBorders>
            <w:vAlign w:val="center"/>
          </w:tcPr>
          <w:p w14:paraId="2949B896">
            <w:pPr>
              <w:spacing w:line="280" w:lineRule="exact"/>
              <w:jc w:val="center"/>
              <w:rPr>
                <w:rFonts w:hint="eastAsia" w:ascii="宋体" w:hAnsi="宋体" w:eastAsia="宋体" w:cs="宋体"/>
                <w:bCs/>
                <w:szCs w:val="21"/>
              </w:rPr>
            </w:pPr>
            <w:r>
              <w:rPr>
                <w:rFonts w:hint="eastAsia" w:ascii="宋体" w:hAnsi="宋体" w:eastAsia="宋体" w:cs="宋体"/>
                <w:b/>
                <w:bCs/>
                <w:szCs w:val="21"/>
              </w:rPr>
              <w:t xml:space="preserve"> 应急保洁</w:t>
            </w:r>
          </w:p>
        </w:tc>
        <w:tc>
          <w:tcPr>
            <w:tcW w:w="794" w:type="pct"/>
            <w:tcBorders>
              <w:top w:val="single" w:color="auto" w:sz="4" w:space="0"/>
              <w:left w:val="single" w:color="auto" w:sz="4" w:space="0"/>
              <w:bottom w:val="single" w:color="auto" w:sz="4" w:space="0"/>
              <w:right w:val="single" w:color="auto" w:sz="4" w:space="0"/>
            </w:tcBorders>
            <w:vAlign w:val="center"/>
          </w:tcPr>
          <w:p w14:paraId="04CF8A12">
            <w:pPr>
              <w:spacing w:line="280" w:lineRule="exact"/>
              <w:jc w:val="center"/>
              <w:rPr>
                <w:rFonts w:hint="eastAsia" w:ascii="宋体" w:hAnsi="宋体" w:eastAsia="宋体" w:cs="宋体"/>
                <w:szCs w:val="21"/>
              </w:rPr>
            </w:pPr>
          </w:p>
        </w:tc>
        <w:tc>
          <w:tcPr>
            <w:tcW w:w="396" w:type="pct"/>
            <w:tcBorders>
              <w:top w:val="single" w:color="auto" w:sz="4" w:space="0"/>
              <w:left w:val="single" w:color="auto" w:sz="4" w:space="0"/>
              <w:bottom w:val="single" w:color="auto" w:sz="4" w:space="0"/>
              <w:right w:val="single" w:color="auto" w:sz="4" w:space="0"/>
            </w:tcBorders>
            <w:vAlign w:val="center"/>
          </w:tcPr>
          <w:p w14:paraId="6B258CC8">
            <w:pPr>
              <w:spacing w:line="280" w:lineRule="exact"/>
              <w:jc w:val="center"/>
              <w:rPr>
                <w:rFonts w:hint="eastAsia" w:ascii="宋体" w:hAnsi="宋体" w:eastAsia="宋体" w:cs="宋体"/>
                <w:szCs w:val="21"/>
              </w:rPr>
            </w:pPr>
          </w:p>
        </w:tc>
        <w:tc>
          <w:tcPr>
            <w:tcW w:w="383" w:type="pct"/>
            <w:tcBorders>
              <w:top w:val="single" w:color="auto" w:sz="4" w:space="0"/>
              <w:left w:val="single" w:color="auto" w:sz="4" w:space="0"/>
              <w:bottom w:val="single" w:color="auto" w:sz="4" w:space="0"/>
              <w:right w:val="single" w:color="auto" w:sz="4" w:space="0"/>
            </w:tcBorders>
            <w:vAlign w:val="center"/>
          </w:tcPr>
          <w:p w14:paraId="42376DCD">
            <w:pPr>
              <w:spacing w:line="280" w:lineRule="exact"/>
              <w:jc w:val="center"/>
              <w:rPr>
                <w:rFonts w:hint="eastAsia" w:ascii="宋体" w:hAnsi="宋体" w:eastAsia="宋体" w:cs="宋体"/>
                <w:b/>
                <w:bCs/>
                <w:szCs w:val="21"/>
              </w:rPr>
            </w:pPr>
          </w:p>
        </w:tc>
        <w:tc>
          <w:tcPr>
            <w:tcW w:w="658" w:type="pct"/>
            <w:tcBorders>
              <w:top w:val="single" w:color="auto" w:sz="4" w:space="0"/>
              <w:left w:val="single" w:color="auto" w:sz="4" w:space="0"/>
              <w:bottom w:val="single" w:color="auto" w:sz="4" w:space="0"/>
              <w:right w:val="single" w:color="auto" w:sz="4" w:space="0"/>
            </w:tcBorders>
            <w:vAlign w:val="center"/>
          </w:tcPr>
          <w:p w14:paraId="462D3C08">
            <w:pPr>
              <w:spacing w:line="280" w:lineRule="exact"/>
              <w:jc w:val="center"/>
              <w:rPr>
                <w:rFonts w:hint="eastAsia" w:ascii="宋体" w:hAnsi="宋体" w:eastAsia="宋体" w:cs="宋体"/>
                <w:b/>
                <w:bCs/>
                <w:szCs w:val="21"/>
              </w:rPr>
            </w:pPr>
          </w:p>
        </w:tc>
        <w:tc>
          <w:tcPr>
            <w:tcW w:w="654" w:type="pct"/>
            <w:tcBorders>
              <w:top w:val="single" w:color="auto" w:sz="4" w:space="0"/>
              <w:left w:val="single" w:color="auto" w:sz="4" w:space="0"/>
              <w:bottom w:val="single" w:color="auto" w:sz="4" w:space="0"/>
              <w:right w:val="single" w:color="auto" w:sz="4" w:space="0"/>
            </w:tcBorders>
            <w:vAlign w:val="center"/>
          </w:tcPr>
          <w:p w14:paraId="7C6C1AB4">
            <w:pPr>
              <w:spacing w:line="280" w:lineRule="exact"/>
              <w:jc w:val="center"/>
              <w:rPr>
                <w:rFonts w:hint="eastAsia" w:ascii="宋体" w:hAnsi="宋体" w:eastAsia="宋体" w:cs="宋体"/>
                <w:b/>
                <w:bCs/>
                <w:szCs w:val="21"/>
              </w:rPr>
            </w:pPr>
          </w:p>
        </w:tc>
        <w:tc>
          <w:tcPr>
            <w:tcW w:w="470" w:type="pct"/>
            <w:tcBorders>
              <w:top w:val="single" w:color="auto" w:sz="4" w:space="0"/>
              <w:left w:val="single" w:color="auto" w:sz="4" w:space="0"/>
              <w:bottom w:val="single" w:color="auto" w:sz="4" w:space="0"/>
              <w:right w:val="single" w:color="auto" w:sz="4" w:space="0"/>
            </w:tcBorders>
            <w:vAlign w:val="center"/>
          </w:tcPr>
          <w:p w14:paraId="635633C6">
            <w:pPr>
              <w:spacing w:line="280" w:lineRule="exact"/>
              <w:jc w:val="center"/>
              <w:rPr>
                <w:rFonts w:hint="eastAsia" w:ascii="宋体" w:hAnsi="宋体" w:eastAsia="宋体" w:cs="宋体"/>
                <w:b/>
                <w:bCs/>
                <w:szCs w:val="21"/>
              </w:rPr>
            </w:pPr>
          </w:p>
        </w:tc>
      </w:tr>
      <w:tr w14:paraId="5CD484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4" w:type="pct"/>
            <w:tcBorders>
              <w:top w:val="single" w:color="auto" w:sz="4" w:space="0"/>
              <w:left w:val="single" w:color="auto" w:sz="4" w:space="0"/>
              <w:bottom w:val="single" w:color="auto" w:sz="4" w:space="0"/>
              <w:right w:val="single" w:color="auto" w:sz="4" w:space="0"/>
            </w:tcBorders>
            <w:vAlign w:val="center"/>
          </w:tcPr>
          <w:p w14:paraId="57AF3BD9">
            <w:pPr>
              <w:spacing w:line="280" w:lineRule="exact"/>
              <w:jc w:val="center"/>
              <w:rPr>
                <w:rFonts w:hint="eastAsia" w:ascii="宋体" w:hAnsi="宋体" w:eastAsia="宋体" w:cs="宋体"/>
                <w:bCs/>
                <w:szCs w:val="21"/>
              </w:rPr>
            </w:pPr>
          </w:p>
        </w:tc>
        <w:tc>
          <w:tcPr>
            <w:tcW w:w="1191" w:type="pct"/>
            <w:tcBorders>
              <w:top w:val="single" w:color="auto" w:sz="4" w:space="0"/>
              <w:left w:val="single" w:color="auto" w:sz="4" w:space="0"/>
              <w:bottom w:val="single" w:color="auto" w:sz="4" w:space="0"/>
              <w:right w:val="single" w:color="auto" w:sz="4" w:space="0"/>
            </w:tcBorders>
            <w:vAlign w:val="center"/>
          </w:tcPr>
          <w:p w14:paraId="4B59ABCF">
            <w:pPr>
              <w:spacing w:line="280" w:lineRule="exact"/>
              <w:jc w:val="center"/>
              <w:rPr>
                <w:rFonts w:hint="eastAsia" w:ascii="宋体" w:hAnsi="宋体" w:eastAsia="宋体" w:cs="宋体"/>
                <w:b/>
                <w:bCs/>
                <w:szCs w:val="21"/>
              </w:rPr>
            </w:pPr>
          </w:p>
        </w:tc>
        <w:tc>
          <w:tcPr>
            <w:tcW w:w="794" w:type="pct"/>
            <w:tcBorders>
              <w:top w:val="single" w:color="auto" w:sz="4" w:space="0"/>
              <w:left w:val="single" w:color="auto" w:sz="4" w:space="0"/>
              <w:bottom w:val="single" w:color="auto" w:sz="4" w:space="0"/>
              <w:right w:val="single" w:color="auto" w:sz="4" w:space="0"/>
            </w:tcBorders>
            <w:vAlign w:val="center"/>
          </w:tcPr>
          <w:p w14:paraId="6011F83E">
            <w:pPr>
              <w:spacing w:line="280" w:lineRule="exact"/>
              <w:jc w:val="center"/>
              <w:rPr>
                <w:rFonts w:hint="eastAsia" w:ascii="宋体" w:hAnsi="宋体" w:eastAsia="宋体" w:cs="宋体"/>
                <w:szCs w:val="21"/>
              </w:rPr>
            </w:pPr>
          </w:p>
        </w:tc>
        <w:tc>
          <w:tcPr>
            <w:tcW w:w="396" w:type="pct"/>
            <w:tcBorders>
              <w:top w:val="single" w:color="auto" w:sz="4" w:space="0"/>
              <w:left w:val="single" w:color="auto" w:sz="4" w:space="0"/>
              <w:bottom w:val="single" w:color="auto" w:sz="4" w:space="0"/>
              <w:right w:val="single" w:color="auto" w:sz="4" w:space="0"/>
            </w:tcBorders>
            <w:vAlign w:val="center"/>
          </w:tcPr>
          <w:p w14:paraId="51E7A56F">
            <w:pPr>
              <w:spacing w:line="280" w:lineRule="exact"/>
              <w:jc w:val="center"/>
              <w:rPr>
                <w:rFonts w:hint="eastAsia" w:ascii="宋体" w:hAnsi="宋体" w:eastAsia="宋体" w:cs="宋体"/>
                <w:szCs w:val="21"/>
              </w:rPr>
            </w:pPr>
          </w:p>
        </w:tc>
        <w:tc>
          <w:tcPr>
            <w:tcW w:w="383" w:type="pct"/>
            <w:tcBorders>
              <w:top w:val="single" w:color="auto" w:sz="4" w:space="0"/>
              <w:left w:val="single" w:color="auto" w:sz="4" w:space="0"/>
              <w:bottom w:val="single" w:color="auto" w:sz="4" w:space="0"/>
              <w:right w:val="single" w:color="auto" w:sz="4" w:space="0"/>
            </w:tcBorders>
            <w:vAlign w:val="center"/>
          </w:tcPr>
          <w:p w14:paraId="6B0EAD2E">
            <w:pPr>
              <w:spacing w:line="280" w:lineRule="exact"/>
              <w:jc w:val="center"/>
              <w:rPr>
                <w:rFonts w:hint="eastAsia" w:ascii="宋体" w:hAnsi="宋体" w:eastAsia="宋体" w:cs="宋体"/>
                <w:b/>
                <w:bCs/>
                <w:szCs w:val="21"/>
              </w:rPr>
            </w:pPr>
          </w:p>
        </w:tc>
        <w:tc>
          <w:tcPr>
            <w:tcW w:w="658" w:type="pct"/>
            <w:tcBorders>
              <w:top w:val="single" w:color="auto" w:sz="4" w:space="0"/>
              <w:left w:val="single" w:color="auto" w:sz="4" w:space="0"/>
              <w:bottom w:val="single" w:color="auto" w:sz="4" w:space="0"/>
              <w:right w:val="single" w:color="auto" w:sz="4" w:space="0"/>
            </w:tcBorders>
            <w:vAlign w:val="center"/>
          </w:tcPr>
          <w:p w14:paraId="17C5E6B0">
            <w:pPr>
              <w:spacing w:line="280" w:lineRule="exact"/>
              <w:jc w:val="center"/>
              <w:rPr>
                <w:rFonts w:hint="eastAsia" w:ascii="宋体" w:hAnsi="宋体" w:eastAsia="宋体" w:cs="宋体"/>
                <w:b/>
                <w:bCs/>
                <w:szCs w:val="21"/>
              </w:rPr>
            </w:pPr>
          </w:p>
        </w:tc>
        <w:tc>
          <w:tcPr>
            <w:tcW w:w="654" w:type="pct"/>
            <w:tcBorders>
              <w:top w:val="single" w:color="auto" w:sz="4" w:space="0"/>
              <w:left w:val="single" w:color="auto" w:sz="4" w:space="0"/>
              <w:bottom w:val="single" w:color="auto" w:sz="4" w:space="0"/>
              <w:right w:val="single" w:color="auto" w:sz="4" w:space="0"/>
            </w:tcBorders>
            <w:vAlign w:val="center"/>
          </w:tcPr>
          <w:p w14:paraId="1F5594B7">
            <w:pPr>
              <w:spacing w:line="280" w:lineRule="exact"/>
              <w:jc w:val="center"/>
              <w:rPr>
                <w:rFonts w:hint="eastAsia" w:ascii="宋体" w:hAnsi="宋体" w:eastAsia="宋体" w:cs="宋体"/>
                <w:b/>
                <w:bCs/>
                <w:szCs w:val="21"/>
              </w:rPr>
            </w:pPr>
          </w:p>
        </w:tc>
        <w:tc>
          <w:tcPr>
            <w:tcW w:w="470" w:type="pct"/>
            <w:tcBorders>
              <w:top w:val="single" w:color="auto" w:sz="4" w:space="0"/>
              <w:left w:val="single" w:color="auto" w:sz="4" w:space="0"/>
              <w:bottom w:val="single" w:color="auto" w:sz="4" w:space="0"/>
              <w:right w:val="single" w:color="auto" w:sz="4" w:space="0"/>
            </w:tcBorders>
            <w:vAlign w:val="center"/>
          </w:tcPr>
          <w:p w14:paraId="623C2785">
            <w:pPr>
              <w:spacing w:line="280" w:lineRule="exact"/>
              <w:jc w:val="center"/>
              <w:rPr>
                <w:rFonts w:hint="eastAsia" w:ascii="宋体" w:hAnsi="宋体" w:eastAsia="宋体" w:cs="宋体"/>
                <w:b/>
                <w:bCs/>
                <w:szCs w:val="21"/>
              </w:rPr>
            </w:pPr>
          </w:p>
        </w:tc>
      </w:tr>
      <w:tr w14:paraId="5A1356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4" w:type="pct"/>
            <w:tcBorders>
              <w:top w:val="single" w:color="auto" w:sz="4" w:space="0"/>
              <w:left w:val="single" w:color="auto" w:sz="4" w:space="0"/>
              <w:bottom w:val="single" w:color="auto" w:sz="4" w:space="0"/>
              <w:right w:val="single" w:color="auto" w:sz="4" w:space="0"/>
            </w:tcBorders>
            <w:vAlign w:val="center"/>
          </w:tcPr>
          <w:p w14:paraId="463260DE">
            <w:pPr>
              <w:spacing w:line="280" w:lineRule="exact"/>
              <w:jc w:val="center"/>
              <w:rPr>
                <w:rFonts w:hint="eastAsia" w:ascii="宋体" w:hAnsi="宋体" w:eastAsia="宋体" w:cs="宋体"/>
                <w:bCs/>
                <w:szCs w:val="21"/>
              </w:rPr>
            </w:pPr>
          </w:p>
        </w:tc>
        <w:tc>
          <w:tcPr>
            <w:tcW w:w="1191" w:type="pct"/>
            <w:tcBorders>
              <w:left w:val="single" w:color="auto" w:sz="4" w:space="0"/>
              <w:bottom w:val="single" w:color="auto" w:sz="4" w:space="0"/>
              <w:right w:val="single" w:color="auto" w:sz="4" w:space="0"/>
            </w:tcBorders>
            <w:vAlign w:val="center"/>
          </w:tcPr>
          <w:p w14:paraId="7A842A3C">
            <w:pPr>
              <w:spacing w:line="280" w:lineRule="exact"/>
              <w:jc w:val="center"/>
              <w:rPr>
                <w:rFonts w:hint="eastAsia" w:ascii="宋体" w:hAnsi="宋体" w:eastAsia="宋体" w:cs="宋体"/>
                <w:b/>
                <w:bCs/>
                <w:szCs w:val="21"/>
              </w:rPr>
            </w:pPr>
          </w:p>
        </w:tc>
        <w:tc>
          <w:tcPr>
            <w:tcW w:w="794" w:type="pct"/>
            <w:tcBorders>
              <w:top w:val="single" w:color="auto" w:sz="4" w:space="0"/>
              <w:left w:val="single" w:color="auto" w:sz="4" w:space="0"/>
              <w:bottom w:val="single" w:color="auto" w:sz="4" w:space="0"/>
              <w:right w:val="single" w:color="auto" w:sz="4" w:space="0"/>
            </w:tcBorders>
            <w:vAlign w:val="center"/>
          </w:tcPr>
          <w:p w14:paraId="2571C5B8">
            <w:pPr>
              <w:spacing w:line="280" w:lineRule="exact"/>
              <w:jc w:val="center"/>
              <w:rPr>
                <w:rFonts w:hint="eastAsia" w:ascii="宋体" w:hAnsi="宋体" w:eastAsia="宋体" w:cs="宋体"/>
                <w:szCs w:val="21"/>
              </w:rPr>
            </w:pPr>
          </w:p>
        </w:tc>
        <w:tc>
          <w:tcPr>
            <w:tcW w:w="396" w:type="pct"/>
            <w:tcBorders>
              <w:top w:val="single" w:color="auto" w:sz="4" w:space="0"/>
              <w:left w:val="single" w:color="auto" w:sz="4" w:space="0"/>
              <w:bottom w:val="single" w:color="auto" w:sz="4" w:space="0"/>
              <w:right w:val="single" w:color="auto" w:sz="4" w:space="0"/>
            </w:tcBorders>
            <w:vAlign w:val="center"/>
          </w:tcPr>
          <w:p w14:paraId="4D6A0C8A">
            <w:pPr>
              <w:spacing w:line="280" w:lineRule="exact"/>
              <w:jc w:val="center"/>
              <w:rPr>
                <w:rFonts w:hint="eastAsia" w:ascii="宋体" w:hAnsi="宋体" w:eastAsia="宋体" w:cs="宋体"/>
                <w:szCs w:val="21"/>
              </w:rPr>
            </w:pPr>
          </w:p>
        </w:tc>
        <w:tc>
          <w:tcPr>
            <w:tcW w:w="383" w:type="pct"/>
            <w:tcBorders>
              <w:top w:val="single" w:color="auto" w:sz="4" w:space="0"/>
              <w:left w:val="single" w:color="auto" w:sz="4" w:space="0"/>
              <w:bottom w:val="single" w:color="auto" w:sz="4" w:space="0"/>
              <w:right w:val="single" w:color="auto" w:sz="4" w:space="0"/>
            </w:tcBorders>
            <w:vAlign w:val="center"/>
          </w:tcPr>
          <w:p w14:paraId="69EE9363">
            <w:pPr>
              <w:spacing w:line="280" w:lineRule="exact"/>
              <w:jc w:val="center"/>
              <w:rPr>
                <w:rFonts w:hint="eastAsia" w:ascii="宋体" w:hAnsi="宋体" w:eastAsia="宋体" w:cs="宋体"/>
                <w:b/>
                <w:bCs/>
                <w:szCs w:val="21"/>
              </w:rPr>
            </w:pPr>
          </w:p>
        </w:tc>
        <w:tc>
          <w:tcPr>
            <w:tcW w:w="658" w:type="pct"/>
            <w:tcBorders>
              <w:top w:val="single" w:color="auto" w:sz="4" w:space="0"/>
              <w:left w:val="single" w:color="auto" w:sz="4" w:space="0"/>
              <w:bottom w:val="single" w:color="auto" w:sz="4" w:space="0"/>
              <w:right w:val="single" w:color="auto" w:sz="4" w:space="0"/>
            </w:tcBorders>
            <w:vAlign w:val="center"/>
          </w:tcPr>
          <w:p w14:paraId="6DA04744">
            <w:pPr>
              <w:spacing w:line="280" w:lineRule="exact"/>
              <w:jc w:val="center"/>
              <w:rPr>
                <w:rFonts w:hint="eastAsia" w:ascii="宋体" w:hAnsi="宋体" w:eastAsia="宋体" w:cs="宋体"/>
                <w:b/>
                <w:bCs/>
                <w:szCs w:val="21"/>
              </w:rPr>
            </w:pPr>
          </w:p>
        </w:tc>
        <w:tc>
          <w:tcPr>
            <w:tcW w:w="654" w:type="pct"/>
            <w:tcBorders>
              <w:top w:val="single" w:color="auto" w:sz="4" w:space="0"/>
              <w:left w:val="single" w:color="auto" w:sz="4" w:space="0"/>
              <w:bottom w:val="single" w:color="auto" w:sz="4" w:space="0"/>
              <w:right w:val="single" w:color="auto" w:sz="4" w:space="0"/>
            </w:tcBorders>
            <w:vAlign w:val="center"/>
          </w:tcPr>
          <w:p w14:paraId="213A49CF">
            <w:pPr>
              <w:spacing w:line="280" w:lineRule="exact"/>
              <w:jc w:val="center"/>
              <w:rPr>
                <w:rFonts w:hint="eastAsia" w:ascii="宋体" w:hAnsi="宋体" w:eastAsia="宋体" w:cs="宋体"/>
                <w:b/>
                <w:bCs/>
                <w:szCs w:val="21"/>
              </w:rPr>
            </w:pPr>
          </w:p>
        </w:tc>
        <w:tc>
          <w:tcPr>
            <w:tcW w:w="470" w:type="pct"/>
            <w:tcBorders>
              <w:top w:val="single" w:color="auto" w:sz="4" w:space="0"/>
              <w:left w:val="single" w:color="auto" w:sz="4" w:space="0"/>
              <w:bottom w:val="single" w:color="auto" w:sz="4" w:space="0"/>
              <w:right w:val="single" w:color="auto" w:sz="4" w:space="0"/>
            </w:tcBorders>
            <w:vAlign w:val="center"/>
          </w:tcPr>
          <w:p w14:paraId="408F1268">
            <w:pPr>
              <w:spacing w:line="280" w:lineRule="exact"/>
              <w:jc w:val="center"/>
              <w:rPr>
                <w:rFonts w:hint="eastAsia" w:ascii="宋体" w:hAnsi="宋体" w:eastAsia="宋体" w:cs="宋体"/>
                <w:b/>
                <w:bCs/>
                <w:szCs w:val="21"/>
              </w:rPr>
            </w:pPr>
          </w:p>
        </w:tc>
      </w:tr>
      <w:tr w14:paraId="26EE0B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645" w:type="pct"/>
            <w:gridSpan w:val="2"/>
            <w:tcBorders>
              <w:top w:val="single" w:color="auto" w:sz="4" w:space="0"/>
              <w:left w:val="single" w:color="auto" w:sz="4" w:space="0"/>
              <w:bottom w:val="single" w:color="auto" w:sz="4" w:space="0"/>
              <w:right w:val="single" w:color="auto" w:sz="4" w:space="0"/>
            </w:tcBorders>
            <w:vAlign w:val="center"/>
          </w:tcPr>
          <w:p w14:paraId="56A5E471">
            <w:pPr>
              <w:spacing w:line="360" w:lineRule="auto"/>
              <w:jc w:val="center"/>
              <w:rPr>
                <w:rFonts w:hint="eastAsia" w:ascii="宋体" w:hAnsi="宋体" w:eastAsia="宋体" w:cs="宋体"/>
                <w:bCs/>
                <w:szCs w:val="21"/>
              </w:rPr>
            </w:pPr>
            <w:r>
              <w:rPr>
                <w:rFonts w:hint="eastAsia" w:ascii="宋体" w:hAnsi="宋体" w:eastAsia="宋体" w:cs="宋体"/>
                <w:b/>
                <w:bCs/>
                <w:szCs w:val="21"/>
              </w:rPr>
              <w:t>投标总价</w:t>
            </w:r>
          </w:p>
        </w:tc>
        <w:tc>
          <w:tcPr>
            <w:tcW w:w="794" w:type="pct"/>
            <w:tcBorders>
              <w:top w:val="single" w:color="auto" w:sz="4" w:space="0"/>
              <w:left w:val="single" w:color="auto" w:sz="4" w:space="0"/>
              <w:bottom w:val="single" w:color="auto" w:sz="4" w:space="0"/>
              <w:right w:val="single" w:color="auto" w:sz="4" w:space="0"/>
            </w:tcBorders>
            <w:vAlign w:val="center"/>
          </w:tcPr>
          <w:p w14:paraId="3E6B27FF">
            <w:pPr>
              <w:spacing w:line="360" w:lineRule="auto"/>
              <w:jc w:val="center"/>
              <w:rPr>
                <w:rFonts w:hint="eastAsia" w:ascii="宋体" w:hAnsi="宋体" w:eastAsia="宋体" w:cs="宋体"/>
                <w:bCs/>
                <w:szCs w:val="21"/>
              </w:rPr>
            </w:pPr>
          </w:p>
        </w:tc>
        <w:tc>
          <w:tcPr>
            <w:tcW w:w="2561" w:type="pct"/>
            <w:gridSpan w:val="5"/>
            <w:tcBorders>
              <w:top w:val="single" w:color="auto" w:sz="4" w:space="0"/>
              <w:left w:val="single" w:color="auto" w:sz="4" w:space="0"/>
              <w:bottom w:val="single" w:color="auto" w:sz="4" w:space="0"/>
              <w:right w:val="single" w:color="auto" w:sz="4" w:space="0"/>
            </w:tcBorders>
            <w:vAlign w:val="center"/>
          </w:tcPr>
          <w:p w14:paraId="0931CEBF">
            <w:pPr>
              <w:spacing w:line="360" w:lineRule="auto"/>
              <w:jc w:val="center"/>
              <w:rPr>
                <w:rFonts w:hint="eastAsia" w:ascii="宋体" w:hAnsi="宋体" w:eastAsia="宋体" w:cs="宋体"/>
                <w:bCs/>
                <w:szCs w:val="21"/>
              </w:rPr>
            </w:pPr>
            <w:r>
              <w:rPr>
                <w:rFonts w:hint="eastAsia" w:ascii="宋体" w:hAnsi="宋体" w:eastAsia="宋体" w:cs="宋体"/>
                <w:b/>
                <w:szCs w:val="21"/>
              </w:rPr>
              <w:t>（大写）： 元整</w:t>
            </w:r>
          </w:p>
        </w:tc>
      </w:tr>
    </w:tbl>
    <w:p w14:paraId="7807800A">
      <w:pPr>
        <w:snapToGrid w:val="0"/>
        <w:spacing w:before="50" w:after="50"/>
        <w:ind w:firstLine="422" w:firstLineChars="200"/>
        <w:rPr>
          <w:rFonts w:hint="eastAsia" w:ascii="宋体" w:hAnsi="宋体" w:eastAsia="宋体" w:cs="Times New Roman"/>
          <w:b/>
          <w:bCs/>
          <w:color w:val="000000" w:themeColor="text1"/>
          <w:szCs w:val="21"/>
        </w:rPr>
      </w:pPr>
      <w:r>
        <w:rPr>
          <w:rFonts w:hint="eastAsia" w:ascii="宋体" w:hAnsi="宋体" w:eastAsia="宋体" w:cs="Times New Roman"/>
          <w:b/>
          <w:bCs/>
          <w:color w:val="000000" w:themeColor="text1"/>
          <w:szCs w:val="21"/>
        </w:rPr>
        <w:t>1.以上表格要求细分项目及报价，包括有关本项目建设所需的一切费用均计入报价。</w:t>
      </w:r>
    </w:p>
    <w:p w14:paraId="36E2BCE1">
      <w:pPr>
        <w:snapToGrid w:val="0"/>
        <w:spacing w:before="50" w:after="50"/>
        <w:ind w:firstLine="422" w:firstLineChars="200"/>
        <w:rPr>
          <w:rFonts w:hint="eastAsia" w:ascii="宋体" w:hAnsi="宋体" w:eastAsia="宋体" w:cs="Times New Roman"/>
          <w:b/>
          <w:bCs/>
          <w:color w:val="000000" w:themeColor="text1"/>
          <w:szCs w:val="21"/>
        </w:rPr>
      </w:pPr>
      <w:r>
        <w:rPr>
          <w:rFonts w:hint="eastAsia" w:ascii="宋体" w:hAnsi="宋体" w:eastAsia="宋体" w:cs="Times New Roman"/>
          <w:b/>
          <w:bCs/>
          <w:color w:val="000000" w:themeColor="text1"/>
          <w:szCs w:val="21"/>
        </w:rPr>
        <w:t>2.</w:t>
      </w:r>
      <w:r>
        <w:rPr>
          <w:rFonts w:hint="eastAsia"/>
          <w:color w:val="000000" w:themeColor="text1"/>
        </w:rPr>
        <w:t xml:space="preserve"> </w:t>
      </w:r>
      <w:r>
        <w:rPr>
          <w:rFonts w:hint="eastAsia" w:ascii="宋体" w:hAnsi="宋体" w:eastAsia="宋体" w:cs="Times New Roman"/>
          <w:b/>
          <w:bCs/>
          <w:color w:val="000000" w:themeColor="text1"/>
          <w:szCs w:val="21"/>
        </w:rPr>
        <w:t>确保环卫工人月工资收入不低于当地最低工资标准的110%，岗位津贴标准提高到每人每出勤日10元，每月按26日计算，按规定发放夏季清凉饮料费。</w:t>
      </w:r>
    </w:p>
    <w:p w14:paraId="5BED4CC5">
      <w:pPr>
        <w:snapToGrid w:val="0"/>
        <w:spacing w:before="50" w:after="50"/>
        <w:ind w:firstLine="422" w:firstLineChars="200"/>
        <w:rPr>
          <w:rFonts w:hint="eastAsia" w:ascii="宋体" w:hAnsi="宋体" w:eastAsia="宋体" w:cs="Times New Roman"/>
          <w:b/>
          <w:bCs/>
          <w:color w:val="000000" w:themeColor="text1"/>
          <w:szCs w:val="21"/>
        </w:rPr>
      </w:pPr>
      <w:r>
        <w:rPr>
          <w:rFonts w:hint="eastAsia" w:ascii="宋体" w:hAnsi="宋体" w:eastAsia="宋体" w:cs="Times New Roman"/>
          <w:b/>
          <w:bCs/>
          <w:color w:val="000000" w:themeColor="text1"/>
          <w:szCs w:val="21"/>
        </w:rPr>
        <w:t>3.承包范围内，易腐垃圾收运不计入报价，收运费向服务单位收取。</w:t>
      </w:r>
    </w:p>
    <w:p w14:paraId="7D656977">
      <w:pPr>
        <w:pStyle w:val="2"/>
        <w:ind w:firstLine="422" w:firstLineChars="200"/>
        <w:rPr>
          <w:color w:val="000000" w:themeColor="text1"/>
        </w:rPr>
      </w:pPr>
      <w:r>
        <w:rPr>
          <w:rFonts w:hint="eastAsia" w:ascii="宋体" w:hAnsi="宋体"/>
          <w:b/>
          <w:bCs/>
          <w:color w:val="000000" w:themeColor="text1"/>
          <w:szCs w:val="21"/>
        </w:rPr>
        <w:t>4.在报价时，采购人提供的车辆，保险费由采购人负责，不计入报价。</w:t>
      </w:r>
    </w:p>
    <w:p w14:paraId="217244F7">
      <w:pPr>
        <w:snapToGrid w:val="0"/>
        <w:spacing w:before="50" w:after="50"/>
        <w:rPr>
          <w:rFonts w:ascii="Times New Roman" w:hAnsi="Times New Roman" w:eastAsia="宋体" w:cs="Times New Roman"/>
        </w:rPr>
      </w:pPr>
    </w:p>
    <w:p w14:paraId="6B57EA70">
      <w:pPr>
        <w:snapToGrid w:val="0"/>
        <w:spacing w:before="50" w:after="50"/>
        <w:ind w:firstLine="420" w:firstLineChars="200"/>
        <w:rPr>
          <w:rFonts w:ascii="Times New Roman" w:hAnsi="Times New Roman" w:eastAsia="宋体" w:cs="Times New Roman"/>
        </w:rPr>
      </w:pPr>
      <w:r>
        <w:rPr>
          <w:rFonts w:hint="eastAsia" w:ascii="Times New Roman" w:hAnsi="Times New Roman" w:eastAsia="宋体" w:cs="Times New Roman"/>
        </w:rPr>
        <w:t>投标人名称（盖章）：</w:t>
      </w:r>
    </w:p>
    <w:p w14:paraId="58CDF7F4">
      <w:pPr>
        <w:snapToGrid w:val="0"/>
        <w:spacing w:before="50" w:after="50"/>
        <w:ind w:firstLine="500" w:firstLineChars="200"/>
        <w:rPr>
          <w:rFonts w:ascii="Times New Roman" w:hAnsi="Times New Roman" w:eastAsia="宋体" w:cs="Times New Roman"/>
          <w:spacing w:val="20"/>
        </w:rPr>
      </w:pPr>
    </w:p>
    <w:p w14:paraId="6520D0C3">
      <w:pPr>
        <w:snapToGrid w:val="0"/>
        <w:spacing w:before="50" w:after="50"/>
        <w:ind w:firstLine="500" w:firstLineChars="200"/>
        <w:rPr>
          <w:rFonts w:ascii="Times New Roman" w:hAnsi="Times New Roman" w:eastAsia="宋体" w:cs="Times New Roman"/>
          <w:spacing w:val="20"/>
        </w:rPr>
      </w:pPr>
    </w:p>
    <w:p w14:paraId="6BE8D718">
      <w:pPr>
        <w:snapToGrid w:val="0"/>
        <w:spacing w:before="50" w:after="50"/>
        <w:ind w:firstLine="500" w:firstLineChars="200"/>
        <w:rPr>
          <w:rFonts w:hint="eastAsia"/>
        </w:rPr>
      </w:pPr>
      <w:r>
        <w:rPr>
          <w:rFonts w:hint="eastAsia" w:ascii="Times New Roman" w:hAnsi="Times New Roman" w:eastAsia="宋体" w:cs="Times New Roman"/>
          <w:spacing w:val="20"/>
        </w:rPr>
        <w:t>日期：</w:t>
      </w:r>
    </w:p>
    <w:p w14:paraId="018A6041">
      <w:pPr>
        <w:snapToGrid w:val="0"/>
        <w:spacing w:before="120" w:line="312" w:lineRule="auto"/>
        <w:ind w:right="-341"/>
        <w:jc w:val="center"/>
        <w:rPr>
          <w:rFonts w:ascii="Times New Roman" w:hAnsi="Times New Roman" w:eastAsia="宋体" w:cs="Times New Roman"/>
          <w:b/>
          <w:sz w:val="32"/>
        </w:rPr>
      </w:pPr>
    </w:p>
    <w:p w14:paraId="7AB37CDB">
      <w:pPr>
        <w:snapToGrid w:val="0"/>
        <w:spacing w:before="120" w:line="312" w:lineRule="auto"/>
        <w:ind w:right="-341"/>
        <w:jc w:val="center"/>
        <w:rPr>
          <w:rFonts w:ascii="Times New Roman" w:hAnsi="Times New Roman" w:eastAsia="宋体" w:cs="Times New Roman"/>
          <w:b/>
          <w:sz w:val="32"/>
        </w:rPr>
      </w:pPr>
      <w:r>
        <w:rPr>
          <w:rFonts w:hint="eastAsia" w:ascii="Times New Roman" w:hAnsi="Times New Roman" w:eastAsia="宋体" w:cs="Times New Roman"/>
          <w:b/>
          <w:sz w:val="32"/>
        </w:rPr>
        <w:t>四、投标函</w:t>
      </w:r>
    </w:p>
    <w:p w14:paraId="54FBC914">
      <w:pPr>
        <w:snapToGrid w:val="0"/>
        <w:spacing w:line="312" w:lineRule="auto"/>
        <w:ind w:right="-341"/>
        <w:rPr>
          <w:rFonts w:ascii="Times New Roman" w:hAnsi="Times New Roman" w:eastAsia="宋体" w:cs="Times New Roman"/>
        </w:rPr>
      </w:pPr>
    </w:p>
    <w:p w14:paraId="7CEEC3F6">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致：</w:t>
      </w:r>
      <w:r>
        <w:rPr>
          <w:rFonts w:ascii="Times New Roman" w:hAnsi="Times New Roman" w:eastAsia="宋体" w:cs="Times New Roman"/>
        </w:rPr>
        <w:t>_</w:t>
      </w:r>
      <w:r>
        <w:rPr>
          <w:rFonts w:hint="eastAsia" w:ascii="Times New Roman" w:hAnsi="Times New Roman" w:eastAsia="宋体" w:cs="Times New Roman"/>
          <w:u w:val="single"/>
        </w:rPr>
        <w:t>深圳市国信招标有限公司</w:t>
      </w:r>
      <w:r>
        <w:rPr>
          <w:rFonts w:ascii="Times New Roman" w:hAnsi="Times New Roman" w:eastAsia="宋体" w:cs="Times New Roman"/>
        </w:rPr>
        <w:t>_</w:t>
      </w:r>
      <w:r>
        <w:rPr>
          <w:rFonts w:hint="eastAsia" w:ascii="Times New Roman" w:hAnsi="Times New Roman" w:eastAsia="宋体" w:cs="Times New Roman"/>
        </w:rPr>
        <w:t>：</w:t>
      </w:r>
    </w:p>
    <w:p w14:paraId="32E26C9F">
      <w:pPr>
        <w:snapToGrid w:val="0"/>
        <w:spacing w:line="312" w:lineRule="auto"/>
        <w:ind w:right="-341" w:firstLine="480"/>
        <w:rPr>
          <w:rFonts w:ascii="Times New Roman" w:hAnsi="Times New Roman" w:eastAsia="宋体" w:cs="Times New Roman"/>
          <w:szCs w:val="21"/>
        </w:rPr>
      </w:pPr>
      <w:r>
        <w:rPr>
          <w:rFonts w:hint="eastAsia" w:ascii="Times New Roman" w:hAnsi="Times New Roman" w:eastAsia="宋体" w:cs="Times New Roman"/>
        </w:rPr>
        <w:t>根据贵方为</w:t>
      </w:r>
      <w:r>
        <w:rPr>
          <w:rFonts w:hint="eastAsia" w:ascii="Times New Roman" w:hAnsi="Times New Roman" w:eastAsia="宋体" w:cs="Times New Roman"/>
          <w:u w:val="single"/>
        </w:rPr>
        <w:t xml:space="preserve">               </w:t>
      </w:r>
      <w:r>
        <w:rPr>
          <w:rFonts w:hint="eastAsia" w:ascii="Times New Roman" w:hAnsi="Times New Roman" w:eastAsia="宋体" w:cs="Times New Roman"/>
        </w:rPr>
        <w:t>项目的招标公告（项目编号：</w:t>
      </w:r>
      <w:r>
        <w:rPr>
          <w:rFonts w:ascii="Times New Roman" w:hAnsi="Times New Roman" w:eastAsia="宋体" w:cs="Times New Roman"/>
        </w:rPr>
        <w:t>____</w:t>
      </w:r>
      <w:r>
        <w:rPr>
          <w:rFonts w:ascii="Times New Roman" w:hAnsi="Times New Roman" w:eastAsia="宋体" w:cs="Times New Roman"/>
          <w:u w:val="single"/>
        </w:rPr>
        <w:t>__</w:t>
      </w:r>
      <w:r>
        <w:rPr>
          <w:rFonts w:ascii="Times New Roman" w:hAnsi="Times New Roman" w:eastAsia="宋体" w:cs="Times New Roman"/>
        </w:rPr>
        <w:t>_</w:t>
      </w:r>
      <w:r>
        <w:rPr>
          <w:rFonts w:hint="eastAsia" w:ascii="Times New Roman" w:hAnsi="Times New Roman" w:eastAsia="宋体" w:cs="Times New Roman"/>
        </w:rPr>
        <w:t>），</w:t>
      </w:r>
      <w:r>
        <w:rPr>
          <w:rFonts w:hint="eastAsia" w:ascii="Times New Roman" w:hAnsi="Times New Roman" w:eastAsia="宋体" w:cs="Times New Roman"/>
          <w:spacing w:val="-4"/>
          <w:kern w:val="0"/>
          <w:szCs w:val="21"/>
        </w:rPr>
        <w:t>同意如下：</w:t>
      </w:r>
    </w:p>
    <w:p w14:paraId="04F8512C">
      <w:pPr>
        <w:widowControl/>
        <w:spacing w:line="360" w:lineRule="auto"/>
        <w:ind w:right="-341" w:firstLine="387" w:firstLineChars="192"/>
        <w:rPr>
          <w:rFonts w:ascii="Times New Roman" w:hAnsi="Times New Roman" w:eastAsia="宋体" w:cs="Times New Roman"/>
          <w:spacing w:val="-4"/>
          <w:kern w:val="0"/>
          <w:szCs w:val="21"/>
        </w:rPr>
      </w:pPr>
      <w:r>
        <w:rPr>
          <w:rFonts w:ascii="Times New Roman" w:hAnsi="Times New Roman" w:eastAsia="宋体" w:cs="Times New Roman"/>
          <w:spacing w:val="-4"/>
          <w:kern w:val="0"/>
          <w:szCs w:val="21"/>
        </w:rPr>
        <w:t>1.</w:t>
      </w:r>
      <w:r>
        <w:rPr>
          <w:rFonts w:hint="eastAsia" w:ascii="Times New Roman" w:hAnsi="Times New Roman" w:eastAsia="宋体" w:cs="Times New Roman"/>
          <w:spacing w:val="-4"/>
          <w:kern w:val="0"/>
          <w:szCs w:val="21"/>
        </w:rPr>
        <w:t>我方已详细审查了采购文件的全部内容及其相关补充文件</w:t>
      </w:r>
      <w:r>
        <w:rPr>
          <w:rFonts w:hint="eastAsia" w:ascii="Times New Roman" w:hAnsi="Times New Roman" w:eastAsia="宋体" w:cs="Times New Roman"/>
          <w:b/>
          <w:spacing w:val="-4"/>
          <w:kern w:val="0"/>
          <w:szCs w:val="21"/>
        </w:rPr>
        <w:t>（如有）</w:t>
      </w:r>
      <w:r>
        <w:rPr>
          <w:rFonts w:hint="eastAsia" w:ascii="Times New Roman" w:hAnsi="Times New Roman" w:eastAsia="宋体" w:cs="Times New Roman"/>
          <w:spacing w:val="-4"/>
          <w:kern w:val="0"/>
          <w:szCs w:val="21"/>
        </w:rPr>
        <w:t>，并完全清晰理解全部内容及相关的补充文件</w:t>
      </w:r>
      <w:r>
        <w:rPr>
          <w:rFonts w:hint="eastAsia" w:ascii="Times New Roman" w:hAnsi="Times New Roman" w:eastAsia="宋体" w:cs="Times New Roman"/>
          <w:b/>
          <w:spacing w:val="-4"/>
          <w:kern w:val="0"/>
          <w:szCs w:val="21"/>
        </w:rPr>
        <w:t>（如有）</w:t>
      </w:r>
      <w:r>
        <w:rPr>
          <w:rFonts w:hint="eastAsia" w:ascii="Times New Roman" w:hAnsi="Times New Roman" w:eastAsia="宋体" w:cs="Times New Roman"/>
          <w:spacing w:val="-4"/>
          <w:kern w:val="0"/>
          <w:szCs w:val="21"/>
        </w:rPr>
        <w:t>，不存在任何误解之处，同意放弃提出异议和质疑的权利。</w:t>
      </w:r>
    </w:p>
    <w:p w14:paraId="45AC9D67">
      <w:pPr>
        <w:snapToGrid w:val="0"/>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2.</w:t>
      </w:r>
      <w:r>
        <w:rPr>
          <w:rFonts w:hint="eastAsia" w:ascii="Times New Roman" w:hAnsi="Times New Roman" w:eastAsia="宋体" w:cs="Times New Roman"/>
          <w:spacing w:val="-4"/>
          <w:szCs w:val="21"/>
        </w:rPr>
        <w:t>我方遵守《中华人民共和国政府采购法》及相关法律法规的规定。同意采购文件中所提到的无效标条款，并服从有关开标会议纪律。否则，同意被废除投标资格。</w:t>
      </w:r>
    </w:p>
    <w:p w14:paraId="58285B22">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3.</w:t>
      </w:r>
      <w:r>
        <w:rPr>
          <w:rFonts w:hint="eastAsia" w:ascii="Times New Roman" w:hAnsi="Times New Roman" w:eastAsia="宋体" w:cs="Times New Roman"/>
          <w:spacing w:val="-4"/>
          <w:szCs w:val="21"/>
        </w:rPr>
        <w:t>我方所提供的一次性投标产品报价均具充分的合理性和准确性，保证不存在低于成本的恶意报价行为，同时清楚理解到报价最低并非意味着必定获得合同授予资格。</w:t>
      </w:r>
    </w:p>
    <w:p w14:paraId="30959AA9">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4.</w:t>
      </w:r>
      <w:r>
        <w:rPr>
          <w:rFonts w:hint="eastAsia" w:ascii="Times New Roman" w:hAnsi="Times New Roman" w:eastAsia="宋体" w:cs="Times New Roman"/>
          <w:spacing w:val="-4"/>
          <w:szCs w:val="21"/>
        </w:rPr>
        <w:t>投标有效期为自开标之日起</w:t>
      </w:r>
      <w:r>
        <w:rPr>
          <w:rFonts w:ascii="Times New Roman" w:hAnsi="Times New Roman" w:eastAsia="宋体" w:cs="Times New Roman"/>
          <w:spacing w:val="-4"/>
          <w:szCs w:val="21"/>
        </w:rPr>
        <w:t>9</w:t>
      </w:r>
      <w:r>
        <w:rPr>
          <w:rFonts w:ascii="Times New Roman" w:hAnsi="Times New Roman" w:eastAsia="宋体" w:cs="Times New Roman"/>
          <w:spacing w:val="-4"/>
          <w:szCs w:val="21"/>
          <w:u w:val="single"/>
        </w:rPr>
        <w:t>0</w:t>
      </w:r>
      <w:r>
        <w:rPr>
          <w:rFonts w:hint="eastAsia" w:ascii="Times New Roman" w:hAnsi="Times New Roman" w:eastAsia="宋体" w:cs="Times New Roman"/>
          <w:spacing w:val="-4"/>
          <w:szCs w:val="21"/>
        </w:rPr>
        <w:t>天内，如在投标有效期内撤回投标，我方同意被废除投标资格。</w:t>
      </w:r>
    </w:p>
    <w:p w14:paraId="607E89BA">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5.</w:t>
      </w:r>
      <w:r>
        <w:rPr>
          <w:rFonts w:hint="eastAsia" w:ascii="Times New Roman" w:hAnsi="Times New Roman" w:eastAsia="宋体" w:cs="Times New Roman"/>
          <w:spacing w:val="-4"/>
          <w:szCs w:val="21"/>
        </w:rPr>
        <w:t>我方承诺</w:t>
      </w:r>
      <w:r>
        <w:rPr>
          <w:rFonts w:hint="eastAsia" w:ascii="Times New Roman" w:hAnsi="Times New Roman" w:eastAsia="宋体" w:cs="Times New Roman"/>
          <w:szCs w:val="21"/>
        </w:rPr>
        <w:t>参加政府采购活动前</w:t>
      </w:r>
      <w:r>
        <w:rPr>
          <w:rFonts w:ascii="Times New Roman" w:hAnsi="Times New Roman" w:eastAsia="宋体" w:cs="Times New Roman"/>
          <w:szCs w:val="21"/>
        </w:rPr>
        <w:t>3</w:t>
      </w:r>
      <w:r>
        <w:rPr>
          <w:rFonts w:hint="eastAsia" w:ascii="Times New Roman" w:hAnsi="Times New Roman" w:eastAsia="宋体" w:cs="Times New Roman"/>
          <w:szCs w:val="21"/>
        </w:rPr>
        <w:t>年内在经营活动中没有重大违法记录和依法缴纳了税收</w:t>
      </w:r>
      <w:r>
        <w:rPr>
          <w:rFonts w:hint="eastAsia" w:ascii="Times New Roman" w:hAnsi="Times New Roman" w:eastAsia="宋体" w:cs="Times New Roman"/>
          <w:spacing w:val="-4"/>
          <w:szCs w:val="21"/>
        </w:rPr>
        <w:t>（投标截止时间进行计算）。</w:t>
      </w:r>
    </w:p>
    <w:p w14:paraId="5D75AF51">
      <w:pPr>
        <w:spacing w:line="360" w:lineRule="auto"/>
        <w:ind w:right="-341" w:firstLine="404" w:firstLineChars="200"/>
        <w:rPr>
          <w:rFonts w:ascii="Times New Roman" w:hAnsi="Times New Roman" w:eastAsia="宋体" w:cs="Times New Roman"/>
          <w:szCs w:val="21"/>
        </w:rPr>
      </w:pPr>
      <w:r>
        <w:rPr>
          <w:rFonts w:ascii="Times New Roman" w:hAnsi="Times New Roman" w:eastAsia="宋体" w:cs="Times New Roman"/>
          <w:spacing w:val="-4"/>
          <w:szCs w:val="21"/>
        </w:rPr>
        <w:t>6.</w:t>
      </w:r>
      <w:r>
        <w:rPr>
          <w:rFonts w:hint="eastAsia" w:ascii="Times New Roman" w:hAnsi="Times New Roman" w:eastAsia="宋体" w:cs="Times New Roman"/>
          <w:spacing w:val="-4"/>
          <w:szCs w:val="21"/>
        </w:rPr>
        <w:t>我方承诺具备本项目</w:t>
      </w:r>
      <w:r>
        <w:rPr>
          <w:rFonts w:hint="eastAsia" w:ascii="Times New Roman" w:hAnsi="Times New Roman" w:eastAsia="宋体" w:cs="Times New Roman"/>
          <w:szCs w:val="21"/>
        </w:rPr>
        <w:t>履行合同所必需的设备和专业技术能力</w:t>
      </w:r>
    </w:p>
    <w:p w14:paraId="50506EDA">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7.</w:t>
      </w:r>
      <w:r>
        <w:rPr>
          <w:rFonts w:hint="eastAsia" w:ascii="Times New Roman" w:hAnsi="Times New Roman" w:eastAsia="宋体" w:cs="Times New Roman"/>
          <w:spacing w:val="-4"/>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2FB919D9">
      <w:pPr>
        <w:spacing w:line="400" w:lineRule="exact"/>
        <w:ind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8.</w:t>
      </w:r>
      <w:r>
        <w:rPr>
          <w:rFonts w:hint="eastAsia" w:ascii="Times New Roman" w:hAnsi="Times New Roman" w:eastAsia="宋体" w:cs="Times New Roman"/>
          <w:spacing w:val="-4"/>
          <w:szCs w:val="21"/>
        </w:rPr>
        <w:t>我方承诺至开标之日止，未被</w:t>
      </w:r>
      <w:r>
        <w:rPr>
          <w:rFonts w:ascii="Times New Roman" w:hAnsi="Times New Roman" w:eastAsia="宋体" w:cs="Times New Roman"/>
          <w:spacing w:val="-4"/>
          <w:szCs w:val="21"/>
        </w:rPr>
        <w:t>“</w:t>
      </w:r>
      <w:r>
        <w:rPr>
          <w:rFonts w:hint="eastAsia" w:ascii="Times New Roman" w:hAnsi="Times New Roman" w:eastAsia="宋体" w:cs="Times New Roman"/>
          <w:spacing w:val="-4"/>
          <w:szCs w:val="21"/>
        </w:rPr>
        <w:t>信用中国</w:t>
      </w:r>
      <w:r>
        <w:rPr>
          <w:rFonts w:ascii="Times New Roman" w:hAnsi="Times New Roman" w:eastAsia="宋体" w:cs="Times New Roman"/>
          <w:spacing w:val="-4"/>
          <w:szCs w:val="21"/>
        </w:rPr>
        <w:t>”</w:t>
      </w:r>
      <w:r>
        <w:rPr>
          <w:rFonts w:hint="eastAsia" w:ascii="Times New Roman" w:hAnsi="Times New Roman" w:eastAsia="宋体" w:cs="Times New Roman"/>
          <w:spacing w:val="-4"/>
          <w:szCs w:val="21"/>
        </w:rPr>
        <w:t>（</w:t>
      </w:r>
      <w:r>
        <w:rPr>
          <w:rFonts w:ascii="Times New Roman" w:hAnsi="Times New Roman" w:eastAsia="宋体" w:cs="Times New Roman"/>
          <w:spacing w:val="-4"/>
          <w:szCs w:val="21"/>
        </w:rPr>
        <w:t>www.creditchina.gov.cn</w:t>
      </w:r>
      <w:r>
        <w:rPr>
          <w:rFonts w:hint="eastAsia" w:ascii="Times New Roman" w:hAnsi="Times New Roman" w:eastAsia="宋体" w:cs="Times New Roman"/>
          <w:spacing w:val="-4"/>
          <w:szCs w:val="21"/>
        </w:rPr>
        <w:t>）、中国政府采购网（</w:t>
      </w:r>
      <w:r>
        <w:rPr>
          <w:rFonts w:ascii="Times New Roman" w:hAnsi="Times New Roman" w:eastAsia="宋体" w:cs="Times New Roman"/>
          <w:spacing w:val="-4"/>
          <w:szCs w:val="21"/>
        </w:rPr>
        <w:t>www.ccgp.gov.cn</w:t>
      </w:r>
      <w:r>
        <w:rPr>
          <w:rFonts w:hint="eastAsia" w:ascii="Times New Roman" w:hAnsi="Times New Roman" w:eastAsia="宋体" w:cs="Times New Roman"/>
          <w:spacing w:val="-4"/>
          <w:szCs w:val="21"/>
        </w:rPr>
        <w:t>）列入失信被执行人、重大税收违法案件当事人名单、政府采购严重违法失信行为记录名单。</w:t>
      </w:r>
    </w:p>
    <w:p w14:paraId="5BC72F37">
      <w:pPr>
        <w:snapToGrid w:val="0"/>
        <w:spacing w:line="360" w:lineRule="auto"/>
        <w:ind w:right="-341" w:firstLine="420" w:firstLineChars="200"/>
        <w:rPr>
          <w:rFonts w:ascii="Times New Roman" w:hAnsi="Times New Roman" w:eastAsia="宋体" w:cs="Times New Roman"/>
        </w:rPr>
      </w:pPr>
      <w:r>
        <w:rPr>
          <w:rFonts w:ascii="Times New Roman" w:hAnsi="Times New Roman" w:eastAsia="宋体" w:cs="Times New Roman"/>
        </w:rPr>
        <w:t>9.</w:t>
      </w:r>
      <w:r>
        <w:rPr>
          <w:rFonts w:hint="eastAsia" w:ascii="Times New Roman" w:hAnsi="Times New Roman" w:eastAsia="宋体" w:cs="Times New Roman"/>
        </w:rPr>
        <w:t>与本投标有关的一切正式往来信函请寄：</w:t>
      </w:r>
    </w:p>
    <w:p w14:paraId="3C59D6C6">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地址：</w:t>
      </w:r>
      <w:r>
        <w:rPr>
          <w:rFonts w:ascii="Times New Roman" w:hAnsi="Times New Roman" w:eastAsia="宋体" w:cs="Times New Roman"/>
        </w:rPr>
        <w:t>__________</w:t>
      </w:r>
      <w:r>
        <w:rPr>
          <w:rFonts w:ascii="Times New Roman" w:hAnsi="Times New Roman" w:eastAsia="宋体" w:cs="Times New Roman"/>
          <w:u w:val="single"/>
        </w:rPr>
        <w:t>_</w:t>
      </w:r>
      <w:r>
        <w:rPr>
          <w:rFonts w:ascii="Times New Roman" w:hAnsi="Times New Roman" w:eastAsia="宋体" w:cs="Times New Roman"/>
        </w:rPr>
        <w:t>____</w:t>
      </w:r>
      <w:r>
        <w:rPr>
          <w:rFonts w:hint="eastAsia" w:ascii="Times New Roman" w:hAnsi="Times New Roman" w:eastAsia="宋体" w:cs="Times New Roman"/>
        </w:rPr>
        <w:t>邮编：</w:t>
      </w:r>
      <w:r>
        <w:rPr>
          <w:rFonts w:ascii="Times New Roman" w:hAnsi="Times New Roman" w:eastAsia="宋体" w:cs="Times New Roman"/>
        </w:rPr>
        <w:t>__________</w:t>
      </w:r>
      <w:r>
        <w:rPr>
          <w:rFonts w:hint="eastAsia" w:ascii="Times New Roman" w:hAnsi="Times New Roman" w:eastAsia="宋体" w:cs="Times New Roman"/>
        </w:rPr>
        <w:t>电话：</w:t>
      </w:r>
      <w:r>
        <w:rPr>
          <w:rFonts w:ascii="Times New Roman" w:hAnsi="Times New Roman" w:eastAsia="宋体" w:cs="Times New Roman"/>
        </w:rPr>
        <w:t>______________</w:t>
      </w:r>
    </w:p>
    <w:p w14:paraId="4F488F19">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传真：</w:t>
      </w:r>
      <w:r>
        <w:rPr>
          <w:rFonts w:ascii="Times New Roman" w:hAnsi="Times New Roman" w:eastAsia="宋体" w:cs="Times New Roman"/>
        </w:rPr>
        <w:t>______________</w:t>
      </w:r>
      <w:r>
        <w:rPr>
          <w:rFonts w:hint="eastAsia" w:ascii="Times New Roman" w:hAnsi="Times New Roman" w:eastAsia="宋体" w:cs="Times New Roman"/>
        </w:rPr>
        <w:t>投标人代表姓名</w:t>
      </w:r>
      <w:r>
        <w:rPr>
          <w:rFonts w:ascii="Times New Roman" w:hAnsi="Times New Roman" w:eastAsia="宋体" w:cs="Times New Roman"/>
        </w:rPr>
        <w:t>___________</w:t>
      </w:r>
      <w:r>
        <w:rPr>
          <w:rFonts w:hint="eastAsia" w:ascii="Times New Roman" w:hAnsi="Times New Roman" w:eastAsia="宋体" w:cs="Times New Roman"/>
        </w:rPr>
        <w:t>职务：</w:t>
      </w:r>
      <w:r>
        <w:rPr>
          <w:rFonts w:ascii="Times New Roman" w:hAnsi="Times New Roman" w:eastAsia="宋体" w:cs="Times New Roman"/>
        </w:rPr>
        <w:t>_____________</w:t>
      </w:r>
    </w:p>
    <w:p w14:paraId="670017C0">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投标人名称</w:t>
      </w:r>
      <w:r>
        <w:rPr>
          <w:rFonts w:ascii="Times New Roman" w:hAnsi="Times New Roman" w:eastAsia="宋体" w:cs="Times New Roman"/>
        </w:rPr>
        <w:t>(</w:t>
      </w:r>
      <w:r>
        <w:rPr>
          <w:rFonts w:hint="eastAsia" w:ascii="Times New Roman" w:hAnsi="Times New Roman" w:eastAsia="宋体" w:cs="Times New Roman"/>
        </w:rPr>
        <w:t>公章</w:t>
      </w:r>
      <w:r>
        <w:rPr>
          <w:rFonts w:ascii="Times New Roman" w:hAnsi="Times New Roman" w:eastAsia="宋体" w:cs="Times New Roman"/>
        </w:rPr>
        <w:t>):___________________</w:t>
      </w:r>
    </w:p>
    <w:p w14:paraId="3D20945C">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开户银行：银行账号：</w:t>
      </w:r>
    </w:p>
    <w:p w14:paraId="64224391">
      <w:pPr>
        <w:snapToGrid w:val="0"/>
        <w:ind w:right="-341"/>
        <w:rPr>
          <w:rFonts w:ascii="Times New Roman" w:hAnsi="Times New Roman" w:eastAsia="宋体" w:cs="Times New Roman"/>
        </w:rPr>
      </w:pPr>
    </w:p>
    <w:p w14:paraId="7829AA1B">
      <w:pPr>
        <w:snapToGrid w:val="0"/>
        <w:spacing w:before="120" w:line="312" w:lineRule="auto"/>
        <w:ind w:right="-341" w:firstLine="4830" w:firstLineChars="2300"/>
        <w:rPr>
          <w:rFonts w:ascii="Times New Roman" w:hAnsi="Times New Roman" w:eastAsia="宋体" w:cs="Times New Roman"/>
        </w:rPr>
      </w:pPr>
      <w:r>
        <w:rPr>
          <w:rFonts w:hint="eastAsia" w:ascii="Times New Roman" w:hAnsi="Times New Roman" w:eastAsia="宋体" w:cs="Times New Roman"/>
        </w:rPr>
        <w:t>日期</w:t>
      </w:r>
      <w:r>
        <w:rPr>
          <w:rFonts w:ascii="Times New Roman" w:hAnsi="Times New Roman" w:eastAsia="宋体" w:cs="Times New Roman"/>
        </w:rPr>
        <w:t>:_____</w:t>
      </w:r>
      <w:r>
        <w:rPr>
          <w:rFonts w:hint="eastAsia" w:ascii="Times New Roman" w:hAnsi="Times New Roman" w:eastAsia="宋体" w:cs="Times New Roman"/>
        </w:rPr>
        <w:t>年</w:t>
      </w:r>
      <w:r>
        <w:rPr>
          <w:rFonts w:ascii="Times New Roman" w:hAnsi="Times New Roman" w:eastAsia="宋体" w:cs="Times New Roman"/>
        </w:rPr>
        <w:t>___</w:t>
      </w:r>
      <w:r>
        <w:rPr>
          <w:rFonts w:hint="eastAsia" w:ascii="Times New Roman" w:hAnsi="Times New Roman" w:eastAsia="宋体" w:cs="Times New Roman"/>
        </w:rPr>
        <w:t>月</w:t>
      </w:r>
      <w:r>
        <w:rPr>
          <w:rFonts w:ascii="Times New Roman" w:hAnsi="Times New Roman" w:eastAsia="宋体" w:cs="Times New Roman"/>
        </w:rPr>
        <w:t>___</w:t>
      </w:r>
      <w:r>
        <w:rPr>
          <w:rFonts w:hint="eastAsia" w:ascii="Times New Roman" w:hAnsi="Times New Roman" w:eastAsia="宋体" w:cs="Times New Roman"/>
        </w:rPr>
        <w:t>日</w:t>
      </w:r>
    </w:p>
    <w:p w14:paraId="55BAE1BD">
      <w:pPr>
        <w:snapToGrid w:val="0"/>
        <w:spacing w:before="120" w:line="312" w:lineRule="auto"/>
        <w:ind w:right="-341"/>
        <w:jc w:val="center"/>
        <w:rPr>
          <w:rFonts w:ascii="Times New Roman" w:hAnsi="Times New Roman" w:eastAsia="宋体" w:cs="Times New Roman"/>
          <w:b/>
          <w:sz w:val="32"/>
        </w:rPr>
      </w:pPr>
    </w:p>
    <w:p w14:paraId="372CBD8D">
      <w:pPr>
        <w:snapToGrid w:val="0"/>
        <w:spacing w:before="120" w:beforeLines="50" w:after="50"/>
        <w:jc w:val="center"/>
        <w:rPr>
          <w:rFonts w:ascii="Times New Roman" w:hAnsi="Times New Roman" w:eastAsia="宋体" w:cs="Times New Roman"/>
          <w:b/>
          <w:sz w:val="32"/>
          <w:szCs w:val="32"/>
        </w:rPr>
      </w:pPr>
    </w:p>
    <w:p w14:paraId="31F4D9E7">
      <w:pPr>
        <w:snapToGrid w:val="0"/>
        <w:spacing w:before="120" w:beforeLines="50" w:after="50"/>
        <w:jc w:val="center"/>
        <w:rPr>
          <w:rFonts w:ascii="Times New Roman" w:hAnsi="Times New Roman" w:eastAsia="宋体" w:cs="Times New Roman"/>
          <w:b/>
          <w:sz w:val="32"/>
          <w:szCs w:val="32"/>
        </w:rPr>
      </w:pPr>
    </w:p>
    <w:p w14:paraId="0D4BDBA2">
      <w:pPr>
        <w:snapToGrid w:val="0"/>
        <w:spacing w:before="120" w:beforeLines="50" w:after="50"/>
        <w:jc w:val="center"/>
        <w:rPr>
          <w:rFonts w:ascii="Times New Roman" w:hAnsi="Times New Roman" w:eastAsia="宋体" w:cs="Times New Roman"/>
          <w:b/>
          <w:sz w:val="32"/>
          <w:szCs w:val="32"/>
        </w:rPr>
      </w:pPr>
    </w:p>
    <w:p w14:paraId="22A36B24">
      <w:pPr>
        <w:snapToGrid w:val="0"/>
        <w:spacing w:before="120" w:beforeLines="50" w:after="50"/>
        <w:jc w:val="center"/>
        <w:rPr>
          <w:rFonts w:ascii="Times New Roman" w:hAnsi="Times New Roman" w:eastAsia="宋体" w:cs="Times New Roman"/>
          <w:b/>
          <w:sz w:val="32"/>
          <w:szCs w:val="32"/>
        </w:rPr>
      </w:pPr>
    </w:p>
    <w:p w14:paraId="705E0195">
      <w:pPr>
        <w:snapToGrid w:val="0"/>
        <w:spacing w:before="120" w:beforeLines="50" w:after="50"/>
        <w:jc w:val="center"/>
        <w:rPr>
          <w:rFonts w:ascii="Times New Roman" w:hAnsi="Times New Roman" w:eastAsia="宋体" w:cs="Times New Roman"/>
          <w:b/>
          <w:sz w:val="32"/>
          <w:szCs w:val="32"/>
        </w:rPr>
      </w:pPr>
    </w:p>
    <w:p w14:paraId="391476E4">
      <w:pPr>
        <w:snapToGrid w:val="0"/>
        <w:spacing w:before="120" w:beforeLines="50" w:after="50"/>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五、声明函</w:t>
      </w:r>
    </w:p>
    <w:p w14:paraId="073639CE">
      <w:pPr>
        <w:snapToGrid w:val="0"/>
        <w:spacing w:before="120" w:beforeLines="50" w:after="50" w:line="360" w:lineRule="auto"/>
        <w:rPr>
          <w:rFonts w:ascii="Times New Roman" w:hAnsi="Times New Roman" w:eastAsia="宋体" w:cs="Times New Roman"/>
          <w:szCs w:val="21"/>
        </w:rPr>
      </w:pPr>
    </w:p>
    <w:p w14:paraId="41D808D6">
      <w:pPr>
        <w:snapToGrid w:val="0"/>
        <w:spacing w:before="120" w:beforeLines="50" w:after="50" w:line="360" w:lineRule="auto"/>
        <w:rPr>
          <w:rFonts w:ascii="Times New Roman" w:hAnsi="Times New Roman" w:eastAsia="宋体" w:cs="Times New Roman"/>
          <w:szCs w:val="21"/>
        </w:rPr>
      </w:pPr>
      <w:r>
        <w:rPr>
          <w:rFonts w:hint="eastAsia" w:ascii="Times New Roman" w:hAnsi="Times New Roman" w:eastAsia="宋体" w:cs="Times New Roman"/>
          <w:szCs w:val="21"/>
        </w:rPr>
        <w:t>致：</w:t>
      </w:r>
      <w:r>
        <w:rPr>
          <w:rFonts w:ascii="Times New Roman" w:hAnsi="Times New Roman" w:eastAsia="宋体" w:cs="Times New Roman"/>
          <w:szCs w:val="21"/>
        </w:rPr>
        <w:t>_</w:t>
      </w:r>
      <w:r>
        <w:rPr>
          <w:rFonts w:hint="eastAsia" w:ascii="Times New Roman" w:hAnsi="Times New Roman" w:eastAsia="宋体" w:cs="Times New Roman"/>
          <w:u w:val="single"/>
        </w:rPr>
        <w:t>深圳市国信招标有限公司</w:t>
      </w:r>
      <w:r>
        <w:rPr>
          <w:rFonts w:ascii="Times New Roman" w:hAnsi="Times New Roman" w:eastAsia="宋体" w:cs="Times New Roman"/>
        </w:rPr>
        <w:t>_</w:t>
      </w:r>
      <w:r>
        <w:rPr>
          <w:rFonts w:hint="eastAsia" w:ascii="Times New Roman" w:hAnsi="Times New Roman" w:eastAsia="宋体" w:cs="Times New Roman"/>
          <w:szCs w:val="21"/>
        </w:rPr>
        <w:t>：</w:t>
      </w:r>
    </w:p>
    <w:p w14:paraId="22E61588">
      <w:pPr>
        <w:spacing w:after="120"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Times New Roman" w:hAnsi="Times New Roman" w:eastAsia="宋体" w:cs="Times New Roman"/>
          <w:szCs w:val="21"/>
        </w:rPr>
        <w:t>/</w:t>
      </w:r>
      <w:r>
        <w:rPr>
          <w:rFonts w:hint="eastAsia" w:ascii="Times New Roman" w:hAnsi="Times New Roman" w:eastAsia="宋体" w:cs="Times New Roman"/>
          <w:szCs w:val="21"/>
        </w:rPr>
        <w:t>中标</w:t>
      </w:r>
      <w:r>
        <w:rPr>
          <w:rFonts w:ascii="Times New Roman" w:hAnsi="Times New Roman" w:eastAsia="宋体" w:cs="Times New Roman"/>
          <w:szCs w:val="21"/>
        </w:rPr>
        <w:t>/</w:t>
      </w:r>
      <w:r>
        <w:rPr>
          <w:rFonts w:hint="eastAsia" w:ascii="Times New Roman" w:hAnsi="Times New Roman" w:eastAsia="宋体" w:cs="Times New Roman"/>
          <w:szCs w:val="21"/>
        </w:rPr>
        <w:t>签订合同），我方对此无任何异议。</w:t>
      </w:r>
    </w:p>
    <w:p w14:paraId="76489373">
      <w:pPr>
        <w:spacing w:after="120"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特此声明！</w:t>
      </w:r>
    </w:p>
    <w:p w14:paraId="7C3FE1A3">
      <w:pPr>
        <w:spacing w:after="120"/>
        <w:ind w:firstLine="480"/>
        <w:rPr>
          <w:rFonts w:ascii="Times New Roman" w:hAnsi="Times New Roman" w:eastAsia="宋体" w:cs="Times New Roman"/>
        </w:rPr>
      </w:pPr>
    </w:p>
    <w:p w14:paraId="7B2BBFA4">
      <w:pPr>
        <w:snapToGrid w:val="0"/>
        <w:spacing w:before="120" w:beforeLines="50"/>
        <w:ind w:firstLine="200"/>
        <w:rPr>
          <w:rFonts w:ascii="Times New Roman" w:hAnsi="Times New Roman" w:eastAsia="宋体" w:cs="Times New Roman"/>
        </w:rPr>
      </w:pPr>
    </w:p>
    <w:p w14:paraId="0BE375C5">
      <w:pPr>
        <w:snapToGrid w:val="0"/>
        <w:spacing w:before="50" w:after="50"/>
        <w:rPr>
          <w:rFonts w:ascii="Times New Roman" w:hAnsi="Times New Roman" w:eastAsia="宋体" w:cs="Times New Roman"/>
        </w:rPr>
      </w:pPr>
    </w:p>
    <w:p w14:paraId="677F2DFC">
      <w:pPr>
        <w:snapToGrid w:val="0"/>
        <w:ind w:left="2" w:right="-817" w:rightChars="-389"/>
        <w:rPr>
          <w:rFonts w:ascii="Times New Roman" w:hAnsi="Times New Roman" w:eastAsia="宋体" w:cs="Times New Roman"/>
        </w:rPr>
      </w:pPr>
    </w:p>
    <w:p w14:paraId="30704237">
      <w:pPr>
        <w:snapToGrid w:val="0"/>
        <w:spacing w:before="50" w:line="312" w:lineRule="auto"/>
        <w:jc w:val="left"/>
        <w:rPr>
          <w:rFonts w:ascii="Times New Roman" w:hAnsi="Times New Roman" w:eastAsia="宋体" w:cs="Times New Roman"/>
          <w:b/>
          <w:spacing w:val="20"/>
          <w:sz w:val="28"/>
        </w:rPr>
      </w:pPr>
      <w:r>
        <w:rPr>
          <w:rFonts w:hint="eastAsia" w:ascii="Times New Roman" w:hAnsi="Times New Roman" w:eastAsia="宋体" w:cs="Times New Roman"/>
        </w:rPr>
        <w:t>投标人名称（盖章）：日期：</w:t>
      </w:r>
    </w:p>
    <w:p w14:paraId="30E98474">
      <w:pPr>
        <w:snapToGrid w:val="0"/>
        <w:spacing w:before="120" w:beforeLines="50"/>
        <w:ind w:firstLine="200"/>
        <w:jc w:val="right"/>
        <w:rPr>
          <w:rFonts w:ascii="Times New Roman" w:hAnsi="Times New Roman" w:eastAsia="宋体" w:cs="Times New Roman"/>
          <w:szCs w:val="24"/>
        </w:rPr>
      </w:pPr>
    </w:p>
    <w:p w14:paraId="016CBDBE">
      <w:pPr>
        <w:snapToGrid w:val="0"/>
        <w:spacing w:before="120" w:beforeLines="50" w:after="50"/>
        <w:ind w:firstLine="482" w:firstLineChars="200"/>
        <w:jc w:val="left"/>
        <w:rPr>
          <w:rFonts w:ascii="Times New Roman" w:hAnsi="Times New Roman" w:eastAsia="宋体" w:cs="Times New Roman"/>
          <w:b/>
          <w:bCs/>
          <w:sz w:val="24"/>
        </w:rPr>
      </w:pPr>
    </w:p>
    <w:p w14:paraId="3585BD84">
      <w:pPr>
        <w:snapToGrid w:val="0"/>
        <w:spacing w:before="120" w:beforeLines="50"/>
        <w:ind w:left="5250" w:firstLine="200"/>
        <w:jc w:val="right"/>
        <w:rPr>
          <w:rFonts w:ascii="Times New Roman" w:hAnsi="Times New Roman" w:eastAsia="宋体" w:cs="Times New Roman"/>
          <w:szCs w:val="24"/>
        </w:rPr>
      </w:pPr>
    </w:p>
    <w:p w14:paraId="695C9C42">
      <w:pPr>
        <w:snapToGrid w:val="0"/>
        <w:spacing w:before="120" w:line="312" w:lineRule="auto"/>
        <w:ind w:right="-341"/>
        <w:jc w:val="center"/>
        <w:rPr>
          <w:rFonts w:ascii="Times New Roman" w:hAnsi="Times New Roman" w:eastAsia="宋体" w:cs="Times New Roman"/>
          <w:b/>
          <w:sz w:val="32"/>
        </w:rPr>
      </w:pPr>
    </w:p>
    <w:p w14:paraId="50CA1AE1">
      <w:pPr>
        <w:snapToGrid w:val="0"/>
        <w:spacing w:before="120" w:line="312" w:lineRule="auto"/>
        <w:ind w:right="-341"/>
        <w:jc w:val="center"/>
        <w:rPr>
          <w:rFonts w:ascii="Times New Roman" w:hAnsi="Times New Roman" w:eastAsia="宋体" w:cs="Times New Roman"/>
          <w:b/>
          <w:sz w:val="32"/>
        </w:rPr>
      </w:pPr>
    </w:p>
    <w:p w14:paraId="15F5F6C6">
      <w:pPr>
        <w:snapToGrid w:val="0"/>
        <w:spacing w:before="120" w:line="312" w:lineRule="auto"/>
        <w:ind w:right="-341"/>
        <w:jc w:val="center"/>
        <w:rPr>
          <w:rFonts w:ascii="Times New Roman" w:hAnsi="Times New Roman" w:eastAsia="宋体" w:cs="Times New Roman"/>
          <w:b/>
          <w:sz w:val="32"/>
        </w:rPr>
      </w:pPr>
    </w:p>
    <w:p w14:paraId="0A6A1D96">
      <w:pPr>
        <w:snapToGrid w:val="0"/>
        <w:spacing w:before="120" w:line="312" w:lineRule="auto"/>
        <w:ind w:right="-341"/>
        <w:jc w:val="center"/>
        <w:rPr>
          <w:rFonts w:ascii="Times New Roman" w:hAnsi="Times New Roman" w:eastAsia="宋体" w:cs="Times New Roman"/>
          <w:b/>
          <w:sz w:val="32"/>
        </w:rPr>
      </w:pPr>
    </w:p>
    <w:p w14:paraId="3F15BA43">
      <w:pPr>
        <w:snapToGrid w:val="0"/>
        <w:spacing w:line="312" w:lineRule="auto"/>
        <w:jc w:val="left"/>
        <w:rPr>
          <w:rFonts w:ascii="Times New Roman" w:hAnsi="Times New Roman" w:eastAsia="宋体" w:cs="Times New Roman"/>
          <w:b/>
          <w:sz w:val="32"/>
        </w:rPr>
      </w:pPr>
    </w:p>
    <w:p w14:paraId="22695B11">
      <w:pPr>
        <w:snapToGrid w:val="0"/>
        <w:spacing w:line="312" w:lineRule="auto"/>
        <w:jc w:val="left"/>
        <w:rPr>
          <w:rFonts w:ascii="Times New Roman" w:hAnsi="Times New Roman" w:eastAsia="宋体" w:cs="Times New Roman"/>
          <w:b/>
          <w:sz w:val="32"/>
        </w:rPr>
      </w:pPr>
    </w:p>
    <w:p w14:paraId="024D4FC3">
      <w:pPr>
        <w:snapToGrid w:val="0"/>
        <w:spacing w:line="312" w:lineRule="auto"/>
        <w:jc w:val="left"/>
        <w:rPr>
          <w:rFonts w:ascii="Times New Roman" w:hAnsi="Times New Roman" w:eastAsia="宋体" w:cs="Times New Roman"/>
          <w:b/>
          <w:sz w:val="32"/>
        </w:rPr>
      </w:pPr>
    </w:p>
    <w:p w14:paraId="2D39688C">
      <w:pPr>
        <w:snapToGrid w:val="0"/>
        <w:spacing w:line="312" w:lineRule="auto"/>
        <w:jc w:val="left"/>
        <w:rPr>
          <w:rFonts w:ascii="Times New Roman" w:hAnsi="Times New Roman" w:eastAsia="宋体" w:cs="Times New Roman"/>
          <w:b/>
          <w:sz w:val="32"/>
        </w:rPr>
      </w:pPr>
    </w:p>
    <w:p w14:paraId="5E12F4D4">
      <w:pPr>
        <w:snapToGrid w:val="0"/>
        <w:spacing w:line="312" w:lineRule="auto"/>
        <w:jc w:val="left"/>
        <w:rPr>
          <w:rFonts w:ascii="Times New Roman" w:hAnsi="Times New Roman" w:eastAsia="宋体" w:cs="Times New Roman"/>
          <w:b/>
          <w:sz w:val="32"/>
        </w:rPr>
      </w:pPr>
    </w:p>
    <w:p w14:paraId="353B8B84">
      <w:pPr>
        <w:snapToGrid w:val="0"/>
        <w:spacing w:line="312" w:lineRule="auto"/>
        <w:jc w:val="left"/>
        <w:rPr>
          <w:rFonts w:ascii="Times New Roman" w:hAnsi="Times New Roman" w:eastAsia="宋体" w:cs="Times New Roman"/>
          <w:b/>
          <w:sz w:val="32"/>
        </w:rPr>
      </w:pPr>
    </w:p>
    <w:p w14:paraId="48F32176">
      <w:pPr>
        <w:snapToGrid w:val="0"/>
        <w:spacing w:line="312" w:lineRule="auto"/>
        <w:jc w:val="left"/>
        <w:rPr>
          <w:rFonts w:ascii="Times New Roman" w:hAnsi="Times New Roman" w:eastAsia="宋体" w:cs="Times New Roman"/>
          <w:b/>
          <w:sz w:val="24"/>
        </w:rPr>
      </w:pPr>
    </w:p>
    <w:p w14:paraId="5CE82768">
      <w:pPr>
        <w:snapToGrid w:val="0"/>
        <w:spacing w:line="312" w:lineRule="auto"/>
        <w:jc w:val="left"/>
        <w:rPr>
          <w:rFonts w:ascii="Times New Roman" w:hAnsi="Times New Roman" w:eastAsia="宋体" w:cs="Times New Roman"/>
          <w:b/>
          <w:sz w:val="24"/>
        </w:rPr>
      </w:pPr>
    </w:p>
    <w:p w14:paraId="6C2206DB">
      <w:pPr>
        <w:jc w:val="center"/>
        <w:rPr>
          <w:rFonts w:ascii="Times New Roman" w:hAnsi="Times New Roman" w:eastAsia="宋体" w:cs="Times New Roman"/>
          <w:b/>
          <w:spacing w:val="20"/>
          <w:sz w:val="28"/>
        </w:rPr>
      </w:pPr>
    </w:p>
    <w:p w14:paraId="26EE29B2">
      <w:pPr>
        <w:jc w:val="center"/>
        <w:rPr>
          <w:rFonts w:ascii="Times New Roman" w:hAnsi="Times New Roman" w:eastAsia="宋体" w:cs="Times New Roman"/>
          <w:sz w:val="30"/>
          <w:szCs w:val="30"/>
        </w:rPr>
      </w:pPr>
      <w:r>
        <w:rPr>
          <w:rFonts w:hint="eastAsia" w:ascii="Times New Roman" w:hAnsi="Times New Roman" w:eastAsia="宋体" w:cs="Times New Roman"/>
          <w:b/>
          <w:spacing w:val="20"/>
          <w:sz w:val="28"/>
        </w:rPr>
        <w:t>六、</w:t>
      </w:r>
      <w:r>
        <w:rPr>
          <w:rFonts w:hint="eastAsia" w:ascii="Times New Roman" w:hAnsi="Times New Roman" w:eastAsia="宋体" w:cs="Times New Roman"/>
          <w:b/>
          <w:bCs/>
          <w:sz w:val="30"/>
          <w:szCs w:val="30"/>
        </w:rPr>
        <w:t>廉政承诺书</w:t>
      </w:r>
    </w:p>
    <w:p w14:paraId="08514DE3">
      <w:pPr>
        <w:rPr>
          <w:rFonts w:ascii="Times New Roman" w:hAnsi="Times New Roman" w:eastAsia="宋体" w:cs="Times New Roman"/>
          <w:b/>
          <w:bCs/>
          <w:sz w:val="28"/>
          <w:szCs w:val="28"/>
        </w:rPr>
      </w:pPr>
    </w:p>
    <w:p w14:paraId="56596EB1">
      <w:pPr>
        <w:rPr>
          <w:rFonts w:ascii="Times New Roman" w:hAnsi="Times New Roman" w:eastAsia="宋体" w:cs="Times New Roman"/>
          <w:b/>
          <w:bCs/>
          <w:szCs w:val="21"/>
        </w:rPr>
      </w:pPr>
      <w:r>
        <w:rPr>
          <w:rFonts w:hint="eastAsia" w:ascii="Times New Roman" w:hAnsi="Times New Roman" w:eastAsia="宋体" w:cs="Times New Roman"/>
          <w:b/>
          <w:bCs/>
          <w:szCs w:val="21"/>
        </w:rPr>
        <w:t>致：</w:t>
      </w:r>
      <w:r>
        <w:rPr>
          <w:rFonts w:hint="eastAsia" w:ascii="Times New Roman" w:hAnsi="Times New Roman" w:eastAsia="宋体" w:cs="Times New Roman"/>
          <w:b/>
          <w:bCs/>
          <w:szCs w:val="21"/>
          <w:u w:val="single"/>
        </w:rPr>
        <w:t>深圳市国信招标有限公司</w:t>
      </w:r>
      <w:r>
        <w:rPr>
          <w:rFonts w:hint="eastAsia" w:ascii="Times New Roman" w:hAnsi="Times New Roman" w:eastAsia="宋体" w:cs="Times New Roman"/>
          <w:b/>
          <w:bCs/>
          <w:szCs w:val="21"/>
        </w:rPr>
        <w:t>：</w:t>
      </w:r>
    </w:p>
    <w:p w14:paraId="3015EBFC">
      <w:pPr>
        <w:spacing w:line="360" w:lineRule="auto"/>
        <w:ind w:firstLine="420" w:firstLineChars="200"/>
        <w:rPr>
          <w:rFonts w:ascii="Times New Roman" w:hAnsi="Times New Roman" w:eastAsia="宋体" w:cs="Times New Roman"/>
          <w:szCs w:val="21"/>
        </w:rPr>
      </w:pPr>
    </w:p>
    <w:p w14:paraId="0C9B7BAB">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我单位响应你单位项目招标要求参加投标，在这次投标过程中和中标后，我们将严格遵守国家法律法规要求，并郑重承诺</w:t>
      </w:r>
      <w:r>
        <w:rPr>
          <w:rFonts w:ascii="Times New Roman" w:hAnsi="Times New Roman" w:eastAsia="宋体" w:cs="Times New Roman"/>
          <w:szCs w:val="21"/>
        </w:rPr>
        <w:t>:</w:t>
      </w:r>
    </w:p>
    <w:p w14:paraId="30074AB3">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一、不向项目有关人员及部门赠送礼金礼物、有价证券、回扣以及中介费、介绍费、咨询费等好处费。</w:t>
      </w:r>
    </w:p>
    <w:p w14:paraId="00C9B2DC">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二、不为项目有关人员及部门报销应由你方单位或个人支付的费用</w:t>
      </w:r>
      <w:r>
        <w:rPr>
          <w:rFonts w:ascii="Times New Roman" w:hAnsi="Times New Roman" w:eastAsia="宋体" w:cs="Times New Roman"/>
          <w:szCs w:val="21"/>
        </w:rPr>
        <w:t>;</w:t>
      </w:r>
    </w:p>
    <w:p w14:paraId="16277628">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三、不向项目有关人员及部门提供有可能影响公正的宴请和健身娱乐等活动</w:t>
      </w:r>
      <w:r>
        <w:rPr>
          <w:rFonts w:ascii="Times New Roman" w:hAnsi="Times New Roman" w:eastAsia="宋体" w:cs="Times New Roman"/>
          <w:szCs w:val="21"/>
        </w:rPr>
        <w:t>;</w:t>
      </w:r>
    </w:p>
    <w:p w14:paraId="206362BA">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四、不为项目有关人员及部门出国</w:t>
      </w:r>
      <w:r>
        <w:rPr>
          <w:rFonts w:ascii="Times New Roman" w:hAnsi="Times New Roman" w:eastAsia="宋体" w:cs="Times New Roman"/>
          <w:szCs w:val="21"/>
        </w:rPr>
        <w:t>(</w:t>
      </w:r>
      <w:r>
        <w:rPr>
          <w:rFonts w:hint="eastAsia" w:ascii="Times New Roman" w:hAnsi="Times New Roman" w:eastAsia="宋体" w:cs="Times New Roman"/>
          <w:szCs w:val="21"/>
        </w:rPr>
        <w:t>境</w:t>
      </w:r>
      <w:r>
        <w:rPr>
          <w:rFonts w:ascii="Times New Roman" w:hAnsi="Times New Roman" w:eastAsia="宋体" w:cs="Times New Roman"/>
          <w:szCs w:val="21"/>
        </w:rPr>
        <w:t>)</w:t>
      </w:r>
      <w:r>
        <w:rPr>
          <w:rFonts w:hint="eastAsia" w:ascii="Times New Roman" w:hAnsi="Times New Roman" w:eastAsia="宋体" w:cs="Times New Roman"/>
          <w:szCs w:val="21"/>
        </w:rPr>
        <w:t>、旅游等提供方便；</w:t>
      </w:r>
    </w:p>
    <w:p w14:paraId="12EFD2C6">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五、不为项目有关人员个人装修住房、婚丧嫁娶、配偶子女工作安排等提供好处</w:t>
      </w:r>
      <w:r>
        <w:rPr>
          <w:rFonts w:ascii="Times New Roman" w:hAnsi="Times New Roman" w:eastAsia="宋体" w:cs="Times New Roman"/>
          <w:szCs w:val="21"/>
        </w:rPr>
        <w:t>;</w:t>
      </w:r>
    </w:p>
    <w:p w14:paraId="7369B7B8">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六、严格遵守政府采购法、民法典等法律，诚实守信，合法经营，坚决抵制各种违法违纪行为。</w:t>
      </w:r>
    </w:p>
    <w:p w14:paraId="12AE0E4D">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如违反上述承诺，你单位有权立即取消我单位投标、中标资格，有权拒绝我单位在一定时期内进入你单位进行项目建设或其他经营活动，并通报政府采购监管部门，由此引起的相应损失均由我单位承担。</w:t>
      </w:r>
    </w:p>
    <w:p w14:paraId="00E584CD">
      <w:pPr>
        <w:rPr>
          <w:rFonts w:ascii="Times New Roman" w:hAnsi="Times New Roman" w:eastAsia="宋体" w:cs="Times New Roman"/>
          <w:szCs w:val="21"/>
        </w:rPr>
      </w:pPr>
    </w:p>
    <w:p w14:paraId="5D3E7D74">
      <w:pPr>
        <w:rPr>
          <w:rFonts w:ascii="Times New Roman" w:hAnsi="Times New Roman" w:eastAsia="宋体" w:cs="Times New Roman"/>
          <w:szCs w:val="21"/>
        </w:rPr>
      </w:pPr>
    </w:p>
    <w:p w14:paraId="4E2E0CE7">
      <w:pPr>
        <w:rPr>
          <w:rFonts w:ascii="Times New Roman" w:hAnsi="Times New Roman" w:eastAsia="宋体" w:cs="Times New Roman"/>
          <w:szCs w:val="21"/>
        </w:rPr>
      </w:pPr>
      <w:r>
        <w:rPr>
          <w:rFonts w:hint="eastAsia" w:ascii="Times New Roman" w:hAnsi="Times New Roman" w:eastAsia="宋体" w:cs="Times New Roman"/>
          <w:szCs w:val="21"/>
        </w:rPr>
        <w:t>投标人</w:t>
      </w:r>
      <w:r>
        <w:rPr>
          <w:rFonts w:ascii="Times New Roman" w:hAnsi="Times New Roman" w:eastAsia="宋体" w:cs="Times New Roman"/>
          <w:szCs w:val="21"/>
        </w:rPr>
        <w:t>:(</w:t>
      </w:r>
      <w:r>
        <w:rPr>
          <w:rFonts w:hint="eastAsia" w:ascii="Times New Roman" w:hAnsi="Times New Roman" w:eastAsia="宋体" w:cs="Times New Roman"/>
          <w:szCs w:val="21"/>
        </w:rPr>
        <w:t>盖章</w:t>
      </w:r>
      <w:r>
        <w:rPr>
          <w:rFonts w:ascii="Times New Roman" w:hAnsi="Times New Roman" w:eastAsia="宋体" w:cs="Times New Roman"/>
          <w:szCs w:val="21"/>
        </w:rPr>
        <w:t>)</w:t>
      </w:r>
    </w:p>
    <w:p w14:paraId="0615FBD4">
      <w:pPr>
        <w:rPr>
          <w:rFonts w:ascii="Times New Roman" w:hAnsi="Times New Roman" w:eastAsia="宋体" w:cs="Times New Roman"/>
          <w:szCs w:val="21"/>
        </w:rPr>
      </w:pPr>
    </w:p>
    <w:p w14:paraId="2AEC4EB0">
      <w:pPr>
        <w:rPr>
          <w:rFonts w:ascii="Times New Roman" w:hAnsi="Times New Roman" w:eastAsia="宋体" w:cs="Times New Roman"/>
          <w:szCs w:val="21"/>
        </w:rPr>
      </w:pPr>
    </w:p>
    <w:p w14:paraId="568D686C">
      <w:pPr>
        <w:rPr>
          <w:rFonts w:ascii="Times New Roman" w:hAnsi="Times New Roman" w:eastAsia="宋体" w:cs="Times New Roman"/>
          <w:szCs w:val="21"/>
        </w:rPr>
      </w:pPr>
    </w:p>
    <w:p w14:paraId="37FC9C8B">
      <w:pPr>
        <w:rPr>
          <w:rFonts w:ascii="Times New Roman" w:hAnsi="Times New Roman" w:eastAsia="宋体" w:cs="Times New Roman"/>
          <w:szCs w:val="21"/>
        </w:rPr>
      </w:pPr>
    </w:p>
    <w:p w14:paraId="0215C7BA">
      <w:pPr>
        <w:rPr>
          <w:rFonts w:ascii="Times New Roman" w:hAnsi="Times New Roman" w:eastAsia="宋体" w:cs="Times New Roman"/>
          <w:szCs w:val="21"/>
        </w:rPr>
      </w:pPr>
    </w:p>
    <w:p w14:paraId="2F191F73">
      <w:pPr>
        <w:rPr>
          <w:rFonts w:ascii="Times New Roman" w:hAnsi="Times New Roman" w:eastAsia="宋体" w:cs="Times New Roman"/>
          <w:szCs w:val="21"/>
        </w:rPr>
      </w:pPr>
      <w:r>
        <w:rPr>
          <w:rFonts w:hint="eastAsia" w:ascii="Times New Roman" w:hAnsi="Times New Roman" w:eastAsia="宋体" w:cs="Times New Roman"/>
          <w:szCs w:val="21"/>
        </w:rPr>
        <w:t>日期</w:t>
      </w:r>
      <w:r>
        <w:rPr>
          <w:rFonts w:ascii="Times New Roman" w:hAnsi="Times New Roman" w:eastAsia="宋体" w:cs="Times New Roman"/>
          <w:szCs w:val="21"/>
        </w:rPr>
        <w:t>:</w:t>
      </w:r>
      <w:r>
        <w:rPr>
          <w:rFonts w:hint="eastAsia" w:ascii="Times New Roman" w:hAnsi="Times New Roman" w:eastAsia="宋体" w:cs="Times New Roman"/>
          <w:szCs w:val="21"/>
        </w:rPr>
        <w:t>年月日</w:t>
      </w:r>
    </w:p>
    <w:p w14:paraId="0ABD08D9">
      <w:pPr>
        <w:snapToGrid w:val="0"/>
        <w:spacing w:before="50" w:line="312" w:lineRule="auto"/>
        <w:jc w:val="left"/>
        <w:rPr>
          <w:rFonts w:ascii="Times New Roman" w:hAnsi="Times New Roman" w:eastAsia="宋体" w:cs="Times New Roman"/>
          <w:b/>
          <w:spacing w:val="20"/>
          <w:sz w:val="28"/>
        </w:rPr>
      </w:pPr>
    </w:p>
    <w:p w14:paraId="14E4397F">
      <w:pPr>
        <w:snapToGrid w:val="0"/>
        <w:spacing w:before="120" w:line="312" w:lineRule="auto"/>
        <w:ind w:right="-341"/>
        <w:rPr>
          <w:rFonts w:ascii="Times New Roman" w:hAnsi="Times New Roman" w:eastAsia="宋体" w:cs="Times New Roman"/>
          <w:b/>
          <w:sz w:val="28"/>
          <w:szCs w:val="28"/>
        </w:rPr>
      </w:pPr>
    </w:p>
    <w:p w14:paraId="03E9F1B3">
      <w:pPr>
        <w:snapToGrid w:val="0"/>
        <w:spacing w:before="120" w:line="312" w:lineRule="auto"/>
        <w:ind w:right="-341"/>
        <w:rPr>
          <w:rFonts w:ascii="Times New Roman" w:hAnsi="Times New Roman" w:eastAsia="宋体" w:cs="Times New Roman"/>
          <w:b/>
          <w:sz w:val="28"/>
          <w:szCs w:val="28"/>
        </w:rPr>
      </w:pPr>
    </w:p>
    <w:p w14:paraId="0F90CE79">
      <w:pPr>
        <w:snapToGrid w:val="0"/>
        <w:spacing w:before="120" w:line="312" w:lineRule="auto"/>
        <w:ind w:right="-341"/>
        <w:rPr>
          <w:rFonts w:ascii="Times New Roman" w:hAnsi="Times New Roman" w:eastAsia="宋体" w:cs="Times New Roman"/>
          <w:b/>
          <w:sz w:val="28"/>
          <w:szCs w:val="28"/>
        </w:rPr>
      </w:pPr>
    </w:p>
    <w:p w14:paraId="1E735284">
      <w:pPr>
        <w:snapToGrid w:val="0"/>
        <w:spacing w:before="120" w:line="312" w:lineRule="auto"/>
        <w:ind w:right="-341"/>
        <w:rPr>
          <w:rFonts w:ascii="Times New Roman" w:hAnsi="Times New Roman" w:eastAsia="宋体" w:cs="Times New Roman"/>
          <w:b/>
          <w:sz w:val="28"/>
          <w:szCs w:val="28"/>
        </w:rPr>
      </w:pPr>
    </w:p>
    <w:p w14:paraId="3C0E1519">
      <w:pPr>
        <w:snapToGrid w:val="0"/>
        <w:spacing w:before="120" w:line="312" w:lineRule="auto"/>
        <w:ind w:right="-341"/>
        <w:rPr>
          <w:rFonts w:ascii="Times New Roman" w:hAnsi="Times New Roman" w:eastAsia="宋体" w:cs="Times New Roman"/>
          <w:b/>
          <w:sz w:val="28"/>
          <w:szCs w:val="28"/>
        </w:rPr>
      </w:pPr>
    </w:p>
    <w:p w14:paraId="5001D702">
      <w:pPr>
        <w:snapToGrid w:val="0"/>
        <w:spacing w:before="120" w:line="312" w:lineRule="auto"/>
        <w:ind w:right="-341"/>
        <w:rPr>
          <w:rFonts w:ascii="Times New Roman" w:hAnsi="Times New Roman" w:eastAsia="宋体" w:cs="Times New Roman"/>
          <w:b/>
          <w:sz w:val="28"/>
          <w:szCs w:val="28"/>
        </w:rPr>
      </w:pPr>
    </w:p>
    <w:p w14:paraId="5D769934">
      <w:pPr>
        <w:snapToGrid w:val="0"/>
        <w:spacing w:before="120" w:line="312" w:lineRule="auto"/>
        <w:ind w:right="-341"/>
        <w:rPr>
          <w:rFonts w:ascii="Times New Roman" w:hAnsi="Times New Roman" w:eastAsia="宋体" w:cs="Times New Roman"/>
          <w:b/>
          <w:sz w:val="28"/>
          <w:szCs w:val="28"/>
        </w:rPr>
      </w:pPr>
    </w:p>
    <w:p w14:paraId="07C6B560">
      <w:pPr>
        <w:snapToGrid w:val="0"/>
        <w:spacing w:before="120" w:line="312" w:lineRule="auto"/>
        <w:ind w:right="-341"/>
        <w:rPr>
          <w:rFonts w:ascii="Times New Roman" w:hAnsi="Times New Roman" w:eastAsia="宋体" w:cs="Times New Roman"/>
          <w:b/>
          <w:sz w:val="28"/>
          <w:szCs w:val="28"/>
        </w:rPr>
      </w:pPr>
    </w:p>
    <w:p w14:paraId="6E01CA16">
      <w:pPr>
        <w:snapToGrid w:val="0"/>
        <w:spacing w:before="120" w:line="312" w:lineRule="auto"/>
        <w:ind w:right="-341"/>
        <w:rPr>
          <w:rFonts w:hint="eastAsia" w:ascii="宋体" w:hAnsi="宋体" w:eastAsia="宋体" w:cs="宋体"/>
          <w:b/>
          <w:kern w:val="0"/>
          <w:sz w:val="28"/>
          <w:szCs w:val="28"/>
        </w:rPr>
      </w:pPr>
      <w:r>
        <w:rPr>
          <w:rFonts w:hint="eastAsia" w:ascii="Times New Roman" w:hAnsi="Times New Roman" w:eastAsia="宋体" w:cs="Times New Roman"/>
          <w:b/>
          <w:sz w:val="28"/>
          <w:szCs w:val="28"/>
        </w:rPr>
        <w:t>七、</w:t>
      </w:r>
    </w:p>
    <w:p w14:paraId="4FAAEF95">
      <w:pPr>
        <w:snapToGrid w:val="0"/>
        <w:spacing w:line="360" w:lineRule="auto"/>
        <w:ind w:right="-341"/>
        <w:jc w:val="center"/>
        <w:rPr>
          <w:rFonts w:hint="eastAsia" w:ascii="宋体" w:hAnsi="宋体" w:eastAsia="宋体" w:cs="宋体"/>
          <w:b/>
          <w:kern w:val="0"/>
          <w:sz w:val="28"/>
          <w:szCs w:val="28"/>
        </w:rPr>
      </w:pPr>
    </w:p>
    <w:p w14:paraId="20532553">
      <w:pPr>
        <w:snapToGrid w:val="0"/>
        <w:spacing w:line="360" w:lineRule="auto"/>
        <w:ind w:right="-341"/>
        <w:jc w:val="center"/>
        <w:rPr>
          <w:rFonts w:hint="eastAsia" w:ascii="宋体" w:hAnsi="宋体" w:eastAsia="宋体" w:cs="宋体"/>
          <w:b/>
          <w:kern w:val="0"/>
          <w:sz w:val="28"/>
          <w:szCs w:val="28"/>
        </w:rPr>
      </w:pPr>
      <w:r>
        <w:rPr>
          <w:rFonts w:hint="eastAsia" w:ascii="宋体" w:hAnsi="宋体" w:eastAsia="宋体" w:cs="宋体"/>
          <w:b/>
          <w:kern w:val="0"/>
          <w:sz w:val="28"/>
          <w:szCs w:val="28"/>
        </w:rPr>
        <w:t>中小企业声明函（工程、服务）</w:t>
      </w:r>
    </w:p>
    <w:p w14:paraId="75BF16B0">
      <w:pPr>
        <w:snapToGrid w:val="0"/>
        <w:spacing w:line="360" w:lineRule="auto"/>
        <w:ind w:right="-341"/>
        <w:rPr>
          <w:rFonts w:hint="eastAsia" w:ascii="宋体" w:hAnsi="宋体" w:eastAsia="宋体" w:cs="宋体"/>
          <w:kern w:val="0"/>
          <w:szCs w:val="21"/>
        </w:rPr>
      </w:pPr>
    </w:p>
    <w:p w14:paraId="318BC490">
      <w:pPr>
        <w:snapToGrid w:val="0"/>
        <w:spacing w:line="360" w:lineRule="auto"/>
        <w:ind w:right="-341"/>
        <w:rPr>
          <w:rFonts w:hint="eastAsia" w:ascii="宋体" w:hAnsi="宋体" w:eastAsia="宋体" w:cs="宋体"/>
          <w:kern w:val="0"/>
          <w:szCs w:val="21"/>
        </w:rPr>
      </w:pPr>
    </w:p>
    <w:p w14:paraId="4F2DA704">
      <w:pPr>
        <w:snapToGrid w:val="0"/>
        <w:spacing w:line="360" w:lineRule="auto"/>
        <w:ind w:right="-341" w:firstLine="420" w:firstLineChars="200"/>
        <w:rPr>
          <w:rFonts w:hint="eastAsia" w:ascii="宋体" w:hAnsi="宋体" w:eastAsia="宋体" w:cs="宋体"/>
          <w:kern w:val="0"/>
          <w:szCs w:val="21"/>
        </w:rPr>
      </w:pPr>
      <w:r>
        <w:rPr>
          <w:rFonts w:hint="eastAsia" w:ascii="宋体" w:hAnsi="宋体" w:eastAsia="宋体" w:cs="宋体"/>
          <w:kern w:val="0"/>
          <w:szCs w:val="21"/>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14:paraId="1ADD29F3">
      <w:pPr>
        <w:snapToGrid w:val="0"/>
        <w:spacing w:line="360" w:lineRule="auto"/>
        <w:ind w:right="-341" w:firstLine="420" w:firstLineChars="200"/>
        <w:rPr>
          <w:rFonts w:hint="eastAsia" w:ascii="宋体" w:hAnsi="宋体" w:eastAsia="宋体" w:cs="宋体"/>
          <w:kern w:val="0"/>
          <w:szCs w:val="21"/>
        </w:rPr>
      </w:pPr>
      <w:r>
        <w:rPr>
          <w:rFonts w:hint="eastAsia" w:ascii="宋体" w:hAnsi="宋体" w:eastAsia="宋体" w:cs="宋体"/>
          <w:kern w:val="0"/>
          <w:szCs w:val="21"/>
        </w:rPr>
        <w:t>1.（标的名称），属于（采购文件中明确的所属行业）；承建（承接）企业为（企业名称），从业人员人，营业收入为万元，资产总额为万元，属于（中型企业、小型企业、微型企业）；</w:t>
      </w:r>
    </w:p>
    <w:p w14:paraId="73E0AF56">
      <w:pPr>
        <w:snapToGrid w:val="0"/>
        <w:spacing w:line="360" w:lineRule="auto"/>
        <w:ind w:right="-341" w:firstLine="420" w:firstLineChars="200"/>
        <w:rPr>
          <w:rFonts w:hint="eastAsia" w:ascii="宋体" w:hAnsi="宋体" w:eastAsia="宋体" w:cs="宋体"/>
          <w:kern w:val="0"/>
          <w:szCs w:val="21"/>
        </w:rPr>
      </w:pPr>
      <w:r>
        <w:rPr>
          <w:rFonts w:hint="eastAsia" w:ascii="宋体" w:hAnsi="宋体" w:eastAsia="宋体" w:cs="宋体"/>
          <w:kern w:val="0"/>
          <w:szCs w:val="21"/>
        </w:rPr>
        <w:t>2.（标的名称），属于（采购文件中明确的所属行业）；承建（承接）企业为（企业名称），从业人员人，营业收入为万元，资产总额为万元，属于（中型企业、小型企业、微型企业）；</w:t>
      </w:r>
    </w:p>
    <w:p w14:paraId="1793330F">
      <w:pPr>
        <w:snapToGrid w:val="0"/>
        <w:spacing w:line="360" w:lineRule="auto"/>
        <w:ind w:right="-341"/>
        <w:rPr>
          <w:rFonts w:hint="eastAsia" w:ascii="宋体" w:hAnsi="宋体" w:eastAsia="宋体" w:cs="宋体"/>
          <w:kern w:val="0"/>
          <w:szCs w:val="21"/>
        </w:rPr>
      </w:pPr>
      <w:r>
        <w:rPr>
          <w:rFonts w:hint="eastAsia" w:ascii="宋体" w:hAnsi="宋体" w:eastAsia="宋体" w:cs="宋体"/>
          <w:kern w:val="0"/>
          <w:szCs w:val="21"/>
        </w:rPr>
        <w:t>……</w:t>
      </w:r>
    </w:p>
    <w:p w14:paraId="2F81EE59">
      <w:pPr>
        <w:snapToGrid w:val="0"/>
        <w:spacing w:line="360" w:lineRule="auto"/>
        <w:ind w:right="-341" w:firstLine="420" w:firstLineChars="200"/>
        <w:rPr>
          <w:rFonts w:hint="eastAsia" w:ascii="宋体" w:hAnsi="宋体" w:eastAsia="宋体" w:cs="宋体"/>
          <w:kern w:val="0"/>
          <w:szCs w:val="21"/>
        </w:rPr>
      </w:pPr>
      <w:r>
        <w:rPr>
          <w:rFonts w:hint="eastAsia" w:ascii="宋体" w:hAnsi="宋体" w:eastAsia="宋体" w:cs="宋体"/>
          <w:kern w:val="0"/>
          <w:szCs w:val="21"/>
        </w:rPr>
        <w:t>以上企业，不属于大企业的分支机构，不存在控股股东为大企业的情形，也不存在与大企业的负责人为同一人的情形。</w:t>
      </w:r>
    </w:p>
    <w:p w14:paraId="40AF3E5B">
      <w:pPr>
        <w:snapToGrid w:val="0"/>
        <w:spacing w:line="360" w:lineRule="auto"/>
        <w:ind w:right="-341" w:firstLine="420" w:firstLineChars="200"/>
        <w:rPr>
          <w:rFonts w:hint="eastAsia" w:ascii="宋体" w:hAnsi="宋体" w:eastAsia="宋体" w:cs="宋体"/>
          <w:kern w:val="0"/>
          <w:szCs w:val="21"/>
        </w:rPr>
      </w:pPr>
      <w:r>
        <w:rPr>
          <w:rFonts w:hint="eastAsia" w:ascii="宋体" w:hAnsi="宋体" w:eastAsia="宋体" w:cs="宋体"/>
          <w:kern w:val="0"/>
          <w:szCs w:val="21"/>
        </w:rPr>
        <w:t>本企业对上述声明内容的真实性负责。如有虚假，将依法承担相应责任。</w:t>
      </w:r>
    </w:p>
    <w:p w14:paraId="3BBDAE4F">
      <w:pPr>
        <w:snapToGrid w:val="0"/>
        <w:spacing w:line="360" w:lineRule="auto"/>
        <w:ind w:right="-341"/>
        <w:rPr>
          <w:rFonts w:hint="eastAsia" w:ascii="宋体" w:hAnsi="宋体" w:eastAsia="宋体" w:cs="宋体"/>
          <w:kern w:val="0"/>
          <w:szCs w:val="21"/>
        </w:rPr>
      </w:pPr>
    </w:p>
    <w:p w14:paraId="39A36D3B">
      <w:pPr>
        <w:snapToGrid w:val="0"/>
        <w:spacing w:line="360" w:lineRule="auto"/>
        <w:ind w:right="-341"/>
        <w:rPr>
          <w:rFonts w:hint="eastAsia" w:ascii="宋体" w:hAnsi="宋体" w:eastAsia="宋体" w:cs="宋体"/>
          <w:kern w:val="0"/>
          <w:szCs w:val="21"/>
        </w:rPr>
      </w:pPr>
      <w:r>
        <w:rPr>
          <w:rFonts w:hint="eastAsia" w:ascii="宋体" w:hAnsi="宋体" w:eastAsia="宋体" w:cs="宋体"/>
          <w:kern w:val="0"/>
          <w:szCs w:val="21"/>
        </w:rPr>
        <w:t>企业名称（盖章）：</w:t>
      </w:r>
    </w:p>
    <w:p w14:paraId="40E2F6DD">
      <w:pPr>
        <w:snapToGrid w:val="0"/>
        <w:spacing w:line="360" w:lineRule="auto"/>
        <w:ind w:right="-341"/>
        <w:jc w:val="left"/>
        <w:rPr>
          <w:rFonts w:hint="eastAsia" w:ascii="宋体" w:hAnsi="宋体" w:eastAsia="宋体" w:cs="宋体"/>
          <w:kern w:val="0"/>
          <w:szCs w:val="21"/>
        </w:rPr>
      </w:pPr>
    </w:p>
    <w:p w14:paraId="7C77361A">
      <w:pPr>
        <w:snapToGrid w:val="0"/>
        <w:spacing w:line="360" w:lineRule="auto"/>
        <w:ind w:right="-341"/>
        <w:jc w:val="left"/>
        <w:rPr>
          <w:rFonts w:ascii="Times New Roman" w:hAnsi="Times New Roman" w:eastAsia="宋体" w:cs="Times New Roman"/>
        </w:rPr>
      </w:pPr>
      <w:r>
        <w:rPr>
          <w:rFonts w:hint="eastAsia" w:ascii="宋体" w:hAnsi="宋体" w:eastAsia="宋体" w:cs="宋体"/>
          <w:kern w:val="0"/>
          <w:szCs w:val="21"/>
        </w:rPr>
        <w:t>日期：</w:t>
      </w:r>
    </w:p>
    <w:p w14:paraId="16975A50">
      <w:pPr>
        <w:widowControl/>
        <w:spacing w:line="360" w:lineRule="auto"/>
        <w:jc w:val="left"/>
        <w:rPr>
          <w:rFonts w:ascii="Times New Roman" w:hAnsi="Times New Roman" w:eastAsia="宋体" w:cs="Times New Roman"/>
          <w:kern w:val="0"/>
        </w:rPr>
        <w:sectPr>
          <w:pgSz w:w="11906" w:h="16838"/>
          <w:pgMar w:top="1304" w:right="1531" w:bottom="1304" w:left="1531" w:header="1134" w:footer="1304" w:gutter="0"/>
          <w:cols w:space="720" w:num="1"/>
        </w:sectPr>
      </w:pPr>
    </w:p>
    <w:p w14:paraId="7AA54821">
      <w:pPr>
        <w:snapToGrid w:val="0"/>
        <w:spacing w:line="360" w:lineRule="auto"/>
        <w:ind w:right="-341"/>
        <w:rPr>
          <w:rFonts w:ascii="Times New Roman" w:hAnsi="Times New Roman" w:eastAsia="宋体" w:cs="Times New Roman"/>
        </w:rPr>
      </w:pPr>
    </w:p>
    <w:p w14:paraId="0B14EEBB">
      <w:pPr>
        <w:spacing w:after="120"/>
        <w:rPr>
          <w:rFonts w:ascii="Times New Roman" w:hAnsi="Times New Roman" w:eastAsia="宋体" w:cs="Times New Roman"/>
        </w:rPr>
      </w:pPr>
    </w:p>
    <w:p w14:paraId="2B14F381">
      <w:pPr>
        <w:spacing w:line="360" w:lineRule="auto"/>
        <w:ind w:firstLine="3132" w:firstLineChars="1300"/>
        <w:rPr>
          <w:rFonts w:ascii="Times New Roman" w:hAnsi="Times New Roman" w:eastAsia="宋体" w:cs="Times New Roman"/>
          <w:b/>
          <w:sz w:val="24"/>
          <w:szCs w:val="24"/>
        </w:rPr>
      </w:pPr>
      <w:r>
        <w:rPr>
          <w:rFonts w:hint="eastAsia" w:ascii="Times New Roman" w:hAnsi="Times New Roman" w:eastAsia="宋体" w:cs="Times New Roman"/>
          <w:b/>
          <w:sz w:val="24"/>
          <w:szCs w:val="24"/>
        </w:rPr>
        <w:t>监狱企业声明函</w:t>
      </w:r>
    </w:p>
    <w:p w14:paraId="5E28354F">
      <w:pPr>
        <w:spacing w:line="360" w:lineRule="auto"/>
        <w:ind w:firstLine="2640" w:firstLineChars="1100"/>
        <w:rPr>
          <w:rFonts w:ascii="Times New Roman" w:hAnsi="Times New Roman" w:eastAsia="宋体" w:cs="Times New Roman"/>
          <w:sz w:val="24"/>
          <w:szCs w:val="24"/>
        </w:rPr>
      </w:pPr>
      <w:r>
        <w:rPr>
          <w:rFonts w:hint="eastAsia" w:ascii="Times New Roman" w:hAnsi="Times New Roman" w:eastAsia="宋体" w:cs="Times New Roman"/>
          <w:sz w:val="24"/>
          <w:szCs w:val="24"/>
        </w:rPr>
        <w:t>【非监狱企业不用提供】</w:t>
      </w:r>
    </w:p>
    <w:p w14:paraId="7117E3E8">
      <w:pPr>
        <w:spacing w:line="360" w:lineRule="auto"/>
        <w:ind w:firstLine="480"/>
        <w:rPr>
          <w:rFonts w:ascii="Times New Roman" w:hAnsi="Times New Roman" w:eastAsia="宋体" w:cs="Times New Roman"/>
          <w:szCs w:val="21"/>
        </w:rPr>
      </w:pPr>
    </w:p>
    <w:p w14:paraId="1F764FA5">
      <w:pPr>
        <w:spacing w:line="360" w:lineRule="auto"/>
        <w:ind w:firstLine="525" w:firstLineChars="250"/>
        <w:rPr>
          <w:rFonts w:ascii="Times New Roman" w:hAnsi="Times New Roman" w:eastAsia="宋体" w:cs="Times New Roman"/>
          <w:szCs w:val="21"/>
        </w:rPr>
      </w:pPr>
      <w:r>
        <w:rPr>
          <w:rFonts w:hint="eastAsia" w:ascii="Times New Roman" w:hAnsi="Times New Roman" w:eastAsia="宋体" w:cs="Times New Roman"/>
          <w:szCs w:val="21"/>
        </w:rPr>
        <w:t>监狱企业参加政府采购活动时，应当提供由省级以上监狱管理本企业郑重声明，根据《关于政府采购支持监狱企业发展有关问题的通知》（财库</w:t>
      </w:r>
      <w:r>
        <w:rPr>
          <w:rFonts w:ascii="Times New Roman" w:hAnsi="Times New Roman" w:eastAsia="宋体" w:cs="Times New Roman"/>
          <w:szCs w:val="21"/>
        </w:rPr>
        <w:t>[2014]68</w:t>
      </w:r>
      <w:r>
        <w:rPr>
          <w:rFonts w:hint="eastAsia" w:ascii="Times New Roman" w:hAnsi="Times New Roman" w:eastAsia="宋体" w:cs="Times New Roman"/>
          <w:szCs w:val="21"/>
        </w:rPr>
        <w:t>号）的规定，本企业为监狱企业。</w:t>
      </w:r>
    </w:p>
    <w:p w14:paraId="2969D7E7">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根据上述标准，我企业属于监狱企业的理由为：。</w:t>
      </w:r>
    </w:p>
    <w:p w14:paraId="5B53F15A">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本企业为参加（项目名称：）（项目编号：）采购活动提供本企业的产品。</w:t>
      </w:r>
    </w:p>
    <w:p w14:paraId="67417F47">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本企业对上述声明的真实性负责。如有虚假，将依法承担相应责任。</w:t>
      </w:r>
    </w:p>
    <w:p w14:paraId="499218BA">
      <w:pPr>
        <w:spacing w:line="360" w:lineRule="auto"/>
        <w:ind w:firstLine="480"/>
        <w:rPr>
          <w:rFonts w:ascii="Times New Roman" w:hAnsi="Times New Roman" w:eastAsia="宋体" w:cs="Times New Roman"/>
          <w:szCs w:val="21"/>
        </w:rPr>
      </w:pPr>
    </w:p>
    <w:p w14:paraId="10230CDA">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投标人名称（盖章）：</w:t>
      </w:r>
    </w:p>
    <w:p w14:paraId="3400D911">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日期：年月日</w:t>
      </w:r>
    </w:p>
    <w:p w14:paraId="0B9640F3">
      <w:pPr>
        <w:spacing w:line="360" w:lineRule="auto"/>
        <w:ind w:firstLine="480"/>
        <w:rPr>
          <w:rFonts w:ascii="Times New Roman" w:hAnsi="Times New Roman" w:eastAsia="宋体" w:cs="Times New Roman"/>
          <w:szCs w:val="21"/>
        </w:rPr>
      </w:pPr>
    </w:p>
    <w:p w14:paraId="2AE5ED1A">
      <w:pPr>
        <w:spacing w:line="360" w:lineRule="auto"/>
        <w:ind w:firstLine="480"/>
        <w:rPr>
          <w:rFonts w:ascii="Times New Roman" w:hAnsi="Times New Roman" w:eastAsia="宋体" w:cs="Times New Roman"/>
          <w:szCs w:val="21"/>
        </w:rPr>
      </w:pPr>
    </w:p>
    <w:p w14:paraId="4E7F795E">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投标人为监狱企业的提供此函。</w:t>
      </w:r>
    </w:p>
    <w:p w14:paraId="3D81ED7F">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局、戒毒管理局（含新疆生产建设兵团）出具的属于监狱企业的证明文件。</w:t>
      </w:r>
    </w:p>
    <w:p w14:paraId="2BDCA40C">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6D2E2FC">
      <w:pPr>
        <w:spacing w:line="360" w:lineRule="auto"/>
        <w:ind w:firstLine="480"/>
        <w:rPr>
          <w:rFonts w:ascii="Times New Roman" w:hAnsi="Times New Roman" w:eastAsia="宋体" w:cs="Times New Roman"/>
          <w:szCs w:val="21"/>
        </w:rPr>
      </w:pPr>
    </w:p>
    <w:p w14:paraId="62EB80D4">
      <w:pPr>
        <w:spacing w:line="360" w:lineRule="auto"/>
        <w:ind w:firstLine="480"/>
        <w:rPr>
          <w:rFonts w:ascii="Times New Roman" w:hAnsi="Times New Roman" w:eastAsia="宋体" w:cs="Times New Roman"/>
          <w:szCs w:val="21"/>
        </w:rPr>
      </w:pPr>
    </w:p>
    <w:p w14:paraId="147F6510">
      <w:pPr>
        <w:spacing w:line="360" w:lineRule="auto"/>
        <w:ind w:firstLine="480"/>
        <w:rPr>
          <w:rFonts w:ascii="Times New Roman" w:hAnsi="Times New Roman" w:eastAsia="宋体" w:cs="Times New Roman"/>
          <w:szCs w:val="21"/>
        </w:rPr>
      </w:pPr>
    </w:p>
    <w:p w14:paraId="65750BB8">
      <w:pPr>
        <w:spacing w:line="360" w:lineRule="auto"/>
        <w:ind w:firstLine="480"/>
        <w:rPr>
          <w:rFonts w:ascii="Times New Roman" w:hAnsi="Times New Roman" w:eastAsia="宋体" w:cs="Times New Roman"/>
          <w:szCs w:val="21"/>
        </w:rPr>
      </w:pPr>
    </w:p>
    <w:p w14:paraId="111C371A">
      <w:pPr>
        <w:spacing w:line="360" w:lineRule="auto"/>
        <w:ind w:firstLine="480"/>
        <w:rPr>
          <w:rFonts w:ascii="Times New Roman" w:hAnsi="Times New Roman" w:eastAsia="宋体" w:cs="Times New Roman"/>
          <w:szCs w:val="21"/>
        </w:rPr>
      </w:pPr>
    </w:p>
    <w:p w14:paraId="6DCEF478">
      <w:pPr>
        <w:spacing w:line="360" w:lineRule="auto"/>
        <w:ind w:firstLine="480"/>
        <w:rPr>
          <w:rFonts w:ascii="Times New Roman" w:hAnsi="Times New Roman" w:eastAsia="宋体" w:cs="Times New Roman"/>
          <w:szCs w:val="21"/>
        </w:rPr>
      </w:pPr>
    </w:p>
    <w:p w14:paraId="5F76E8D0">
      <w:pPr>
        <w:spacing w:line="360" w:lineRule="auto"/>
        <w:ind w:firstLine="480"/>
        <w:rPr>
          <w:rFonts w:ascii="Times New Roman" w:hAnsi="Times New Roman" w:eastAsia="宋体" w:cs="Times New Roman"/>
          <w:szCs w:val="21"/>
        </w:rPr>
      </w:pPr>
    </w:p>
    <w:p w14:paraId="49B585E4">
      <w:pPr>
        <w:spacing w:line="360" w:lineRule="auto"/>
        <w:ind w:firstLine="480"/>
        <w:rPr>
          <w:rFonts w:ascii="Times New Roman" w:hAnsi="Times New Roman" w:eastAsia="宋体" w:cs="Times New Roman"/>
          <w:szCs w:val="21"/>
        </w:rPr>
      </w:pPr>
    </w:p>
    <w:p w14:paraId="7BD66E0A">
      <w:pPr>
        <w:spacing w:line="360" w:lineRule="auto"/>
        <w:ind w:firstLine="480"/>
        <w:rPr>
          <w:rFonts w:ascii="Times New Roman" w:hAnsi="Times New Roman" w:eastAsia="宋体" w:cs="Times New Roman"/>
          <w:szCs w:val="21"/>
        </w:rPr>
      </w:pPr>
    </w:p>
    <w:p w14:paraId="44DD2D3F">
      <w:pPr>
        <w:spacing w:line="360" w:lineRule="auto"/>
        <w:ind w:firstLine="480"/>
        <w:rPr>
          <w:rFonts w:ascii="Times New Roman" w:hAnsi="Times New Roman" w:eastAsia="宋体" w:cs="Times New Roman"/>
          <w:szCs w:val="21"/>
        </w:rPr>
      </w:pPr>
    </w:p>
    <w:p w14:paraId="1F36EE00">
      <w:pPr>
        <w:spacing w:line="360" w:lineRule="auto"/>
        <w:ind w:firstLine="480"/>
        <w:rPr>
          <w:rFonts w:ascii="Times New Roman" w:hAnsi="Times New Roman" w:eastAsia="宋体" w:cs="Times New Roman"/>
          <w:szCs w:val="21"/>
        </w:rPr>
      </w:pPr>
    </w:p>
    <w:p w14:paraId="03E93B5A">
      <w:pPr>
        <w:spacing w:line="360" w:lineRule="auto"/>
        <w:ind w:firstLine="480"/>
        <w:rPr>
          <w:rFonts w:ascii="Times New Roman" w:hAnsi="Times New Roman" w:eastAsia="宋体" w:cs="Times New Roman"/>
          <w:szCs w:val="21"/>
        </w:rPr>
      </w:pPr>
    </w:p>
    <w:p w14:paraId="4522B8CE">
      <w:pPr>
        <w:spacing w:line="360" w:lineRule="auto"/>
        <w:ind w:firstLine="480"/>
        <w:rPr>
          <w:rFonts w:ascii="Times New Roman" w:hAnsi="Times New Roman" w:eastAsia="宋体" w:cs="Times New Roman"/>
          <w:szCs w:val="21"/>
        </w:rPr>
      </w:pPr>
    </w:p>
    <w:p w14:paraId="4E4CA4D3">
      <w:pPr>
        <w:spacing w:line="360" w:lineRule="auto"/>
        <w:rPr>
          <w:rFonts w:ascii="Times New Roman" w:hAnsi="Times New Roman" w:eastAsia="宋体" w:cs="Times New Roman"/>
          <w:b/>
          <w:sz w:val="24"/>
          <w:szCs w:val="24"/>
        </w:rPr>
      </w:pPr>
    </w:p>
    <w:p w14:paraId="397F14E6">
      <w:pPr>
        <w:spacing w:line="360" w:lineRule="auto"/>
        <w:jc w:val="center"/>
        <w:rPr>
          <w:rFonts w:ascii="Times New Roman" w:hAnsi="Times New Roman" w:eastAsia="宋体" w:cs="Times New Roman"/>
          <w:b/>
          <w:sz w:val="24"/>
          <w:szCs w:val="24"/>
        </w:rPr>
      </w:pPr>
    </w:p>
    <w:p w14:paraId="1D3C4503">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残疾人福利性单位声明函</w:t>
      </w:r>
    </w:p>
    <w:p w14:paraId="2F178169">
      <w:pPr>
        <w:spacing w:line="360" w:lineRule="auto"/>
        <w:ind w:firstLine="2835" w:firstLineChars="1350"/>
        <w:rPr>
          <w:rFonts w:ascii="Times New Roman" w:hAnsi="Times New Roman" w:eastAsia="宋体" w:cs="Times New Roman"/>
          <w:szCs w:val="21"/>
        </w:rPr>
      </w:pPr>
      <w:r>
        <w:rPr>
          <w:rFonts w:hint="eastAsia" w:ascii="Times New Roman" w:hAnsi="Times New Roman" w:eastAsia="宋体" w:cs="Times New Roman"/>
          <w:szCs w:val="21"/>
        </w:rPr>
        <w:t>【非残疾人福利性单位不用提供】</w:t>
      </w:r>
    </w:p>
    <w:p w14:paraId="2BA63276">
      <w:pPr>
        <w:spacing w:line="360" w:lineRule="auto"/>
        <w:rPr>
          <w:rFonts w:ascii="Times New Roman" w:hAnsi="Times New Roman" w:eastAsia="宋体" w:cs="Times New Roman"/>
          <w:szCs w:val="21"/>
        </w:rPr>
      </w:pPr>
    </w:p>
    <w:p w14:paraId="1A8B979E">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本单位郑重声明，根据《财政部民政部中国残疾人联合会关于促进残疾人就业政府采购政策的通知》（财库〔</w:t>
      </w:r>
      <w:r>
        <w:rPr>
          <w:rFonts w:ascii="Times New Roman" w:hAnsi="Times New Roman" w:eastAsia="宋体" w:cs="Times New Roman"/>
          <w:szCs w:val="21"/>
        </w:rPr>
        <w:t>2017</w:t>
      </w:r>
      <w:r>
        <w:rPr>
          <w:rFonts w:hint="eastAsia" w:ascii="Times New Roman" w:hAnsi="Times New Roman" w:eastAsia="宋体" w:cs="Times New Roman"/>
          <w:szCs w:val="21"/>
        </w:rPr>
        <w:t>〕</w:t>
      </w:r>
      <w:r>
        <w:rPr>
          <w:rFonts w:ascii="Times New Roman" w:hAnsi="Times New Roman" w:eastAsia="宋体" w:cs="Times New Roman"/>
          <w:szCs w:val="21"/>
        </w:rPr>
        <w:t>141</w:t>
      </w:r>
      <w:r>
        <w:rPr>
          <w:rFonts w:hint="eastAsia" w:ascii="Times New Roman" w:hAnsi="Times New Roman" w:eastAsia="宋体" w:cs="Times New Roman"/>
          <w:szCs w:val="21"/>
        </w:rPr>
        <w:t>号）的规定，本单位为符合条件的残疾人福利性单位，且本单位参加（采购人名称）单位的（项目名称）项目采购活动提供本单位制造的货物（由本单位承担工程</w:t>
      </w:r>
      <w:r>
        <w:rPr>
          <w:rFonts w:ascii="Times New Roman" w:hAnsi="Times New Roman" w:eastAsia="宋体" w:cs="Times New Roman"/>
          <w:szCs w:val="21"/>
        </w:rPr>
        <w:t>/</w:t>
      </w:r>
      <w:r>
        <w:rPr>
          <w:rFonts w:hint="eastAsia" w:ascii="Times New Roman" w:hAnsi="Times New Roman" w:eastAsia="宋体" w:cs="Times New Roman"/>
          <w:szCs w:val="21"/>
        </w:rPr>
        <w:t>提供服务），或者提供其他残疾人福利性单位制造的货物（不包括使用非残疾人福利性单位注册商标的货物）。</w:t>
      </w:r>
    </w:p>
    <w:p w14:paraId="6F2C3A86">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本单位对上述声明的真实性负责。如有虚假，将依法承担相应责任。</w:t>
      </w:r>
    </w:p>
    <w:p w14:paraId="6ADC2943">
      <w:pPr>
        <w:spacing w:line="360" w:lineRule="auto"/>
        <w:rPr>
          <w:rFonts w:ascii="Times New Roman" w:hAnsi="Times New Roman" w:eastAsia="宋体" w:cs="Times New Roman"/>
          <w:szCs w:val="21"/>
        </w:rPr>
      </w:pPr>
    </w:p>
    <w:p w14:paraId="40A3B48E">
      <w:pPr>
        <w:spacing w:line="360" w:lineRule="auto"/>
        <w:rPr>
          <w:rFonts w:ascii="Times New Roman" w:hAnsi="Times New Roman" w:eastAsia="宋体" w:cs="Times New Roman"/>
          <w:szCs w:val="21"/>
        </w:rPr>
      </w:pPr>
    </w:p>
    <w:p w14:paraId="18EB596B">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投标人名称（盖章）：</w:t>
      </w:r>
    </w:p>
    <w:p w14:paraId="6FFDFD8A">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日期：年月日</w:t>
      </w:r>
    </w:p>
    <w:p w14:paraId="1C6E799A">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说明：投标人为残疾人福利性单位的提供此函。</w:t>
      </w:r>
    </w:p>
    <w:p w14:paraId="3FBF6A59">
      <w:pPr>
        <w:snapToGrid w:val="0"/>
        <w:spacing w:line="360" w:lineRule="auto"/>
        <w:ind w:right="-341"/>
        <w:rPr>
          <w:rFonts w:ascii="Times New Roman" w:hAnsi="Times New Roman" w:eastAsia="宋体" w:cs="Times New Roman"/>
        </w:rPr>
      </w:pPr>
    </w:p>
    <w:p w14:paraId="4375BC3D">
      <w:pPr>
        <w:snapToGrid w:val="0"/>
        <w:spacing w:line="360" w:lineRule="auto"/>
        <w:ind w:right="-341"/>
        <w:rPr>
          <w:rFonts w:ascii="Times New Roman" w:hAnsi="Times New Roman" w:eastAsia="宋体" w:cs="Times New Roman"/>
        </w:rPr>
      </w:pPr>
    </w:p>
    <w:p w14:paraId="4935AEBC">
      <w:pPr>
        <w:snapToGrid w:val="0"/>
        <w:spacing w:line="360" w:lineRule="auto"/>
        <w:ind w:right="-341"/>
        <w:rPr>
          <w:rFonts w:ascii="Times New Roman" w:hAnsi="Times New Roman" w:eastAsia="宋体" w:cs="Times New Roman"/>
        </w:rPr>
      </w:pPr>
    </w:p>
    <w:p w14:paraId="7AAE1900">
      <w:pPr>
        <w:snapToGrid w:val="0"/>
        <w:spacing w:line="360" w:lineRule="auto"/>
        <w:ind w:right="-341"/>
        <w:rPr>
          <w:rFonts w:ascii="Times New Roman" w:hAnsi="Times New Roman" w:eastAsia="宋体" w:cs="Times New Roman"/>
        </w:rPr>
      </w:pPr>
    </w:p>
    <w:p w14:paraId="113D1427">
      <w:pPr>
        <w:snapToGrid w:val="0"/>
        <w:spacing w:line="312" w:lineRule="auto"/>
        <w:ind w:right="-341"/>
        <w:rPr>
          <w:rFonts w:ascii="Times New Roman" w:hAnsi="Times New Roman" w:eastAsia="宋体" w:cs="Times New Roman"/>
          <w:b/>
        </w:rPr>
      </w:pPr>
    </w:p>
    <w:p w14:paraId="115984DE">
      <w:pPr>
        <w:snapToGrid w:val="0"/>
        <w:spacing w:line="312" w:lineRule="auto"/>
        <w:ind w:right="-341"/>
        <w:rPr>
          <w:rFonts w:ascii="Times New Roman" w:hAnsi="Times New Roman" w:eastAsia="宋体" w:cs="Times New Roman"/>
          <w:b/>
        </w:rPr>
      </w:pPr>
    </w:p>
    <w:p w14:paraId="39A323DB">
      <w:pPr>
        <w:snapToGrid w:val="0"/>
        <w:spacing w:line="312" w:lineRule="auto"/>
        <w:ind w:right="-341"/>
        <w:rPr>
          <w:rFonts w:ascii="Times New Roman" w:hAnsi="Times New Roman" w:eastAsia="宋体" w:cs="Times New Roman"/>
          <w:b/>
        </w:rPr>
      </w:pPr>
    </w:p>
    <w:p w14:paraId="19707288">
      <w:pPr>
        <w:snapToGrid w:val="0"/>
        <w:spacing w:line="312" w:lineRule="auto"/>
        <w:ind w:right="-341"/>
        <w:rPr>
          <w:rFonts w:ascii="Times New Roman" w:hAnsi="Times New Roman" w:eastAsia="宋体" w:cs="Times New Roman"/>
          <w:b/>
        </w:rPr>
      </w:pPr>
    </w:p>
    <w:p w14:paraId="1B52A736">
      <w:pPr>
        <w:snapToGrid w:val="0"/>
        <w:spacing w:line="312" w:lineRule="auto"/>
        <w:ind w:right="-341"/>
        <w:rPr>
          <w:rFonts w:ascii="Times New Roman" w:hAnsi="Times New Roman" w:eastAsia="宋体" w:cs="Times New Roman"/>
          <w:b/>
        </w:rPr>
      </w:pPr>
    </w:p>
    <w:p w14:paraId="21B13E1F">
      <w:pPr>
        <w:snapToGrid w:val="0"/>
        <w:spacing w:line="312" w:lineRule="auto"/>
        <w:ind w:right="-341"/>
        <w:rPr>
          <w:rFonts w:ascii="Times New Roman" w:hAnsi="Times New Roman" w:eastAsia="宋体" w:cs="Times New Roman"/>
          <w:b/>
        </w:rPr>
      </w:pPr>
    </w:p>
    <w:p w14:paraId="22B34775">
      <w:pPr>
        <w:snapToGrid w:val="0"/>
        <w:spacing w:line="312" w:lineRule="auto"/>
        <w:ind w:right="-341"/>
        <w:rPr>
          <w:rFonts w:ascii="Times New Roman" w:hAnsi="Times New Roman" w:eastAsia="宋体" w:cs="Times New Roman"/>
          <w:b/>
        </w:rPr>
      </w:pPr>
    </w:p>
    <w:p w14:paraId="60594319">
      <w:pPr>
        <w:snapToGrid w:val="0"/>
        <w:spacing w:before="120" w:line="312" w:lineRule="auto"/>
        <w:ind w:right="-341"/>
        <w:rPr>
          <w:rFonts w:ascii="Times New Roman" w:hAnsi="Times New Roman" w:eastAsia="宋体" w:cs="Times New Roman"/>
          <w:b/>
          <w:sz w:val="32"/>
        </w:rPr>
      </w:pPr>
    </w:p>
    <w:p w14:paraId="79A80562">
      <w:pPr>
        <w:rPr>
          <w:rFonts w:ascii="Times New Roman" w:hAnsi="Times New Roman" w:eastAsia="宋体" w:cs="Times New Roman"/>
          <w:sz w:val="18"/>
          <w:szCs w:val="24"/>
        </w:rPr>
      </w:pPr>
    </w:p>
    <w:p w14:paraId="2ADD0D2B">
      <w:pPr>
        <w:spacing w:after="120"/>
        <w:rPr>
          <w:rFonts w:ascii="Times New Roman" w:hAnsi="Times New Roman" w:eastAsia="宋体" w:cs="Times New Roman"/>
        </w:rPr>
      </w:pPr>
    </w:p>
    <w:p w14:paraId="77098588">
      <w:pPr>
        <w:snapToGrid w:val="0"/>
        <w:spacing w:before="50" w:line="312" w:lineRule="auto"/>
        <w:jc w:val="left"/>
        <w:rPr>
          <w:rFonts w:ascii="Times New Roman" w:hAnsi="Times New Roman" w:eastAsia="宋体" w:cs="Times New Roman"/>
          <w:b/>
          <w:spacing w:val="20"/>
          <w:sz w:val="28"/>
        </w:rPr>
      </w:pPr>
    </w:p>
    <w:p w14:paraId="184546B0">
      <w:pPr>
        <w:snapToGrid w:val="0"/>
        <w:spacing w:before="50" w:line="312" w:lineRule="auto"/>
        <w:jc w:val="center"/>
        <w:rPr>
          <w:rFonts w:ascii="Times New Roman" w:hAnsi="Times New Roman" w:eastAsia="宋体" w:cs="Times New Roman"/>
          <w:b/>
          <w:sz w:val="24"/>
        </w:rPr>
      </w:pPr>
    </w:p>
    <w:p w14:paraId="02FC11CC">
      <w:pPr>
        <w:snapToGrid w:val="0"/>
        <w:spacing w:before="50" w:line="312" w:lineRule="auto"/>
        <w:jc w:val="center"/>
        <w:rPr>
          <w:rFonts w:ascii="Times New Roman" w:hAnsi="Times New Roman" w:eastAsia="宋体" w:cs="Times New Roman"/>
          <w:b/>
          <w:sz w:val="24"/>
        </w:rPr>
      </w:pPr>
    </w:p>
    <w:p w14:paraId="4D334F4F">
      <w:pPr>
        <w:snapToGrid w:val="0"/>
        <w:spacing w:before="50" w:line="312" w:lineRule="auto"/>
        <w:jc w:val="center"/>
        <w:rPr>
          <w:rFonts w:ascii="Times New Roman" w:hAnsi="Times New Roman" w:eastAsia="宋体" w:cs="Times New Roman"/>
          <w:b/>
          <w:sz w:val="24"/>
        </w:rPr>
      </w:pPr>
    </w:p>
    <w:p w14:paraId="08DDC149">
      <w:pPr>
        <w:snapToGrid w:val="0"/>
        <w:spacing w:before="50" w:line="312" w:lineRule="auto"/>
        <w:jc w:val="center"/>
        <w:rPr>
          <w:rFonts w:ascii="Times New Roman" w:hAnsi="Times New Roman" w:eastAsia="宋体" w:cs="Times New Roman"/>
          <w:b/>
          <w:sz w:val="24"/>
        </w:rPr>
      </w:pPr>
    </w:p>
    <w:p w14:paraId="26E4108E">
      <w:pPr>
        <w:snapToGrid w:val="0"/>
        <w:spacing w:before="50" w:line="312" w:lineRule="auto"/>
        <w:rPr>
          <w:rFonts w:ascii="Times New Roman" w:hAnsi="Times New Roman" w:eastAsia="宋体" w:cs="Times New Roman"/>
          <w:b/>
          <w:sz w:val="24"/>
        </w:rPr>
      </w:pPr>
    </w:p>
    <w:p w14:paraId="18242091">
      <w:pPr>
        <w:snapToGrid w:val="0"/>
        <w:spacing w:before="50" w:line="312" w:lineRule="auto"/>
        <w:jc w:val="center"/>
        <w:rPr>
          <w:rFonts w:ascii="Times New Roman" w:hAnsi="Times New Roman" w:eastAsia="宋体" w:cs="Times New Roman"/>
          <w:b/>
          <w:sz w:val="24"/>
        </w:rPr>
      </w:pPr>
      <w:r>
        <w:rPr>
          <w:rFonts w:hint="eastAsia" w:ascii="Times New Roman" w:hAnsi="Times New Roman" w:eastAsia="宋体" w:cs="Times New Roman"/>
          <w:b/>
          <w:sz w:val="24"/>
        </w:rPr>
        <w:t>八、商务响应表：</w:t>
      </w:r>
    </w:p>
    <w:p w14:paraId="6E491365">
      <w:pPr>
        <w:snapToGrid w:val="0"/>
        <w:spacing w:before="50" w:line="312" w:lineRule="auto"/>
        <w:jc w:val="center"/>
        <w:rPr>
          <w:rFonts w:ascii="Times New Roman" w:hAnsi="Times New Roman" w:eastAsia="宋体" w:cs="Times New Roman"/>
          <w:b/>
          <w:sz w:val="24"/>
        </w:rPr>
      </w:pPr>
    </w:p>
    <w:p w14:paraId="5FE67FE0">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项目名称：</w:t>
      </w:r>
    </w:p>
    <w:p w14:paraId="621A0850">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项目编号：</w:t>
      </w:r>
    </w:p>
    <w:tbl>
      <w:tblPr>
        <w:tblStyle w:val="61"/>
        <w:tblW w:w="90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240"/>
        <w:gridCol w:w="1260"/>
        <w:gridCol w:w="3020"/>
      </w:tblGrid>
      <w:tr w14:paraId="1FBA82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vAlign w:val="center"/>
          </w:tcPr>
          <w:p w14:paraId="0633B141">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项目</w:t>
            </w:r>
          </w:p>
        </w:tc>
        <w:tc>
          <w:tcPr>
            <w:tcW w:w="3240" w:type="dxa"/>
            <w:tcBorders>
              <w:top w:val="single" w:color="auto" w:sz="4" w:space="0"/>
              <w:left w:val="single" w:color="auto" w:sz="4" w:space="0"/>
              <w:bottom w:val="single" w:color="auto" w:sz="4" w:space="0"/>
              <w:right w:val="single" w:color="auto" w:sz="4" w:space="0"/>
            </w:tcBorders>
            <w:vAlign w:val="center"/>
          </w:tcPr>
          <w:p w14:paraId="7A86A710">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3CC03041">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是否响应</w:t>
            </w:r>
          </w:p>
        </w:tc>
        <w:tc>
          <w:tcPr>
            <w:tcW w:w="3020" w:type="dxa"/>
            <w:tcBorders>
              <w:top w:val="single" w:color="auto" w:sz="4" w:space="0"/>
              <w:left w:val="single" w:color="auto" w:sz="4" w:space="0"/>
              <w:bottom w:val="single" w:color="auto" w:sz="4" w:space="0"/>
              <w:right w:val="single" w:color="auto" w:sz="4" w:space="0"/>
            </w:tcBorders>
            <w:vAlign w:val="center"/>
          </w:tcPr>
          <w:p w14:paraId="43B9409B">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投标人的承诺或说明</w:t>
            </w:r>
          </w:p>
        </w:tc>
      </w:tr>
      <w:tr w14:paraId="6D46A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tcPr>
          <w:p w14:paraId="6B89D0C4">
            <w:pPr>
              <w:snapToGrid w:val="0"/>
              <w:spacing w:before="120" w:beforeLines="50" w:line="312" w:lineRule="auto"/>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28D98E14">
            <w:pPr>
              <w:snapToGrid w:val="0"/>
              <w:spacing w:before="120" w:beforeLines="50" w:after="360" w:line="312" w:lineRule="auto"/>
              <w:rPr>
                <w:rFonts w:ascii="Times New Roman" w:hAnsi="Times New Roman" w:eastAsia="宋体" w:cs="Times New Roman"/>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171AC6B3">
            <w:pPr>
              <w:snapToGrid w:val="0"/>
              <w:spacing w:before="120"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704C05A5">
            <w:pPr>
              <w:snapToGrid w:val="0"/>
              <w:spacing w:before="120" w:beforeLines="50" w:after="360" w:line="312" w:lineRule="auto"/>
              <w:rPr>
                <w:rFonts w:ascii="Times New Roman" w:hAnsi="Times New Roman" w:eastAsia="宋体" w:cs="Times New Roman"/>
                <w:b/>
                <w:bCs/>
                <w:kern w:val="44"/>
                <w:sz w:val="24"/>
                <w:szCs w:val="20"/>
              </w:rPr>
            </w:pPr>
          </w:p>
        </w:tc>
      </w:tr>
      <w:tr w14:paraId="1FA35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left w:val="single" w:color="auto" w:sz="4" w:space="0"/>
              <w:bottom w:val="single" w:color="auto" w:sz="4" w:space="0"/>
              <w:right w:val="single" w:color="auto" w:sz="4" w:space="0"/>
            </w:tcBorders>
            <w:vAlign w:val="center"/>
          </w:tcPr>
          <w:p w14:paraId="100EEF23">
            <w:pPr>
              <w:widowControl/>
              <w:tabs>
                <w:tab w:val="left" w:pos="420"/>
                <w:tab w:val="left" w:pos="1418"/>
              </w:tabs>
              <w:overflowPunct w:val="0"/>
              <w:autoSpaceDE w:val="0"/>
              <w:autoSpaceDN w:val="0"/>
              <w:adjustRightInd w:val="0"/>
              <w:snapToGrid w:val="0"/>
              <w:spacing w:line="312" w:lineRule="auto"/>
              <w:jc w:val="center"/>
              <w:textAlignment w:val="baseline"/>
              <w:rPr>
                <w:rFonts w:ascii="Times New Roman" w:hAnsi="Times New Roman" w:eastAsia="宋体" w:cs="Times New Roman"/>
                <w:kern w:val="0"/>
                <w:sz w:val="24"/>
              </w:rPr>
            </w:pPr>
          </w:p>
        </w:tc>
        <w:tc>
          <w:tcPr>
            <w:tcW w:w="3240" w:type="dxa"/>
            <w:tcBorders>
              <w:top w:val="single" w:color="auto" w:sz="4" w:space="0"/>
              <w:left w:val="single" w:color="auto" w:sz="4" w:space="0"/>
              <w:bottom w:val="single" w:color="auto" w:sz="4" w:space="0"/>
              <w:right w:val="single" w:color="auto" w:sz="4" w:space="0"/>
            </w:tcBorders>
          </w:tcPr>
          <w:p w14:paraId="1214E224">
            <w:pPr>
              <w:snapToGrid w:val="0"/>
              <w:spacing w:before="120" w:beforeLines="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14:paraId="5D68C3C7">
            <w:pPr>
              <w:snapToGrid w:val="0"/>
              <w:spacing w:before="120"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183E5019">
            <w:pPr>
              <w:snapToGrid w:val="0"/>
              <w:spacing w:before="120" w:beforeLines="50" w:after="360" w:line="312" w:lineRule="auto"/>
              <w:rPr>
                <w:rFonts w:ascii="Times New Roman" w:hAnsi="Times New Roman" w:eastAsia="宋体" w:cs="Times New Roman"/>
                <w:b/>
                <w:bCs/>
                <w:kern w:val="44"/>
                <w:sz w:val="24"/>
                <w:szCs w:val="20"/>
              </w:rPr>
            </w:pPr>
          </w:p>
        </w:tc>
      </w:tr>
      <w:tr w14:paraId="542C89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548" w:type="dxa"/>
            <w:tcBorders>
              <w:top w:val="single" w:color="auto" w:sz="4" w:space="0"/>
              <w:left w:val="single" w:color="auto" w:sz="4" w:space="0"/>
              <w:bottom w:val="single" w:color="auto" w:sz="4" w:space="0"/>
              <w:right w:val="single" w:color="auto" w:sz="4" w:space="0"/>
            </w:tcBorders>
            <w:vAlign w:val="center"/>
          </w:tcPr>
          <w:p w14:paraId="0EDF809C">
            <w:pPr>
              <w:snapToGrid w:val="0"/>
              <w:spacing w:line="312" w:lineRule="auto"/>
              <w:jc w:val="center"/>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12F0B13C">
            <w:pPr>
              <w:snapToGrid w:val="0"/>
              <w:spacing w:before="120" w:beforeLines="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14:paraId="381B2A99">
            <w:pPr>
              <w:snapToGrid w:val="0"/>
              <w:spacing w:before="120" w:beforeLines="50" w:after="360" w:line="312" w:lineRule="auto"/>
              <w:ind w:left="43"/>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2D87AD53">
            <w:pPr>
              <w:snapToGrid w:val="0"/>
              <w:spacing w:before="120" w:beforeLines="50" w:after="360" w:line="312" w:lineRule="auto"/>
              <w:ind w:left="43"/>
              <w:rPr>
                <w:rFonts w:ascii="Times New Roman" w:hAnsi="Times New Roman" w:eastAsia="宋体" w:cs="Times New Roman"/>
                <w:b/>
                <w:bCs/>
                <w:kern w:val="44"/>
                <w:sz w:val="24"/>
                <w:szCs w:val="20"/>
              </w:rPr>
            </w:pPr>
          </w:p>
        </w:tc>
      </w:tr>
      <w:tr w14:paraId="765E1D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vAlign w:val="center"/>
          </w:tcPr>
          <w:p w14:paraId="1EB5FCA1">
            <w:pPr>
              <w:snapToGrid w:val="0"/>
              <w:spacing w:line="312" w:lineRule="auto"/>
              <w:jc w:val="center"/>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5BE5E6F8">
            <w:pPr>
              <w:snapToGrid w:val="0"/>
              <w:spacing w:before="120" w:beforeLines="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14:paraId="7C1B81E8">
            <w:pPr>
              <w:snapToGrid w:val="0"/>
              <w:spacing w:before="120"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59C2D64A">
            <w:pPr>
              <w:snapToGrid w:val="0"/>
              <w:spacing w:before="120" w:beforeLines="50" w:after="360" w:line="312" w:lineRule="auto"/>
              <w:rPr>
                <w:rFonts w:ascii="Times New Roman" w:hAnsi="Times New Roman" w:eastAsia="宋体" w:cs="Times New Roman"/>
                <w:b/>
                <w:bCs/>
                <w:kern w:val="44"/>
                <w:sz w:val="24"/>
                <w:szCs w:val="20"/>
              </w:rPr>
            </w:pPr>
          </w:p>
        </w:tc>
      </w:tr>
      <w:tr w14:paraId="374A95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14:paraId="75F0240F">
            <w:pPr>
              <w:snapToGrid w:val="0"/>
              <w:spacing w:before="120" w:beforeLines="50" w:line="312" w:lineRule="auto"/>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15814E3D">
            <w:pPr>
              <w:snapToGrid w:val="0"/>
              <w:spacing w:before="120" w:beforeLines="50" w:after="360" w:line="312" w:lineRule="auto"/>
              <w:rPr>
                <w:rFonts w:ascii="Times New Roman" w:hAnsi="Times New Roman" w:eastAsia="宋体" w:cs="Times New Roman"/>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66F11CF6">
            <w:pPr>
              <w:snapToGrid w:val="0"/>
              <w:spacing w:before="120"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39697591">
            <w:pPr>
              <w:snapToGrid w:val="0"/>
              <w:spacing w:before="120" w:beforeLines="50" w:after="360" w:line="312" w:lineRule="auto"/>
              <w:rPr>
                <w:rFonts w:ascii="Times New Roman" w:hAnsi="Times New Roman" w:eastAsia="宋体" w:cs="Times New Roman"/>
                <w:b/>
                <w:bCs/>
                <w:kern w:val="44"/>
                <w:sz w:val="24"/>
                <w:szCs w:val="20"/>
              </w:rPr>
            </w:pPr>
          </w:p>
        </w:tc>
      </w:tr>
      <w:tr w14:paraId="13AF19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14:paraId="75BC0088">
            <w:pPr>
              <w:snapToGrid w:val="0"/>
              <w:spacing w:before="120" w:beforeLines="50" w:line="312" w:lineRule="auto"/>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57BFFA9A">
            <w:pPr>
              <w:snapToGrid w:val="0"/>
              <w:spacing w:before="120" w:beforeLines="50" w:after="360" w:line="312" w:lineRule="auto"/>
              <w:rPr>
                <w:rFonts w:ascii="Times New Roman" w:hAnsi="Times New Roman" w:eastAsia="宋体" w:cs="Times New Roman"/>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1545BABF">
            <w:pPr>
              <w:snapToGrid w:val="0"/>
              <w:spacing w:before="120"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214947B5">
            <w:pPr>
              <w:snapToGrid w:val="0"/>
              <w:spacing w:before="120" w:beforeLines="50" w:after="360" w:line="312" w:lineRule="auto"/>
              <w:rPr>
                <w:rFonts w:ascii="Times New Roman" w:hAnsi="Times New Roman" w:eastAsia="宋体" w:cs="Times New Roman"/>
                <w:b/>
                <w:bCs/>
                <w:kern w:val="44"/>
                <w:sz w:val="24"/>
                <w:szCs w:val="20"/>
              </w:rPr>
            </w:pPr>
          </w:p>
        </w:tc>
      </w:tr>
    </w:tbl>
    <w:p w14:paraId="43663CDD">
      <w:pPr>
        <w:snapToGrid w:val="0"/>
        <w:spacing w:line="312" w:lineRule="auto"/>
        <w:ind w:left="642" w:hanging="642"/>
        <w:rPr>
          <w:rFonts w:ascii="Times New Roman" w:hAnsi="Times New Roman" w:eastAsia="宋体" w:cs="Times New Roman"/>
          <w:b/>
          <w:spacing w:val="20"/>
          <w:kern w:val="0"/>
          <w:sz w:val="28"/>
          <w:szCs w:val="20"/>
        </w:rPr>
      </w:pPr>
    </w:p>
    <w:p w14:paraId="24CD0278">
      <w:pPr>
        <w:widowControl/>
        <w:spacing w:line="312" w:lineRule="auto"/>
        <w:jc w:val="left"/>
        <w:rPr>
          <w:rFonts w:ascii="Times New Roman" w:hAnsi="Times New Roman" w:eastAsia="宋体" w:cs="Times New Roman"/>
          <w:kern w:val="0"/>
          <w:sz w:val="24"/>
        </w:rPr>
        <w:sectPr>
          <w:pgSz w:w="11906" w:h="16838"/>
          <w:pgMar w:top="1304" w:right="1531" w:bottom="1304" w:left="1531" w:header="1304" w:footer="1304" w:gutter="0"/>
          <w:cols w:space="720" w:num="1"/>
        </w:sectPr>
      </w:pPr>
    </w:p>
    <w:p w14:paraId="1C420F6E">
      <w:pPr>
        <w:snapToGrid w:val="0"/>
        <w:spacing w:before="50" w:after="120" w:afterLines="50" w:line="312" w:lineRule="auto"/>
        <w:jc w:val="left"/>
        <w:rPr>
          <w:rFonts w:ascii="Times New Roman" w:hAnsi="Times New Roman" w:eastAsia="宋体" w:cs="Times New Roman"/>
          <w:sz w:val="24"/>
        </w:rPr>
      </w:pPr>
      <w:r>
        <w:rPr>
          <w:rFonts w:hint="eastAsia" w:ascii="Times New Roman" w:hAnsi="Times New Roman" w:eastAsia="宋体" w:cs="Times New Roman"/>
          <w:b/>
          <w:sz w:val="24"/>
        </w:rPr>
        <w:t>九、投标人的类似案例的业绩证明文件：</w:t>
      </w:r>
    </w:p>
    <w:p w14:paraId="14E7FD4C">
      <w:pPr>
        <w:snapToGrid w:val="0"/>
        <w:spacing w:line="312" w:lineRule="auto"/>
        <w:ind w:left="420" w:hanging="420" w:hangingChars="200"/>
        <w:rPr>
          <w:rFonts w:ascii="Times New Roman" w:hAnsi="Times New Roman" w:eastAsia="宋体" w:cs="Times New Roman"/>
          <w:sz w:val="24"/>
        </w:rPr>
      </w:pPr>
      <w:r>
        <w:rPr>
          <w:rFonts w:hint="eastAsia" w:ascii="Times New Roman" w:hAnsi="Times New Roman" w:eastAsia="宋体" w:cs="Times New Roman"/>
        </w:rPr>
        <w:t>投标人同类项目实施情况一览表格式：（投标人同类项目合同复印件、用户验收报告、用户评价意见格式自拟）</w:t>
      </w:r>
    </w:p>
    <w:tbl>
      <w:tblPr>
        <w:tblStyle w:val="61"/>
        <w:tblW w:w="139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6"/>
        <w:gridCol w:w="3419"/>
        <w:gridCol w:w="1080"/>
        <w:gridCol w:w="1080"/>
        <w:gridCol w:w="1440"/>
        <w:gridCol w:w="720"/>
        <w:gridCol w:w="720"/>
        <w:gridCol w:w="720"/>
        <w:gridCol w:w="2160"/>
      </w:tblGrid>
      <w:tr w14:paraId="08B4D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2626" w:type="dxa"/>
            <w:vMerge w:val="restart"/>
            <w:tcBorders>
              <w:top w:val="single" w:color="auto" w:sz="4" w:space="0"/>
              <w:left w:val="single" w:color="auto" w:sz="4" w:space="0"/>
              <w:bottom w:val="single" w:color="auto" w:sz="4" w:space="0"/>
              <w:right w:val="single" w:color="auto" w:sz="4" w:space="0"/>
            </w:tcBorders>
            <w:vAlign w:val="center"/>
          </w:tcPr>
          <w:p w14:paraId="0D7163F9">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采购单位名称</w:t>
            </w:r>
          </w:p>
        </w:tc>
        <w:tc>
          <w:tcPr>
            <w:tcW w:w="3419" w:type="dxa"/>
            <w:vMerge w:val="restart"/>
            <w:tcBorders>
              <w:top w:val="single" w:color="auto" w:sz="4" w:space="0"/>
              <w:left w:val="single" w:color="auto" w:sz="4" w:space="0"/>
              <w:bottom w:val="single" w:color="auto" w:sz="4" w:space="0"/>
              <w:right w:val="single" w:color="auto" w:sz="4" w:space="0"/>
            </w:tcBorders>
            <w:vAlign w:val="center"/>
          </w:tcPr>
          <w:p w14:paraId="7A8CBB44">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02AC1373">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采购</w:t>
            </w:r>
          </w:p>
          <w:p w14:paraId="5D924DD9">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6841761">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27EDA72C">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合同金额</w:t>
            </w:r>
          </w:p>
          <w:p w14:paraId="3C3213F6">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（万元）</w:t>
            </w:r>
          </w:p>
        </w:tc>
        <w:tc>
          <w:tcPr>
            <w:tcW w:w="2160" w:type="dxa"/>
            <w:gridSpan w:val="3"/>
            <w:tcBorders>
              <w:top w:val="single" w:color="auto" w:sz="4" w:space="0"/>
              <w:left w:val="single" w:color="auto" w:sz="4" w:space="0"/>
              <w:bottom w:val="single" w:color="auto" w:sz="4" w:space="0"/>
              <w:right w:val="single" w:color="auto" w:sz="4" w:space="0"/>
            </w:tcBorders>
            <w:vAlign w:val="center"/>
          </w:tcPr>
          <w:p w14:paraId="1BB8F74B">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66B80921">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采购单位联系人及</w:t>
            </w:r>
          </w:p>
          <w:p w14:paraId="020C9890">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联系电话</w:t>
            </w:r>
          </w:p>
        </w:tc>
      </w:tr>
      <w:tr w14:paraId="458AB1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2626" w:type="dxa"/>
            <w:vMerge w:val="continue"/>
            <w:tcBorders>
              <w:top w:val="single" w:color="auto" w:sz="4" w:space="0"/>
              <w:left w:val="single" w:color="auto" w:sz="4" w:space="0"/>
              <w:bottom w:val="single" w:color="auto" w:sz="4" w:space="0"/>
              <w:right w:val="single" w:color="auto" w:sz="4" w:space="0"/>
            </w:tcBorders>
            <w:vAlign w:val="center"/>
          </w:tcPr>
          <w:p w14:paraId="6E8CB536">
            <w:pPr>
              <w:widowControl/>
              <w:jc w:val="left"/>
              <w:rPr>
                <w:rFonts w:ascii="Times New Roman" w:hAnsi="Times New Roman" w:eastAsia="宋体" w:cs="Times New Roman"/>
                <w:szCs w:val="21"/>
              </w:rPr>
            </w:pPr>
          </w:p>
        </w:tc>
        <w:tc>
          <w:tcPr>
            <w:tcW w:w="3419" w:type="dxa"/>
            <w:vMerge w:val="continue"/>
            <w:tcBorders>
              <w:top w:val="single" w:color="auto" w:sz="4" w:space="0"/>
              <w:left w:val="single" w:color="auto" w:sz="4" w:space="0"/>
              <w:bottom w:val="single" w:color="auto" w:sz="4" w:space="0"/>
              <w:right w:val="single" w:color="auto" w:sz="4" w:space="0"/>
            </w:tcBorders>
            <w:vAlign w:val="center"/>
          </w:tcPr>
          <w:p w14:paraId="1C38A28C">
            <w:pPr>
              <w:widowControl/>
              <w:jc w:val="left"/>
              <w:rPr>
                <w:rFonts w:ascii="Times New Roman" w:hAnsi="Times New Roman" w:eastAsia="宋体" w:cs="Times New Roman"/>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96FCD43">
            <w:pPr>
              <w:widowControl/>
              <w:jc w:val="left"/>
              <w:rPr>
                <w:rFonts w:ascii="Times New Roman" w:hAnsi="Times New Roman" w:eastAsia="宋体" w:cs="Times New Roman"/>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2AFF2E8D">
            <w:pPr>
              <w:widowControl/>
              <w:jc w:val="left"/>
              <w:rPr>
                <w:rFonts w:ascii="Times New Roman" w:hAnsi="Times New Roman" w:eastAsia="宋体" w:cs="Times New Roman"/>
                <w:szCs w:val="21"/>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08914D77">
            <w:pPr>
              <w:widowControl/>
              <w:jc w:val="left"/>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3D5908F9">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合同</w:t>
            </w:r>
          </w:p>
        </w:tc>
        <w:tc>
          <w:tcPr>
            <w:tcW w:w="720" w:type="dxa"/>
            <w:tcBorders>
              <w:top w:val="single" w:color="auto" w:sz="4" w:space="0"/>
              <w:left w:val="single" w:color="auto" w:sz="4" w:space="0"/>
              <w:bottom w:val="single" w:color="auto" w:sz="4" w:space="0"/>
              <w:right w:val="single" w:color="auto" w:sz="4" w:space="0"/>
            </w:tcBorders>
            <w:vAlign w:val="center"/>
          </w:tcPr>
          <w:p w14:paraId="442706A5">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验收报告</w:t>
            </w:r>
          </w:p>
        </w:tc>
        <w:tc>
          <w:tcPr>
            <w:tcW w:w="720" w:type="dxa"/>
            <w:tcBorders>
              <w:top w:val="single" w:color="auto" w:sz="4" w:space="0"/>
              <w:left w:val="single" w:color="auto" w:sz="4" w:space="0"/>
              <w:bottom w:val="single" w:color="auto" w:sz="4" w:space="0"/>
              <w:right w:val="single" w:color="auto" w:sz="4" w:space="0"/>
            </w:tcBorders>
            <w:vAlign w:val="center"/>
          </w:tcPr>
          <w:p w14:paraId="74BE92DB">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用户评价</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13BB53DF">
            <w:pPr>
              <w:widowControl/>
              <w:jc w:val="left"/>
              <w:rPr>
                <w:rFonts w:ascii="Times New Roman" w:hAnsi="Times New Roman" w:eastAsia="宋体" w:cs="Times New Roman"/>
                <w:szCs w:val="21"/>
              </w:rPr>
            </w:pPr>
          </w:p>
        </w:tc>
      </w:tr>
      <w:tr w14:paraId="0F1D51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6" w:type="dxa"/>
            <w:tcBorders>
              <w:top w:val="single" w:color="auto" w:sz="4" w:space="0"/>
              <w:left w:val="single" w:color="auto" w:sz="4" w:space="0"/>
              <w:bottom w:val="single" w:color="auto" w:sz="4" w:space="0"/>
              <w:right w:val="single" w:color="auto" w:sz="4" w:space="0"/>
            </w:tcBorders>
          </w:tcPr>
          <w:p w14:paraId="03143310">
            <w:pPr>
              <w:snapToGrid w:val="0"/>
              <w:spacing w:line="312" w:lineRule="auto"/>
              <w:jc w:val="left"/>
              <w:rPr>
                <w:rFonts w:ascii="Times New Roman" w:hAnsi="Times New Roman" w:eastAsia="宋体" w:cs="Times New Roman"/>
                <w:szCs w:val="21"/>
              </w:rPr>
            </w:pPr>
          </w:p>
        </w:tc>
        <w:tc>
          <w:tcPr>
            <w:tcW w:w="3419" w:type="dxa"/>
            <w:tcBorders>
              <w:top w:val="single" w:color="auto" w:sz="4" w:space="0"/>
              <w:left w:val="single" w:color="auto" w:sz="4" w:space="0"/>
              <w:bottom w:val="single" w:color="auto" w:sz="4" w:space="0"/>
              <w:right w:val="single" w:color="auto" w:sz="4" w:space="0"/>
            </w:tcBorders>
          </w:tcPr>
          <w:p w14:paraId="22C8F515">
            <w:pPr>
              <w:snapToGrid w:val="0"/>
              <w:spacing w:line="312" w:lineRule="auto"/>
              <w:jc w:val="left"/>
              <w:rPr>
                <w:rFonts w:ascii="Times New Roman" w:hAnsi="Times New Roman" w:eastAsia="宋体" w:cs="Times New Roman"/>
                <w:szCs w:val="21"/>
              </w:rPr>
            </w:pPr>
          </w:p>
        </w:tc>
        <w:tc>
          <w:tcPr>
            <w:tcW w:w="1080" w:type="dxa"/>
            <w:tcBorders>
              <w:top w:val="single" w:color="auto" w:sz="4" w:space="0"/>
              <w:left w:val="single" w:color="auto" w:sz="4" w:space="0"/>
              <w:bottom w:val="single" w:color="auto" w:sz="4" w:space="0"/>
              <w:right w:val="single" w:color="auto" w:sz="4" w:space="0"/>
            </w:tcBorders>
          </w:tcPr>
          <w:p w14:paraId="2D4F12EB">
            <w:pPr>
              <w:snapToGrid w:val="0"/>
              <w:spacing w:line="312" w:lineRule="auto"/>
              <w:jc w:val="left"/>
              <w:rPr>
                <w:rFonts w:ascii="Times New Roman" w:hAnsi="Times New Roman" w:eastAsia="宋体" w:cs="Times New Roman"/>
                <w:szCs w:val="21"/>
              </w:rPr>
            </w:pPr>
          </w:p>
        </w:tc>
        <w:tc>
          <w:tcPr>
            <w:tcW w:w="1080" w:type="dxa"/>
            <w:tcBorders>
              <w:top w:val="single" w:color="auto" w:sz="4" w:space="0"/>
              <w:left w:val="single" w:color="auto" w:sz="4" w:space="0"/>
              <w:bottom w:val="single" w:color="auto" w:sz="4" w:space="0"/>
              <w:right w:val="single" w:color="auto" w:sz="4" w:space="0"/>
            </w:tcBorders>
          </w:tcPr>
          <w:p w14:paraId="2604F010">
            <w:pPr>
              <w:snapToGrid w:val="0"/>
              <w:spacing w:line="312" w:lineRule="auto"/>
              <w:jc w:val="left"/>
              <w:rPr>
                <w:rFonts w:ascii="Times New Roman" w:hAnsi="Times New Roman" w:eastAsia="宋体" w:cs="Times New Roman"/>
                <w:szCs w:val="21"/>
              </w:rPr>
            </w:pPr>
          </w:p>
        </w:tc>
        <w:tc>
          <w:tcPr>
            <w:tcW w:w="1440" w:type="dxa"/>
            <w:tcBorders>
              <w:top w:val="single" w:color="auto" w:sz="4" w:space="0"/>
              <w:left w:val="single" w:color="auto" w:sz="4" w:space="0"/>
              <w:bottom w:val="single" w:color="auto" w:sz="4" w:space="0"/>
              <w:right w:val="single" w:color="auto" w:sz="4" w:space="0"/>
            </w:tcBorders>
          </w:tcPr>
          <w:p w14:paraId="0791D9BE">
            <w:pPr>
              <w:snapToGrid w:val="0"/>
              <w:spacing w:line="312" w:lineRule="auto"/>
              <w:jc w:val="left"/>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tcPr>
          <w:p w14:paraId="00F79C04">
            <w:pPr>
              <w:snapToGrid w:val="0"/>
              <w:spacing w:line="312" w:lineRule="auto"/>
              <w:jc w:val="left"/>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tcPr>
          <w:p w14:paraId="72D427C3">
            <w:pPr>
              <w:snapToGrid w:val="0"/>
              <w:spacing w:line="312" w:lineRule="auto"/>
              <w:jc w:val="left"/>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tcPr>
          <w:p w14:paraId="2F6F34B9">
            <w:pPr>
              <w:snapToGrid w:val="0"/>
              <w:spacing w:line="312" w:lineRule="auto"/>
              <w:jc w:val="left"/>
              <w:rPr>
                <w:rFonts w:ascii="Times New Roman" w:hAnsi="Times New Roman" w:eastAsia="宋体" w:cs="Times New Roman"/>
                <w:szCs w:val="21"/>
              </w:rPr>
            </w:pPr>
          </w:p>
        </w:tc>
        <w:tc>
          <w:tcPr>
            <w:tcW w:w="2160" w:type="dxa"/>
            <w:tcBorders>
              <w:top w:val="single" w:color="auto" w:sz="4" w:space="0"/>
              <w:left w:val="single" w:color="auto" w:sz="4" w:space="0"/>
              <w:bottom w:val="single" w:color="auto" w:sz="4" w:space="0"/>
              <w:right w:val="single" w:color="auto" w:sz="4" w:space="0"/>
            </w:tcBorders>
          </w:tcPr>
          <w:p w14:paraId="1620DD5D">
            <w:pPr>
              <w:snapToGrid w:val="0"/>
              <w:spacing w:line="312" w:lineRule="auto"/>
              <w:jc w:val="left"/>
              <w:rPr>
                <w:rFonts w:ascii="Times New Roman" w:hAnsi="Times New Roman" w:eastAsia="宋体" w:cs="Times New Roman"/>
                <w:szCs w:val="21"/>
              </w:rPr>
            </w:pPr>
          </w:p>
        </w:tc>
      </w:tr>
      <w:tr w14:paraId="33BDC0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tcPr>
          <w:p w14:paraId="6ABEB05D">
            <w:pPr>
              <w:snapToGrid w:val="0"/>
              <w:spacing w:before="50" w:after="120" w:afterLines="50" w:line="312" w:lineRule="auto"/>
              <w:jc w:val="left"/>
              <w:rPr>
                <w:rFonts w:ascii="Times New Roman" w:hAnsi="Times New Roman" w:eastAsia="宋体" w:cs="Times New Roman"/>
                <w:sz w:val="24"/>
              </w:rPr>
            </w:pPr>
          </w:p>
        </w:tc>
        <w:tc>
          <w:tcPr>
            <w:tcW w:w="3419" w:type="dxa"/>
            <w:tcBorders>
              <w:top w:val="single" w:color="auto" w:sz="4" w:space="0"/>
              <w:left w:val="single" w:color="auto" w:sz="4" w:space="0"/>
              <w:bottom w:val="single" w:color="auto" w:sz="4" w:space="0"/>
              <w:right w:val="single" w:color="auto" w:sz="4" w:space="0"/>
            </w:tcBorders>
          </w:tcPr>
          <w:p w14:paraId="70143387">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25C8AFFB">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3C9C5882">
            <w:pPr>
              <w:snapToGrid w:val="0"/>
              <w:spacing w:before="600" w:after="120" w:afterLines="50" w:line="312" w:lineRule="auto"/>
              <w:jc w:val="left"/>
              <w:rPr>
                <w:rFonts w:ascii="Times New Roman" w:hAnsi="Times New Roman" w:eastAsia="宋体" w:cs="Times New Roman"/>
                <w:b/>
                <w:bCs/>
                <w:kern w:val="44"/>
                <w:sz w:val="24"/>
                <w:szCs w:val="20"/>
              </w:rPr>
            </w:pPr>
          </w:p>
        </w:tc>
        <w:tc>
          <w:tcPr>
            <w:tcW w:w="1440" w:type="dxa"/>
            <w:tcBorders>
              <w:top w:val="single" w:color="auto" w:sz="4" w:space="0"/>
              <w:left w:val="single" w:color="auto" w:sz="4" w:space="0"/>
              <w:bottom w:val="single" w:color="auto" w:sz="4" w:space="0"/>
              <w:right w:val="single" w:color="auto" w:sz="4" w:space="0"/>
            </w:tcBorders>
          </w:tcPr>
          <w:p w14:paraId="77F0EAA2">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545EBE2F">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589BCA4D">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2219E353">
            <w:pPr>
              <w:snapToGrid w:val="0"/>
              <w:spacing w:before="600" w:after="120" w:afterLines="50" w:line="312" w:lineRule="auto"/>
              <w:jc w:val="left"/>
              <w:rPr>
                <w:rFonts w:ascii="Times New Roman" w:hAnsi="Times New Roman" w:eastAsia="宋体" w:cs="Times New Roman"/>
                <w:b/>
                <w:bCs/>
                <w:kern w:val="44"/>
                <w:sz w:val="24"/>
                <w:szCs w:val="20"/>
              </w:rPr>
            </w:pPr>
          </w:p>
        </w:tc>
        <w:tc>
          <w:tcPr>
            <w:tcW w:w="2160" w:type="dxa"/>
            <w:tcBorders>
              <w:top w:val="single" w:color="auto" w:sz="4" w:space="0"/>
              <w:left w:val="single" w:color="auto" w:sz="4" w:space="0"/>
              <w:bottom w:val="single" w:color="auto" w:sz="4" w:space="0"/>
              <w:right w:val="single" w:color="auto" w:sz="4" w:space="0"/>
            </w:tcBorders>
          </w:tcPr>
          <w:p w14:paraId="07C8E9AA">
            <w:pPr>
              <w:snapToGrid w:val="0"/>
              <w:spacing w:before="600" w:after="120" w:afterLines="50" w:line="312" w:lineRule="auto"/>
              <w:jc w:val="left"/>
              <w:rPr>
                <w:rFonts w:ascii="Times New Roman" w:hAnsi="Times New Roman" w:eastAsia="宋体" w:cs="Times New Roman"/>
                <w:b/>
                <w:bCs/>
                <w:kern w:val="44"/>
                <w:sz w:val="24"/>
                <w:szCs w:val="20"/>
              </w:rPr>
            </w:pPr>
          </w:p>
        </w:tc>
      </w:tr>
      <w:tr w14:paraId="48BD7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6" w:type="dxa"/>
            <w:tcBorders>
              <w:top w:val="single" w:color="auto" w:sz="4" w:space="0"/>
              <w:left w:val="single" w:color="auto" w:sz="4" w:space="0"/>
              <w:bottom w:val="single" w:color="auto" w:sz="4" w:space="0"/>
              <w:right w:val="single" w:color="auto" w:sz="4" w:space="0"/>
            </w:tcBorders>
          </w:tcPr>
          <w:p w14:paraId="48F3E8C1">
            <w:pPr>
              <w:snapToGrid w:val="0"/>
              <w:spacing w:before="50" w:after="120" w:afterLines="50" w:line="312" w:lineRule="auto"/>
              <w:jc w:val="left"/>
              <w:rPr>
                <w:rFonts w:ascii="Times New Roman" w:hAnsi="Times New Roman" w:eastAsia="宋体" w:cs="Times New Roman"/>
                <w:sz w:val="24"/>
              </w:rPr>
            </w:pPr>
          </w:p>
        </w:tc>
        <w:tc>
          <w:tcPr>
            <w:tcW w:w="3419" w:type="dxa"/>
            <w:tcBorders>
              <w:top w:val="single" w:color="auto" w:sz="4" w:space="0"/>
              <w:left w:val="single" w:color="auto" w:sz="4" w:space="0"/>
              <w:bottom w:val="single" w:color="auto" w:sz="4" w:space="0"/>
              <w:right w:val="single" w:color="auto" w:sz="4" w:space="0"/>
            </w:tcBorders>
          </w:tcPr>
          <w:p w14:paraId="6AC452B2">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742986B8">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59383D51">
            <w:pPr>
              <w:snapToGrid w:val="0"/>
              <w:spacing w:before="600" w:after="120" w:afterLines="50" w:line="312" w:lineRule="auto"/>
              <w:jc w:val="left"/>
              <w:rPr>
                <w:rFonts w:ascii="Times New Roman" w:hAnsi="Times New Roman" w:eastAsia="宋体" w:cs="Times New Roman"/>
                <w:b/>
                <w:bCs/>
                <w:kern w:val="44"/>
                <w:sz w:val="24"/>
                <w:szCs w:val="20"/>
              </w:rPr>
            </w:pPr>
          </w:p>
        </w:tc>
        <w:tc>
          <w:tcPr>
            <w:tcW w:w="1440" w:type="dxa"/>
            <w:tcBorders>
              <w:top w:val="single" w:color="auto" w:sz="4" w:space="0"/>
              <w:left w:val="single" w:color="auto" w:sz="4" w:space="0"/>
              <w:bottom w:val="single" w:color="auto" w:sz="4" w:space="0"/>
              <w:right w:val="single" w:color="auto" w:sz="4" w:space="0"/>
            </w:tcBorders>
          </w:tcPr>
          <w:p w14:paraId="3F7454F8">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22BAB3F9">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71930C9D">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04BAA512">
            <w:pPr>
              <w:snapToGrid w:val="0"/>
              <w:spacing w:before="600" w:after="120" w:afterLines="50" w:line="312" w:lineRule="auto"/>
              <w:jc w:val="left"/>
              <w:rPr>
                <w:rFonts w:ascii="Times New Roman" w:hAnsi="Times New Roman" w:eastAsia="宋体" w:cs="Times New Roman"/>
                <w:b/>
                <w:bCs/>
                <w:kern w:val="44"/>
                <w:sz w:val="24"/>
                <w:szCs w:val="20"/>
              </w:rPr>
            </w:pPr>
          </w:p>
        </w:tc>
        <w:tc>
          <w:tcPr>
            <w:tcW w:w="2160" w:type="dxa"/>
            <w:tcBorders>
              <w:top w:val="single" w:color="auto" w:sz="4" w:space="0"/>
              <w:left w:val="single" w:color="auto" w:sz="4" w:space="0"/>
              <w:bottom w:val="single" w:color="auto" w:sz="4" w:space="0"/>
              <w:right w:val="single" w:color="auto" w:sz="4" w:space="0"/>
            </w:tcBorders>
          </w:tcPr>
          <w:p w14:paraId="5B66B6BE">
            <w:pPr>
              <w:snapToGrid w:val="0"/>
              <w:spacing w:before="600" w:after="120" w:afterLines="50" w:line="312" w:lineRule="auto"/>
              <w:jc w:val="left"/>
              <w:rPr>
                <w:rFonts w:ascii="Times New Roman" w:hAnsi="Times New Roman" w:eastAsia="宋体" w:cs="Times New Roman"/>
                <w:b/>
                <w:bCs/>
                <w:kern w:val="44"/>
                <w:sz w:val="24"/>
                <w:szCs w:val="20"/>
              </w:rPr>
            </w:pPr>
          </w:p>
        </w:tc>
      </w:tr>
      <w:tr w14:paraId="6CA0A5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tcPr>
          <w:p w14:paraId="214D4CD7">
            <w:pPr>
              <w:snapToGrid w:val="0"/>
              <w:spacing w:before="50" w:after="120" w:afterLines="50" w:line="312" w:lineRule="auto"/>
              <w:jc w:val="left"/>
              <w:rPr>
                <w:rFonts w:ascii="Times New Roman" w:hAnsi="Times New Roman" w:eastAsia="宋体" w:cs="Times New Roman"/>
                <w:sz w:val="24"/>
              </w:rPr>
            </w:pPr>
          </w:p>
        </w:tc>
        <w:tc>
          <w:tcPr>
            <w:tcW w:w="3419" w:type="dxa"/>
            <w:tcBorders>
              <w:top w:val="single" w:color="auto" w:sz="4" w:space="0"/>
              <w:left w:val="single" w:color="auto" w:sz="4" w:space="0"/>
              <w:bottom w:val="single" w:color="auto" w:sz="4" w:space="0"/>
              <w:right w:val="single" w:color="auto" w:sz="4" w:space="0"/>
            </w:tcBorders>
          </w:tcPr>
          <w:p w14:paraId="4C7501C5">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22FCC353">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4D631024">
            <w:pPr>
              <w:snapToGrid w:val="0"/>
              <w:spacing w:before="600" w:after="120" w:afterLines="50" w:line="312" w:lineRule="auto"/>
              <w:jc w:val="left"/>
              <w:rPr>
                <w:rFonts w:ascii="Times New Roman" w:hAnsi="Times New Roman" w:eastAsia="宋体" w:cs="Times New Roman"/>
                <w:b/>
                <w:bCs/>
                <w:kern w:val="44"/>
                <w:sz w:val="24"/>
                <w:szCs w:val="20"/>
              </w:rPr>
            </w:pPr>
          </w:p>
        </w:tc>
        <w:tc>
          <w:tcPr>
            <w:tcW w:w="1440" w:type="dxa"/>
            <w:tcBorders>
              <w:top w:val="single" w:color="auto" w:sz="4" w:space="0"/>
              <w:left w:val="single" w:color="auto" w:sz="4" w:space="0"/>
              <w:bottom w:val="single" w:color="auto" w:sz="4" w:space="0"/>
              <w:right w:val="single" w:color="auto" w:sz="4" w:space="0"/>
            </w:tcBorders>
          </w:tcPr>
          <w:p w14:paraId="61DF1E2D">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2EC1455C">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445F17DE">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012AD4C1">
            <w:pPr>
              <w:snapToGrid w:val="0"/>
              <w:spacing w:before="600" w:after="120" w:afterLines="50" w:line="312" w:lineRule="auto"/>
              <w:jc w:val="left"/>
              <w:rPr>
                <w:rFonts w:ascii="Times New Roman" w:hAnsi="Times New Roman" w:eastAsia="宋体" w:cs="Times New Roman"/>
                <w:b/>
                <w:bCs/>
                <w:kern w:val="44"/>
                <w:sz w:val="24"/>
                <w:szCs w:val="20"/>
              </w:rPr>
            </w:pPr>
          </w:p>
        </w:tc>
        <w:tc>
          <w:tcPr>
            <w:tcW w:w="2160" w:type="dxa"/>
            <w:tcBorders>
              <w:top w:val="single" w:color="auto" w:sz="4" w:space="0"/>
              <w:left w:val="single" w:color="auto" w:sz="4" w:space="0"/>
              <w:bottom w:val="single" w:color="auto" w:sz="4" w:space="0"/>
              <w:right w:val="single" w:color="auto" w:sz="4" w:space="0"/>
            </w:tcBorders>
          </w:tcPr>
          <w:p w14:paraId="64338309">
            <w:pPr>
              <w:snapToGrid w:val="0"/>
              <w:spacing w:before="600" w:after="120" w:afterLines="50" w:line="312" w:lineRule="auto"/>
              <w:jc w:val="left"/>
              <w:rPr>
                <w:rFonts w:ascii="Times New Roman" w:hAnsi="Times New Roman" w:eastAsia="宋体" w:cs="Times New Roman"/>
                <w:b/>
                <w:bCs/>
                <w:kern w:val="44"/>
                <w:sz w:val="24"/>
                <w:szCs w:val="20"/>
              </w:rPr>
            </w:pPr>
          </w:p>
        </w:tc>
      </w:tr>
      <w:tr w14:paraId="4680CD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tcPr>
          <w:p w14:paraId="2ED6FCC4">
            <w:pPr>
              <w:snapToGrid w:val="0"/>
              <w:spacing w:before="50" w:after="120" w:afterLines="50" w:line="312" w:lineRule="auto"/>
              <w:jc w:val="left"/>
              <w:rPr>
                <w:rFonts w:ascii="Times New Roman" w:hAnsi="Times New Roman" w:eastAsia="宋体" w:cs="Times New Roman"/>
                <w:sz w:val="24"/>
              </w:rPr>
            </w:pPr>
          </w:p>
        </w:tc>
        <w:tc>
          <w:tcPr>
            <w:tcW w:w="3419" w:type="dxa"/>
            <w:tcBorders>
              <w:top w:val="single" w:color="auto" w:sz="4" w:space="0"/>
              <w:left w:val="single" w:color="auto" w:sz="4" w:space="0"/>
              <w:bottom w:val="single" w:color="auto" w:sz="4" w:space="0"/>
              <w:right w:val="single" w:color="auto" w:sz="4" w:space="0"/>
            </w:tcBorders>
          </w:tcPr>
          <w:p w14:paraId="7A3CAA74">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5F25169E">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434EF368">
            <w:pPr>
              <w:snapToGrid w:val="0"/>
              <w:spacing w:before="600" w:after="120" w:afterLines="50" w:line="312" w:lineRule="auto"/>
              <w:jc w:val="left"/>
              <w:rPr>
                <w:rFonts w:ascii="Times New Roman" w:hAnsi="Times New Roman" w:eastAsia="宋体" w:cs="Times New Roman"/>
                <w:b/>
                <w:bCs/>
                <w:kern w:val="44"/>
                <w:sz w:val="24"/>
                <w:szCs w:val="20"/>
              </w:rPr>
            </w:pPr>
          </w:p>
        </w:tc>
        <w:tc>
          <w:tcPr>
            <w:tcW w:w="1440" w:type="dxa"/>
            <w:tcBorders>
              <w:top w:val="single" w:color="auto" w:sz="4" w:space="0"/>
              <w:left w:val="single" w:color="auto" w:sz="4" w:space="0"/>
              <w:bottom w:val="single" w:color="auto" w:sz="4" w:space="0"/>
              <w:right w:val="single" w:color="auto" w:sz="4" w:space="0"/>
            </w:tcBorders>
          </w:tcPr>
          <w:p w14:paraId="2E616A9E">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47D215C2">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5A1060AA">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14ED4EA4">
            <w:pPr>
              <w:snapToGrid w:val="0"/>
              <w:spacing w:before="600" w:after="120" w:afterLines="50" w:line="312" w:lineRule="auto"/>
              <w:jc w:val="left"/>
              <w:rPr>
                <w:rFonts w:ascii="Times New Roman" w:hAnsi="Times New Roman" w:eastAsia="宋体" w:cs="Times New Roman"/>
                <w:b/>
                <w:bCs/>
                <w:kern w:val="44"/>
                <w:sz w:val="24"/>
                <w:szCs w:val="20"/>
              </w:rPr>
            </w:pPr>
          </w:p>
        </w:tc>
        <w:tc>
          <w:tcPr>
            <w:tcW w:w="2160" w:type="dxa"/>
            <w:tcBorders>
              <w:top w:val="single" w:color="auto" w:sz="4" w:space="0"/>
              <w:left w:val="single" w:color="auto" w:sz="4" w:space="0"/>
              <w:bottom w:val="single" w:color="auto" w:sz="4" w:space="0"/>
              <w:right w:val="single" w:color="auto" w:sz="4" w:space="0"/>
            </w:tcBorders>
          </w:tcPr>
          <w:p w14:paraId="27DFFF02">
            <w:pPr>
              <w:snapToGrid w:val="0"/>
              <w:spacing w:before="600" w:after="120" w:afterLines="50" w:line="312" w:lineRule="auto"/>
              <w:jc w:val="left"/>
              <w:rPr>
                <w:rFonts w:ascii="Times New Roman" w:hAnsi="Times New Roman" w:eastAsia="宋体" w:cs="Times New Roman"/>
                <w:b/>
                <w:bCs/>
                <w:kern w:val="44"/>
                <w:sz w:val="24"/>
                <w:szCs w:val="20"/>
              </w:rPr>
            </w:pPr>
          </w:p>
        </w:tc>
      </w:tr>
    </w:tbl>
    <w:p w14:paraId="487C9EC2">
      <w:pPr>
        <w:snapToGrid w:val="0"/>
        <w:spacing w:before="152" w:after="160" w:line="312" w:lineRule="auto"/>
        <w:rPr>
          <w:rFonts w:ascii="Times New Roman" w:hAnsi="Times New Roman" w:eastAsia="宋体" w:cs="Times New Roman"/>
          <w:kern w:val="0"/>
          <w:sz w:val="20"/>
          <w:szCs w:val="20"/>
        </w:rPr>
      </w:pPr>
    </w:p>
    <w:p w14:paraId="68F89C2B">
      <w:pPr>
        <w:snapToGrid w:val="0"/>
        <w:spacing w:before="50" w:after="50"/>
        <w:rPr>
          <w:rFonts w:ascii="Times New Roman" w:hAnsi="Times New Roman" w:eastAsia="宋体" w:cs="Times New Roman"/>
        </w:rPr>
      </w:pPr>
    </w:p>
    <w:p w14:paraId="58AE38A0">
      <w:pPr>
        <w:snapToGrid w:val="0"/>
        <w:ind w:left="2" w:right="-817" w:rightChars="-389"/>
        <w:rPr>
          <w:rFonts w:ascii="Times New Roman" w:hAnsi="Times New Roman" w:eastAsia="宋体" w:cs="Times New Roman"/>
        </w:rPr>
      </w:pPr>
    </w:p>
    <w:p w14:paraId="64DD5A55">
      <w:pPr>
        <w:snapToGrid w:val="0"/>
        <w:spacing w:before="50" w:line="312" w:lineRule="auto"/>
        <w:jc w:val="left"/>
        <w:rPr>
          <w:rFonts w:ascii="Times New Roman" w:hAnsi="Times New Roman" w:eastAsia="宋体" w:cs="Times New Roman"/>
          <w:kern w:val="0"/>
          <w:sz w:val="30"/>
        </w:rPr>
        <w:sectPr>
          <w:pgSz w:w="16838" w:h="11906" w:orient="landscape"/>
          <w:pgMar w:top="1418" w:right="1361" w:bottom="924" w:left="1134" w:header="851" w:footer="992" w:gutter="0"/>
          <w:cols w:space="720" w:num="1"/>
        </w:sectPr>
      </w:pPr>
      <w:r>
        <w:rPr>
          <w:rFonts w:hint="eastAsia" w:ascii="Times New Roman" w:hAnsi="Times New Roman" w:eastAsia="宋体" w:cs="Times New Roman"/>
        </w:rPr>
        <w:t>投标人名称（盖章）：年月日</w:t>
      </w:r>
    </w:p>
    <w:p w14:paraId="48553CD3">
      <w:pPr>
        <w:snapToGrid w:val="0"/>
        <w:spacing w:before="156" w:beforeLines="50" w:after="50" w:line="312" w:lineRule="auto"/>
        <w:rPr>
          <w:rFonts w:ascii="Times New Roman" w:hAnsi="Times New Roman" w:eastAsia="宋体" w:cs="Times New Roman"/>
          <w:b/>
          <w:sz w:val="24"/>
        </w:rPr>
      </w:pPr>
      <w:r>
        <w:rPr>
          <w:rFonts w:hint="eastAsia" w:ascii="Times New Roman" w:hAnsi="Times New Roman" w:eastAsia="宋体" w:cs="Times New Roman"/>
          <w:b/>
          <w:sz w:val="24"/>
        </w:rPr>
        <w:t>十、</w:t>
      </w:r>
    </w:p>
    <w:p w14:paraId="3E0F641A">
      <w:pPr>
        <w:snapToGrid w:val="0"/>
        <w:spacing w:before="156" w:beforeLines="50" w:after="50" w:line="312" w:lineRule="auto"/>
        <w:jc w:val="center"/>
        <w:rPr>
          <w:rFonts w:ascii="Times New Roman" w:hAnsi="Times New Roman" w:eastAsia="宋体" w:cs="Times New Roman"/>
          <w:b/>
          <w:sz w:val="24"/>
        </w:rPr>
      </w:pPr>
      <w:r>
        <w:rPr>
          <w:rFonts w:hint="eastAsia" w:ascii="Times New Roman" w:hAnsi="Times New Roman" w:eastAsia="宋体" w:cs="Times New Roman"/>
          <w:b/>
          <w:sz w:val="24"/>
        </w:rPr>
        <w:t>项目实施人员（主要从业人员及其技术资格）一览表</w:t>
      </w:r>
    </w:p>
    <w:p w14:paraId="376D8D4D">
      <w:pPr>
        <w:snapToGrid w:val="0"/>
        <w:spacing w:before="156" w:beforeLines="50" w:after="50" w:line="312" w:lineRule="auto"/>
        <w:rPr>
          <w:rFonts w:ascii="Times New Roman" w:hAnsi="Times New Roman" w:eastAsia="宋体" w:cs="Times New Roman"/>
        </w:rPr>
      </w:pPr>
    </w:p>
    <w:p w14:paraId="25677688">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项目名称：</w:t>
      </w:r>
    </w:p>
    <w:p w14:paraId="2C0A5982">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项目编号：</w:t>
      </w:r>
    </w:p>
    <w:tbl>
      <w:tblPr>
        <w:tblStyle w:val="61"/>
        <w:tblW w:w="924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2"/>
        <w:gridCol w:w="1260"/>
        <w:gridCol w:w="1619"/>
        <w:gridCol w:w="2699"/>
      </w:tblGrid>
      <w:tr w14:paraId="528D9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bottom"/>
          </w:tcPr>
          <w:p w14:paraId="42E42CD2">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姓名</w:t>
            </w:r>
          </w:p>
        </w:tc>
        <w:tc>
          <w:tcPr>
            <w:tcW w:w="1004" w:type="dxa"/>
            <w:tcBorders>
              <w:top w:val="single" w:color="auto" w:sz="4" w:space="0"/>
              <w:left w:val="single" w:color="auto" w:sz="4" w:space="0"/>
              <w:bottom w:val="single" w:color="auto" w:sz="4" w:space="0"/>
              <w:right w:val="single" w:color="auto" w:sz="4" w:space="0"/>
            </w:tcBorders>
            <w:vAlign w:val="bottom"/>
          </w:tcPr>
          <w:p w14:paraId="22310D8F">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职务</w:t>
            </w:r>
          </w:p>
        </w:tc>
        <w:tc>
          <w:tcPr>
            <w:tcW w:w="1662" w:type="dxa"/>
            <w:tcBorders>
              <w:top w:val="single" w:color="auto" w:sz="4" w:space="0"/>
              <w:left w:val="single" w:color="auto" w:sz="4" w:space="0"/>
              <w:bottom w:val="single" w:color="auto" w:sz="4" w:space="0"/>
              <w:right w:val="single" w:color="auto" w:sz="4" w:space="0"/>
            </w:tcBorders>
            <w:vAlign w:val="bottom"/>
          </w:tcPr>
          <w:p w14:paraId="60B73E73">
            <w:pPr>
              <w:snapToGrid w:val="0"/>
              <w:spacing w:before="156" w:beforeLines="50" w:after="50" w:line="312" w:lineRule="auto"/>
              <w:jc w:val="center"/>
              <w:rPr>
                <w:rFonts w:ascii="Times New Roman" w:hAnsi="Times New Roman" w:eastAsia="宋体" w:cs="Times New Roman"/>
              </w:rPr>
            </w:pPr>
            <w:r>
              <w:rPr>
                <w:rFonts w:hint="eastAsia" w:ascii="Times New Roman" w:hAnsi="Times New Roman" w:eastAsia="宋体" w:cs="Times New Roman"/>
              </w:rPr>
              <w:t>专业技术资格</w:t>
            </w:r>
          </w:p>
        </w:tc>
        <w:tc>
          <w:tcPr>
            <w:tcW w:w="1260" w:type="dxa"/>
            <w:tcBorders>
              <w:top w:val="single" w:color="auto" w:sz="4" w:space="0"/>
              <w:left w:val="single" w:color="auto" w:sz="4" w:space="0"/>
              <w:bottom w:val="single" w:color="auto" w:sz="4" w:space="0"/>
              <w:right w:val="single" w:color="auto" w:sz="4" w:space="0"/>
            </w:tcBorders>
            <w:vAlign w:val="bottom"/>
          </w:tcPr>
          <w:p w14:paraId="7F3BEF71">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证书编号</w:t>
            </w:r>
          </w:p>
        </w:tc>
        <w:tc>
          <w:tcPr>
            <w:tcW w:w="1619" w:type="dxa"/>
            <w:tcBorders>
              <w:top w:val="single" w:color="auto" w:sz="4" w:space="0"/>
              <w:left w:val="single" w:color="auto" w:sz="4" w:space="0"/>
              <w:bottom w:val="single" w:color="auto" w:sz="4" w:space="0"/>
              <w:right w:val="single" w:color="auto" w:sz="4" w:space="0"/>
            </w:tcBorders>
            <w:vAlign w:val="bottom"/>
          </w:tcPr>
          <w:p w14:paraId="4E32088D">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参加本单位工作时间</w:t>
            </w:r>
          </w:p>
        </w:tc>
        <w:tc>
          <w:tcPr>
            <w:tcW w:w="2699" w:type="dxa"/>
            <w:tcBorders>
              <w:top w:val="single" w:color="auto" w:sz="4" w:space="0"/>
              <w:left w:val="single" w:color="auto" w:sz="4" w:space="0"/>
              <w:bottom w:val="single" w:color="auto" w:sz="4" w:space="0"/>
              <w:right w:val="single" w:color="auto" w:sz="4" w:space="0"/>
            </w:tcBorders>
            <w:vAlign w:val="bottom"/>
          </w:tcPr>
          <w:p w14:paraId="6ACE0DEB">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劳动合同编号</w:t>
            </w:r>
          </w:p>
        </w:tc>
      </w:tr>
      <w:tr w14:paraId="3A386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BD4423B">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5EA6793A">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32AEE14D">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757DEC3F">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1EA9A356">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457978E7">
            <w:pPr>
              <w:snapToGrid w:val="0"/>
              <w:spacing w:before="156" w:beforeLines="50" w:after="120" w:line="312" w:lineRule="auto"/>
              <w:rPr>
                <w:rFonts w:ascii="Times New Roman" w:hAnsi="Times New Roman" w:eastAsia="宋体" w:cs="Times New Roman"/>
                <w:b/>
                <w:bCs/>
                <w:sz w:val="24"/>
                <w:szCs w:val="36"/>
              </w:rPr>
            </w:pPr>
          </w:p>
        </w:tc>
      </w:tr>
      <w:tr w14:paraId="0BBB07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364F478">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2108B95D">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3EFF9C28">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09E8C740">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6CEE0E93">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56ABB5C7">
            <w:pPr>
              <w:snapToGrid w:val="0"/>
              <w:spacing w:before="156" w:beforeLines="50" w:after="120" w:line="312" w:lineRule="auto"/>
              <w:rPr>
                <w:rFonts w:ascii="Times New Roman" w:hAnsi="Times New Roman" w:eastAsia="宋体" w:cs="Times New Roman"/>
                <w:b/>
                <w:bCs/>
                <w:sz w:val="24"/>
                <w:szCs w:val="36"/>
              </w:rPr>
            </w:pPr>
          </w:p>
        </w:tc>
      </w:tr>
      <w:tr w14:paraId="61AD71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75A9355">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0B065C0D">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77F8BEF9">
            <w:pPr>
              <w:snapToGrid w:val="0"/>
              <w:spacing w:before="156" w:beforeLines="50" w:after="120" w:line="312" w:lineRule="auto"/>
              <w:ind w:left="5250" w:leftChars="2500"/>
              <w:rPr>
                <w:rFonts w:ascii="Times New Roman" w:hAnsi="Times New Roman" w:eastAsia="宋体" w:cs="Times New Roman"/>
                <w:b/>
                <w:bCs/>
                <w:kern w:val="0"/>
                <w:sz w:val="24"/>
                <w:szCs w:val="36"/>
              </w:rPr>
            </w:pPr>
          </w:p>
        </w:tc>
        <w:tc>
          <w:tcPr>
            <w:tcW w:w="1260" w:type="dxa"/>
            <w:tcBorders>
              <w:top w:val="single" w:color="auto" w:sz="4" w:space="0"/>
              <w:left w:val="single" w:color="auto" w:sz="4" w:space="0"/>
              <w:bottom w:val="single" w:color="auto" w:sz="4" w:space="0"/>
              <w:right w:val="single" w:color="auto" w:sz="4" w:space="0"/>
            </w:tcBorders>
          </w:tcPr>
          <w:p w14:paraId="48BF06E7">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07017BC7">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37FD9F6A">
            <w:pPr>
              <w:snapToGrid w:val="0"/>
              <w:spacing w:before="156" w:beforeLines="50" w:after="120" w:line="312" w:lineRule="auto"/>
              <w:rPr>
                <w:rFonts w:ascii="Times New Roman" w:hAnsi="Times New Roman" w:eastAsia="宋体" w:cs="Times New Roman"/>
                <w:b/>
                <w:bCs/>
                <w:sz w:val="24"/>
                <w:szCs w:val="36"/>
              </w:rPr>
            </w:pPr>
          </w:p>
        </w:tc>
      </w:tr>
      <w:tr w14:paraId="24D83F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A5E9DDA">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2B1CDCA6">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4411DF55">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5F1C8C40">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73E954BB">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3F4467DF">
            <w:pPr>
              <w:snapToGrid w:val="0"/>
              <w:spacing w:before="156" w:beforeLines="50" w:after="120" w:line="312" w:lineRule="auto"/>
              <w:rPr>
                <w:rFonts w:ascii="Times New Roman" w:hAnsi="Times New Roman" w:eastAsia="宋体" w:cs="Times New Roman"/>
                <w:b/>
                <w:bCs/>
                <w:sz w:val="24"/>
                <w:szCs w:val="36"/>
              </w:rPr>
            </w:pPr>
          </w:p>
        </w:tc>
      </w:tr>
      <w:tr w14:paraId="46A2DD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9965378">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6D0B5B16">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2E29723A">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63869727">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350D1A61">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25B21DC2">
            <w:pPr>
              <w:snapToGrid w:val="0"/>
              <w:spacing w:before="156" w:beforeLines="50" w:after="120" w:line="312" w:lineRule="auto"/>
              <w:rPr>
                <w:rFonts w:ascii="Times New Roman" w:hAnsi="Times New Roman" w:eastAsia="宋体" w:cs="Times New Roman"/>
                <w:b/>
                <w:bCs/>
                <w:sz w:val="24"/>
                <w:szCs w:val="36"/>
              </w:rPr>
            </w:pPr>
          </w:p>
        </w:tc>
      </w:tr>
      <w:tr w14:paraId="6137A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FD2F57B">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4FD64BC5">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3D4BAC4E">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62A4F4B3">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4070C6E3">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25534D71">
            <w:pPr>
              <w:snapToGrid w:val="0"/>
              <w:spacing w:before="156" w:beforeLines="50" w:after="120" w:line="312" w:lineRule="auto"/>
              <w:rPr>
                <w:rFonts w:ascii="Times New Roman" w:hAnsi="Times New Roman" w:eastAsia="宋体" w:cs="Times New Roman"/>
                <w:b/>
                <w:bCs/>
                <w:sz w:val="24"/>
                <w:szCs w:val="36"/>
              </w:rPr>
            </w:pPr>
          </w:p>
        </w:tc>
      </w:tr>
      <w:tr w14:paraId="311AC4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3B81B4F">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0AFE477B">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0D686D24">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7716288B">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7BF95CF1">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306C56F6">
            <w:pPr>
              <w:snapToGrid w:val="0"/>
              <w:spacing w:before="156" w:beforeLines="50" w:after="120" w:line="312" w:lineRule="auto"/>
              <w:rPr>
                <w:rFonts w:ascii="Times New Roman" w:hAnsi="Times New Roman" w:eastAsia="宋体" w:cs="Times New Roman"/>
                <w:b/>
                <w:bCs/>
                <w:sz w:val="24"/>
                <w:szCs w:val="36"/>
              </w:rPr>
            </w:pPr>
          </w:p>
        </w:tc>
      </w:tr>
      <w:tr w14:paraId="2EEA7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6151E14">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7B2831EE">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56CB19E7">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2C0F8D85">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33166132">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10B62175">
            <w:pPr>
              <w:snapToGrid w:val="0"/>
              <w:spacing w:before="156" w:beforeLines="50" w:after="120" w:line="312" w:lineRule="auto"/>
              <w:rPr>
                <w:rFonts w:ascii="Times New Roman" w:hAnsi="Times New Roman" w:eastAsia="宋体" w:cs="Times New Roman"/>
                <w:b/>
                <w:bCs/>
                <w:sz w:val="24"/>
                <w:szCs w:val="36"/>
              </w:rPr>
            </w:pPr>
          </w:p>
        </w:tc>
      </w:tr>
      <w:tr w14:paraId="7BCEF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AC27277">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2CF5D2F7">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0742E27D">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6BB7C369">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52E77277">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2A9F6FEA">
            <w:pPr>
              <w:snapToGrid w:val="0"/>
              <w:spacing w:before="156" w:beforeLines="50" w:after="120" w:line="312" w:lineRule="auto"/>
              <w:rPr>
                <w:rFonts w:ascii="Times New Roman" w:hAnsi="Times New Roman" w:eastAsia="宋体" w:cs="Times New Roman"/>
                <w:b/>
                <w:bCs/>
                <w:sz w:val="24"/>
                <w:szCs w:val="36"/>
              </w:rPr>
            </w:pPr>
          </w:p>
        </w:tc>
      </w:tr>
    </w:tbl>
    <w:p w14:paraId="3AC3BCBF">
      <w:pPr>
        <w:snapToGrid w:val="0"/>
        <w:spacing w:before="50" w:after="156" w:afterLines="50" w:line="312" w:lineRule="auto"/>
        <w:jc w:val="left"/>
        <w:rPr>
          <w:rFonts w:ascii="Times New Roman" w:hAnsi="Times New Roman" w:eastAsia="宋体" w:cs="Times New Roman"/>
        </w:rPr>
      </w:pPr>
      <w:r>
        <w:rPr>
          <w:rFonts w:hint="eastAsia" w:ascii="Times New Roman" w:hAnsi="Times New Roman" w:eastAsia="宋体" w:cs="Times New Roman"/>
        </w:rPr>
        <w:t>注：在填写时，如本表格不适合投标单位的实际情况，可根据本表格式自行划表填写。</w:t>
      </w:r>
    </w:p>
    <w:p w14:paraId="16CC0C18">
      <w:pPr>
        <w:snapToGrid w:val="0"/>
        <w:spacing w:before="50" w:after="50" w:line="312" w:lineRule="auto"/>
        <w:rPr>
          <w:rFonts w:ascii="Times New Roman" w:hAnsi="Times New Roman" w:eastAsia="宋体" w:cs="Times New Roman"/>
          <w:spacing w:val="20"/>
          <w:sz w:val="24"/>
        </w:rPr>
      </w:pPr>
    </w:p>
    <w:p w14:paraId="11FEC922">
      <w:pPr>
        <w:snapToGrid w:val="0"/>
        <w:spacing w:before="50" w:after="50" w:line="312" w:lineRule="auto"/>
        <w:rPr>
          <w:rFonts w:ascii="Times New Roman" w:hAnsi="Times New Roman" w:eastAsia="宋体" w:cs="Times New Roman"/>
          <w:spacing w:val="20"/>
          <w:sz w:val="24"/>
        </w:rPr>
      </w:pPr>
    </w:p>
    <w:p w14:paraId="522DFF8D">
      <w:pPr>
        <w:snapToGrid w:val="0"/>
        <w:ind w:left="2" w:right="-817" w:rightChars="-389"/>
        <w:rPr>
          <w:rFonts w:ascii="Times New Roman" w:hAnsi="Times New Roman" w:eastAsia="宋体" w:cs="Times New Roman"/>
        </w:rPr>
      </w:pPr>
    </w:p>
    <w:p w14:paraId="1978FFF0">
      <w:pPr>
        <w:snapToGrid w:val="0"/>
        <w:spacing w:before="50" w:after="156" w:afterLines="50" w:line="312" w:lineRule="auto"/>
        <w:jc w:val="left"/>
        <w:rPr>
          <w:rFonts w:ascii="Times New Roman" w:hAnsi="Times New Roman" w:eastAsia="宋体" w:cs="Times New Roman"/>
          <w:spacing w:val="20"/>
          <w:sz w:val="24"/>
          <w:u w:val="single"/>
        </w:rPr>
      </w:pPr>
      <w:r>
        <w:rPr>
          <w:rFonts w:hint="eastAsia" w:ascii="Times New Roman" w:hAnsi="Times New Roman" w:eastAsia="宋体" w:cs="Times New Roman"/>
        </w:rPr>
        <w:t>投标人名称（盖章）：</w:t>
      </w:r>
      <w:r>
        <w:rPr>
          <w:rFonts w:hint="eastAsia" w:ascii="Times New Roman" w:hAnsi="Times New Roman" w:eastAsia="宋体" w:cs="Times New Roman"/>
          <w:spacing w:val="20"/>
          <w:sz w:val="24"/>
        </w:rPr>
        <w:t>日期：</w:t>
      </w:r>
    </w:p>
    <w:p w14:paraId="34E3E55A">
      <w:pPr>
        <w:snapToGrid w:val="0"/>
        <w:spacing w:before="50" w:after="156" w:afterLines="50" w:line="312" w:lineRule="auto"/>
        <w:jc w:val="left"/>
        <w:rPr>
          <w:rFonts w:ascii="Times New Roman" w:hAnsi="Times New Roman" w:eastAsia="宋体" w:cs="Times New Roman"/>
          <w:sz w:val="24"/>
        </w:rPr>
      </w:pPr>
    </w:p>
    <w:p w14:paraId="5D061A47">
      <w:pPr>
        <w:snapToGrid w:val="0"/>
        <w:spacing w:before="50" w:after="156" w:afterLines="50" w:line="312" w:lineRule="auto"/>
        <w:jc w:val="left"/>
        <w:rPr>
          <w:rFonts w:ascii="Times New Roman" w:hAnsi="Times New Roman" w:eastAsia="宋体" w:cs="Times New Roman"/>
          <w:sz w:val="24"/>
        </w:rPr>
      </w:pPr>
    </w:p>
    <w:p w14:paraId="08D788D1">
      <w:pPr>
        <w:snapToGrid w:val="0"/>
        <w:spacing w:before="50" w:after="156" w:afterLines="50" w:line="312" w:lineRule="auto"/>
        <w:jc w:val="left"/>
        <w:rPr>
          <w:rFonts w:ascii="Times New Roman" w:hAnsi="Times New Roman" w:eastAsia="宋体" w:cs="Times New Roman"/>
          <w:sz w:val="24"/>
        </w:rPr>
      </w:pPr>
    </w:p>
    <w:p w14:paraId="195CCF50">
      <w:pPr>
        <w:snapToGrid w:val="0"/>
        <w:spacing w:before="50" w:after="156" w:afterLines="50"/>
        <w:jc w:val="left"/>
        <w:rPr>
          <w:rFonts w:ascii="Times New Roman" w:hAnsi="Times New Roman" w:eastAsia="宋体" w:cs="Times New Roman"/>
          <w:b/>
          <w:sz w:val="24"/>
        </w:rPr>
      </w:pPr>
    </w:p>
    <w:p w14:paraId="39020A56">
      <w:pPr>
        <w:snapToGrid w:val="0"/>
        <w:spacing w:before="50" w:after="156" w:afterLines="50"/>
        <w:jc w:val="left"/>
        <w:rPr>
          <w:rFonts w:ascii="Times New Roman" w:hAnsi="Times New Roman" w:eastAsia="宋体" w:cs="Times New Roman"/>
          <w:b/>
          <w:sz w:val="24"/>
        </w:rPr>
      </w:pPr>
    </w:p>
    <w:p w14:paraId="11F42BF4">
      <w:pPr>
        <w:snapToGrid w:val="0"/>
        <w:spacing w:before="50" w:after="156" w:afterLines="50"/>
        <w:jc w:val="left"/>
        <w:rPr>
          <w:rFonts w:hint="eastAsia" w:ascii="宋体" w:hAnsi="宋体" w:eastAsia="宋体" w:cs="Times New Roman"/>
          <w:b/>
          <w:sz w:val="24"/>
        </w:rPr>
      </w:pPr>
      <w:r>
        <w:rPr>
          <w:rFonts w:hint="eastAsia" w:ascii="宋体" w:hAnsi="宋体" w:eastAsia="宋体" w:cs="Times New Roman"/>
        </w:rPr>
        <w:br w:type="page"/>
      </w:r>
      <w:r>
        <w:rPr>
          <w:rFonts w:hint="eastAsia" w:ascii="宋体" w:hAnsi="宋体" w:eastAsia="宋体" w:cs="Times New Roman"/>
          <w:b/>
          <w:sz w:val="24"/>
        </w:rPr>
        <w:t>十一、技术响应表格式：</w:t>
      </w:r>
    </w:p>
    <w:p w14:paraId="5016A4B2">
      <w:pPr>
        <w:rPr>
          <w:rFonts w:hint="eastAsia" w:ascii="宋体" w:hAnsi="宋体" w:eastAsia="宋体" w:cs="Times New Roman"/>
        </w:rPr>
      </w:pPr>
      <w:r>
        <w:rPr>
          <w:rFonts w:hint="eastAsia" w:ascii="宋体" w:hAnsi="宋体" w:eastAsia="宋体" w:cs="Times New Roman"/>
        </w:rPr>
        <w:t>项目名称：</w:t>
      </w:r>
    </w:p>
    <w:p w14:paraId="283F630F">
      <w:pPr>
        <w:snapToGrid w:val="0"/>
        <w:spacing w:line="360" w:lineRule="auto"/>
        <w:rPr>
          <w:rFonts w:ascii="宋体" w:hAnsi="Times New Roman" w:eastAsia="宋体" w:cs="Times New Roman"/>
        </w:rPr>
      </w:pPr>
      <w:r>
        <w:rPr>
          <w:rFonts w:hint="eastAsia" w:ascii="宋体" w:hAnsi="宋体" w:eastAsia="宋体" w:cs="Times New Roman"/>
        </w:rPr>
        <w:t>项目编号：</w:t>
      </w:r>
    </w:p>
    <w:tbl>
      <w:tblPr>
        <w:tblStyle w:val="61"/>
        <w:tblW w:w="90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2280"/>
        <w:gridCol w:w="2040"/>
        <w:gridCol w:w="1604"/>
        <w:gridCol w:w="1423"/>
      </w:tblGrid>
      <w:tr w14:paraId="3F3EA3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948" w:type="dxa"/>
            <w:gridSpan w:val="2"/>
            <w:tcBorders>
              <w:top w:val="single" w:color="auto" w:sz="4" w:space="0"/>
              <w:left w:val="single" w:color="auto" w:sz="4" w:space="0"/>
              <w:bottom w:val="single" w:color="auto" w:sz="4" w:space="0"/>
              <w:right w:val="single" w:color="auto" w:sz="4" w:space="0"/>
            </w:tcBorders>
            <w:vAlign w:val="center"/>
          </w:tcPr>
          <w:p w14:paraId="33244C84">
            <w:pPr>
              <w:snapToGrid w:val="0"/>
              <w:spacing w:after="295"/>
              <w:jc w:val="center"/>
              <w:outlineLvl w:val="0"/>
              <w:rPr>
                <w:rFonts w:hint="eastAsia" w:ascii="宋体" w:hAnsi="宋体" w:eastAsia="宋体" w:cs="Times New Roman"/>
                <w:sz w:val="24"/>
              </w:rPr>
            </w:pPr>
            <w:r>
              <w:rPr>
                <w:rFonts w:hint="eastAsia" w:ascii="宋体" w:hAnsi="宋体" w:eastAsia="宋体" w:cs="Times New Roman"/>
                <w:sz w:val="24"/>
              </w:rPr>
              <w:t>招标文件要求</w:t>
            </w:r>
          </w:p>
        </w:tc>
        <w:tc>
          <w:tcPr>
            <w:tcW w:w="3644" w:type="dxa"/>
            <w:gridSpan w:val="2"/>
            <w:tcBorders>
              <w:top w:val="single" w:color="auto" w:sz="4" w:space="0"/>
              <w:left w:val="single" w:color="auto" w:sz="4" w:space="0"/>
              <w:bottom w:val="single" w:color="auto" w:sz="4" w:space="0"/>
              <w:right w:val="single" w:color="auto" w:sz="4" w:space="0"/>
            </w:tcBorders>
            <w:vAlign w:val="center"/>
          </w:tcPr>
          <w:p w14:paraId="410741CE">
            <w:pPr>
              <w:snapToGrid w:val="0"/>
              <w:spacing w:after="295"/>
              <w:jc w:val="center"/>
              <w:outlineLvl w:val="0"/>
              <w:rPr>
                <w:rFonts w:hint="eastAsia" w:ascii="宋体" w:hAnsi="宋体" w:eastAsia="宋体" w:cs="Times New Roman"/>
                <w:sz w:val="24"/>
              </w:rPr>
            </w:pPr>
            <w:r>
              <w:rPr>
                <w:rFonts w:hint="eastAsia" w:ascii="宋体" w:hAnsi="宋体" w:eastAsia="宋体" w:cs="Times New Roman"/>
                <w:sz w:val="24"/>
              </w:rPr>
              <w:t>投标文件响应</w:t>
            </w:r>
          </w:p>
        </w:tc>
        <w:tc>
          <w:tcPr>
            <w:tcW w:w="1423" w:type="dxa"/>
            <w:vMerge w:val="restart"/>
            <w:tcBorders>
              <w:top w:val="single" w:color="auto" w:sz="4" w:space="0"/>
              <w:left w:val="single" w:color="auto" w:sz="4" w:space="0"/>
              <w:bottom w:val="single" w:color="auto" w:sz="4" w:space="0"/>
              <w:right w:val="single" w:color="auto" w:sz="4" w:space="0"/>
            </w:tcBorders>
            <w:vAlign w:val="center"/>
          </w:tcPr>
          <w:p w14:paraId="5603062A">
            <w:pPr>
              <w:snapToGrid w:val="0"/>
              <w:spacing w:after="295"/>
              <w:jc w:val="center"/>
              <w:outlineLvl w:val="0"/>
              <w:rPr>
                <w:rFonts w:hint="eastAsia" w:ascii="宋体" w:hAnsi="宋体" w:eastAsia="宋体" w:cs="Times New Roman"/>
                <w:sz w:val="24"/>
              </w:rPr>
            </w:pPr>
            <w:r>
              <w:rPr>
                <w:rFonts w:hint="eastAsia" w:ascii="宋体" w:hAnsi="宋体" w:eastAsia="宋体" w:cs="Times New Roman"/>
                <w:sz w:val="24"/>
              </w:rPr>
              <w:t>偏离情况</w:t>
            </w:r>
          </w:p>
        </w:tc>
      </w:tr>
      <w:tr w14:paraId="669E68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668" w:type="dxa"/>
            <w:tcBorders>
              <w:top w:val="single" w:color="auto" w:sz="4" w:space="0"/>
              <w:left w:val="single" w:color="auto" w:sz="4" w:space="0"/>
              <w:bottom w:val="single" w:color="auto" w:sz="4" w:space="0"/>
              <w:right w:val="single" w:color="auto" w:sz="4" w:space="0"/>
            </w:tcBorders>
            <w:vAlign w:val="center"/>
          </w:tcPr>
          <w:p w14:paraId="6D8C41B1">
            <w:pPr>
              <w:snapToGrid w:val="0"/>
              <w:spacing w:after="295"/>
              <w:jc w:val="center"/>
              <w:outlineLvl w:val="0"/>
              <w:rPr>
                <w:rFonts w:hint="eastAsia" w:ascii="宋体" w:hAnsi="宋体" w:eastAsia="宋体" w:cs="Times New Roman"/>
                <w:sz w:val="24"/>
              </w:rPr>
            </w:pPr>
            <w:r>
              <w:rPr>
                <w:rFonts w:hint="eastAsia" w:ascii="宋体" w:hAnsi="宋体" w:eastAsia="宋体" w:cs="Times New Roman"/>
                <w:sz w:val="24"/>
              </w:rPr>
              <w:t>项目</w:t>
            </w:r>
          </w:p>
        </w:tc>
        <w:tc>
          <w:tcPr>
            <w:tcW w:w="2280" w:type="dxa"/>
            <w:tcBorders>
              <w:top w:val="single" w:color="auto" w:sz="4" w:space="0"/>
              <w:left w:val="single" w:color="auto" w:sz="4" w:space="0"/>
              <w:bottom w:val="single" w:color="auto" w:sz="4" w:space="0"/>
              <w:right w:val="single" w:color="auto" w:sz="4" w:space="0"/>
            </w:tcBorders>
            <w:vAlign w:val="center"/>
          </w:tcPr>
          <w:p w14:paraId="74B353D4">
            <w:pPr>
              <w:snapToGrid w:val="0"/>
              <w:spacing w:after="295"/>
              <w:jc w:val="center"/>
              <w:outlineLvl w:val="0"/>
              <w:rPr>
                <w:rFonts w:hint="eastAsia" w:ascii="宋体" w:hAnsi="宋体" w:eastAsia="宋体" w:cs="Times New Roman"/>
                <w:sz w:val="24"/>
              </w:rPr>
            </w:pPr>
            <w:r>
              <w:rPr>
                <w:rFonts w:hint="eastAsia" w:ascii="宋体" w:hAnsi="宋体" w:eastAsia="宋体" w:cs="Times New Roman"/>
                <w:sz w:val="24"/>
              </w:rPr>
              <w:t>要求</w:t>
            </w:r>
          </w:p>
        </w:tc>
        <w:tc>
          <w:tcPr>
            <w:tcW w:w="2040" w:type="dxa"/>
            <w:tcBorders>
              <w:top w:val="single" w:color="auto" w:sz="4" w:space="0"/>
              <w:left w:val="single" w:color="auto" w:sz="4" w:space="0"/>
              <w:bottom w:val="single" w:color="auto" w:sz="4" w:space="0"/>
              <w:right w:val="single" w:color="auto" w:sz="4" w:space="0"/>
            </w:tcBorders>
            <w:vAlign w:val="center"/>
          </w:tcPr>
          <w:p w14:paraId="258A9DB2">
            <w:pPr>
              <w:snapToGrid w:val="0"/>
              <w:spacing w:after="295"/>
              <w:jc w:val="center"/>
              <w:outlineLvl w:val="0"/>
              <w:rPr>
                <w:rFonts w:hint="eastAsia" w:ascii="宋体" w:hAnsi="宋体" w:eastAsia="宋体" w:cs="Times New Roman"/>
                <w:sz w:val="24"/>
              </w:rPr>
            </w:pPr>
            <w:r>
              <w:rPr>
                <w:rFonts w:hint="eastAsia" w:ascii="宋体" w:hAnsi="宋体" w:eastAsia="宋体" w:cs="Times New Roman"/>
                <w:sz w:val="24"/>
              </w:rPr>
              <w:t>项目</w:t>
            </w:r>
          </w:p>
        </w:tc>
        <w:tc>
          <w:tcPr>
            <w:tcW w:w="1604" w:type="dxa"/>
            <w:tcBorders>
              <w:top w:val="single" w:color="auto" w:sz="4" w:space="0"/>
              <w:left w:val="single" w:color="auto" w:sz="4" w:space="0"/>
              <w:bottom w:val="single" w:color="auto" w:sz="4" w:space="0"/>
              <w:right w:val="single" w:color="auto" w:sz="4" w:space="0"/>
            </w:tcBorders>
            <w:vAlign w:val="center"/>
          </w:tcPr>
          <w:p w14:paraId="2CCAB54C">
            <w:pPr>
              <w:snapToGrid w:val="0"/>
              <w:spacing w:after="295"/>
              <w:jc w:val="center"/>
              <w:outlineLvl w:val="0"/>
              <w:rPr>
                <w:rFonts w:hint="eastAsia" w:ascii="宋体" w:hAnsi="宋体" w:eastAsia="宋体" w:cs="Times New Roman"/>
                <w:sz w:val="24"/>
              </w:rPr>
            </w:pPr>
            <w:r>
              <w:rPr>
                <w:rFonts w:hint="eastAsia" w:ascii="宋体" w:hAnsi="宋体" w:eastAsia="宋体" w:cs="Times New Roman"/>
                <w:sz w:val="24"/>
              </w:rPr>
              <w:t>要求</w:t>
            </w:r>
          </w:p>
        </w:tc>
        <w:tc>
          <w:tcPr>
            <w:tcW w:w="1423" w:type="dxa"/>
            <w:vMerge w:val="continue"/>
            <w:tcBorders>
              <w:top w:val="single" w:color="auto" w:sz="4" w:space="0"/>
              <w:left w:val="single" w:color="auto" w:sz="4" w:space="0"/>
              <w:bottom w:val="single" w:color="auto" w:sz="4" w:space="0"/>
              <w:right w:val="single" w:color="auto" w:sz="4" w:space="0"/>
            </w:tcBorders>
            <w:vAlign w:val="center"/>
          </w:tcPr>
          <w:p w14:paraId="79C3A3F8">
            <w:pPr>
              <w:widowControl/>
              <w:jc w:val="left"/>
              <w:rPr>
                <w:rFonts w:hint="eastAsia" w:ascii="宋体" w:hAnsi="宋体" w:eastAsia="宋体" w:cs="Times New Roman"/>
                <w:sz w:val="24"/>
              </w:rPr>
            </w:pPr>
          </w:p>
        </w:tc>
      </w:tr>
      <w:tr w14:paraId="2A7EF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668" w:type="dxa"/>
            <w:tcBorders>
              <w:top w:val="single" w:color="auto" w:sz="4" w:space="0"/>
              <w:left w:val="single" w:color="auto" w:sz="4" w:space="0"/>
              <w:bottom w:val="single" w:color="auto" w:sz="4" w:space="0"/>
              <w:right w:val="single" w:color="auto" w:sz="4" w:space="0"/>
            </w:tcBorders>
            <w:vAlign w:val="center"/>
          </w:tcPr>
          <w:p w14:paraId="61318A4B">
            <w:pPr>
              <w:snapToGrid w:val="0"/>
              <w:spacing w:after="295"/>
              <w:jc w:val="center"/>
              <w:outlineLvl w:val="0"/>
              <w:rPr>
                <w:rFonts w:hint="eastAsia" w:ascii="宋体" w:hAnsi="宋体" w:eastAsia="宋体" w:cs="Times New Roman"/>
                <w:sz w:val="24"/>
              </w:rPr>
            </w:pPr>
          </w:p>
        </w:tc>
        <w:tc>
          <w:tcPr>
            <w:tcW w:w="2280" w:type="dxa"/>
            <w:tcBorders>
              <w:top w:val="single" w:color="auto" w:sz="4" w:space="0"/>
              <w:left w:val="single" w:color="auto" w:sz="4" w:space="0"/>
              <w:bottom w:val="single" w:color="auto" w:sz="4" w:space="0"/>
              <w:right w:val="single" w:color="auto" w:sz="4" w:space="0"/>
            </w:tcBorders>
            <w:vAlign w:val="center"/>
          </w:tcPr>
          <w:p w14:paraId="03CD46D8">
            <w:pPr>
              <w:snapToGrid w:val="0"/>
              <w:spacing w:after="295" w:line="120" w:lineRule="exact"/>
              <w:jc w:val="center"/>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15D26548">
            <w:pPr>
              <w:snapToGrid w:val="0"/>
              <w:spacing w:after="295" w:line="120" w:lineRule="exact"/>
              <w:jc w:val="center"/>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vAlign w:val="center"/>
          </w:tcPr>
          <w:p w14:paraId="67D08204">
            <w:pPr>
              <w:snapToGrid w:val="0"/>
              <w:spacing w:after="295" w:line="120" w:lineRule="exact"/>
              <w:jc w:val="center"/>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vAlign w:val="center"/>
          </w:tcPr>
          <w:p w14:paraId="050F6C9D">
            <w:pPr>
              <w:snapToGrid w:val="0"/>
              <w:spacing w:after="295" w:line="120" w:lineRule="exact"/>
              <w:jc w:val="center"/>
              <w:outlineLvl w:val="0"/>
              <w:rPr>
                <w:rFonts w:hint="eastAsia" w:ascii="宋体" w:hAnsi="宋体" w:eastAsia="宋体" w:cs="Times New Roman"/>
                <w:sz w:val="24"/>
              </w:rPr>
            </w:pPr>
          </w:p>
        </w:tc>
      </w:tr>
      <w:tr w14:paraId="64CC7C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14:paraId="38B563B0">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71861DEF">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49488CC3">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729A4F2A">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6F06C989">
            <w:pPr>
              <w:snapToGrid w:val="0"/>
              <w:spacing w:after="295" w:line="120" w:lineRule="exact"/>
              <w:outlineLvl w:val="0"/>
              <w:rPr>
                <w:rFonts w:hint="eastAsia" w:ascii="宋体" w:hAnsi="宋体" w:eastAsia="宋体" w:cs="Times New Roman"/>
                <w:sz w:val="24"/>
              </w:rPr>
            </w:pPr>
          </w:p>
        </w:tc>
      </w:tr>
      <w:tr w14:paraId="7DABE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668" w:type="dxa"/>
            <w:tcBorders>
              <w:top w:val="single" w:color="auto" w:sz="4" w:space="0"/>
              <w:left w:val="single" w:color="auto" w:sz="4" w:space="0"/>
              <w:bottom w:val="single" w:color="auto" w:sz="4" w:space="0"/>
              <w:right w:val="single" w:color="auto" w:sz="4" w:space="0"/>
            </w:tcBorders>
            <w:vAlign w:val="center"/>
          </w:tcPr>
          <w:p w14:paraId="7B5BD4DE">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25B55949">
            <w:pPr>
              <w:snapToGrid w:val="0"/>
              <w:spacing w:after="295" w:line="120" w:lineRule="exact"/>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256B6904">
            <w:pPr>
              <w:snapToGrid w:val="0"/>
              <w:spacing w:after="295" w:line="120" w:lineRule="exact"/>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5A492938">
            <w:pPr>
              <w:snapToGrid w:val="0"/>
              <w:spacing w:after="295" w:line="120" w:lineRule="exact"/>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43719C65">
            <w:pPr>
              <w:snapToGrid w:val="0"/>
              <w:spacing w:after="295" w:line="120" w:lineRule="exact"/>
              <w:rPr>
                <w:rFonts w:hint="eastAsia" w:ascii="宋体" w:hAnsi="宋体" w:eastAsia="宋体" w:cs="Times New Roman"/>
                <w:sz w:val="24"/>
              </w:rPr>
            </w:pPr>
          </w:p>
        </w:tc>
      </w:tr>
      <w:tr w14:paraId="6A56D8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526FB50F">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4B097DE2">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52314B88">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4EF83714">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088B74DC">
            <w:pPr>
              <w:snapToGrid w:val="0"/>
              <w:spacing w:after="295" w:line="120" w:lineRule="exact"/>
              <w:outlineLvl w:val="0"/>
              <w:rPr>
                <w:rFonts w:hint="eastAsia" w:ascii="宋体" w:hAnsi="宋体" w:eastAsia="宋体" w:cs="Times New Roman"/>
                <w:sz w:val="24"/>
              </w:rPr>
            </w:pPr>
          </w:p>
        </w:tc>
      </w:tr>
      <w:tr w14:paraId="265954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208DF1AD">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637B93AF">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5F3B7A76">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691B5D37">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3027364F">
            <w:pPr>
              <w:snapToGrid w:val="0"/>
              <w:spacing w:after="295" w:line="120" w:lineRule="exact"/>
              <w:outlineLvl w:val="0"/>
              <w:rPr>
                <w:rFonts w:hint="eastAsia" w:ascii="宋体" w:hAnsi="宋体" w:eastAsia="宋体" w:cs="Times New Roman"/>
                <w:sz w:val="24"/>
              </w:rPr>
            </w:pPr>
          </w:p>
        </w:tc>
      </w:tr>
      <w:tr w14:paraId="1C4A37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740316BD">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5D92FDDA">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591EF0D1">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5B5449CF">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557B84FE">
            <w:pPr>
              <w:snapToGrid w:val="0"/>
              <w:spacing w:after="295" w:line="120" w:lineRule="exact"/>
              <w:outlineLvl w:val="0"/>
              <w:rPr>
                <w:rFonts w:hint="eastAsia" w:ascii="宋体" w:hAnsi="宋体" w:eastAsia="宋体" w:cs="Times New Roman"/>
                <w:sz w:val="24"/>
              </w:rPr>
            </w:pPr>
          </w:p>
        </w:tc>
      </w:tr>
      <w:tr w14:paraId="5D22B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316D234E">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4C247434">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6FE4B9BB">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614C825A">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77A2984E">
            <w:pPr>
              <w:snapToGrid w:val="0"/>
              <w:spacing w:after="295" w:line="120" w:lineRule="exact"/>
              <w:outlineLvl w:val="0"/>
              <w:rPr>
                <w:rFonts w:hint="eastAsia" w:ascii="宋体" w:hAnsi="宋体" w:eastAsia="宋体" w:cs="Times New Roman"/>
                <w:sz w:val="24"/>
              </w:rPr>
            </w:pPr>
          </w:p>
        </w:tc>
      </w:tr>
      <w:tr w14:paraId="3E94F3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405D03BE">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7D8C8F19">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3F4B0C62">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70936D86">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32C08AC7">
            <w:pPr>
              <w:snapToGrid w:val="0"/>
              <w:spacing w:after="295" w:line="120" w:lineRule="exact"/>
              <w:outlineLvl w:val="0"/>
              <w:rPr>
                <w:rFonts w:hint="eastAsia" w:ascii="宋体" w:hAnsi="宋体" w:eastAsia="宋体" w:cs="Times New Roman"/>
                <w:sz w:val="24"/>
              </w:rPr>
            </w:pPr>
          </w:p>
        </w:tc>
      </w:tr>
      <w:tr w14:paraId="261A7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77C3A422">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6605344F">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5DBD742E">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2FF072C9">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4B402FB6">
            <w:pPr>
              <w:snapToGrid w:val="0"/>
              <w:spacing w:after="295" w:line="120" w:lineRule="exact"/>
              <w:outlineLvl w:val="0"/>
              <w:rPr>
                <w:rFonts w:hint="eastAsia" w:ascii="宋体" w:hAnsi="宋体" w:eastAsia="宋体" w:cs="Times New Roman"/>
                <w:sz w:val="24"/>
              </w:rPr>
            </w:pPr>
          </w:p>
        </w:tc>
      </w:tr>
      <w:tr w14:paraId="6384C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716303AC">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3714DCE9">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11AE8FA9">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0AE57FE5">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5D6C6B18">
            <w:pPr>
              <w:snapToGrid w:val="0"/>
              <w:spacing w:after="295" w:line="120" w:lineRule="exact"/>
              <w:outlineLvl w:val="0"/>
              <w:rPr>
                <w:rFonts w:hint="eastAsia" w:ascii="宋体" w:hAnsi="宋体" w:eastAsia="宋体" w:cs="Times New Roman"/>
                <w:sz w:val="24"/>
              </w:rPr>
            </w:pPr>
          </w:p>
        </w:tc>
      </w:tr>
      <w:tr w14:paraId="5121B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2222A15B">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3CC32303">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224C0C98">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3E9250CA">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7544C343">
            <w:pPr>
              <w:snapToGrid w:val="0"/>
              <w:spacing w:after="295" w:line="120" w:lineRule="exact"/>
              <w:outlineLvl w:val="0"/>
              <w:rPr>
                <w:rFonts w:hint="eastAsia" w:ascii="宋体" w:hAnsi="宋体" w:eastAsia="宋体" w:cs="Times New Roman"/>
                <w:sz w:val="24"/>
              </w:rPr>
            </w:pPr>
          </w:p>
        </w:tc>
      </w:tr>
    </w:tbl>
    <w:p w14:paraId="54A14C64">
      <w:pPr>
        <w:snapToGrid w:val="0"/>
        <w:spacing w:before="50" w:after="50"/>
        <w:rPr>
          <w:rFonts w:hint="eastAsia" w:ascii="宋体" w:hAnsi="宋体" w:eastAsia="宋体" w:cs="Times New Roman"/>
          <w:b/>
        </w:rPr>
      </w:pPr>
    </w:p>
    <w:p w14:paraId="45C903A9">
      <w:pPr>
        <w:snapToGrid w:val="0"/>
        <w:spacing w:before="50" w:after="50"/>
        <w:rPr>
          <w:rFonts w:hint="eastAsia" w:ascii="宋体" w:hAnsi="宋体" w:eastAsia="宋体" w:cs="Times New Roman"/>
          <w:b/>
          <w:spacing w:val="20"/>
          <w:sz w:val="24"/>
        </w:rPr>
      </w:pPr>
    </w:p>
    <w:p w14:paraId="5AEE16E3">
      <w:pPr>
        <w:snapToGrid w:val="0"/>
        <w:spacing w:before="50" w:after="50"/>
        <w:rPr>
          <w:rFonts w:hint="eastAsia" w:ascii="宋体" w:hAnsi="宋体" w:eastAsia="宋体" w:cs="Times New Roman"/>
        </w:rPr>
      </w:pPr>
    </w:p>
    <w:p w14:paraId="6889A714">
      <w:pPr>
        <w:snapToGrid w:val="0"/>
        <w:ind w:left="2" w:right="-817" w:rightChars="-389"/>
        <w:rPr>
          <w:rFonts w:hint="eastAsia" w:ascii="宋体" w:hAnsi="宋体" w:eastAsia="宋体" w:cs="Times New Roman"/>
        </w:rPr>
      </w:pPr>
    </w:p>
    <w:p w14:paraId="381AA2D3">
      <w:pPr>
        <w:snapToGrid w:val="0"/>
        <w:spacing w:before="50" w:after="50"/>
        <w:rPr>
          <w:rFonts w:hint="eastAsia" w:ascii="宋体" w:hAnsi="宋体" w:eastAsia="宋体" w:cs="Times New Roman"/>
          <w:sz w:val="24"/>
        </w:rPr>
      </w:pPr>
      <w:r>
        <w:rPr>
          <w:rFonts w:hint="eastAsia" w:ascii="宋体" w:hAnsi="宋体" w:eastAsia="宋体" w:cs="Times New Roman"/>
        </w:rPr>
        <w:t>投标人名称（盖章）：</w:t>
      </w:r>
      <w:r>
        <w:rPr>
          <w:rFonts w:hint="eastAsia" w:ascii="宋体" w:hAnsi="宋体" w:eastAsia="宋体" w:cs="Times New Roman"/>
          <w:spacing w:val="20"/>
        </w:rPr>
        <w:t>日期：</w:t>
      </w:r>
    </w:p>
    <w:p w14:paraId="5F7D3BCE">
      <w:pPr>
        <w:snapToGrid w:val="0"/>
        <w:spacing w:before="50" w:after="156" w:afterLines="50"/>
        <w:jc w:val="left"/>
        <w:rPr>
          <w:rFonts w:hint="eastAsia" w:ascii="宋体" w:hAnsi="宋体" w:eastAsia="宋体" w:cs="Times New Roman"/>
          <w:b/>
          <w:sz w:val="24"/>
        </w:rPr>
      </w:pPr>
    </w:p>
    <w:p w14:paraId="4E95C7B1">
      <w:pPr>
        <w:snapToGrid w:val="0"/>
        <w:spacing w:before="50" w:after="156" w:afterLines="50"/>
        <w:jc w:val="left"/>
        <w:rPr>
          <w:rFonts w:hint="eastAsia" w:ascii="宋体" w:hAnsi="宋体" w:eastAsia="宋体" w:cs="Times New Roman"/>
          <w:b/>
          <w:sz w:val="24"/>
        </w:rPr>
      </w:pPr>
    </w:p>
    <w:p w14:paraId="2AAB2614">
      <w:pPr>
        <w:rPr>
          <w:rFonts w:ascii="Calibri" w:hAnsi="Calibri" w:eastAsia="宋体" w:cs="Times New Roman"/>
        </w:rPr>
      </w:pPr>
    </w:p>
    <w:p w14:paraId="7C778A0D">
      <w:pPr>
        <w:rPr>
          <w:rFonts w:ascii="Calibri" w:hAnsi="Calibri" w:eastAsia="宋体" w:cs="Times New Roman"/>
        </w:rPr>
      </w:pPr>
    </w:p>
    <w:p w14:paraId="5825B6C5">
      <w:pPr>
        <w:rPr>
          <w:rFonts w:hint="eastAsia"/>
        </w:rPr>
      </w:pPr>
    </w:p>
    <w:p w14:paraId="45428E95">
      <w:pPr>
        <w:rPr>
          <w:rFonts w:hint="eastAsia"/>
        </w:rPr>
      </w:pPr>
    </w:p>
    <w:p w14:paraId="77473E40">
      <w:pPr>
        <w:pStyle w:val="3"/>
        <w:ind w:firstLine="210"/>
      </w:pPr>
    </w:p>
    <w:p w14:paraId="12E81B59">
      <w:pPr>
        <w:rPr>
          <w:rFonts w:hint="eastAsia"/>
        </w:rPr>
      </w:pPr>
    </w:p>
    <w:p w14:paraId="697A1927">
      <w:pPr>
        <w:rPr>
          <w:rFonts w:hint="eastAsia"/>
        </w:rPr>
      </w:pPr>
    </w:p>
    <w:p w14:paraId="1FFE10F7">
      <w:pPr>
        <w:pStyle w:val="3"/>
        <w:ind w:firstLine="210"/>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2OcuAe">
    <w:altName w:val="MingLiU-ExtB"/>
    <w:panose1 w:val="00000000000000000000"/>
    <w:charset w:val="88"/>
    <w:family w:val="auto"/>
    <w:pitch w:val="default"/>
    <w:sig w:usb0="00000000" w:usb1="00000000" w:usb2="00000010" w:usb3="00000000" w:csb0="00100000"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使用中文字体)">
    <w:altName w:val="华文仿宋"/>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Marlett">
    <w:panose1 w:val="00000000000000000000"/>
    <w:charset w:val="02"/>
    <w:family w:val="auto"/>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lgerian">
    <w:panose1 w:val="04020705040A02060702"/>
    <w:charset w:val="00"/>
    <w:family w:val="decorative"/>
    <w:pitch w:val="default"/>
    <w:sig w:usb0="00000003"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简体">
    <w:altName w:val="微软雅黑"/>
    <w:panose1 w:val="00000000000000000000"/>
    <w:charset w:val="86"/>
    <w:family w:val="auto"/>
    <w:pitch w:val="default"/>
    <w:sig w:usb0="00000000" w:usb1="00000000" w:usb2="00000010" w:usb3="00000000" w:csb0="00040000" w:csb1="00000000"/>
  </w:font>
  <w:font w:name="Chiller">
    <w:panose1 w:val="04020404031007020602"/>
    <w:charset w:val="00"/>
    <w:family w:val="decorative"/>
    <w:pitch w:val="default"/>
    <w:sig w:usb0="00000003" w:usb1="00000000" w:usb2="00000000" w:usb3="00000000" w:csb0="20000001" w:csb1="00000000"/>
  </w:font>
  <w:font w:name="Arial Unicode MS">
    <w:altName w:val="宋体"/>
    <w:panose1 w:val="020B0604020202020204"/>
    <w:charset w:val="86"/>
    <w:family w:val="roman"/>
    <w:pitch w:val="default"/>
    <w:sig w:usb0="00000000" w:usb1="00000000" w:usb2="0000003F" w:usb3="00000000" w:csb0="603F01FF" w:csb1="FFFF0000"/>
  </w:font>
  <w:font w:name="方正大黑简体">
    <w:altName w:val="黑体"/>
    <w:panose1 w:val="00000000000000000000"/>
    <w:charset w:val="86"/>
    <w:family w:val="auto"/>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
    <w:altName w:val="华文仿宋"/>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Stone Sans">
    <w:altName w:val="华文仿宋"/>
    <w:panose1 w:val="00000000000000000000"/>
    <w:charset w:val="86"/>
    <w:family w:val="auto"/>
    <w:pitch w:val="default"/>
    <w:sig w:usb0="00000000" w:usb1="00000000" w:usb2="00000010" w:usb3="00000000" w:csb0="00040000" w:csb1="00000000"/>
  </w:font>
  <w:font w:name="華康細圓體">
    <w:altName w:val="Microsoft JhengHei"/>
    <w:panose1 w:val="00000000000000000000"/>
    <w:charset w:val="88"/>
    <w:family w:val="auto"/>
    <w:pitch w:val="default"/>
    <w:sig w:usb0="00000000" w:usb1="00000000" w:usb2="00000010" w:usb3="00000000" w:csb0="00100000" w:csb1="00000000"/>
  </w:font>
  <w:font w:name="文鼎粗黑">
    <w:altName w:val="黑体"/>
    <w:panose1 w:val="00000000000000000000"/>
    <w:charset w:val="86"/>
    <w:family w:val="auto"/>
    <w:pitch w:val="default"/>
    <w:sig w:usb0="00000000" w:usb1="00000000" w:usb2="00000010" w:usb3="00000000" w:csb0="00040000" w:csb1="00000000"/>
  </w:font>
  <w:font w:name="H Yg 2gj">
    <w:altName w:val="华文仿宋"/>
    <w:panose1 w:val="00000000000000000000"/>
    <w:charset w:val="86"/>
    <w:family w:val="swiss"/>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HP Simplified Hans Light">
    <w:altName w:val="华文仿宋"/>
    <w:panose1 w:val="00000000000000000000"/>
    <w:charset w:val="86"/>
    <w:family w:val="swiss"/>
    <w:pitch w:val="default"/>
    <w:sig w:usb0="00000000" w:usb1="00000000" w:usb2="00000010" w:usb3="00000000" w:csb0="00040000" w:csb1="00000000"/>
  </w:font>
  <w:font w:name="華康粗圓體">
    <w:altName w:val="Microsoft JhengHei"/>
    <w:panose1 w:val="00000000000000000000"/>
    <w:charset w:val="88"/>
    <w:family w:val="auto"/>
    <w:pitch w:val="default"/>
    <w:sig w:usb0="00000000" w:usb1="00000000" w:usb2="00000010" w:usb3="00000000" w:csb0="00100000" w:csb1="00000000"/>
  </w:font>
  <w:font w:name="Calibri Light">
    <w:panose1 w:val="020F03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创艺简标宋">
    <w:altName w:val="方正舒体"/>
    <w:panose1 w:val="00000000000000000000"/>
    <w:charset w:val="86"/>
    <w:family w:val="auto"/>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3963315"/>
    </w:sdtPr>
    <w:sdtContent>
      <w:p w14:paraId="05F1ECDF">
        <w:pPr>
          <w:pStyle w:val="43"/>
          <w:ind w:left="5250"/>
          <w:jc w:val="right"/>
          <w:rPr>
            <w:rFonts w:hint="eastAsia"/>
          </w:rPr>
        </w:pPr>
        <w:r>
          <w:fldChar w:fldCharType="begin"/>
        </w:r>
        <w:r>
          <w:instrText xml:space="preserve">PAGE   \* MERGEFORMAT</w:instrText>
        </w:r>
        <w:r>
          <w:fldChar w:fldCharType="separate"/>
        </w:r>
        <w:r>
          <w:rPr>
            <w:lang w:val="zh-CN"/>
          </w:rPr>
          <w:t>2</w:t>
        </w:r>
        <w:r>
          <w:fldChar w:fldCharType="end"/>
        </w:r>
      </w:p>
    </w:sdtContent>
  </w:sdt>
  <w:p w14:paraId="365971ED">
    <w:pPr>
      <w:pStyle w:val="43"/>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85ED8">
    <w:pPr>
      <w:pStyle w:val="44"/>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DFE595"/>
    <w:multiLevelType w:val="singleLevel"/>
    <w:tmpl w:val="CDDFE595"/>
    <w:lvl w:ilvl="0" w:tentative="0">
      <w:start w:val="4"/>
      <w:numFmt w:val="decimal"/>
      <w:lvlText w:val="%1."/>
      <w:lvlJc w:val="left"/>
      <w:pPr>
        <w:tabs>
          <w:tab w:val="left" w:pos="312"/>
        </w:tabs>
      </w:pPr>
    </w:lvl>
  </w:abstractNum>
  <w:abstractNum w:abstractNumId="1">
    <w:nsid w:val="00000001"/>
    <w:multiLevelType w:val="singleLevel"/>
    <w:tmpl w:val="00000001"/>
    <w:lvl w:ilvl="0" w:tentative="0">
      <w:start w:val="1"/>
      <w:numFmt w:val="decimal"/>
      <w:pStyle w:val="27"/>
      <w:lvlText w:val="%1."/>
      <w:lvlJc w:val="left"/>
      <w:pPr>
        <w:tabs>
          <w:tab w:val="left" w:pos="360"/>
        </w:tabs>
        <w:ind w:left="360" w:hanging="360"/>
      </w:pPr>
      <w:rPr>
        <w:rFonts w:cs="Times New Roman"/>
      </w:rPr>
    </w:lvl>
  </w:abstractNum>
  <w:abstractNum w:abstractNumId="2">
    <w:nsid w:val="00000002"/>
    <w:multiLevelType w:val="singleLevel"/>
    <w:tmpl w:val="00000002"/>
    <w:lvl w:ilvl="0" w:tentative="0">
      <w:start w:val="1"/>
      <w:numFmt w:val="bullet"/>
      <w:pStyle w:val="128"/>
      <w:lvlText w:val=""/>
      <w:lvlJc w:val="left"/>
      <w:pPr>
        <w:tabs>
          <w:tab w:val="left" w:pos="360"/>
        </w:tabs>
        <w:ind w:left="360" w:hanging="360"/>
      </w:pPr>
      <w:rPr>
        <w:rFonts w:hint="default" w:ascii="Wingdings" w:hAnsi="Wingdings"/>
      </w:rPr>
    </w:lvl>
  </w:abstractNum>
  <w:abstractNum w:abstractNumId="3">
    <w:nsid w:val="00000003"/>
    <w:multiLevelType w:val="multilevel"/>
    <w:tmpl w:val="00000003"/>
    <w:lvl w:ilvl="0" w:tentative="0">
      <w:start w:val="1"/>
      <w:numFmt w:val="japaneseCounting"/>
      <w:lvlText w:val="（%1）"/>
      <w:lvlJc w:val="left"/>
      <w:pPr>
        <w:tabs>
          <w:tab w:val="left" w:pos="735"/>
        </w:tabs>
        <w:ind w:left="735" w:hanging="735"/>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04"/>
    <w:multiLevelType w:val="multilevel"/>
    <w:tmpl w:val="00000004"/>
    <w:lvl w:ilvl="0" w:tentative="0">
      <w:start w:val="1"/>
      <w:numFmt w:val="japaneseCounting"/>
      <w:lvlText w:val="第%1章"/>
      <w:lvlJc w:val="left"/>
      <w:pPr>
        <w:tabs>
          <w:tab w:val="left" w:pos="1440"/>
        </w:tabs>
        <w:ind w:left="1440" w:hanging="1275"/>
      </w:pPr>
      <w:rPr>
        <w:rFonts w:cs="Times New Roman"/>
      </w:rPr>
    </w:lvl>
    <w:lvl w:ilvl="1" w:tentative="0">
      <w:start w:val="1"/>
      <w:numFmt w:val="japaneseCounting"/>
      <w:lvlText w:val="%2、"/>
      <w:lvlJc w:val="left"/>
      <w:pPr>
        <w:tabs>
          <w:tab w:val="left" w:pos="1305"/>
        </w:tabs>
        <w:ind w:left="1305" w:hanging="720"/>
      </w:pPr>
      <w:rPr>
        <w:rFonts w:cs="Times New Roman"/>
      </w:rPr>
    </w:lvl>
    <w:lvl w:ilvl="2" w:tentative="0">
      <w:start w:val="1"/>
      <w:numFmt w:val="lowerRoman"/>
      <w:lvlText w:val="%3."/>
      <w:lvlJc w:val="right"/>
      <w:pPr>
        <w:tabs>
          <w:tab w:val="left" w:pos="1425"/>
        </w:tabs>
        <w:ind w:left="1425" w:hanging="420"/>
      </w:pPr>
      <w:rPr>
        <w:rFonts w:cs="Times New Roman"/>
      </w:rPr>
    </w:lvl>
    <w:lvl w:ilvl="3" w:tentative="0">
      <w:start w:val="1"/>
      <w:numFmt w:val="decimal"/>
      <w:lvlText w:val="%4."/>
      <w:lvlJc w:val="left"/>
      <w:pPr>
        <w:tabs>
          <w:tab w:val="left" w:pos="1845"/>
        </w:tabs>
        <w:ind w:left="1845" w:hanging="420"/>
      </w:pPr>
      <w:rPr>
        <w:rFonts w:cs="Times New Roman"/>
      </w:rPr>
    </w:lvl>
    <w:lvl w:ilvl="4" w:tentative="0">
      <w:start w:val="1"/>
      <w:numFmt w:val="lowerLetter"/>
      <w:lvlText w:val="%5)"/>
      <w:lvlJc w:val="left"/>
      <w:pPr>
        <w:tabs>
          <w:tab w:val="left" w:pos="2265"/>
        </w:tabs>
        <w:ind w:left="2265" w:hanging="420"/>
      </w:pPr>
      <w:rPr>
        <w:rFonts w:cs="Times New Roman"/>
      </w:rPr>
    </w:lvl>
    <w:lvl w:ilvl="5" w:tentative="0">
      <w:start w:val="1"/>
      <w:numFmt w:val="lowerRoman"/>
      <w:lvlText w:val="%6."/>
      <w:lvlJc w:val="right"/>
      <w:pPr>
        <w:tabs>
          <w:tab w:val="left" w:pos="2685"/>
        </w:tabs>
        <w:ind w:left="2685" w:hanging="420"/>
      </w:pPr>
      <w:rPr>
        <w:rFonts w:cs="Times New Roman"/>
      </w:rPr>
    </w:lvl>
    <w:lvl w:ilvl="6" w:tentative="0">
      <w:start w:val="1"/>
      <w:numFmt w:val="decimal"/>
      <w:lvlText w:val="%7."/>
      <w:lvlJc w:val="left"/>
      <w:pPr>
        <w:tabs>
          <w:tab w:val="left" w:pos="3105"/>
        </w:tabs>
        <w:ind w:left="3105" w:hanging="420"/>
      </w:pPr>
      <w:rPr>
        <w:rFonts w:cs="Times New Roman"/>
      </w:rPr>
    </w:lvl>
    <w:lvl w:ilvl="7" w:tentative="0">
      <w:start w:val="1"/>
      <w:numFmt w:val="lowerLetter"/>
      <w:lvlText w:val="%8)"/>
      <w:lvlJc w:val="left"/>
      <w:pPr>
        <w:tabs>
          <w:tab w:val="left" w:pos="3525"/>
        </w:tabs>
        <w:ind w:left="3525" w:hanging="420"/>
      </w:pPr>
      <w:rPr>
        <w:rFonts w:cs="Times New Roman"/>
      </w:rPr>
    </w:lvl>
    <w:lvl w:ilvl="8" w:tentative="0">
      <w:start w:val="1"/>
      <w:numFmt w:val="lowerRoman"/>
      <w:lvlText w:val="%9."/>
      <w:lvlJc w:val="right"/>
      <w:pPr>
        <w:tabs>
          <w:tab w:val="left" w:pos="3945"/>
        </w:tabs>
        <w:ind w:left="3945" w:hanging="420"/>
      </w:pPr>
      <w:rPr>
        <w:rFonts w:cs="Times New Roman"/>
      </w:rPr>
    </w:lvl>
  </w:abstractNum>
  <w:abstractNum w:abstractNumId="5">
    <w:nsid w:val="00000009"/>
    <w:multiLevelType w:val="multilevel"/>
    <w:tmpl w:val="00000009"/>
    <w:lvl w:ilvl="0" w:tentative="0">
      <w:start w:val="1"/>
      <w:numFmt w:val="japaneseCounting"/>
      <w:pStyle w:val="404"/>
      <w:suff w:val="nothing"/>
      <w:lvlText w:val="%1、"/>
      <w:lvlJc w:val="left"/>
      <w:pPr>
        <w:ind w:left="0" w:firstLine="0"/>
      </w:pPr>
      <w:rPr>
        <w:rFonts w:hint="eastAsia" w:ascii="宋体" w:eastAsia="宋体"/>
        <w:b/>
        <w:i w:val="0"/>
        <w:sz w:val="28"/>
      </w:rPr>
    </w:lvl>
    <w:lvl w:ilvl="1" w:tentative="0">
      <w:start w:val="1"/>
      <w:numFmt w:val="japaneseCounting"/>
      <w:pStyle w:val="402"/>
      <w:suff w:val="nothing"/>
      <w:lvlText w:val="（%2）"/>
      <w:lvlJc w:val="left"/>
      <w:pPr>
        <w:ind w:left="0" w:firstLine="0"/>
      </w:pPr>
      <w:rPr>
        <w:rFonts w:hint="eastAsia" w:ascii="宋体" w:eastAsia="宋体"/>
        <w:b/>
        <w:i w:val="0"/>
        <w:sz w:val="24"/>
      </w:rPr>
    </w:lvl>
    <w:lvl w:ilvl="2" w:tentative="0">
      <w:start w:val="1"/>
      <w:numFmt w:val="decimal"/>
      <w:pStyle w:val="400"/>
      <w:lvlText w:val="%1.%2.%3"/>
      <w:lvlJc w:val="left"/>
      <w:pPr>
        <w:ind w:left="0" w:firstLine="0"/>
      </w:pPr>
      <w:rPr>
        <w:rFonts w:hint="eastAsia" w:ascii="宋体" w:eastAsia="宋体"/>
        <w:b/>
        <w:i w:val="0"/>
        <w:sz w:val="24"/>
      </w:rPr>
    </w:lvl>
    <w:lvl w:ilvl="3" w:tentative="0">
      <w:start w:val="1"/>
      <w:numFmt w:val="decimal"/>
      <w:pStyle w:val="399"/>
      <w:lvlText w:val="%1.%2.%3.%4"/>
      <w:lvlJc w:val="left"/>
      <w:pPr>
        <w:ind w:left="0" w:firstLine="0"/>
      </w:pPr>
      <w:rPr>
        <w:rFonts w:hint="eastAsia" w:ascii="宋体" w:eastAsia="宋体"/>
        <w:b/>
        <w:i w:val="0"/>
        <w:sz w:val="21"/>
      </w:rPr>
    </w:lvl>
    <w:lvl w:ilvl="4" w:tentative="0">
      <w:start w:val="1"/>
      <w:numFmt w:val="lowerLetter"/>
      <w:pStyle w:val="708"/>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0000000A"/>
    <w:multiLevelType w:val="multilevel"/>
    <w:tmpl w:val="0000000A"/>
    <w:lvl w:ilvl="0" w:tentative="0">
      <w:start w:val="1"/>
      <w:numFmt w:val="decimal"/>
      <w:pStyle w:val="376"/>
      <w:suff w:val="space"/>
      <w:lvlText w:val="%1."/>
      <w:lvlJc w:val="left"/>
      <w:pPr>
        <w:ind w:left="0" w:firstLine="403"/>
      </w:pPr>
      <w:rPr>
        <w:rFonts w:hint="eastAsia" w:ascii="宋体" w:eastAsia="宋体"/>
        <w:b/>
        <w:i w:val="0"/>
        <w:caps w:val="0"/>
        <w:snapToGrid/>
        <w:vanish w:val="0"/>
        <w:color w:val="000000"/>
        <w:spacing w:val="0"/>
        <w:w w:val="100"/>
        <w:kern w:val="0"/>
        <w:position w:val="0"/>
        <w:sz w:val="21"/>
        <w:u w:val="none"/>
        <w:vertAlign w:val="baseline"/>
      </w:rPr>
    </w:lvl>
    <w:lvl w:ilvl="1" w:tentative="0">
      <w:start w:val="1"/>
      <w:numFmt w:val="decimal"/>
      <w:suff w:val="space"/>
      <w:lvlText w:val="%1.%2"/>
      <w:lvlJc w:val="left"/>
      <w:pPr>
        <w:ind w:left="0" w:firstLine="403"/>
      </w:pPr>
      <w:rPr>
        <w:rFonts w:hint="eastAsia" w:ascii="宋体" w:eastAsia="宋体"/>
        <w:b w:val="0"/>
        <w:i w:val="0"/>
        <w:caps w:val="0"/>
        <w:vanish w:val="0"/>
        <w:color w:val="000000"/>
        <w:sz w:val="21"/>
        <w:vertAlign w:val="baseline"/>
      </w:rPr>
    </w:lvl>
    <w:lvl w:ilvl="2" w:tentative="0">
      <w:start w:val="1"/>
      <w:numFmt w:val="decimal"/>
      <w:pStyle w:val="662"/>
      <w:suff w:val="nothing"/>
      <w:lvlText w:val="%1.%2.%3"/>
      <w:lvlJc w:val="left"/>
      <w:pPr>
        <w:ind w:left="0" w:firstLine="400"/>
      </w:pPr>
      <w:rPr>
        <w:rFonts w:hint="eastAsia" w:ascii="宋体" w:eastAsia="宋体"/>
        <w:b w:val="0"/>
        <w:i w:val="0"/>
        <w:sz w:val="21"/>
      </w:rPr>
    </w:lvl>
    <w:lvl w:ilvl="3" w:tentative="0">
      <w:start w:val="1"/>
      <w:numFmt w:val="decimal"/>
      <w:suff w:val="nothing"/>
      <w:lvlText w:val="%1.%2.%3.%4"/>
      <w:lvlJc w:val="left"/>
      <w:pPr>
        <w:ind w:left="0" w:firstLine="403"/>
      </w:pPr>
      <w:rPr>
        <w:rFonts w:hint="eastAsia"/>
      </w:rPr>
    </w:lvl>
    <w:lvl w:ilvl="4" w:tentative="0">
      <w:start w:val="1"/>
      <w:numFmt w:val="decimal"/>
      <w:suff w:val="nothing"/>
      <w:lvlText w:val="%1.%2.%3.%4.%5"/>
      <w:lvlJc w:val="left"/>
      <w:pPr>
        <w:ind w:left="0" w:firstLine="403"/>
      </w:pPr>
      <w:rPr>
        <w:rFonts w:hint="eastAsia"/>
      </w:rPr>
    </w:lvl>
    <w:lvl w:ilvl="5" w:tentative="0">
      <w:start w:val="1"/>
      <w:numFmt w:val="decimal"/>
      <w:suff w:val="nothing"/>
      <w:lvlText w:val="%1.%2.%3.%4.%5.%6"/>
      <w:lvlJc w:val="left"/>
      <w:pPr>
        <w:ind w:left="0" w:firstLine="403"/>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0AADC6A9"/>
    <w:multiLevelType w:val="singleLevel"/>
    <w:tmpl w:val="0AADC6A9"/>
    <w:lvl w:ilvl="0" w:tentative="0">
      <w:start w:val="2"/>
      <w:numFmt w:val="chineseCounting"/>
      <w:suff w:val="space"/>
      <w:lvlText w:val="第%1章"/>
      <w:lvlJc w:val="left"/>
      <w:rPr>
        <w:rFonts w:hint="eastAsia"/>
      </w:rPr>
    </w:lvl>
  </w:abstractNum>
  <w:abstractNum w:abstractNumId="8">
    <w:nsid w:val="0C34DE15"/>
    <w:multiLevelType w:val="singleLevel"/>
    <w:tmpl w:val="0C34DE15"/>
    <w:lvl w:ilvl="0" w:tentative="0">
      <w:start w:val="1"/>
      <w:numFmt w:val="decimal"/>
      <w:lvlText w:val="%1."/>
      <w:lvlJc w:val="left"/>
      <w:pPr>
        <w:tabs>
          <w:tab w:val="left" w:pos="312"/>
        </w:tabs>
      </w:pPr>
    </w:lvl>
  </w:abstractNum>
  <w:abstractNum w:abstractNumId="9">
    <w:nsid w:val="225A8346"/>
    <w:multiLevelType w:val="singleLevel"/>
    <w:tmpl w:val="225A8346"/>
    <w:lvl w:ilvl="0" w:tentative="0">
      <w:start w:val="1"/>
      <w:numFmt w:val="decimal"/>
      <w:lvlText w:val="%1."/>
      <w:lvlJc w:val="left"/>
      <w:pPr>
        <w:tabs>
          <w:tab w:val="left" w:pos="312"/>
        </w:tabs>
      </w:pPr>
    </w:lvl>
  </w:abstractNum>
  <w:abstractNum w:abstractNumId="10">
    <w:nsid w:val="2811445A"/>
    <w:multiLevelType w:val="multilevel"/>
    <w:tmpl w:val="2811445A"/>
    <w:lvl w:ilvl="0" w:tentative="0">
      <w:start w:val="1"/>
      <w:numFmt w:val="decimalEnclosedCircle"/>
      <w:pStyle w:val="144"/>
      <w:lvlText w:val="%1"/>
      <w:lvlJc w:val="left"/>
      <w:pPr>
        <w:tabs>
          <w:tab w:val="left" w:pos="840"/>
        </w:tabs>
        <w:ind w:left="840" w:hanging="360"/>
      </w:pPr>
      <w:rPr>
        <w:rFonts w:hint="eastAsia" w:ascii="宋体" w:hAnsi="宋体" w:eastAsia="Times New Roman"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1">
    <w:nsid w:val="4DD4552D"/>
    <w:multiLevelType w:val="singleLevel"/>
    <w:tmpl w:val="4DD4552D"/>
    <w:lvl w:ilvl="0" w:tentative="0">
      <w:start w:val="1"/>
      <w:numFmt w:val="decimal"/>
      <w:lvlText w:val="%1."/>
      <w:lvlJc w:val="left"/>
      <w:pPr>
        <w:tabs>
          <w:tab w:val="left" w:pos="312"/>
        </w:tabs>
      </w:pPr>
    </w:lvl>
  </w:abstractNum>
  <w:abstractNum w:abstractNumId="12">
    <w:nsid w:val="6A5C2BDB"/>
    <w:multiLevelType w:val="multilevel"/>
    <w:tmpl w:val="6A5C2BDB"/>
    <w:lvl w:ilvl="0" w:tentative="0">
      <w:start w:val="2"/>
      <w:numFmt w:val="japaneseCounting"/>
      <w:lvlText w:val="（%1）"/>
      <w:lvlJc w:val="left"/>
      <w:pPr>
        <w:ind w:left="1140" w:hanging="7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lvlOverride w:ilvl="0">
      <w:startOverride w:val="1"/>
    </w:lvlOverride>
  </w:num>
  <w:num w:numId="2">
    <w:abstractNumId w:val="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VlZDNiNjc4N2Y5YzJiNWY0NjQxMTBmZmRlYWU5ZTMifQ=="/>
  </w:docVars>
  <w:rsids>
    <w:rsidRoot w:val="00276BF3"/>
    <w:rsid w:val="00001909"/>
    <w:rsid w:val="00005A7C"/>
    <w:rsid w:val="00032364"/>
    <w:rsid w:val="00036C78"/>
    <w:rsid w:val="000529E9"/>
    <w:rsid w:val="000546CE"/>
    <w:rsid w:val="00062C66"/>
    <w:rsid w:val="0007077D"/>
    <w:rsid w:val="00070AE1"/>
    <w:rsid w:val="00072BCE"/>
    <w:rsid w:val="00074FF2"/>
    <w:rsid w:val="00080F3A"/>
    <w:rsid w:val="00081417"/>
    <w:rsid w:val="000932ED"/>
    <w:rsid w:val="000B4839"/>
    <w:rsid w:val="000B4E1E"/>
    <w:rsid w:val="000C2AB4"/>
    <w:rsid w:val="000D0D45"/>
    <w:rsid w:val="000D13DC"/>
    <w:rsid w:val="000D3992"/>
    <w:rsid w:val="000D6C5E"/>
    <w:rsid w:val="000F5E6D"/>
    <w:rsid w:val="000F6008"/>
    <w:rsid w:val="001049C5"/>
    <w:rsid w:val="001118FC"/>
    <w:rsid w:val="001256CF"/>
    <w:rsid w:val="00136EF5"/>
    <w:rsid w:val="001611C0"/>
    <w:rsid w:val="00164141"/>
    <w:rsid w:val="001924FD"/>
    <w:rsid w:val="001A065D"/>
    <w:rsid w:val="001A5899"/>
    <w:rsid w:val="001B3DF8"/>
    <w:rsid w:val="001B758D"/>
    <w:rsid w:val="001C1C1B"/>
    <w:rsid w:val="001C7900"/>
    <w:rsid w:val="001E0541"/>
    <w:rsid w:val="001E347B"/>
    <w:rsid w:val="001E3FEC"/>
    <w:rsid w:val="001E5A25"/>
    <w:rsid w:val="001F13CF"/>
    <w:rsid w:val="0020071A"/>
    <w:rsid w:val="00202AE3"/>
    <w:rsid w:val="00206E84"/>
    <w:rsid w:val="00213004"/>
    <w:rsid w:val="002139E0"/>
    <w:rsid w:val="00231C23"/>
    <w:rsid w:val="0023402D"/>
    <w:rsid w:val="002476FC"/>
    <w:rsid w:val="00250FA8"/>
    <w:rsid w:val="00252080"/>
    <w:rsid w:val="002663D6"/>
    <w:rsid w:val="0027055C"/>
    <w:rsid w:val="00271F21"/>
    <w:rsid w:val="00276BF3"/>
    <w:rsid w:val="00282749"/>
    <w:rsid w:val="002838C5"/>
    <w:rsid w:val="00283C8D"/>
    <w:rsid w:val="00285F07"/>
    <w:rsid w:val="00295BED"/>
    <w:rsid w:val="002A1EF7"/>
    <w:rsid w:val="002B1B72"/>
    <w:rsid w:val="002B3838"/>
    <w:rsid w:val="002C4132"/>
    <w:rsid w:val="002C5E9E"/>
    <w:rsid w:val="002C6E39"/>
    <w:rsid w:val="002E1F6F"/>
    <w:rsid w:val="002F4CED"/>
    <w:rsid w:val="003031F5"/>
    <w:rsid w:val="00307828"/>
    <w:rsid w:val="003126CE"/>
    <w:rsid w:val="003158F6"/>
    <w:rsid w:val="003165C7"/>
    <w:rsid w:val="00323A05"/>
    <w:rsid w:val="00331809"/>
    <w:rsid w:val="003364EC"/>
    <w:rsid w:val="00337041"/>
    <w:rsid w:val="0033784E"/>
    <w:rsid w:val="00345217"/>
    <w:rsid w:val="00357D77"/>
    <w:rsid w:val="00361E3A"/>
    <w:rsid w:val="00366A5A"/>
    <w:rsid w:val="003765FB"/>
    <w:rsid w:val="00386D4F"/>
    <w:rsid w:val="003949EF"/>
    <w:rsid w:val="003A2212"/>
    <w:rsid w:val="003A2E96"/>
    <w:rsid w:val="003B5516"/>
    <w:rsid w:val="003C0562"/>
    <w:rsid w:val="003D0404"/>
    <w:rsid w:val="004002AD"/>
    <w:rsid w:val="004050D7"/>
    <w:rsid w:val="004064C3"/>
    <w:rsid w:val="00407165"/>
    <w:rsid w:val="00412F59"/>
    <w:rsid w:val="00413687"/>
    <w:rsid w:val="004152E2"/>
    <w:rsid w:val="00424B7D"/>
    <w:rsid w:val="00430EF1"/>
    <w:rsid w:val="00431B8D"/>
    <w:rsid w:val="004478F1"/>
    <w:rsid w:val="00447FE0"/>
    <w:rsid w:val="00454D98"/>
    <w:rsid w:val="0045589F"/>
    <w:rsid w:val="00462269"/>
    <w:rsid w:val="00462E61"/>
    <w:rsid w:val="00475182"/>
    <w:rsid w:val="00481FEA"/>
    <w:rsid w:val="004876FB"/>
    <w:rsid w:val="00494007"/>
    <w:rsid w:val="0049430C"/>
    <w:rsid w:val="004958C9"/>
    <w:rsid w:val="004C12A7"/>
    <w:rsid w:val="004C43DD"/>
    <w:rsid w:val="004D43E6"/>
    <w:rsid w:val="004E11DB"/>
    <w:rsid w:val="004E7BBE"/>
    <w:rsid w:val="004F0332"/>
    <w:rsid w:val="004F3745"/>
    <w:rsid w:val="004F5A72"/>
    <w:rsid w:val="00504EA2"/>
    <w:rsid w:val="00506D06"/>
    <w:rsid w:val="00507863"/>
    <w:rsid w:val="0051550A"/>
    <w:rsid w:val="00563594"/>
    <w:rsid w:val="00566397"/>
    <w:rsid w:val="00567B86"/>
    <w:rsid w:val="005763CC"/>
    <w:rsid w:val="005900B1"/>
    <w:rsid w:val="00595BFB"/>
    <w:rsid w:val="005A2D64"/>
    <w:rsid w:val="005A3595"/>
    <w:rsid w:val="005A62AC"/>
    <w:rsid w:val="005D0B62"/>
    <w:rsid w:val="00601584"/>
    <w:rsid w:val="00602B4D"/>
    <w:rsid w:val="00603EDC"/>
    <w:rsid w:val="006137EA"/>
    <w:rsid w:val="00614177"/>
    <w:rsid w:val="006166A7"/>
    <w:rsid w:val="0062339B"/>
    <w:rsid w:val="00625C32"/>
    <w:rsid w:val="00631D21"/>
    <w:rsid w:val="00633123"/>
    <w:rsid w:val="00635592"/>
    <w:rsid w:val="00646B68"/>
    <w:rsid w:val="00653F94"/>
    <w:rsid w:val="006600D5"/>
    <w:rsid w:val="006713E9"/>
    <w:rsid w:val="00672702"/>
    <w:rsid w:val="006811B5"/>
    <w:rsid w:val="00681C26"/>
    <w:rsid w:val="00681D10"/>
    <w:rsid w:val="0068484F"/>
    <w:rsid w:val="00687425"/>
    <w:rsid w:val="00687974"/>
    <w:rsid w:val="006A1774"/>
    <w:rsid w:val="006B121B"/>
    <w:rsid w:val="006B126A"/>
    <w:rsid w:val="006B42AB"/>
    <w:rsid w:val="006C347E"/>
    <w:rsid w:val="006C4648"/>
    <w:rsid w:val="006C4EA3"/>
    <w:rsid w:val="006D3277"/>
    <w:rsid w:val="006D66D9"/>
    <w:rsid w:val="006E13AD"/>
    <w:rsid w:val="006E607B"/>
    <w:rsid w:val="00701385"/>
    <w:rsid w:val="0070256B"/>
    <w:rsid w:val="00702AD0"/>
    <w:rsid w:val="0071386E"/>
    <w:rsid w:val="00713A52"/>
    <w:rsid w:val="00716BC3"/>
    <w:rsid w:val="0072345D"/>
    <w:rsid w:val="00731B9E"/>
    <w:rsid w:val="00732A63"/>
    <w:rsid w:val="00733E90"/>
    <w:rsid w:val="00741436"/>
    <w:rsid w:val="00741ABF"/>
    <w:rsid w:val="00747C1E"/>
    <w:rsid w:val="007552C9"/>
    <w:rsid w:val="00781626"/>
    <w:rsid w:val="0078219F"/>
    <w:rsid w:val="00785563"/>
    <w:rsid w:val="00786562"/>
    <w:rsid w:val="00792BD8"/>
    <w:rsid w:val="007C6FF1"/>
    <w:rsid w:val="007E3A5A"/>
    <w:rsid w:val="007E42D6"/>
    <w:rsid w:val="007E6A58"/>
    <w:rsid w:val="007F0C69"/>
    <w:rsid w:val="007F144B"/>
    <w:rsid w:val="00804D7C"/>
    <w:rsid w:val="00805857"/>
    <w:rsid w:val="00811004"/>
    <w:rsid w:val="00812823"/>
    <w:rsid w:val="00812E74"/>
    <w:rsid w:val="00816922"/>
    <w:rsid w:val="008311C5"/>
    <w:rsid w:val="0084208B"/>
    <w:rsid w:val="00845093"/>
    <w:rsid w:val="00861344"/>
    <w:rsid w:val="00865670"/>
    <w:rsid w:val="008703AE"/>
    <w:rsid w:val="008711BB"/>
    <w:rsid w:val="008809D0"/>
    <w:rsid w:val="008837B8"/>
    <w:rsid w:val="00892C25"/>
    <w:rsid w:val="008A69E6"/>
    <w:rsid w:val="008B0394"/>
    <w:rsid w:val="008B3A5F"/>
    <w:rsid w:val="008B47B3"/>
    <w:rsid w:val="008C45F1"/>
    <w:rsid w:val="008C4BF6"/>
    <w:rsid w:val="008D1D00"/>
    <w:rsid w:val="00901E15"/>
    <w:rsid w:val="00902843"/>
    <w:rsid w:val="00906370"/>
    <w:rsid w:val="0091048F"/>
    <w:rsid w:val="00944CE9"/>
    <w:rsid w:val="009546C0"/>
    <w:rsid w:val="00954BC0"/>
    <w:rsid w:val="009614D5"/>
    <w:rsid w:val="00962B06"/>
    <w:rsid w:val="0096550A"/>
    <w:rsid w:val="00985CB7"/>
    <w:rsid w:val="009A0329"/>
    <w:rsid w:val="009A4E2E"/>
    <w:rsid w:val="009B75A4"/>
    <w:rsid w:val="009B7F29"/>
    <w:rsid w:val="009C0F94"/>
    <w:rsid w:val="009C7E5F"/>
    <w:rsid w:val="009D076E"/>
    <w:rsid w:val="009D3A4F"/>
    <w:rsid w:val="009F0B92"/>
    <w:rsid w:val="009F5C56"/>
    <w:rsid w:val="00A06BF5"/>
    <w:rsid w:val="00A139DC"/>
    <w:rsid w:val="00A2421E"/>
    <w:rsid w:val="00A3295D"/>
    <w:rsid w:val="00A501E4"/>
    <w:rsid w:val="00A546BF"/>
    <w:rsid w:val="00A56352"/>
    <w:rsid w:val="00A616A6"/>
    <w:rsid w:val="00A63F95"/>
    <w:rsid w:val="00A65269"/>
    <w:rsid w:val="00A67D80"/>
    <w:rsid w:val="00A71309"/>
    <w:rsid w:val="00A8194D"/>
    <w:rsid w:val="00A86676"/>
    <w:rsid w:val="00A87727"/>
    <w:rsid w:val="00A920C1"/>
    <w:rsid w:val="00AA0F81"/>
    <w:rsid w:val="00AA6A0A"/>
    <w:rsid w:val="00AB116F"/>
    <w:rsid w:val="00AB5127"/>
    <w:rsid w:val="00AD39C8"/>
    <w:rsid w:val="00AD4BCF"/>
    <w:rsid w:val="00AD692B"/>
    <w:rsid w:val="00AF087D"/>
    <w:rsid w:val="00AF7C4A"/>
    <w:rsid w:val="00B13AE3"/>
    <w:rsid w:val="00B2287F"/>
    <w:rsid w:val="00B24FFD"/>
    <w:rsid w:val="00B27627"/>
    <w:rsid w:val="00B30641"/>
    <w:rsid w:val="00B45D19"/>
    <w:rsid w:val="00B46719"/>
    <w:rsid w:val="00B56AD7"/>
    <w:rsid w:val="00B61DA0"/>
    <w:rsid w:val="00B64070"/>
    <w:rsid w:val="00B654B5"/>
    <w:rsid w:val="00B86CE6"/>
    <w:rsid w:val="00B92BE4"/>
    <w:rsid w:val="00BB5AA3"/>
    <w:rsid w:val="00BC1791"/>
    <w:rsid w:val="00BC1B8D"/>
    <w:rsid w:val="00BD620F"/>
    <w:rsid w:val="00BD6F4E"/>
    <w:rsid w:val="00BD757C"/>
    <w:rsid w:val="00BE3625"/>
    <w:rsid w:val="00BE46DE"/>
    <w:rsid w:val="00BE48E3"/>
    <w:rsid w:val="00C1604E"/>
    <w:rsid w:val="00C21FA1"/>
    <w:rsid w:val="00C3275E"/>
    <w:rsid w:val="00C4349A"/>
    <w:rsid w:val="00C436DC"/>
    <w:rsid w:val="00C43B4B"/>
    <w:rsid w:val="00C44963"/>
    <w:rsid w:val="00C45336"/>
    <w:rsid w:val="00C45E7F"/>
    <w:rsid w:val="00C46335"/>
    <w:rsid w:val="00C464D3"/>
    <w:rsid w:val="00C551D4"/>
    <w:rsid w:val="00C57DC5"/>
    <w:rsid w:val="00C644F4"/>
    <w:rsid w:val="00C65E41"/>
    <w:rsid w:val="00C9238B"/>
    <w:rsid w:val="00CA0C60"/>
    <w:rsid w:val="00CA1E96"/>
    <w:rsid w:val="00CA1FA0"/>
    <w:rsid w:val="00CA2086"/>
    <w:rsid w:val="00CA2862"/>
    <w:rsid w:val="00CB1E8D"/>
    <w:rsid w:val="00CB4A67"/>
    <w:rsid w:val="00CB4C78"/>
    <w:rsid w:val="00CC4694"/>
    <w:rsid w:val="00CC46B2"/>
    <w:rsid w:val="00CC61CE"/>
    <w:rsid w:val="00CD3DC6"/>
    <w:rsid w:val="00CD706D"/>
    <w:rsid w:val="00CE29B2"/>
    <w:rsid w:val="00CF309C"/>
    <w:rsid w:val="00CF333A"/>
    <w:rsid w:val="00D02DD5"/>
    <w:rsid w:val="00D10085"/>
    <w:rsid w:val="00D10233"/>
    <w:rsid w:val="00D11A56"/>
    <w:rsid w:val="00D1414B"/>
    <w:rsid w:val="00D26FCE"/>
    <w:rsid w:val="00D32021"/>
    <w:rsid w:val="00D34F22"/>
    <w:rsid w:val="00D47C09"/>
    <w:rsid w:val="00D51998"/>
    <w:rsid w:val="00D54112"/>
    <w:rsid w:val="00D5545A"/>
    <w:rsid w:val="00D600FE"/>
    <w:rsid w:val="00D60AB8"/>
    <w:rsid w:val="00D61335"/>
    <w:rsid w:val="00D80F20"/>
    <w:rsid w:val="00D84EE4"/>
    <w:rsid w:val="00D85B60"/>
    <w:rsid w:val="00D87611"/>
    <w:rsid w:val="00D90010"/>
    <w:rsid w:val="00D922A9"/>
    <w:rsid w:val="00DB6AB6"/>
    <w:rsid w:val="00DB79D0"/>
    <w:rsid w:val="00DC231E"/>
    <w:rsid w:val="00DD0465"/>
    <w:rsid w:val="00DD092D"/>
    <w:rsid w:val="00DD214F"/>
    <w:rsid w:val="00DE129A"/>
    <w:rsid w:val="00DE5950"/>
    <w:rsid w:val="00DF445B"/>
    <w:rsid w:val="00E03FC1"/>
    <w:rsid w:val="00E11F7D"/>
    <w:rsid w:val="00E1291D"/>
    <w:rsid w:val="00E12EE4"/>
    <w:rsid w:val="00E1434B"/>
    <w:rsid w:val="00E233F3"/>
    <w:rsid w:val="00E25A73"/>
    <w:rsid w:val="00E263D2"/>
    <w:rsid w:val="00E32638"/>
    <w:rsid w:val="00E33FFC"/>
    <w:rsid w:val="00E37716"/>
    <w:rsid w:val="00E541E4"/>
    <w:rsid w:val="00E62FB8"/>
    <w:rsid w:val="00E6546F"/>
    <w:rsid w:val="00E70344"/>
    <w:rsid w:val="00E71808"/>
    <w:rsid w:val="00E74853"/>
    <w:rsid w:val="00E7780B"/>
    <w:rsid w:val="00E77C5D"/>
    <w:rsid w:val="00E82E63"/>
    <w:rsid w:val="00E8596D"/>
    <w:rsid w:val="00E87A74"/>
    <w:rsid w:val="00E94FD5"/>
    <w:rsid w:val="00EB29EF"/>
    <w:rsid w:val="00EB7776"/>
    <w:rsid w:val="00EC22AC"/>
    <w:rsid w:val="00EC2701"/>
    <w:rsid w:val="00ED20C5"/>
    <w:rsid w:val="00ED7AAE"/>
    <w:rsid w:val="00EF3B2E"/>
    <w:rsid w:val="00F03D3D"/>
    <w:rsid w:val="00F043FE"/>
    <w:rsid w:val="00F20265"/>
    <w:rsid w:val="00F2065F"/>
    <w:rsid w:val="00F41F22"/>
    <w:rsid w:val="00F4303E"/>
    <w:rsid w:val="00F54C1E"/>
    <w:rsid w:val="00F5504C"/>
    <w:rsid w:val="00F9522A"/>
    <w:rsid w:val="00FA5506"/>
    <w:rsid w:val="00FB4A01"/>
    <w:rsid w:val="00FC3563"/>
    <w:rsid w:val="00FD338B"/>
    <w:rsid w:val="00FD5384"/>
    <w:rsid w:val="00FE0943"/>
    <w:rsid w:val="00FE1781"/>
    <w:rsid w:val="00FE22EF"/>
    <w:rsid w:val="00FE6E5C"/>
    <w:rsid w:val="00FF5CDD"/>
    <w:rsid w:val="011243B7"/>
    <w:rsid w:val="011E0236"/>
    <w:rsid w:val="01310211"/>
    <w:rsid w:val="0159126E"/>
    <w:rsid w:val="01693D70"/>
    <w:rsid w:val="01762172"/>
    <w:rsid w:val="0194674A"/>
    <w:rsid w:val="01AE5122"/>
    <w:rsid w:val="01C71CB0"/>
    <w:rsid w:val="01D230FE"/>
    <w:rsid w:val="01D9415D"/>
    <w:rsid w:val="01EE0B37"/>
    <w:rsid w:val="01F122AD"/>
    <w:rsid w:val="01F62035"/>
    <w:rsid w:val="01FB43DB"/>
    <w:rsid w:val="01FE0EC9"/>
    <w:rsid w:val="021F6ED0"/>
    <w:rsid w:val="022F73A2"/>
    <w:rsid w:val="025925E5"/>
    <w:rsid w:val="026C46FD"/>
    <w:rsid w:val="0291600D"/>
    <w:rsid w:val="029A6482"/>
    <w:rsid w:val="02AC47F6"/>
    <w:rsid w:val="02C552B4"/>
    <w:rsid w:val="030D0562"/>
    <w:rsid w:val="0314794B"/>
    <w:rsid w:val="034026E5"/>
    <w:rsid w:val="03404FEF"/>
    <w:rsid w:val="034F1CBC"/>
    <w:rsid w:val="03602F97"/>
    <w:rsid w:val="03822CFE"/>
    <w:rsid w:val="03A2375F"/>
    <w:rsid w:val="03B62950"/>
    <w:rsid w:val="03B71070"/>
    <w:rsid w:val="03F4380B"/>
    <w:rsid w:val="03F4527E"/>
    <w:rsid w:val="042B2A2D"/>
    <w:rsid w:val="043833BC"/>
    <w:rsid w:val="04475814"/>
    <w:rsid w:val="044C330C"/>
    <w:rsid w:val="04525DA3"/>
    <w:rsid w:val="04784101"/>
    <w:rsid w:val="04A86F85"/>
    <w:rsid w:val="04AF38FD"/>
    <w:rsid w:val="04CB41E8"/>
    <w:rsid w:val="04D338F3"/>
    <w:rsid w:val="04EC5043"/>
    <w:rsid w:val="04F217BD"/>
    <w:rsid w:val="051A6F66"/>
    <w:rsid w:val="052E181F"/>
    <w:rsid w:val="053E0EA6"/>
    <w:rsid w:val="053E392E"/>
    <w:rsid w:val="054D194C"/>
    <w:rsid w:val="055D5D03"/>
    <w:rsid w:val="05826CF8"/>
    <w:rsid w:val="058A40EC"/>
    <w:rsid w:val="05921FB2"/>
    <w:rsid w:val="059C656F"/>
    <w:rsid w:val="05B00BEE"/>
    <w:rsid w:val="05EF3F4F"/>
    <w:rsid w:val="05FC39A4"/>
    <w:rsid w:val="06341C7B"/>
    <w:rsid w:val="065C5B82"/>
    <w:rsid w:val="06654F20"/>
    <w:rsid w:val="067032E2"/>
    <w:rsid w:val="06732DD2"/>
    <w:rsid w:val="067D0C69"/>
    <w:rsid w:val="06930D7E"/>
    <w:rsid w:val="06936FD0"/>
    <w:rsid w:val="06EE06AA"/>
    <w:rsid w:val="06EF238C"/>
    <w:rsid w:val="06F8001C"/>
    <w:rsid w:val="06FB3B03"/>
    <w:rsid w:val="071137D1"/>
    <w:rsid w:val="07124399"/>
    <w:rsid w:val="073D0C76"/>
    <w:rsid w:val="074D3623"/>
    <w:rsid w:val="075E138C"/>
    <w:rsid w:val="077741FC"/>
    <w:rsid w:val="077A4BE5"/>
    <w:rsid w:val="07A1410D"/>
    <w:rsid w:val="07A5520D"/>
    <w:rsid w:val="07A64C4C"/>
    <w:rsid w:val="07E06245"/>
    <w:rsid w:val="07E12AFC"/>
    <w:rsid w:val="07E37AE3"/>
    <w:rsid w:val="07F4255A"/>
    <w:rsid w:val="07FA3C26"/>
    <w:rsid w:val="084A36DA"/>
    <w:rsid w:val="084E78AD"/>
    <w:rsid w:val="085D5AE7"/>
    <w:rsid w:val="088F199B"/>
    <w:rsid w:val="089804D8"/>
    <w:rsid w:val="0899065E"/>
    <w:rsid w:val="089B216C"/>
    <w:rsid w:val="089E3A0A"/>
    <w:rsid w:val="08E25FED"/>
    <w:rsid w:val="08E77E2A"/>
    <w:rsid w:val="08F02CB9"/>
    <w:rsid w:val="08FD4BD5"/>
    <w:rsid w:val="091D7025"/>
    <w:rsid w:val="0926412B"/>
    <w:rsid w:val="093D3223"/>
    <w:rsid w:val="09491E78"/>
    <w:rsid w:val="094D4560"/>
    <w:rsid w:val="095600DF"/>
    <w:rsid w:val="095813E4"/>
    <w:rsid w:val="09722ECD"/>
    <w:rsid w:val="097A7FD3"/>
    <w:rsid w:val="09AD29BF"/>
    <w:rsid w:val="09B47989"/>
    <w:rsid w:val="09BF0765"/>
    <w:rsid w:val="09ED69F7"/>
    <w:rsid w:val="0A036B3E"/>
    <w:rsid w:val="0A0976D6"/>
    <w:rsid w:val="0A0A5BB3"/>
    <w:rsid w:val="0A4E393A"/>
    <w:rsid w:val="0A5B41C5"/>
    <w:rsid w:val="0A63385F"/>
    <w:rsid w:val="0A6C2012"/>
    <w:rsid w:val="0A8B7B1C"/>
    <w:rsid w:val="0A98523E"/>
    <w:rsid w:val="0AB679E1"/>
    <w:rsid w:val="0AD52A48"/>
    <w:rsid w:val="0AE83751"/>
    <w:rsid w:val="0AF142C5"/>
    <w:rsid w:val="0B073AE9"/>
    <w:rsid w:val="0B420FC5"/>
    <w:rsid w:val="0B500317"/>
    <w:rsid w:val="0B9E269F"/>
    <w:rsid w:val="0BA34770"/>
    <w:rsid w:val="0C0A0C3E"/>
    <w:rsid w:val="0C0E5C10"/>
    <w:rsid w:val="0C1661EF"/>
    <w:rsid w:val="0C774C9E"/>
    <w:rsid w:val="0CE638C1"/>
    <w:rsid w:val="0CFD51A3"/>
    <w:rsid w:val="0CFF716D"/>
    <w:rsid w:val="0D026C5D"/>
    <w:rsid w:val="0D040760"/>
    <w:rsid w:val="0D1E7807"/>
    <w:rsid w:val="0D997825"/>
    <w:rsid w:val="0DAB2E51"/>
    <w:rsid w:val="0DB735A4"/>
    <w:rsid w:val="0DBE38E6"/>
    <w:rsid w:val="0DC45CC1"/>
    <w:rsid w:val="0DC611E4"/>
    <w:rsid w:val="0DC679A9"/>
    <w:rsid w:val="0DCA6169"/>
    <w:rsid w:val="0DD3568E"/>
    <w:rsid w:val="0DD423A8"/>
    <w:rsid w:val="0DDC1421"/>
    <w:rsid w:val="0DE545B5"/>
    <w:rsid w:val="0DFF25E8"/>
    <w:rsid w:val="0E286250"/>
    <w:rsid w:val="0E361387"/>
    <w:rsid w:val="0E371F47"/>
    <w:rsid w:val="0E462B7A"/>
    <w:rsid w:val="0E4F6BE7"/>
    <w:rsid w:val="0E5928AD"/>
    <w:rsid w:val="0E664FCA"/>
    <w:rsid w:val="0E72571D"/>
    <w:rsid w:val="0E7E7F4C"/>
    <w:rsid w:val="0E925DBF"/>
    <w:rsid w:val="0ED827CF"/>
    <w:rsid w:val="0EDC1828"/>
    <w:rsid w:val="0EF109E7"/>
    <w:rsid w:val="0F0355F1"/>
    <w:rsid w:val="0F072309"/>
    <w:rsid w:val="0F072534"/>
    <w:rsid w:val="0F1D7D7F"/>
    <w:rsid w:val="0F2A401B"/>
    <w:rsid w:val="0F2D7092"/>
    <w:rsid w:val="0F803E6A"/>
    <w:rsid w:val="0FBA10DE"/>
    <w:rsid w:val="0FDF4796"/>
    <w:rsid w:val="10294501"/>
    <w:rsid w:val="10675755"/>
    <w:rsid w:val="10834129"/>
    <w:rsid w:val="10A32505"/>
    <w:rsid w:val="10AD5132"/>
    <w:rsid w:val="10BA05B4"/>
    <w:rsid w:val="10C203FB"/>
    <w:rsid w:val="10EA565C"/>
    <w:rsid w:val="10F83057"/>
    <w:rsid w:val="116C0B49"/>
    <w:rsid w:val="11904838"/>
    <w:rsid w:val="1199094B"/>
    <w:rsid w:val="11CE7896"/>
    <w:rsid w:val="11FC3C7B"/>
    <w:rsid w:val="120B6C2D"/>
    <w:rsid w:val="12303925"/>
    <w:rsid w:val="12642623"/>
    <w:rsid w:val="1272711A"/>
    <w:rsid w:val="12753AA9"/>
    <w:rsid w:val="12876FEE"/>
    <w:rsid w:val="129624E7"/>
    <w:rsid w:val="12AD31C8"/>
    <w:rsid w:val="12EF726C"/>
    <w:rsid w:val="13025F11"/>
    <w:rsid w:val="136F4E42"/>
    <w:rsid w:val="13BE9BB9"/>
    <w:rsid w:val="13EC47F1"/>
    <w:rsid w:val="14092680"/>
    <w:rsid w:val="14477801"/>
    <w:rsid w:val="146855F8"/>
    <w:rsid w:val="14944D81"/>
    <w:rsid w:val="14A04A70"/>
    <w:rsid w:val="14AD74AF"/>
    <w:rsid w:val="14C75E31"/>
    <w:rsid w:val="14CC7B6B"/>
    <w:rsid w:val="14E34A09"/>
    <w:rsid w:val="14E52B64"/>
    <w:rsid w:val="14EF3F6B"/>
    <w:rsid w:val="14FD54CA"/>
    <w:rsid w:val="150177FB"/>
    <w:rsid w:val="151B6B0E"/>
    <w:rsid w:val="152E3E04"/>
    <w:rsid w:val="154871D8"/>
    <w:rsid w:val="155147A7"/>
    <w:rsid w:val="1555138F"/>
    <w:rsid w:val="1565124C"/>
    <w:rsid w:val="15652E85"/>
    <w:rsid w:val="157224A6"/>
    <w:rsid w:val="15745F09"/>
    <w:rsid w:val="15787ABD"/>
    <w:rsid w:val="15842235"/>
    <w:rsid w:val="158B3E32"/>
    <w:rsid w:val="159A2DD3"/>
    <w:rsid w:val="159A3523"/>
    <w:rsid w:val="15A72575"/>
    <w:rsid w:val="15B80929"/>
    <w:rsid w:val="15C70A44"/>
    <w:rsid w:val="15C947BC"/>
    <w:rsid w:val="15DE6265"/>
    <w:rsid w:val="15ED3F4E"/>
    <w:rsid w:val="16196B4E"/>
    <w:rsid w:val="165508E5"/>
    <w:rsid w:val="16654D46"/>
    <w:rsid w:val="168D7598"/>
    <w:rsid w:val="168E3310"/>
    <w:rsid w:val="169D4E1F"/>
    <w:rsid w:val="169F7CD8"/>
    <w:rsid w:val="16B57320"/>
    <w:rsid w:val="16D927DD"/>
    <w:rsid w:val="16DA0303"/>
    <w:rsid w:val="16DA4A0E"/>
    <w:rsid w:val="16EC2F91"/>
    <w:rsid w:val="171C6B6E"/>
    <w:rsid w:val="1734303C"/>
    <w:rsid w:val="17AC6144"/>
    <w:rsid w:val="17AF353E"/>
    <w:rsid w:val="17C46B8A"/>
    <w:rsid w:val="17FDC41B"/>
    <w:rsid w:val="1813218C"/>
    <w:rsid w:val="18277B4F"/>
    <w:rsid w:val="1830625E"/>
    <w:rsid w:val="18313DE5"/>
    <w:rsid w:val="183A7DBC"/>
    <w:rsid w:val="18D771F0"/>
    <w:rsid w:val="191D13C0"/>
    <w:rsid w:val="192166BD"/>
    <w:rsid w:val="19472589"/>
    <w:rsid w:val="194C6A11"/>
    <w:rsid w:val="196309E6"/>
    <w:rsid w:val="198B3B37"/>
    <w:rsid w:val="19BB266E"/>
    <w:rsid w:val="19E07E8B"/>
    <w:rsid w:val="19F4792E"/>
    <w:rsid w:val="1A0C4B7C"/>
    <w:rsid w:val="1A2B194E"/>
    <w:rsid w:val="1A3F6023"/>
    <w:rsid w:val="1A444411"/>
    <w:rsid w:val="1A49126F"/>
    <w:rsid w:val="1A5B79AD"/>
    <w:rsid w:val="1A7E1D67"/>
    <w:rsid w:val="1A7F48BE"/>
    <w:rsid w:val="1A9829AF"/>
    <w:rsid w:val="1AC437A4"/>
    <w:rsid w:val="1AC87DF6"/>
    <w:rsid w:val="1AE41098"/>
    <w:rsid w:val="1AE532AF"/>
    <w:rsid w:val="1AFB72AE"/>
    <w:rsid w:val="1B030C66"/>
    <w:rsid w:val="1B0818E3"/>
    <w:rsid w:val="1B3A75C2"/>
    <w:rsid w:val="1B5643DB"/>
    <w:rsid w:val="1B81532C"/>
    <w:rsid w:val="1B842515"/>
    <w:rsid w:val="1BAC5F55"/>
    <w:rsid w:val="1BB06BA6"/>
    <w:rsid w:val="1BC534F8"/>
    <w:rsid w:val="1BC81E14"/>
    <w:rsid w:val="1BE85FD5"/>
    <w:rsid w:val="1BEE5DF1"/>
    <w:rsid w:val="1BF12377"/>
    <w:rsid w:val="1C1918CE"/>
    <w:rsid w:val="1C27522E"/>
    <w:rsid w:val="1C33298F"/>
    <w:rsid w:val="1C4B6E6A"/>
    <w:rsid w:val="1C4F3541"/>
    <w:rsid w:val="1C7C20CC"/>
    <w:rsid w:val="1C8832E6"/>
    <w:rsid w:val="1C8F3637"/>
    <w:rsid w:val="1C9553F8"/>
    <w:rsid w:val="1CBA23B3"/>
    <w:rsid w:val="1CC16350"/>
    <w:rsid w:val="1D0D65B3"/>
    <w:rsid w:val="1D0E6B73"/>
    <w:rsid w:val="1D15F42A"/>
    <w:rsid w:val="1D2E13A9"/>
    <w:rsid w:val="1D3151EA"/>
    <w:rsid w:val="1D3F66C7"/>
    <w:rsid w:val="1D4E2356"/>
    <w:rsid w:val="1DFF59CE"/>
    <w:rsid w:val="1E37428D"/>
    <w:rsid w:val="1E403142"/>
    <w:rsid w:val="1E4B73EA"/>
    <w:rsid w:val="1E4F2254"/>
    <w:rsid w:val="1E5163AB"/>
    <w:rsid w:val="1E5D1F46"/>
    <w:rsid w:val="1E5F051E"/>
    <w:rsid w:val="1E893898"/>
    <w:rsid w:val="1EC52D7D"/>
    <w:rsid w:val="1EEC32CA"/>
    <w:rsid w:val="1EF1268E"/>
    <w:rsid w:val="1F43738D"/>
    <w:rsid w:val="1F597889"/>
    <w:rsid w:val="1F881244"/>
    <w:rsid w:val="1F8D0609"/>
    <w:rsid w:val="1F9910B9"/>
    <w:rsid w:val="1F9FA9C4"/>
    <w:rsid w:val="1FD652E4"/>
    <w:rsid w:val="1FF7289F"/>
    <w:rsid w:val="20735A50"/>
    <w:rsid w:val="207D4006"/>
    <w:rsid w:val="207F5A82"/>
    <w:rsid w:val="20831A80"/>
    <w:rsid w:val="213B45E6"/>
    <w:rsid w:val="213F5933"/>
    <w:rsid w:val="217E6023"/>
    <w:rsid w:val="218E0668"/>
    <w:rsid w:val="219C0FD7"/>
    <w:rsid w:val="21D02A2F"/>
    <w:rsid w:val="21DA0CCF"/>
    <w:rsid w:val="21E7182E"/>
    <w:rsid w:val="222114DC"/>
    <w:rsid w:val="223D47BB"/>
    <w:rsid w:val="226A2E83"/>
    <w:rsid w:val="22820666"/>
    <w:rsid w:val="22A02719"/>
    <w:rsid w:val="22A04AD7"/>
    <w:rsid w:val="22D34080"/>
    <w:rsid w:val="22DF73CD"/>
    <w:rsid w:val="22E22D4A"/>
    <w:rsid w:val="22EE5862"/>
    <w:rsid w:val="22F56BF1"/>
    <w:rsid w:val="22F73BE9"/>
    <w:rsid w:val="231A6657"/>
    <w:rsid w:val="23337719"/>
    <w:rsid w:val="233E0A23"/>
    <w:rsid w:val="23582CDC"/>
    <w:rsid w:val="23757D3B"/>
    <w:rsid w:val="23C860B3"/>
    <w:rsid w:val="240412CD"/>
    <w:rsid w:val="240B134B"/>
    <w:rsid w:val="2479115B"/>
    <w:rsid w:val="24853FA4"/>
    <w:rsid w:val="249C0298"/>
    <w:rsid w:val="249C3717"/>
    <w:rsid w:val="24C7636B"/>
    <w:rsid w:val="24D82172"/>
    <w:rsid w:val="24ED119F"/>
    <w:rsid w:val="24FC3081"/>
    <w:rsid w:val="251105A7"/>
    <w:rsid w:val="2519649B"/>
    <w:rsid w:val="2533530F"/>
    <w:rsid w:val="25357D1C"/>
    <w:rsid w:val="255928EB"/>
    <w:rsid w:val="259A75DB"/>
    <w:rsid w:val="25B26D5A"/>
    <w:rsid w:val="25BF34E6"/>
    <w:rsid w:val="25CA011E"/>
    <w:rsid w:val="25F96224"/>
    <w:rsid w:val="25FF4083"/>
    <w:rsid w:val="26356F09"/>
    <w:rsid w:val="26395046"/>
    <w:rsid w:val="267E0CAB"/>
    <w:rsid w:val="26F121F0"/>
    <w:rsid w:val="26F3726F"/>
    <w:rsid w:val="26F70A5D"/>
    <w:rsid w:val="26F83ECA"/>
    <w:rsid w:val="270D292B"/>
    <w:rsid w:val="2714160F"/>
    <w:rsid w:val="27221CB1"/>
    <w:rsid w:val="27332D60"/>
    <w:rsid w:val="273477E1"/>
    <w:rsid w:val="274243CE"/>
    <w:rsid w:val="276854B7"/>
    <w:rsid w:val="27992472"/>
    <w:rsid w:val="27A33318"/>
    <w:rsid w:val="27BC580C"/>
    <w:rsid w:val="27DD40F7"/>
    <w:rsid w:val="27ED000E"/>
    <w:rsid w:val="27F21951"/>
    <w:rsid w:val="280C74C5"/>
    <w:rsid w:val="280D0AF9"/>
    <w:rsid w:val="28702875"/>
    <w:rsid w:val="28A03AF9"/>
    <w:rsid w:val="28A6098D"/>
    <w:rsid w:val="28A8200F"/>
    <w:rsid w:val="28B60BD0"/>
    <w:rsid w:val="28C037FD"/>
    <w:rsid w:val="28F43F3F"/>
    <w:rsid w:val="29084248"/>
    <w:rsid w:val="294F2AF5"/>
    <w:rsid w:val="295D54F0"/>
    <w:rsid w:val="29614C3E"/>
    <w:rsid w:val="29890448"/>
    <w:rsid w:val="29AC1FD3"/>
    <w:rsid w:val="29AC5B2F"/>
    <w:rsid w:val="29DF0E57"/>
    <w:rsid w:val="2A103412"/>
    <w:rsid w:val="2A3C5105"/>
    <w:rsid w:val="2A475AEA"/>
    <w:rsid w:val="2A72028B"/>
    <w:rsid w:val="2A9C442F"/>
    <w:rsid w:val="2AA44A58"/>
    <w:rsid w:val="2AC46EA9"/>
    <w:rsid w:val="2AD90BA6"/>
    <w:rsid w:val="2B136138"/>
    <w:rsid w:val="2B1A58CC"/>
    <w:rsid w:val="2B2F386A"/>
    <w:rsid w:val="2B2F79BD"/>
    <w:rsid w:val="2BA02E46"/>
    <w:rsid w:val="2BB13A9B"/>
    <w:rsid w:val="2BB1567F"/>
    <w:rsid w:val="2BBF1BD7"/>
    <w:rsid w:val="2BE30AA4"/>
    <w:rsid w:val="2C2B3683"/>
    <w:rsid w:val="2C344011"/>
    <w:rsid w:val="2C723060"/>
    <w:rsid w:val="2C73502A"/>
    <w:rsid w:val="2C907843"/>
    <w:rsid w:val="2C931228"/>
    <w:rsid w:val="2C9C14B1"/>
    <w:rsid w:val="2CAC2C30"/>
    <w:rsid w:val="2CB62F03"/>
    <w:rsid w:val="2CCD64E8"/>
    <w:rsid w:val="2CD0422B"/>
    <w:rsid w:val="2D572256"/>
    <w:rsid w:val="2DA51213"/>
    <w:rsid w:val="2DE7EB9F"/>
    <w:rsid w:val="2DE955A4"/>
    <w:rsid w:val="2DEA7714"/>
    <w:rsid w:val="2DF6F328"/>
    <w:rsid w:val="2DFC3ED8"/>
    <w:rsid w:val="2E2270BF"/>
    <w:rsid w:val="2E3507E9"/>
    <w:rsid w:val="2E3B76DD"/>
    <w:rsid w:val="2E503607"/>
    <w:rsid w:val="2E951288"/>
    <w:rsid w:val="2EC660EE"/>
    <w:rsid w:val="2ED15F5E"/>
    <w:rsid w:val="2ED56B63"/>
    <w:rsid w:val="2EDF2CF6"/>
    <w:rsid w:val="2EF44200"/>
    <w:rsid w:val="2F000DF7"/>
    <w:rsid w:val="2F2A5E74"/>
    <w:rsid w:val="2F2B5748"/>
    <w:rsid w:val="2F3B32FA"/>
    <w:rsid w:val="2F6463A7"/>
    <w:rsid w:val="2F662C47"/>
    <w:rsid w:val="2F833124"/>
    <w:rsid w:val="2F954092"/>
    <w:rsid w:val="2FB83480"/>
    <w:rsid w:val="2FBD0FF1"/>
    <w:rsid w:val="2FD9156D"/>
    <w:rsid w:val="2FE35EE7"/>
    <w:rsid w:val="2FF76CD5"/>
    <w:rsid w:val="2FFBF0BC"/>
    <w:rsid w:val="3002294D"/>
    <w:rsid w:val="301724F4"/>
    <w:rsid w:val="30216B85"/>
    <w:rsid w:val="30314FE0"/>
    <w:rsid w:val="304314D8"/>
    <w:rsid w:val="30640F12"/>
    <w:rsid w:val="30725C61"/>
    <w:rsid w:val="30823A8E"/>
    <w:rsid w:val="309C68FD"/>
    <w:rsid w:val="30BD4AC6"/>
    <w:rsid w:val="30CF7E4F"/>
    <w:rsid w:val="30D97819"/>
    <w:rsid w:val="30E6628B"/>
    <w:rsid w:val="30F5600E"/>
    <w:rsid w:val="30F760F8"/>
    <w:rsid w:val="30FF3436"/>
    <w:rsid w:val="31025E73"/>
    <w:rsid w:val="313C1E8F"/>
    <w:rsid w:val="31510FD1"/>
    <w:rsid w:val="31556AAC"/>
    <w:rsid w:val="315C42DF"/>
    <w:rsid w:val="31692558"/>
    <w:rsid w:val="316C131B"/>
    <w:rsid w:val="31772EC7"/>
    <w:rsid w:val="32195012"/>
    <w:rsid w:val="32285C55"/>
    <w:rsid w:val="322A6968"/>
    <w:rsid w:val="326A47D9"/>
    <w:rsid w:val="328E6B65"/>
    <w:rsid w:val="3297F56D"/>
    <w:rsid w:val="329D324D"/>
    <w:rsid w:val="32B37F2E"/>
    <w:rsid w:val="32C37159"/>
    <w:rsid w:val="32D14858"/>
    <w:rsid w:val="32DA5865"/>
    <w:rsid w:val="32FD564D"/>
    <w:rsid w:val="330B1CC5"/>
    <w:rsid w:val="33300D42"/>
    <w:rsid w:val="3337290D"/>
    <w:rsid w:val="3350577D"/>
    <w:rsid w:val="33564077"/>
    <w:rsid w:val="336C0197"/>
    <w:rsid w:val="337A6C9E"/>
    <w:rsid w:val="339616AF"/>
    <w:rsid w:val="33A231F5"/>
    <w:rsid w:val="33A51F6D"/>
    <w:rsid w:val="33CD13CF"/>
    <w:rsid w:val="33CD74FE"/>
    <w:rsid w:val="33F76C88"/>
    <w:rsid w:val="34373437"/>
    <w:rsid w:val="343C0E65"/>
    <w:rsid w:val="344D35BF"/>
    <w:rsid w:val="345C0152"/>
    <w:rsid w:val="346911EC"/>
    <w:rsid w:val="34727975"/>
    <w:rsid w:val="348C22ED"/>
    <w:rsid w:val="349124F1"/>
    <w:rsid w:val="34C06933"/>
    <w:rsid w:val="34C21D26"/>
    <w:rsid w:val="34FA6E73"/>
    <w:rsid w:val="34FB796B"/>
    <w:rsid w:val="35301D0A"/>
    <w:rsid w:val="35351F36"/>
    <w:rsid w:val="35431A3E"/>
    <w:rsid w:val="354B444E"/>
    <w:rsid w:val="355317BE"/>
    <w:rsid w:val="35622C71"/>
    <w:rsid w:val="35CC29F6"/>
    <w:rsid w:val="35D35274"/>
    <w:rsid w:val="35D5415D"/>
    <w:rsid w:val="36251011"/>
    <w:rsid w:val="36AA1648"/>
    <w:rsid w:val="36B137E8"/>
    <w:rsid w:val="36D1697E"/>
    <w:rsid w:val="36DF5796"/>
    <w:rsid w:val="37044CAB"/>
    <w:rsid w:val="372C4753"/>
    <w:rsid w:val="372E04CB"/>
    <w:rsid w:val="372F1B4E"/>
    <w:rsid w:val="374578DC"/>
    <w:rsid w:val="37647A49"/>
    <w:rsid w:val="378821CC"/>
    <w:rsid w:val="378B3228"/>
    <w:rsid w:val="37946454"/>
    <w:rsid w:val="37B79D2B"/>
    <w:rsid w:val="37D72911"/>
    <w:rsid w:val="37DF431C"/>
    <w:rsid w:val="37E666B0"/>
    <w:rsid w:val="37FB617A"/>
    <w:rsid w:val="38060B00"/>
    <w:rsid w:val="381A45AC"/>
    <w:rsid w:val="383733B0"/>
    <w:rsid w:val="383D3652"/>
    <w:rsid w:val="384B1DA2"/>
    <w:rsid w:val="3868339E"/>
    <w:rsid w:val="386A0E52"/>
    <w:rsid w:val="38786CAE"/>
    <w:rsid w:val="38AE740E"/>
    <w:rsid w:val="38B962A4"/>
    <w:rsid w:val="38CC67F7"/>
    <w:rsid w:val="38EB631B"/>
    <w:rsid w:val="391060DB"/>
    <w:rsid w:val="393A0F20"/>
    <w:rsid w:val="39822409"/>
    <w:rsid w:val="39A75836"/>
    <w:rsid w:val="39F63CEA"/>
    <w:rsid w:val="3A33699A"/>
    <w:rsid w:val="3A3E1F9C"/>
    <w:rsid w:val="3A48156B"/>
    <w:rsid w:val="3A781526"/>
    <w:rsid w:val="3ADD00EB"/>
    <w:rsid w:val="3ADD023E"/>
    <w:rsid w:val="3AF9494C"/>
    <w:rsid w:val="3B021A53"/>
    <w:rsid w:val="3B102C79"/>
    <w:rsid w:val="3B125436"/>
    <w:rsid w:val="3B35724B"/>
    <w:rsid w:val="3B364AD1"/>
    <w:rsid w:val="3B457B92"/>
    <w:rsid w:val="3B653AFE"/>
    <w:rsid w:val="3B9F7093"/>
    <w:rsid w:val="3BA05780"/>
    <w:rsid w:val="3BB54D17"/>
    <w:rsid w:val="3BC62A80"/>
    <w:rsid w:val="3BD85BD5"/>
    <w:rsid w:val="3BEA0F0F"/>
    <w:rsid w:val="3BFA1DF4"/>
    <w:rsid w:val="3C1B4758"/>
    <w:rsid w:val="3C361097"/>
    <w:rsid w:val="3C447867"/>
    <w:rsid w:val="3C7721BF"/>
    <w:rsid w:val="3C9E74B9"/>
    <w:rsid w:val="3CAF5C0A"/>
    <w:rsid w:val="3CC821AD"/>
    <w:rsid w:val="3CCD1DA9"/>
    <w:rsid w:val="3CDE455B"/>
    <w:rsid w:val="3D147027"/>
    <w:rsid w:val="3D224DE9"/>
    <w:rsid w:val="3D291AA6"/>
    <w:rsid w:val="3D2C5E89"/>
    <w:rsid w:val="3D3F4E19"/>
    <w:rsid w:val="3D5B4EAA"/>
    <w:rsid w:val="3D6D56CD"/>
    <w:rsid w:val="3D7338D9"/>
    <w:rsid w:val="3D8175A7"/>
    <w:rsid w:val="3D8F067A"/>
    <w:rsid w:val="3DA24BB0"/>
    <w:rsid w:val="3DA908AC"/>
    <w:rsid w:val="3DAB794E"/>
    <w:rsid w:val="3DB80AEF"/>
    <w:rsid w:val="3DCFD675"/>
    <w:rsid w:val="3DDE73B6"/>
    <w:rsid w:val="3DDF1F81"/>
    <w:rsid w:val="3DE91409"/>
    <w:rsid w:val="3E0411AE"/>
    <w:rsid w:val="3E0C4997"/>
    <w:rsid w:val="3E1C6396"/>
    <w:rsid w:val="3E2E70EF"/>
    <w:rsid w:val="3E3208A1"/>
    <w:rsid w:val="3E324F97"/>
    <w:rsid w:val="3E3E1A84"/>
    <w:rsid w:val="3E4203B8"/>
    <w:rsid w:val="3E43485C"/>
    <w:rsid w:val="3E4D234E"/>
    <w:rsid w:val="3E5E7173"/>
    <w:rsid w:val="3E7264FF"/>
    <w:rsid w:val="3E8648AE"/>
    <w:rsid w:val="3E8E0DB8"/>
    <w:rsid w:val="3E9055C8"/>
    <w:rsid w:val="3EA80B63"/>
    <w:rsid w:val="3EBE0F77"/>
    <w:rsid w:val="3EC722BE"/>
    <w:rsid w:val="3EEB3DF8"/>
    <w:rsid w:val="3EF1250A"/>
    <w:rsid w:val="3EFED8A8"/>
    <w:rsid w:val="3F033FEC"/>
    <w:rsid w:val="3F314E39"/>
    <w:rsid w:val="3F367F1D"/>
    <w:rsid w:val="3F5D116F"/>
    <w:rsid w:val="3F6FC61D"/>
    <w:rsid w:val="3F7A3E2D"/>
    <w:rsid w:val="3F98009B"/>
    <w:rsid w:val="3F9D7F9C"/>
    <w:rsid w:val="3F9E5AC2"/>
    <w:rsid w:val="3FAF04C4"/>
    <w:rsid w:val="3FBA5C5A"/>
    <w:rsid w:val="3FBE5436"/>
    <w:rsid w:val="3FF3CAEC"/>
    <w:rsid w:val="3FF70FD6"/>
    <w:rsid w:val="3FFFF19F"/>
    <w:rsid w:val="4013200C"/>
    <w:rsid w:val="40185875"/>
    <w:rsid w:val="403066E3"/>
    <w:rsid w:val="404605CF"/>
    <w:rsid w:val="404B3E9C"/>
    <w:rsid w:val="40582115"/>
    <w:rsid w:val="405C7E57"/>
    <w:rsid w:val="408E08DA"/>
    <w:rsid w:val="409C0254"/>
    <w:rsid w:val="40A1586A"/>
    <w:rsid w:val="40C923A6"/>
    <w:rsid w:val="40D1448E"/>
    <w:rsid w:val="40D774DE"/>
    <w:rsid w:val="40EB4D37"/>
    <w:rsid w:val="40F938F8"/>
    <w:rsid w:val="410C6521"/>
    <w:rsid w:val="412D35A2"/>
    <w:rsid w:val="41417FB7"/>
    <w:rsid w:val="41676AB4"/>
    <w:rsid w:val="41742F7F"/>
    <w:rsid w:val="41934623"/>
    <w:rsid w:val="419D24D5"/>
    <w:rsid w:val="41AF1136"/>
    <w:rsid w:val="41C0099D"/>
    <w:rsid w:val="41CA1EAB"/>
    <w:rsid w:val="41CC2DBB"/>
    <w:rsid w:val="41D25BC6"/>
    <w:rsid w:val="41F4274F"/>
    <w:rsid w:val="420339DD"/>
    <w:rsid w:val="420D21C8"/>
    <w:rsid w:val="421173B5"/>
    <w:rsid w:val="42366486"/>
    <w:rsid w:val="4246491B"/>
    <w:rsid w:val="425F0874"/>
    <w:rsid w:val="42664196"/>
    <w:rsid w:val="427801DC"/>
    <w:rsid w:val="42887AC6"/>
    <w:rsid w:val="428B45AA"/>
    <w:rsid w:val="429F519C"/>
    <w:rsid w:val="42AB79EA"/>
    <w:rsid w:val="42AD499A"/>
    <w:rsid w:val="42E451E4"/>
    <w:rsid w:val="42F44377"/>
    <w:rsid w:val="430B5AB0"/>
    <w:rsid w:val="433C187A"/>
    <w:rsid w:val="4349650B"/>
    <w:rsid w:val="4395089F"/>
    <w:rsid w:val="43A8628C"/>
    <w:rsid w:val="43AF4742"/>
    <w:rsid w:val="43F03412"/>
    <w:rsid w:val="43F62371"/>
    <w:rsid w:val="44044A8E"/>
    <w:rsid w:val="442A42CA"/>
    <w:rsid w:val="44462C14"/>
    <w:rsid w:val="444A7FC7"/>
    <w:rsid w:val="444E3F5B"/>
    <w:rsid w:val="44823C05"/>
    <w:rsid w:val="44915BF6"/>
    <w:rsid w:val="44936E41"/>
    <w:rsid w:val="44B518E4"/>
    <w:rsid w:val="44C2210F"/>
    <w:rsid w:val="44ED72D0"/>
    <w:rsid w:val="44F821EC"/>
    <w:rsid w:val="44FF34A7"/>
    <w:rsid w:val="45011D41"/>
    <w:rsid w:val="45196317"/>
    <w:rsid w:val="451F3201"/>
    <w:rsid w:val="454702B7"/>
    <w:rsid w:val="455F50A9"/>
    <w:rsid w:val="45770A41"/>
    <w:rsid w:val="458C0991"/>
    <w:rsid w:val="45DD5596"/>
    <w:rsid w:val="45E9646F"/>
    <w:rsid w:val="45FF375F"/>
    <w:rsid w:val="46054EFF"/>
    <w:rsid w:val="460B79E3"/>
    <w:rsid w:val="46113492"/>
    <w:rsid w:val="461D1E37"/>
    <w:rsid w:val="462A6302"/>
    <w:rsid w:val="463158E2"/>
    <w:rsid w:val="463333B8"/>
    <w:rsid w:val="463A6393"/>
    <w:rsid w:val="46651743"/>
    <w:rsid w:val="46663D11"/>
    <w:rsid w:val="46731A57"/>
    <w:rsid w:val="467D5213"/>
    <w:rsid w:val="468B4FF2"/>
    <w:rsid w:val="46971BE9"/>
    <w:rsid w:val="46C329DE"/>
    <w:rsid w:val="46E04CED"/>
    <w:rsid w:val="46F1479A"/>
    <w:rsid w:val="46FD57C4"/>
    <w:rsid w:val="46FD6304"/>
    <w:rsid w:val="4714670E"/>
    <w:rsid w:val="472674C8"/>
    <w:rsid w:val="472F2356"/>
    <w:rsid w:val="4733065F"/>
    <w:rsid w:val="473513C9"/>
    <w:rsid w:val="473C009B"/>
    <w:rsid w:val="474E4E09"/>
    <w:rsid w:val="47596E9F"/>
    <w:rsid w:val="475E4E78"/>
    <w:rsid w:val="478B535D"/>
    <w:rsid w:val="47966AF3"/>
    <w:rsid w:val="47A8312D"/>
    <w:rsid w:val="47B607B1"/>
    <w:rsid w:val="47EB2161"/>
    <w:rsid w:val="48033D20"/>
    <w:rsid w:val="48157529"/>
    <w:rsid w:val="481B23A6"/>
    <w:rsid w:val="482E032B"/>
    <w:rsid w:val="48305E1A"/>
    <w:rsid w:val="488A445F"/>
    <w:rsid w:val="489F2FD7"/>
    <w:rsid w:val="48A65332"/>
    <w:rsid w:val="48B102D4"/>
    <w:rsid w:val="48FA645F"/>
    <w:rsid w:val="491465B8"/>
    <w:rsid w:val="49234E8C"/>
    <w:rsid w:val="493801AD"/>
    <w:rsid w:val="49614097"/>
    <w:rsid w:val="49646232"/>
    <w:rsid w:val="4972249A"/>
    <w:rsid w:val="497E15BE"/>
    <w:rsid w:val="49896CB2"/>
    <w:rsid w:val="498B1A71"/>
    <w:rsid w:val="49A21DA1"/>
    <w:rsid w:val="49A5461D"/>
    <w:rsid w:val="49A60395"/>
    <w:rsid w:val="49C91C9A"/>
    <w:rsid w:val="49CC4853"/>
    <w:rsid w:val="49DF0C57"/>
    <w:rsid w:val="49EA0282"/>
    <w:rsid w:val="49FC1B85"/>
    <w:rsid w:val="4A08695A"/>
    <w:rsid w:val="4A361967"/>
    <w:rsid w:val="4A383D0D"/>
    <w:rsid w:val="4A534079"/>
    <w:rsid w:val="4A6130DB"/>
    <w:rsid w:val="4A62606A"/>
    <w:rsid w:val="4A6A3171"/>
    <w:rsid w:val="4A7C2315"/>
    <w:rsid w:val="4A914BA1"/>
    <w:rsid w:val="4AA01CFD"/>
    <w:rsid w:val="4AA743C5"/>
    <w:rsid w:val="4AE051E1"/>
    <w:rsid w:val="4AEE78FE"/>
    <w:rsid w:val="4B0B04B0"/>
    <w:rsid w:val="4B226DD3"/>
    <w:rsid w:val="4B4A7B6F"/>
    <w:rsid w:val="4B69318E"/>
    <w:rsid w:val="4B6E1FC8"/>
    <w:rsid w:val="4B793F28"/>
    <w:rsid w:val="4BA853BD"/>
    <w:rsid w:val="4BAB1C93"/>
    <w:rsid w:val="4BAF12B3"/>
    <w:rsid w:val="4BD411EA"/>
    <w:rsid w:val="4BD5286C"/>
    <w:rsid w:val="4BD74836"/>
    <w:rsid w:val="4BDE1A40"/>
    <w:rsid w:val="4BFA71B5"/>
    <w:rsid w:val="4C1C371B"/>
    <w:rsid w:val="4C436F62"/>
    <w:rsid w:val="4C486B77"/>
    <w:rsid w:val="4C7F5B38"/>
    <w:rsid w:val="4C8248BD"/>
    <w:rsid w:val="4C927F2F"/>
    <w:rsid w:val="4CAB25D9"/>
    <w:rsid w:val="4CB80446"/>
    <w:rsid w:val="4CD86AB8"/>
    <w:rsid w:val="4CDE6D29"/>
    <w:rsid w:val="4CFE7C69"/>
    <w:rsid w:val="4D21521F"/>
    <w:rsid w:val="4D693BB4"/>
    <w:rsid w:val="4D7372A0"/>
    <w:rsid w:val="4D97427D"/>
    <w:rsid w:val="4DA92202"/>
    <w:rsid w:val="4DCA3B12"/>
    <w:rsid w:val="4DDFDB34"/>
    <w:rsid w:val="4DE312B8"/>
    <w:rsid w:val="4DF23BA9"/>
    <w:rsid w:val="4DF56827"/>
    <w:rsid w:val="4DFC667B"/>
    <w:rsid w:val="4DFE42FC"/>
    <w:rsid w:val="4E067654"/>
    <w:rsid w:val="4E257040"/>
    <w:rsid w:val="4E512610"/>
    <w:rsid w:val="4E6A7577"/>
    <w:rsid w:val="4E6B74B7"/>
    <w:rsid w:val="4E726A98"/>
    <w:rsid w:val="4E775E5C"/>
    <w:rsid w:val="4E9B2306"/>
    <w:rsid w:val="4EB4216F"/>
    <w:rsid w:val="4EBA6128"/>
    <w:rsid w:val="4ED956A2"/>
    <w:rsid w:val="4EEA6215"/>
    <w:rsid w:val="4EEF1E97"/>
    <w:rsid w:val="4EFD498B"/>
    <w:rsid w:val="4F043B94"/>
    <w:rsid w:val="4F3B50DC"/>
    <w:rsid w:val="4F4026F2"/>
    <w:rsid w:val="4F45079D"/>
    <w:rsid w:val="4F451D9C"/>
    <w:rsid w:val="4F493920"/>
    <w:rsid w:val="4F5D4A66"/>
    <w:rsid w:val="4F697E9B"/>
    <w:rsid w:val="4F905657"/>
    <w:rsid w:val="4FB271AA"/>
    <w:rsid w:val="4FBF2665"/>
    <w:rsid w:val="4FC7336D"/>
    <w:rsid w:val="4FE329BA"/>
    <w:rsid w:val="4FEED003"/>
    <w:rsid w:val="50113E8E"/>
    <w:rsid w:val="50194557"/>
    <w:rsid w:val="50231A83"/>
    <w:rsid w:val="502F6ABC"/>
    <w:rsid w:val="503E1E40"/>
    <w:rsid w:val="504B75A0"/>
    <w:rsid w:val="50552EE4"/>
    <w:rsid w:val="505A56D9"/>
    <w:rsid w:val="508126D0"/>
    <w:rsid w:val="50946075"/>
    <w:rsid w:val="50A53BED"/>
    <w:rsid w:val="50D06F2B"/>
    <w:rsid w:val="50D21A70"/>
    <w:rsid w:val="50E2389B"/>
    <w:rsid w:val="510F05CE"/>
    <w:rsid w:val="51206DA9"/>
    <w:rsid w:val="51292A1B"/>
    <w:rsid w:val="512978E2"/>
    <w:rsid w:val="518D60D8"/>
    <w:rsid w:val="51962A9D"/>
    <w:rsid w:val="52096D27"/>
    <w:rsid w:val="521C5DB3"/>
    <w:rsid w:val="522401F4"/>
    <w:rsid w:val="523D0C8A"/>
    <w:rsid w:val="52416EAD"/>
    <w:rsid w:val="524349D3"/>
    <w:rsid w:val="52572C69"/>
    <w:rsid w:val="52650568"/>
    <w:rsid w:val="5295167A"/>
    <w:rsid w:val="52C4389B"/>
    <w:rsid w:val="52E97135"/>
    <w:rsid w:val="530F430D"/>
    <w:rsid w:val="53313A9A"/>
    <w:rsid w:val="5334256E"/>
    <w:rsid w:val="535B4456"/>
    <w:rsid w:val="53CA4B2D"/>
    <w:rsid w:val="53CC6EFE"/>
    <w:rsid w:val="53DCDC81"/>
    <w:rsid w:val="53EF0DB8"/>
    <w:rsid w:val="54063F0A"/>
    <w:rsid w:val="5410177E"/>
    <w:rsid w:val="54321702"/>
    <w:rsid w:val="545220E4"/>
    <w:rsid w:val="545B2A65"/>
    <w:rsid w:val="54765E01"/>
    <w:rsid w:val="54796854"/>
    <w:rsid w:val="547F7206"/>
    <w:rsid w:val="548A223D"/>
    <w:rsid w:val="54901A26"/>
    <w:rsid w:val="549A28A4"/>
    <w:rsid w:val="54AB12DF"/>
    <w:rsid w:val="54AD674E"/>
    <w:rsid w:val="54B51E36"/>
    <w:rsid w:val="54CB62B8"/>
    <w:rsid w:val="55054CC7"/>
    <w:rsid w:val="551A4003"/>
    <w:rsid w:val="551D568B"/>
    <w:rsid w:val="55285E53"/>
    <w:rsid w:val="554F368F"/>
    <w:rsid w:val="55713605"/>
    <w:rsid w:val="55733821"/>
    <w:rsid w:val="55A0213D"/>
    <w:rsid w:val="55B13E0D"/>
    <w:rsid w:val="55B81195"/>
    <w:rsid w:val="55E2480B"/>
    <w:rsid w:val="55E71B19"/>
    <w:rsid w:val="55EE10FA"/>
    <w:rsid w:val="56156687"/>
    <w:rsid w:val="56177F93"/>
    <w:rsid w:val="565E0EBF"/>
    <w:rsid w:val="566118CC"/>
    <w:rsid w:val="56680EAC"/>
    <w:rsid w:val="566E223B"/>
    <w:rsid w:val="56764C4B"/>
    <w:rsid w:val="567F203A"/>
    <w:rsid w:val="56A64A71"/>
    <w:rsid w:val="56B50E2E"/>
    <w:rsid w:val="56C02A96"/>
    <w:rsid w:val="56E4691C"/>
    <w:rsid w:val="56F3629C"/>
    <w:rsid w:val="56F70A8F"/>
    <w:rsid w:val="570F696E"/>
    <w:rsid w:val="57250B4B"/>
    <w:rsid w:val="573945F7"/>
    <w:rsid w:val="574216FD"/>
    <w:rsid w:val="57464C52"/>
    <w:rsid w:val="57483C27"/>
    <w:rsid w:val="574A1DC1"/>
    <w:rsid w:val="57607DD5"/>
    <w:rsid w:val="577F481A"/>
    <w:rsid w:val="579F2B50"/>
    <w:rsid w:val="57BECB18"/>
    <w:rsid w:val="57BF35F0"/>
    <w:rsid w:val="57DBE81D"/>
    <w:rsid w:val="57EF3FFD"/>
    <w:rsid w:val="57F82957"/>
    <w:rsid w:val="58101263"/>
    <w:rsid w:val="58355EB2"/>
    <w:rsid w:val="583B7EFB"/>
    <w:rsid w:val="5889335C"/>
    <w:rsid w:val="58967865"/>
    <w:rsid w:val="58B8511B"/>
    <w:rsid w:val="58DC0E2B"/>
    <w:rsid w:val="58EA55D2"/>
    <w:rsid w:val="59030A18"/>
    <w:rsid w:val="59254E33"/>
    <w:rsid w:val="595F7C29"/>
    <w:rsid w:val="597701F1"/>
    <w:rsid w:val="597C1F02"/>
    <w:rsid w:val="599D34E8"/>
    <w:rsid w:val="59AA606D"/>
    <w:rsid w:val="59C271C9"/>
    <w:rsid w:val="59DA7B5C"/>
    <w:rsid w:val="59F023FC"/>
    <w:rsid w:val="59F2173A"/>
    <w:rsid w:val="5A084A8E"/>
    <w:rsid w:val="5A1153B7"/>
    <w:rsid w:val="5A1A070F"/>
    <w:rsid w:val="5A240519"/>
    <w:rsid w:val="5A3A60B7"/>
    <w:rsid w:val="5A3B2434"/>
    <w:rsid w:val="5A421A14"/>
    <w:rsid w:val="5A5F26D4"/>
    <w:rsid w:val="5A630E93"/>
    <w:rsid w:val="5A643739"/>
    <w:rsid w:val="5A6B3AB0"/>
    <w:rsid w:val="5AA06E1B"/>
    <w:rsid w:val="5AD9338A"/>
    <w:rsid w:val="5AE33153"/>
    <w:rsid w:val="5AFA22EF"/>
    <w:rsid w:val="5B184523"/>
    <w:rsid w:val="5B247787"/>
    <w:rsid w:val="5B372BFB"/>
    <w:rsid w:val="5B435774"/>
    <w:rsid w:val="5B5E4889"/>
    <w:rsid w:val="5B7E2B2B"/>
    <w:rsid w:val="5B7F55D4"/>
    <w:rsid w:val="5BA069F2"/>
    <w:rsid w:val="5BA37C83"/>
    <w:rsid w:val="5BB22BCA"/>
    <w:rsid w:val="5BB3DA1A"/>
    <w:rsid w:val="5BBB3BA8"/>
    <w:rsid w:val="5BCC689E"/>
    <w:rsid w:val="5BCF12C3"/>
    <w:rsid w:val="5BDD7A02"/>
    <w:rsid w:val="5BF44F90"/>
    <w:rsid w:val="5BFA484F"/>
    <w:rsid w:val="5BFF442E"/>
    <w:rsid w:val="5C080FA9"/>
    <w:rsid w:val="5C24544B"/>
    <w:rsid w:val="5C352CCC"/>
    <w:rsid w:val="5C5504D2"/>
    <w:rsid w:val="5C882ACB"/>
    <w:rsid w:val="5C906186"/>
    <w:rsid w:val="5CB5471F"/>
    <w:rsid w:val="5CD34356"/>
    <w:rsid w:val="5CE24DE9"/>
    <w:rsid w:val="5D485594"/>
    <w:rsid w:val="5D5074C5"/>
    <w:rsid w:val="5D557A09"/>
    <w:rsid w:val="5D5A52C7"/>
    <w:rsid w:val="5D7F6ADB"/>
    <w:rsid w:val="5D92680F"/>
    <w:rsid w:val="5D9562FF"/>
    <w:rsid w:val="5D972077"/>
    <w:rsid w:val="5DA36667"/>
    <w:rsid w:val="5DAE1356"/>
    <w:rsid w:val="5DAF453C"/>
    <w:rsid w:val="5DC07E1D"/>
    <w:rsid w:val="5DDE928F"/>
    <w:rsid w:val="5DE45C74"/>
    <w:rsid w:val="5DE7DCF0"/>
    <w:rsid w:val="5DF6A660"/>
    <w:rsid w:val="5DFC1EDA"/>
    <w:rsid w:val="5E177445"/>
    <w:rsid w:val="5E3BF01E"/>
    <w:rsid w:val="5E4D0988"/>
    <w:rsid w:val="5E70457D"/>
    <w:rsid w:val="5E766E1C"/>
    <w:rsid w:val="5E964F94"/>
    <w:rsid w:val="5E980438"/>
    <w:rsid w:val="5EAA5DDA"/>
    <w:rsid w:val="5EAC2CE3"/>
    <w:rsid w:val="5EC94A7D"/>
    <w:rsid w:val="5ECE7F4F"/>
    <w:rsid w:val="5EE78E25"/>
    <w:rsid w:val="5EEFBD2C"/>
    <w:rsid w:val="5EEFCF83"/>
    <w:rsid w:val="5EF82676"/>
    <w:rsid w:val="5EFF0CFA"/>
    <w:rsid w:val="5EFF2B61"/>
    <w:rsid w:val="5F0441B1"/>
    <w:rsid w:val="5F105C3D"/>
    <w:rsid w:val="5F50072F"/>
    <w:rsid w:val="5F5226F9"/>
    <w:rsid w:val="5FA8056B"/>
    <w:rsid w:val="5FC10D9A"/>
    <w:rsid w:val="5FE1750C"/>
    <w:rsid w:val="5FEA2795"/>
    <w:rsid w:val="5FF26BFA"/>
    <w:rsid w:val="5FF373C6"/>
    <w:rsid w:val="5FF7A830"/>
    <w:rsid w:val="60025ECE"/>
    <w:rsid w:val="603D6DB4"/>
    <w:rsid w:val="60530390"/>
    <w:rsid w:val="60687261"/>
    <w:rsid w:val="607B4E07"/>
    <w:rsid w:val="608947DC"/>
    <w:rsid w:val="608C7D6B"/>
    <w:rsid w:val="60975474"/>
    <w:rsid w:val="60CE0AA2"/>
    <w:rsid w:val="60DD09F9"/>
    <w:rsid w:val="60EB48A3"/>
    <w:rsid w:val="6105554A"/>
    <w:rsid w:val="61271964"/>
    <w:rsid w:val="61327D6B"/>
    <w:rsid w:val="6144012B"/>
    <w:rsid w:val="61483B49"/>
    <w:rsid w:val="615279A7"/>
    <w:rsid w:val="615B1020"/>
    <w:rsid w:val="615E4C3A"/>
    <w:rsid w:val="616D55C9"/>
    <w:rsid w:val="617526CF"/>
    <w:rsid w:val="61790877"/>
    <w:rsid w:val="617A1B7C"/>
    <w:rsid w:val="61B009D1"/>
    <w:rsid w:val="61C15914"/>
    <w:rsid w:val="61CA759D"/>
    <w:rsid w:val="61FB0E26"/>
    <w:rsid w:val="621A4158"/>
    <w:rsid w:val="62373108"/>
    <w:rsid w:val="62456545"/>
    <w:rsid w:val="62487C4B"/>
    <w:rsid w:val="62506A02"/>
    <w:rsid w:val="628E2B9F"/>
    <w:rsid w:val="62BD2580"/>
    <w:rsid w:val="62C67241"/>
    <w:rsid w:val="6306019D"/>
    <w:rsid w:val="63065E39"/>
    <w:rsid w:val="633A772C"/>
    <w:rsid w:val="635C5BCB"/>
    <w:rsid w:val="63603766"/>
    <w:rsid w:val="6367429A"/>
    <w:rsid w:val="639D7D7A"/>
    <w:rsid w:val="63AA629D"/>
    <w:rsid w:val="63D25BB7"/>
    <w:rsid w:val="63E777BB"/>
    <w:rsid w:val="63F518A5"/>
    <w:rsid w:val="63F77D5A"/>
    <w:rsid w:val="64632CB3"/>
    <w:rsid w:val="646627A3"/>
    <w:rsid w:val="64697AA1"/>
    <w:rsid w:val="6477675E"/>
    <w:rsid w:val="64785203"/>
    <w:rsid w:val="647866BC"/>
    <w:rsid w:val="64992B79"/>
    <w:rsid w:val="64AA08E2"/>
    <w:rsid w:val="64AB51A4"/>
    <w:rsid w:val="64AC465A"/>
    <w:rsid w:val="64B67287"/>
    <w:rsid w:val="64D0100A"/>
    <w:rsid w:val="64DD15DF"/>
    <w:rsid w:val="651F307E"/>
    <w:rsid w:val="65257F68"/>
    <w:rsid w:val="65515201"/>
    <w:rsid w:val="65772501"/>
    <w:rsid w:val="6578278E"/>
    <w:rsid w:val="658962FF"/>
    <w:rsid w:val="65AD24DB"/>
    <w:rsid w:val="65CD2ADA"/>
    <w:rsid w:val="65D5369F"/>
    <w:rsid w:val="65DC302A"/>
    <w:rsid w:val="65DC45DF"/>
    <w:rsid w:val="6630667E"/>
    <w:rsid w:val="664663E8"/>
    <w:rsid w:val="66570776"/>
    <w:rsid w:val="668533B4"/>
    <w:rsid w:val="66A94465"/>
    <w:rsid w:val="66C37A39"/>
    <w:rsid w:val="66F347C2"/>
    <w:rsid w:val="66F66060"/>
    <w:rsid w:val="67210E21"/>
    <w:rsid w:val="672A3F5C"/>
    <w:rsid w:val="673D196D"/>
    <w:rsid w:val="67535261"/>
    <w:rsid w:val="676705B3"/>
    <w:rsid w:val="679118E5"/>
    <w:rsid w:val="67A53404"/>
    <w:rsid w:val="67C4023B"/>
    <w:rsid w:val="67E747FB"/>
    <w:rsid w:val="67F02AB0"/>
    <w:rsid w:val="68127CAC"/>
    <w:rsid w:val="68294213"/>
    <w:rsid w:val="68567BF8"/>
    <w:rsid w:val="685A68BE"/>
    <w:rsid w:val="6897172A"/>
    <w:rsid w:val="68B166E3"/>
    <w:rsid w:val="68CA1931"/>
    <w:rsid w:val="68CA50AF"/>
    <w:rsid w:val="68DE1099"/>
    <w:rsid w:val="68E567A0"/>
    <w:rsid w:val="68E9DB2B"/>
    <w:rsid w:val="69414E41"/>
    <w:rsid w:val="694A2693"/>
    <w:rsid w:val="698A6F34"/>
    <w:rsid w:val="69A320DB"/>
    <w:rsid w:val="69A73642"/>
    <w:rsid w:val="69DA29CD"/>
    <w:rsid w:val="69DC1BD1"/>
    <w:rsid w:val="69E178BF"/>
    <w:rsid w:val="69EC15D6"/>
    <w:rsid w:val="69FB6ED6"/>
    <w:rsid w:val="6A3053E5"/>
    <w:rsid w:val="6A452F33"/>
    <w:rsid w:val="6A5C144D"/>
    <w:rsid w:val="6A5D0610"/>
    <w:rsid w:val="6A624B72"/>
    <w:rsid w:val="6AA933EA"/>
    <w:rsid w:val="6AC77F7F"/>
    <w:rsid w:val="6AED1528"/>
    <w:rsid w:val="6AF97ECD"/>
    <w:rsid w:val="6B016D82"/>
    <w:rsid w:val="6B14078A"/>
    <w:rsid w:val="6B63755C"/>
    <w:rsid w:val="6B642897"/>
    <w:rsid w:val="6BB838E4"/>
    <w:rsid w:val="6BC404DB"/>
    <w:rsid w:val="6BCC55E2"/>
    <w:rsid w:val="6BCE09AF"/>
    <w:rsid w:val="6BD12BF8"/>
    <w:rsid w:val="6BE309E6"/>
    <w:rsid w:val="6BE6587F"/>
    <w:rsid w:val="6BED6C25"/>
    <w:rsid w:val="6C0841E4"/>
    <w:rsid w:val="6C0F54CE"/>
    <w:rsid w:val="6C1008D9"/>
    <w:rsid w:val="6C454C4B"/>
    <w:rsid w:val="6C4909E0"/>
    <w:rsid w:val="6C4DFAA5"/>
    <w:rsid w:val="6C554EC8"/>
    <w:rsid w:val="6C584936"/>
    <w:rsid w:val="6C5D448C"/>
    <w:rsid w:val="6C926871"/>
    <w:rsid w:val="6CB202B7"/>
    <w:rsid w:val="6CB65BFE"/>
    <w:rsid w:val="6CEDC09F"/>
    <w:rsid w:val="6CF592B2"/>
    <w:rsid w:val="6CF7322B"/>
    <w:rsid w:val="6D160450"/>
    <w:rsid w:val="6D2B72D6"/>
    <w:rsid w:val="6D5FE277"/>
    <w:rsid w:val="6D6655C2"/>
    <w:rsid w:val="6D7B72BF"/>
    <w:rsid w:val="6D82064E"/>
    <w:rsid w:val="6D8433BC"/>
    <w:rsid w:val="6DEF55B7"/>
    <w:rsid w:val="6DF727CA"/>
    <w:rsid w:val="6DFB3F5C"/>
    <w:rsid w:val="6E075402"/>
    <w:rsid w:val="6E0A67A9"/>
    <w:rsid w:val="6E2EECA6"/>
    <w:rsid w:val="6E4D5E04"/>
    <w:rsid w:val="6E4F4146"/>
    <w:rsid w:val="6E6B164E"/>
    <w:rsid w:val="6E6B2034"/>
    <w:rsid w:val="6E8474D1"/>
    <w:rsid w:val="6E855B98"/>
    <w:rsid w:val="6E9F7E94"/>
    <w:rsid w:val="6EB20ABF"/>
    <w:rsid w:val="6ECE1671"/>
    <w:rsid w:val="6ED70525"/>
    <w:rsid w:val="6EDD503B"/>
    <w:rsid w:val="6EE36ECA"/>
    <w:rsid w:val="6F046D30"/>
    <w:rsid w:val="6F3FB16E"/>
    <w:rsid w:val="6F4F0A46"/>
    <w:rsid w:val="6F4F7C8F"/>
    <w:rsid w:val="6FB645D5"/>
    <w:rsid w:val="6FBE565B"/>
    <w:rsid w:val="6FD827A7"/>
    <w:rsid w:val="6FE72280"/>
    <w:rsid w:val="6FED3DF1"/>
    <w:rsid w:val="6FEE29CF"/>
    <w:rsid w:val="6FF6876A"/>
    <w:rsid w:val="6FF77322"/>
    <w:rsid w:val="6FF77F61"/>
    <w:rsid w:val="700215D2"/>
    <w:rsid w:val="70043BDB"/>
    <w:rsid w:val="700679D6"/>
    <w:rsid w:val="70291255"/>
    <w:rsid w:val="7053007F"/>
    <w:rsid w:val="70531ED5"/>
    <w:rsid w:val="7073586F"/>
    <w:rsid w:val="709269AE"/>
    <w:rsid w:val="70C9376D"/>
    <w:rsid w:val="70E926D2"/>
    <w:rsid w:val="70F41261"/>
    <w:rsid w:val="70F52EE5"/>
    <w:rsid w:val="70F57389"/>
    <w:rsid w:val="7104203A"/>
    <w:rsid w:val="71104F85"/>
    <w:rsid w:val="712A1F38"/>
    <w:rsid w:val="712B617B"/>
    <w:rsid w:val="713E488C"/>
    <w:rsid w:val="71663DE2"/>
    <w:rsid w:val="71724535"/>
    <w:rsid w:val="71773D35"/>
    <w:rsid w:val="71802052"/>
    <w:rsid w:val="71802656"/>
    <w:rsid w:val="71844269"/>
    <w:rsid w:val="71EA67C2"/>
    <w:rsid w:val="7234177C"/>
    <w:rsid w:val="723A676B"/>
    <w:rsid w:val="72457EDA"/>
    <w:rsid w:val="72473609"/>
    <w:rsid w:val="72606A84"/>
    <w:rsid w:val="72614C18"/>
    <w:rsid w:val="7272748D"/>
    <w:rsid w:val="729D3834"/>
    <w:rsid w:val="72B113CE"/>
    <w:rsid w:val="730B4C41"/>
    <w:rsid w:val="7315161C"/>
    <w:rsid w:val="731970B0"/>
    <w:rsid w:val="73337CF4"/>
    <w:rsid w:val="73554814"/>
    <w:rsid w:val="7367CFC6"/>
    <w:rsid w:val="73691968"/>
    <w:rsid w:val="73781E2A"/>
    <w:rsid w:val="73A9A0FE"/>
    <w:rsid w:val="73BA5025"/>
    <w:rsid w:val="73BB2FE2"/>
    <w:rsid w:val="73CD1866"/>
    <w:rsid w:val="73DA06FA"/>
    <w:rsid w:val="73DFF914"/>
    <w:rsid w:val="73ED07EB"/>
    <w:rsid w:val="73F85598"/>
    <w:rsid w:val="73F90C88"/>
    <w:rsid w:val="73FF8890"/>
    <w:rsid w:val="741B0EB4"/>
    <w:rsid w:val="743313D8"/>
    <w:rsid w:val="74380B51"/>
    <w:rsid w:val="7447614D"/>
    <w:rsid w:val="74512B28"/>
    <w:rsid w:val="74652E24"/>
    <w:rsid w:val="747B2914"/>
    <w:rsid w:val="747B5DF7"/>
    <w:rsid w:val="74837605"/>
    <w:rsid w:val="748F004B"/>
    <w:rsid w:val="74A643ED"/>
    <w:rsid w:val="74AC1BA1"/>
    <w:rsid w:val="74ED288E"/>
    <w:rsid w:val="75157FF9"/>
    <w:rsid w:val="75183635"/>
    <w:rsid w:val="7522108B"/>
    <w:rsid w:val="754461E9"/>
    <w:rsid w:val="7552606E"/>
    <w:rsid w:val="75811911"/>
    <w:rsid w:val="75FD1B0C"/>
    <w:rsid w:val="75FD3C8F"/>
    <w:rsid w:val="75FF86F4"/>
    <w:rsid w:val="761FA559"/>
    <w:rsid w:val="76361FD5"/>
    <w:rsid w:val="763B50C6"/>
    <w:rsid w:val="763C3364"/>
    <w:rsid w:val="76483BFC"/>
    <w:rsid w:val="764B6E2A"/>
    <w:rsid w:val="76593F16"/>
    <w:rsid w:val="765D2477"/>
    <w:rsid w:val="7663715E"/>
    <w:rsid w:val="766C3C49"/>
    <w:rsid w:val="766E0586"/>
    <w:rsid w:val="769304E7"/>
    <w:rsid w:val="769F582D"/>
    <w:rsid w:val="76A07D97"/>
    <w:rsid w:val="76D11BF8"/>
    <w:rsid w:val="76D164BA"/>
    <w:rsid w:val="76DF7600"/>
    <w:rsid w:val="77381D7D"/>
    <w:rsid w:val="775D9B88"/>
    <w:rsid w:val="77674BFC"/>
    <w:rsid w:val="7769462C"/>
    <w:rsid w:val="777A4F33"/>
    <w:rsid w:val="779FA59F"/>
    <w:rsid w:val="77D47E28"/>
    <w:rsid w:val="77D55160"/>
    <w:rsid w:val="77DB72D8"/>
    <w:rsid w:val="77DF12D9"/>
    <w:rsid w:val="77FB01E5"/>
    <w:rsid w:val="77FF7F81"/>
    <w:rsid w:val="780E41D1"/>
    <w:rsid w:val="78174088"/>
    <w:rsid w:val="789F6070"/>
    <w:rsid w:val="78CF054C"/>
    <w:rsid w:val="78FF1193"/>
    <w:rsid w:val="792702FB"/>
    <w:rsid w:val="793B7903"/>
    <w:rsid w:val="794C1B10"/>
    <w:rsid w:val="795760CA"/>
    <w:rsid w:val="797C08AB"/>
    <w:rsid w:val="79AD7DD7"/>
    <w:rsid w:val="79BF0851"/>
    <w:rsid w:val="79D97847"/>
    <w:rsid w:val="79E955B1"/>
    <w:rsid w:val="79EA52F5"/>
    <w:rsid w:val="79F6541D"/>
    <w:rsid w:val="79FC52E4"/>
    <w:rsid w:val="7A007F9E"/>
    <w:rsid w:val="7A170CAD"/>
    <w:rsid w:val="7A2D36EF"/>
    <w:rsid w:val="7A3B2320"/>
    <w:rsid w:val="7A7C4677"/>
    <w:rsid w:val="7A8A6D94"/>
    <w:rsid w:val="7A8D2CAF"/>
    <w:rsid w:val="7AA2021D"/>
    <w:rsid w:val="7AC6289B"/>
    <w:rsid w:val="7AEB92DC"/>
    <w:rsid w:val="7B0979D0"/>
    <w:rsid w:val="7B2791C4"/>
    <w:rsid w:val="7B295ECE"/>
    <w:rsid w:val="7B551150"/>
    <w:rsid w:val="7B8D7658"/>
    <w:rsid w:val="7B9D48A5"/>
    <w:rsid w:val="7B9FB2DE"/>
    <w:rsid w:val="7BA479E1"/>
    <w:rsid w:val="7BB75966"/>
    <w:rsid w:val="7BBBC392"/>
    <w:rsid w:val="7BBC2F7D"/>
    <w:rsid w:val="7BBFBC51"/>
    <w:rsid w:val="7BD81D81"/>
    <w:rsid w:val="7BDD797B"/>
    <w:rsid w:val="7BFB6BC2"/>
    <w:rsid w:val="7C0F3698"/>
    <w:rsid w:val="7C3051CE"/>
    <w:rsid w:val="7C550050"/>
    <w:rsid w:val="7C5970BC"/>
    <w:rsid w:val="7C662EE9"/>
    <w:rsid w:val="7C7F5DFF"/>
    <w:rsid w:val="7CB24650"/>
    <w:rsid w:val="7CC60FC3"/>
    <w:rsid w:val="7CCA791B"/>
    <w:rsid w:val="7CCD2078"/>
    <w:rsid w:val="7CD74885"/>
    <w:rsid w:val="7CDF3126"/>
    <w:rsid w:val="7CE13C72"/>
    <w:rsid w:val="7CEF376C"/>
    <w:rsid w:val="7CF71F3E"/>
    <w:rsid w:val="7CFE6DF0"/>
    <w:rsid w:val="7CFF2C14"/>
    <w:rsid w:val="7D25556D"/>
    <w:rsid w:val="7D3DE5ED"/>
    <w:rsid w:val="7D3F62B0"/>
    <w:rsid w:val="7D4BD6E4"/>
    <w:rsid w:val="7D5E7E3F"/>
    <w:rsid w:val="7D7C1468"/>
    <w:rsid w:val="7D7F44B9"/>
    <w:rsid w:val="7D85447B"/>
    <w:rsid w:val="7D883202"/>
    <w:rsid w:val="7D91845B"/>
    <w:rsid w:val="7DA7DCAE"/>
    <w:rsid w:val="7DBC48CB"/>
    <w:rsid w:val="7DC425BD"/>
    <w:rsid w:val="7DCA3EE2"/>
    <w:rsid w:val="7DD16CC1"/>
    <w:rsid w:val="7DD7FA30"/>
    <w:rsid w:val="7DDAA6C9"/>
    <w:rsid w:val="7DE53FC7"/>
    <w:rsid w:val="7E1105A1"/>
    <w:rsid w:val="7E2E3B63"/>
    <w:rsid w:val="7E4C6B17"/>
    <w:rsid w:val="7E4D633B"/>
    <w:rsid w:val="7E5E59BF"/>
    <w:rsid w:val="7E6D27C6"/>
    <w:rsid w:val="7E7B59E0"/>
    <w:rsid w:val="7E8835EA"/>
    <w:rsid w:val="7EB20667"/>
    <w:rsid w:val="7EB70647"/>
    <w:rsid w:val="7EBF7457"/>
    <w:rsid w:val="7EBFE7D3"/>
    <w:rsid w:val="7ECD724F"/>
    <w:rsid w:val="7EE36A72"/>
    <w:rsid w:val="7EE3FC10"/>
    <w:rsid w:val="7EEF40D6"/>
    <w:rsid w:val="7EFC5B0D"/>
    <w:rsid w:val="7EFFA66D"/>
    <w:rsid w:val="7F1809C7"/>
    <w:rsid w:val="7F2E6F70"/>
    <w:rsid w:val="7F2F7F0A"/>
    <w:rsid w:val="7F4852D5"/>
    <w:rsid w:val="7F550F96"/>
    <w:rsid w:val="7F5524F8"/>
    <w:rsid w:val="7F588807"/>
    <w:rsid w:val="7F67FA15"/>
    <w:rsid w:val="7F704811"/>
    <w:rsid w:val="7F722BA9"/>
    <w:rsid w:val="7F73320A"/>
    <w:rsid w:val="7F743B6E"/>
    <w:rsid w:val="7F7922D8"/>
    <w:rsid w:val="7F7E58BB"/>
    <w:rsid w:val="7F7FED93"/>
    <w:rsid w:val="7F8D093A"/>
    <w:rsid w:val="7F932247"/>
    <w:rsid w:val="7F9E374B"/>
    <w:rsid w:val="7FA773E3"/>
    <w:rsid w:val="7FA7BE4A"/>
    <w:rsid w:val="7FB42EBE"/>
    <w:rsid w:val="7FBB019E"/>
    <w:rsid w:val="7FBF4902"/>
    <w:rsid w:val="7FDE9C03"/>
    <w:rsid w:val="7FE34250"/>
    <w:rsid w:val="7FE358CA"/>
    <w:rsid w:val="7FE7A405"/>
    <w:rsid w:val="7FEB5CFB"/>
    <w:rsid w:val="7FEF396C"/>
    <w:rsid w:val="7FEF6D24"/>
    <w:rsid w:val="7FEF9669"/>
    <w:rsid w:val="7FF5364D"/>
    <w:rsid w:val="7FFAE1C3"/>
    <w:rsid w:val="7FFB0500"/>
    <w:rsid w:val="7FFD94B9"/>
    <w:rsid w:val="7FFDAA82"/>
    <w:rsid w:val="7FFF78DC"/>
    <w:rsid w:val="7FFFE92E"/>
    <w:rsid w:val="917B3387"/>
    <w:rsid w:val="9829167C"/>
    <w:rsid w:val="99EFE17B"/>
    <w:rsid w:val="9ADFF016"/>
    <w:rsid w:val="9D9B5B06"/>
    <w:rsid w:val="9EC9B592"/>
    <w:rsid w:val="9F5F6A5D"/>
    <w:rsid w:val="9FFB93B8"/>
    <w:rsid w:val="A3F5DE37"/>
    <w:rsid w:val="ABBEC6B5"/>
    <w:rsid w:val="AE6F0C61"/>
    <w:rsid w:val="B3EF55F7"/>
    <w:rsid w:val="B5DF0AF1"/>
    <w:rsid w:val="B6CE0DE7"/>
    <w:rsid w:val="B7FD8847"/>
    <w:rsid w:val="BB3F096F"/>
    <w:rsid w:val="BBDFF8AF"/>
    <w:rsid w:val="BCF30FD1"/>
    <w:rsid w:val="BD7F5DBE"/>
    <w:rsid w:val="BEBFB198"/>
    <w:rsid w:val="BEFF68D3"/>
    <w:rsid w:val="BF3B4C67"/>
    <w:rsid w:val="BF7BC2EB"/>
    <w:rsid w:val="BFBB4D78"/>
    <w:rsid w:val="BFD8346C"/>
    <w:rsid w:val="BFDE1856"/>
    <w:rsid w:val="BFDFAC6E"/>
    <w:rsid w:val="BFEDCF27"/>
    <w:rsid w:val="BFF35850"/>
    <w:rsid w:val="BFF7EF90"/>
    <w:rsid w:val="BFFF8FCE"/>
    <w:rsid w:val="CB9B7207"/>
    <w:rsid w:val="CBFEFED3"/>
    <w:rsid w:val="CD3F0DEA"/>
    <w:rsid w:val="CDBDD0C7"/>
    <w:rsid w:val="CEFC0293"/>
    <w:rsid w:val="CFA2E80B"/>
    <w:rsid w:val="D5FF23A4"/>
    <w:rsid w:val="D7FCFD7F"/>
    <w:rsid w:val="D9FEB3CD"/>
    <w:rsid w:val="DA691CB6"/>
    <w:rsid w:val="DBFFECC9"/>
    <w:rsid w:val="DDF35867"/>
    <w:rsid w:val="DDFE9F32"/>
    <w:rsid w:val="DEDB6CCB"/>
    <w:rsid w:val="DEDD962F"/>
    <w:rsid w:val="DEDFA509"/>
    <w:rsid w:val="DEF619AC"/>
    <w:rsid w:val="DF0177DC"/>
    <w:rsid w:val="DF5FB8CC"/>
    <w:rsid w:val="DF7B4DA5"/>
    <w:rsid w:val="DFB35592"/>
    <w:rsid w:val="DFBBBCB3"/>
    <w:rsid w:val="DFBFECCB"/>
    <w:rsid w:val="DFDEF157"/>
    <w:rsid w:val="DFDF6E3F"/>
    <w:rsid w:val="DFDFA35E"/>
    <w:rsid w:val="DFFA5BD1"/>
    <w:rsid w:val="DFFF3D96"/>
    <w:rsid w:val="E2DC142D"/>
    <w:rsid w:val="E2FE688C"/>
    <w:rsid w:val="E37FDA42"/>
    <w:rsid w:val="E77E58DD"/>
    <w:rsid w:val="E782F5B0"/>
    <w:rsid w:val="E7EF32D6"/>
    <w:rsid w:val="E7FFA627"/>
    <w:rsid w:val="EA0313C4"/>
    <w:rsid w:val="EAEF0C70"/>
    <w:rsid w:val="EAF1972D"/>
    <w:rsid w:val="EBA3C8BB"/>
    <w:rsid w:val="EBF3A733"/>
    <w:rsid w:val="ECFF4F06"/>
    <w:rsid w:val="ED9BFFDC"/>
    <w:rsid w:val="EDB7EACC"/>
    <w:rsid w:val="EDE72BAE"/>
    <w:rsid w:val="EEDEE166"/>
    <w:rsid w:val="EF4F775A"/>
    <w:rsid w:val="EF6F0995"/>
    <w:rsid w:val="EF7EFC2F"/>
    <w:rsid w:val="EF93740C"/>
    <w:rsid w:val="EFBB40A0"/>
    <w:rsid w:val="EFBB8067"/>
    <w:rsid w:val="EFF77833"/>
    <w:rsid w:val="EFFD524A"/>
    <w:rsid w:val="EFFD8DDA"/>
    <w:rsid w:val="F0F1F1B5"/>
    <w:rsid w:val="F1FBA1A7"/>
    <w:rsid w:val="F25F716F"/>
    <w:rsid w:val="F2FF2B03"/>
    <w:rsid w:val="F3FDF00B"/>
    <w:rsid w:val="F65FC9C6"/>
    <w:rsid w:val="F67388BE"/>
    <w:rsid w:val="F6F7C9A2"/>
    <w:rsid w:val="F6FF4ABE"/>
    <w:rsid w:val="F7BF7139"/>
    <w:rsid w:val="F7DBDB6C"/>
    <w:rsid w:val="F7E5021E"/>
    <w:rsid w:val="F7F33145"/>
    <w:rsid w:val="F7FEB153"/>
    <w:rsid w:val="F87F0A99"/>
    <w:rsid w:val="F9EFF912"/>
    <w:rsid w:val="FB770C02"/>
    <w:rsid w:val="FB9BAC33"/>
    <w:rsid w:val="FBBEC1B1"/>
    <w:rsid w:val="FBDF2B0A"/>
    <w:rsid w:val="FBE79824"/>
    <w:rsid w:val="FBEB3858"/>
    <w:rsid w:val="FBFB0417"/>
    <w:rsid w:val="FBFBC3D8"/>
    <w:rsid w:val="FD366E64"/>
    <w:rsid w:val="FDBBC9F7"/>
    <w:rsid w:val="FDBFC378"/>
    <w:rsid w:val="FDBFF5BD"/>
    <w:rsid w:val="FDEF9216"/>
    <w:rsid w:val="FDFA0A89"/>
    <w:rsid w:val="FDFF1180"/>
    <w:rsid w:val="FDFFCBF3"/>
    <w:rsid w:val="FE6E02E1"/>
    <w:rsid w:val="FEC69DBD"/>
    <w:rsid w:val="FED7C593"/>
    <w:rsid w:val="FED97083"/>
    <w:rsid w:val="FEEF20AB"/>
    <w:rsid w:val="FEFB2FE3"/>
    <w:rsid w:val="FF3D745F"/>
    <w:rsid w:val="FF6BE4A0"/>
    <w:rsid w:val="FF6D2383"/>
    <w:rsid w:val="FF77A306"/>
    <w:rsid w:val="FF7E01E9"/>
    <w:rsid w:val="FFBB8F79"/>
    <w:rsid w:val="FFC91B7B"/>
    <w:rsid w:val="FFD75704"/>
    <w:rsid w:val="FFDF011A"/>
    <w:rsid w:val="FFE46C5F"/>
    <w:rsid w:val="FFEF0EA9"/>
    <w:rsid w:val="FFEF4645"/>
    <w:rsid w:val="FFEF8B54"/>
    <w:rsid w:val="FFFD4756"/>
    <w:rsid w:val="FFFEC16D"/>
    <w:rsid w:val="FFFF3B17"/>
    <w:rsid w:val="FFFFA57F"/>
    <w:rsid w:val="FFFFAE4E"/>
    <w:rsid w:val="FFFFD82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iPriority="99" w:semiHidden="0" w:name="index heading"/>
    <w:lsdException w:qFormat="1"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iPriority="99" w:name="List"/>
    <w:lsdException w:qFormat="1" w:uiPriority="0" w:semiHidden="0" w:name="List Bullet"/>
    <w:lsdException w:qFormat="1" w:uiPriority="0" w:semiHidden="0" w:name="List Number"/>
    <w:lsdException w:qFormat="1"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99" w:semiHidden="0" w:name="Date"/>
    <w:lsdException w:qFormat="1" w:uiPriority="0" w:semiHidden="0" w:name="Body Text First Indent"/>
    <w:lsdException w:qFormat="1" w:uiPriority="99"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qFormat="1" w:uiPriority="0" w:name="HTML Code"/>
    <w:lsdException w:qFormat="1" w:uiPriority="0" w:name="HTML Definition"/>
    <w:lsdException w:qFormat="1" w:uiPriority="0" w:name="HTML Keyboard"/>
    <w:lsdException w:qFormat="1" w:uiPriority="0" w:semiHidden="0" w:name="HTML Preformatted"/>
    <w:lsdException w:qFormat="1" w:uiPriority="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0"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0"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qFormat="1" w:unhideWhenUsed="0" w:uiPriority="0"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0"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0"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86"/>
    <w:qFormat/>
    <w:uiPriority w:val="0"/>
    <w:pPr>
      <w:keepNext/>
      <w:keepLines/>
      <w:widowControl/>
      <w:tabs>
        <w:tab w:val="left" w:pos="1440"/>
      </w:tabs>
      <w:spacing w:beforeLines="250" w:line="360" w:lineRule="auto"/>
      <w:jc w:val="center"/>
      <w:outlineLvl w:val="0"/>
    </w:pPr>
    <w:rPr>
      <w:rFonts w:ascii="Times New Roman" w:hAnsi="Times New Roman" w:eastAsia="黑体" w:cs="Times New Roman"/>
      <w:b/>
      <w:bCs/>
      <w:kern w:val="44"/>
      <w:sz w:val="52"/>
      <w:szCs w:val="20"/>
    </w:rPr>
  </w:style>
  <w:style w:type="paragraph" w:styleId="5">
    <w:name w:val="heading 2"/>
    <w:basedOn w:val="1"/>
    <w:next w:val="1"/>
    <w:link w:val="87"/>
    <w:unhideWhenUsed/>
    <w:qFormat/>
    <w:uiPriority w:val="9"/>
    <w:pPr>
      <w:keepNext/>
      <w:keepLines/>
      <w:spacing w:before="260" w:after="260" w:line="408" w:lineRule="auto"/>
      <w:outlineLvl w:val="1"/>
    </w:pPr>
    <w:rPr>
      <w:rFonts w:eastAsia="黑体"/>
      <w:b/>
      <w:sz w:val="32"/>
      <w:szCs w:val="20"/>
    </w:rPr>
  </w:style>
  <w:style w:type="paragraph" w:styleId="6">
    <w:name w:val="heading 3"/>
    <w:basedOn w:val="1"/>
    <w:next w:val="7"/>
    <w:link w:val="88"/>
    <w:unhideWhenUsed/>
    <w:qFormat/>
    <w:uiPriority w:val="0"/>
    <w:pPr>
      <w:keepNext/>
      <w:keepLines/>
      <w:widowControl/>
      <w:tabs>
        <w:tab w:val="left" w:pos="567"/>
      </w:tabs>
      <w:spacing w:beforeLines="50" w:line="360" w:lineRule="auto"/>
      <w:jc w:val="left"/>
      <w:outlineLvl w:val="2"/>
    </w:pPr>
    <w:rPr>
      <w:rFonts w:ascii="Times New Roman" w:hAnsi="Times New Roman" w:eastAsia="黑体" w:cs="Times New Roman"/>
      <w:b/>
      <w:bCs/>
      <w:sz w:val="36"/>
      <w:szCs w:val="36"/>
    </w:rPr>
  </w:style>
  <w:style w:type="paragraph" w:styleId="8">
    <w:name w:val="heading 4"/>
    <w:basedOn w:val="1"/>
    <w:next w:val="1"/>
    <w:link w:val="89"/>
    <w:unhideWhenUsed/>
    <w:qFormat/>
    <w:uiPriority w:val="0"/>
    <w:pPr>
      <w:keepNext/>
      <w:keepLines/>
      <w:widowControl/>
      <w:tabs>
        <w:tab w:val="left" w:pos="-420"/>
      </w:tabs>
      <w:spacing w:beforeLines="50" w:line="360" w:lineRule="auto"/>
      <w:jc w:val="left"/>
      <w:outlineLvl w:val="3"/>
    </w:pPr>
    <w:rPr>
      <w:rFonts w:ascii="Arial" w:hAnsi="Arial" w:eastAsia="黑体" w:cs="Times New Roman"/>
      <w:b/>
      <w:bCs/>
      <w:sz w:val="30"/>
      <w:szCs w:val="28"/>
    </w:rPr>
  </w:style>
  <w:style w:type="paragraph" w:styleId="9">
    <w:name w:val="heading 5"/>
    <w:basedOn w:val="1"/>
    <w:next w:val="1"/>
    <w:link w:val="90"/>
    <w:unhideWhenUsed/>
    <w:qFormat/>
    <w:uiPriority w:val="0"/>
    <w:pPr>
      <w:keepNext/>
      <w:keepLines/>
      <w:widowControl/>
      <w:tabs>
        <w:tab w:val="left" w:pos="-420"/>
      </w:tabs>
      <w:spacing w:beforeLines="50" w:line="376" w:lineRule="auto"/>
      <w:jc w:val="left"/>
      <w:outlineLvl w:val="4"/>
    </w:pPr>
    <w:rPr>
      <w:rFonts w:ascii="Times New Roman" w:hAnsi="Times New Roman" w:eastAsia="宋体" w:cs="Times New Roman"/>
      <w:b/>
      <w:bCs/>
      <w:sz w:val="28"/>
      <w:szCs w:val="28"/>
    </w:rPr>
  </w:style>
  <w:style w:type="paragraph" w:styleId="10">
    <w:name w:val="heading 6"/>
    <w:basedOn w:val="1"/>
    <w:next w:val="1"/>
    <w:link w:val="91"/>
    <w:unhideWhenUsed/>
    <w:qFormat/>
    <w:uiPriority w:val="9"/>
    <w:pPr>
      <w:keepNext/>
      <w:keepLines/>
      <w:spacing w:line="316" w:lineRule="auto"/>
      <w:outlineLvl w:val="5"/>
    </w:pPr>
    <w:rPr>
      <w:rFonts w:ascii="Arial" w:hAnsi="Arial" w:eastAsia="黑体" w:cs="Times New Roman"/>
      <w:b/>
      <w:sz w:val="24"/>
      <w:szCs w:val="24"/>
    </w:rPr>
  </w:style>
  <w:style w:type="paragraph" w:styleId="11">
    <w:name w:val="heading 7"/>
    <w:basedOn w:val="1"/>
    <w:next w:val="1"/>
    <w:link w:val="92"/>
    <w:unhideWhenUsed/>
    <w:qFormat/>
    <w:uiPriority w:val="9"/>
    <w:pPr>
      <w:keepNext/>
      <w:keepLines/>
      <w:spacing w:before="240" w:after="64" w:line="319" w:lineRule="auto"/>
      <w:outlineLvl w:val="6"/>
    </w:pPr>
    <w:rPr>
      <w:rFonts w:ascii="Times New Roman" w:hAnsi="Times New Roman" w:eastAsia="黑体"/>
      <w:sz w:val="24"/>
      <w:szCs w:val="21"/>
    </w:rPr>
  </w:style>
  <w:style w:type="paragraph" w:styleId="12">
    <w:name w:val="heading 8"/>
    <w:basedOn w:val="1"/>
    <w:next w:val="1"/>
    <w:link w:val="93"/>
    <w:unhideWhenUsed/>
    <w:qFormat/>
    <w:uiPriority w:val="9"/>
    <w:pPr>
      <w:keepNext/>
      <w:keepLines/>
      <w:spacing w:before="240" w:after="64" w:line="319" w:lineRule="auto"/>
      <w:outlineLvl w:val="7"/>
    </w:pPr>
    <w:rPr>
      <w:rFonts w:ascii="Times New Roman" w:hAnsi="Times New Roman" w:eastAsia="黑体" w:cs="Times New Roman"/>
      <w:bCs/>
      <w:sz w:val="24"/>
      <w:szCs w:val="32"/>
    </w:rPr>
  </w:style>
  <w:style w:type="paragraph" w:styleId="13">
    <w:name w:val="heading 9"/>
    <w:basedOn w:val="1"/>
    <w:next w:val="1"/>
    <w:link w:val="94"/>
    <w:unhideWhenUsed/>
    <w:qFormat/>
    <w:uiPriority w:val="9"/>
    <w:pPr>
      <w:keepNext/>
      <w:keepLines/>
      <w:spacing w:before="240" w:after="64" w:line="319" w:lineRule="auto"/>
      <w:outlineLvl w:val="8"/>
    </w:pPr>
    <w:rPr>
      <w:rFonts w:ascii="Times New Roman" w:hAnsi="Times New Roman" w:eastAsia="黑体"/>
      <w:sz w:val="24"/>
      <w:szCs w:val="21"/>
    </w:rPr>
  </w:style>
  <w:style w:type="character" w:default="1" w:styleId="70">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8"/>
    <w:unhideWhenUsed/>
    <w:qFormat/>
    <w:uiPriority w:val="1"/>
    <w:pPr>
      <w:spacing w:after="120"/>
    </w:pPr>
    <w:rPr>
      <w:rFonts w:ascii="Times New Roman" w:hAnsi="Times New Roman" w:eastAsia="宋体" w:cs="Times New Roman"/>
    </w:rPr>
  </w:style>
  <w:style w:type="paragraph" w:styleId="3">
    <w:name w:val="Body Text First Indent"/>
    <w:basedOn w:val="2"/>
    <w:next w:val="1"/>
    <w:link w:val="99"/>
    <w:unhideWhenUsed/>
    <w:qFormat/>
    <w:uiPriority w:val="0"/>
    <w:pPr>
      <w:ind w:firstLine="420" w:firstLineChars="100"/>
    </w:pPr>
    <w:rPr>
      <w:rFonts w:hAnsi="Calibri"/>
      <w:kern w:val="0"/>
    </w:rPr>
  </w:style>
  <w:style w:type="paragraph" w:styleId="7">
    <w:name w:val="Normal Indent"/>
    <w:basedOn w:val="1"/>
    <w:link w:val="110"/>
    <w:unhideWhenUsed/>
    <w:qFormat/>
    <w:uiPriority w:val="0"/>
    <w:pPr>
      <w:ind w:firstLine="420"/>
    </w:pPr>
    <w:rPr>
      <w:rFonts w:ascii="Times New Roman" w:hAnsi="Times New Roman" w:eastAsia="宋体" w:cs="Times New Roman"/>
      <w:kern w:val="0"/>
      <w:sz w:val="20"/>
      <w:szCs w:val="20"/>
    </w:rPr>
  </w:style>
  <w:style w:type="paragraph" w:styleId="14">
    <w:name w:val="List 3"/>
    <w:basedOn w:val="1"/>
    <w:qFormat/>
    <w:uiPriority w:val="0"/>
    <w:pPr>
      <w:widowControl/>
      <w:ind w:left="100" w:leftChars="400" w:hanging="200" w:hangingChars="200"/>
      <w:jc w:val="left"/>
    </w:pPr>
    <w:rPr>
      <w:rFonts w:ascii="Calibri" w:hAnsi="Calibri" w:eastAsia="宋体" w:cs="Times New Roman"/>
      <w:szCs w:val="24"/>
    </w:rPr>
  </w:style>
  <w:style w:type="paragraph" w:styleId="15">
    <w:name w:val="toc 7"/>
    <w:basedOn w:val="1"/>
    <w:next w:val="1"/>
    <w:qFormat/>
    <w:uiPriority w:val="39"/>
    <w:pPr>
      <w:ind w:left="1260"/>
      <w:jc w:val="left"/>
    </w:pPr>
    <w:rPr>
      <w:rFonts w:ascii="Calibri" w:hAnsi="Calibri" w:eastAsia="宋体" w:cs="Calibri"/>
      <w:sz w:val="18"/>
      <w:szCs w:val="18"/>
    </w:rPr>
  </w:style>
  <w:style w:type="paragraph" w:styleId="16">
    <w:name w:val="List Number 2"/>
    <w:basedOn w:val="1"/>
    <w:qFormat/>
    <w:uiPriority w:val="0"/>
    <w:pPr>
      <w:widowControl/>
      <w:tabs>
        <w:tab w:val="left" w:pos="360"/>
      </w:tabs>
      <w:snapToGrid w:val="0"/>
      <w:ind w:left="360" w:right="709" w:hanging="360"/>
      <w:jc w:val="left"/>
    </w:pPr>
    <w:rPr>
      <w:rFonts w:ascii="Calibri" w:hAnsi="Calibri" w:eastAsia="2OcuAe" w:cs="Times New Roman"/>
      <w:spacing w:val="2"/>
      <w:kern w:val="0"/>
      <w:sz w:val="20"/>
      <w:szCs w:val="20"/>
      <w:lang w:eastAsia="zh-TW"/>
    </w:rPr>
  </w:style>
  <w:style w:type="paragraph" w:styleId="17">
    <w:name w:val="List Bullet 4"/>
    <w:basedOn w:val="1"/>
    <w:qFormat/>
    <w:uiPriority w:val="0"/>
    <w:pPr>
      <w:widowControl/>
      <w:tabs>
        <w:tab w:val="left" w:pos="885"/>
      </w:tabs>
      <w:snapToGrid w:val="0"/>
      <w:ind w:left="885" w:right="709" w:hanging="885"/>
      <w:jc w:val="left"/>
    </w:pPr>
    <w:rPr>
      <w:rFonts w:ascii="Calibri" w:hAnsi="Calibri" w:eastAsia="2OcuAe" w:cs="Times New Roman"/>
      <w:spacing w:val="2"/>
      <w:kern w:val="0"/>
      <w:sz w:val="20"/>
      <w:szCs w:val="20"/>
      <w:lang w:eastAsia="zh-TW"/>
    </w:rPr>
  </w:style>
  <w:style w:type="paragraph" w:styleId="18">
    <w:name w:val="List Number"/>
    <w:basedOn w:val="1"/>
    <w:unhideWhenUsed/>
    <w:qFormat/>
    <w:uiPriority w:val="0"/>
    <w:pPr>
      <w:tabs>
        <w:tab w:val="left" w:pos="360"/>
      </w:tabs>
      <w:ind w:left="360" w:hanging="360"/>
    </w:pPr>
    <w:rPr>
      <w:rFonts w:ascii="Times New Roman" w:hAnsi="Times New Roman" w:eastAsia="宋体" w:cs="Times New Roman"/>
    </w:rPr>
  </w:style>
  <w:style w:type="paragraph" w:styleId="19">
    <w:name w:val="caption"/>
    <w:basedOn w:val="1"/>
    <w:next w:val="1"/>
    <w:link w:val="111"/>
    <w:unhideWhenUsed/>
    <w:qFormat/>
    <w:uiPriority w:val="0"/>
    <w:pPr>
      <w:spacing w:before="152" w:after="160"/>
    </w:pPr>
    <w:rPr>
      <w:rFonts w:ascii="Arial" w:hAnsi="Arial" w:eastAsia="黑体" w:cs="Times New Roman"/>
      <w:kern w:val="0"/>
      <w:sz w:val="20"/>
      <w:szCs w:val="20"/>
    </w:rPr>
  </w:style>
  <w:style w:type="paragraph" w:styleId="20">
    <w:name w:val="List Bullet"/>
    <w:basedOn w:val="1"/>
    <w:unhideWhenUsed/>
    <w:qFormat/>
    <w:uiPriority w:val="0"/>
    <w:pPr>
      <w:tabs>
        <w:tab w:val="left" w:pos="360"/>
      </w:tabs>
      <w:ind w:left="360" w:hanging="360"/>
    </w:pPr>
    <w:rPr>
      <w:rFonts w:ascii="Times New Roman" w:hAnsi="Times New Roman" w:eastAsia="宋体" w:cs="Times New Roman"/>
    </w:rPr>
  </w:style>
  <w:style w:type="paragraph" w:styleId="21">
    <w:name w:val="Document Map"/>
    <w:basedOn w:val="1"/>
    <w:link w:val="95"/>
    <w:unhideWhenUsed/>
    <w:qFormat/>
    <w:uiPriority w:val="0"/>
    <w:pPr>
      <w:shd w:val="clear" w:color="auto" w:fill="000080"/>
    </w:pPr>
    <w:rPr>
      <w:rFonts w:ascii="Times New Roman" w:hAnsi="Times New Roman" w:eastAsia="宋体" w:cs="宋体"/>
    </w:rPr>
  </w:style>
  <w:style w:type="paragraph" w:styleId="22">
    <w:name w:val="annotation text"/>
    <w:basedOn w:val="1"/>
    <w:link w:val="96"/>
    <w:unhideWhenUsed/>
    <w:qFormat/>
    <w:uiPriority w:val="0"/>
    <w:pPr>
      <w:jc w:val="left"/>
    </w:pPr>
    <w:rPr>
      <w:rFonts w:ascii="Times New Roman" w:hAnsi="Times New Roman" w:eastAsia="宋体" w:cs="Times New Roman"/>
    </w:rPr>
  </w:style>
  <w:style w:type="paragraph" w:styleId="23">
    <w:name w:val="Salutation"/>
    <w:basedOn w:val="1"/>
    <w:next w:val="1"/>
    <w:link w:val="362"/>
    <w:qFormat/>
    <w:uiPriority w:val="0"/>
    <w:pPr>
      <w:widowControl/>
      <w:jc w:val="left"/>
    </w:pPr>
    <w:rPr>
      <w:rFonts w:ascii="Times New Roman" w:hAnsi="Times New Roman" w:eastAsia="宋体" w:cs="Times New Roman"/>
      <w:kern w:val="0"/>
      <w:sz w:val="20"/>
      <w:szCs w:val="24"/>
    </w:rPr>
  </w:style>
  <w:style w:type="paragraph" w:styleId="24">
    <w:name w:val="Body Text 3"/>
    <w:basedOn w:val="1"/>
    <w:link w:val="97"/>
    <w:unhideWhenUsed/>
    <w:qFormat/>
    <w:uiPriority w:val="0"/>
    <w:pPr>
      <w:snapToGrid w:val="0"/>
      <w:spacing w:before="50" w:after="50"/>
    </w:pPr>
    <w:rPr>
      <w:rFonts w:ascii="Times New Roman" w:hAnsi="宋体" w:eastAsia="Times New Roman" w:cs="Times New Roman"/>
      <w:b/>
      <w:sz w:val="24"/>
    </w:rPr>
  </w:style>
  <w:style w:type="paragraph" w:styleId="25">
    <w:name w:val="List Bullet 3"/>
    <w:basedOn w:val="1"/>
    <w:qFormat/>
    <w:uiPriority w:val="0"/>
    <w:pPr>
      <w:widowControl/>
      <w:tabs>
        <w:tab w:val="left" w:pos="1800"/>
      </w:tabs>
      <w:snapToGrid w:val="0"/>
      <w:ind w:left="1800" w:right="709" w:hanging="420"/>
      <w:jc w:val="left"/>
    </w:pPr>
    <w:rPr>
      <w:rFonts w:ascii="Calibri" w:hAnsi="Calibri" w:eastAsia="2OcuAe" w:cs="Times New Roman"/>
      <w:spacing w:val="2"/>
      <w:kern w:val="0"/>
      <w:sz w:val="20"/>
      <w:szCs w:val="20"/>
      <w:lang w:eastAsia="zh-TW"/>
    </w:rPr>
  </w:style>
  <w:style w:type="paragraph" w:styleId="26">
    <w:name w:val="Body Text Indent"/>
    <w:basedOn w:val="1"/>
    <w:link w:val="112"/>
    <w:unhideWhenUsed/>
    <w:qFormat/>
    <w:uiPriority w:val="99"/>
    <w:pPr>
      <w:spacing w:line="200" w:lineRule="exact"/>
      <w:ind w:firstLine="301"/>
    </w:pPr>
    <w:rPr>
      <w:rFonts w:ascii="宋体" w:hAnsi="Courier New" w:eastAsia="宋体" w:cs="Times New Roman"/>
      <w:spacing w:val="-4"/>
      <w:kern w:val="0"/>
      <w:sz w:val="18"/>
    </w:rPr>
  </w:style>
  <w:style w:type="paragraph" w:styleId="27">
    <w:name w:val="List Number 3"/>
    <w:basedOn w:val="1"/>
    <w:unhideWhenUsed/>
    <w:qFormat/>
    <w:uiPriority w:val="0"/>
    <w:pPr>
      <w:numPr>
        <w:ilvl w:val="0"/>
        <w:numId w:val="1"/>
      </w:numPr>
    </w:pPr>
    <w:rPr>
      <w:rFonts w:ascii="Times New Roman" w:hAnsi="Times New Roman" w:eastAsia="宋体" w:cs="Times New Roman"/>
      <w:szCs w:val="24"/>
    </w:rPr>
  </w:style>
  <w:style w:type="paragraph" w:styleId="28">
    <w:name w:val="List 2"/>
    <w:basedOn w:val="1"/>
    <w:unhideWhenUsed/>
    <w:qFormat/>
    <w:uiPriority w:val="0"/>
    <w:pPr>
      <w:ind w:left="100" w:leftChars="200" w:hanging="200" w:hangingChars="200"/>
    </w:pPr>
    <w:rPr>
      <w:rFonts w:ascii="Times New Roman" w:hAnsi="Times New Roman" w:eastAsia="宋体" w:cs="Times New Roman"/>
      <w:sz w:val="28"/>
      <w:szCs w:val="24"/>
    </w:rPr>
  </w:style>
  <w:style w:type="paragraph" w:styleId="29">
    <w:name w:val="Block Text"/>
    <w:basedOn w:val="1"/>
    <w:next w:val="30"/>
    <w:qFormat/>
    <w:uiPriority w:val="0"/>
    <w:pPr>
      <w:widowControl/>
      <w:snapToGrid w:val="0"/>
      <w:spacing w:line="400" w:lineRule="exact"/>
      <w:ind w:left="2" w:right="105" w:firstLine="538"/>
      <w:jc w:val="left"/>
    </w:pPr>
    <w:rPr>
      <w:rFonts w:ascii="Calibri" w:hAnsi="Calibri" w:eastAsia="宋体" w:cs="Times New Roman"/>
      <w:b/>
      <w:szCs w:val="20"/>
    </w:rPr>
  </w:style>
  <w:style w:type="paragraph" w:styleId="30">
    <w:name w:val="index heading"/>
    <w:basedOn w:val="1"/>
    <w:next w:val="31"/>
    <w:unhideWhenUsed/>
    <w:qFormat/>
    <w:uiPriority w:val="99"/>
    <w:rPr>
      <w:rFonts w:ascii="等线 Light" w:hAnsi="等线 Light" w:eastAsia="等线 Light" w:cs="Times New Roman"/>
      <w:b/>
      <w:bCs/>
    </w:rPr>
  </w:style>
  <w:style w:type="paragraph" w:styleId="31">
    <w:name w:val="index 1"/>
    <w:basedOn w:val="1"/>
    <w:next w:val="1"/>
    <w:unhideWhenUsed/>
    <w:qFormat/>
    <w:uiPriority w:val="0"/>
    <w:pPr>
      <w:tabs>
        <w:tab w:val="left" w:pos="900"/>
      </w:tabs>
      <w:adjustRightInd w:val="0"/>
      <w:ind w:firstLine="420" w:firstLineChars="200"/>
    </w:pPr>
    <w:rPr>
      <w:rFonts w:ascii="宋体" w:hAnsi="宋体" w:eastAsia="宋体" w:cs="Times New Roman"/>
    </w:rPr>
  </w:style>
  <w:style w:type="paragraph" w:styleId="32">
    <w:name w:val="List Bullet 2"/>
    <w:basedOn w:val="1"/>
    <w:qFormat/>
    <w:uiPriority w:val="0"/>
    <w:pPr>
      <w:widowControl/>
      <w:tabs>
        <w:tab w:val="left" w:pos="780"/>
      </w:tabs>
      <w:spacing w:line="480" w:lineRule="exact"/>
      <w:ind w:left="680" w:leftChars="10" w:right="170" w:hanging="659" w:hangingChars="270"/>
      <w:jc w:val="left"/>
    </w:pPr>
    <w:rPr>
      <w:rFonts w:ascii="宋体" w:hAnsi="宋体" w:eastAsia="宋体" w:cs="Times New Roman"/>
      <w:b/>
      <w:color w:val="0000FF"/>
      <w:spacing w:val="2"/>
      <w:kern w:val="0"/>
      <w:sz w:val="24"/>
      <w:szCs w:val="24"/>
      <w:lang w:eastAsia="zh-TW"/>
    </w:rPr>
  </w:style>
  <w:style w:type="paragraph" w:styleId="33">
    <w:name w:val="toc 5"/>
    <w:basedOn w:val="1"/>
    <w:next w:val="1"/>
    <w:qFormat/>
    <w:uiPriority w:val="39"/>
    <w:pPr>
      <w:ind w:left="840"/>
      <w:jc w:val="left"/>
    </w:pPr>
    <w:rPr>
      <w:rFonts w:ascii="Calibri" w:hAnsi="Calibri" w:eastAsia="宋体" w:cs="Calibri"/>
      <w:sz w:val="18"/>
      <w:szCs w:val="18"/>
    </w:rPr>
  </w:style>
  <w:style w:type="paragraph" w:styleId="34">
    <w:name w:val="toc 3"/>
    <w:basedOn w:val="1"/>
    <w:next w:val="1"/>
    <w:qFormat/>
    <w:uiPriority w:val="39"/>
    <w:pPr>
      <w:ind w:left="420"/>
      <w:jc w:val="left"/>
    </w:pPr>
    <w:rPr>
      <w:rFonts w:ascii="Calibri" w:hAnsi="Calibri" w:eastAsia="宋体" w:cs="Calibri"/>
      <w:i/>
      <w:iCs/>
      <w:sz w:val="20"/>
      <w:szCs w:val="20"/>
    </w:rPr>
  </w:style>
  <w:style w:type="paragraph" w:styleId="35">
    <w:name w:val="Plain Text"/>
    <w:basedOn w:val="1"/>
    <w:next w:val="7"/>
    <w:link w:val="113"/>
    <w:unhideWhenUsed/>
    <w:qFormat/>
    <w:uiPriority w:val="0"/>
    <w:pPr>
      <w:spacing w:beforeLines="50" w:line="400" w:lineRule="exact"/>
    </w:pPr>
    <w:rPr>
      <w:rFonts w:ascii="宋体" w:hAnsi="Courier New" w:eastAsia="宋体" w:cs="Times New Roman"/>
      <w:sz w:val="24"/>
    </w:rPr>
  </w:style>
  <w:style w:type="paragraph" w:styleId="36">
    <w:name w:val="List Bullet 5"/>
    <w:basedOn w:val="1"/>
    <w:qFormat/>
    <w:uiPriority w:val="0"/>
    <w:pPr>
      <w:widowControl/>
      <w:tabs>
        <w:tab w:val="left" w:pos="2040"/>
      </w:tabs>
      <w:snapToGrid w:val="0"/>
      <w:ind w:left="2040" w:right="709" w:hanging="360"/>
      <w:jc w:val="left"/>
    </w:pPr>
    <w:rPr>
      <w:rFonts w:ascii="Calibri" w:hAnsi="Calibri" w:eastAsia="2OcuAe" w:cs="Times New Roman"/>
      <w:spacing w:val="2"/>
      <w:kern w:val="0"/>
      <w:sz w:val="20"/>
      <w:szCs w:val="20"/>
      <w:lang w:eastAsia="zh-TW"/>
    </w:rPr>
  </w:style>
  <w:style w:type="paragraph" w:styleId="37">
    <w:name w:val="List Number 4"/>
    <w:basedOn w:val="1"/>
    <w:qFormat/>
    <w:uiPriority w:val="0"/>
    <w:pPr>
      <w:tabs>
        <w:tab w:val="left" w:pos="840"/>
      </w:tabs>
      <w:autoSpaceDE w:val="0"/>
      <w:autoSpaceDN w:val="0"/>
      <w:adjustRightInd w:val="0"/>
      <w:spacing w:line="360" w:lineRule="atLeast"/>
      <w:ind w:left="840" w:hanging="420"/>
    </w:pPr>
    <w:rPr>
      <w:rFonts w:ascii="Calibri" w:hAnsi="Calibri" w:eastAsia="宋体" w:cs="Times New Roman"/>
      <w:kern w:val="0"/>
      <w:sz w:val="24"/>
      <w:szCs w:val="24"/>
    </w:rPr>
  </w:style>
  <w:style w:type="paragraph" w:styleId="38">
    <w:name w:val="toc 8"/>
    <w:basedOn w:val="1"/>
    <w:next w:val="1"/>
    <w:qFormat/>
    <w:uiPriority w:val="39"/>
    <w:pPr>
      <w:ind w:left="1470"/>
      <w:jc w:val="left"/>
    </w:pPr>
    <w:rPr>
      <w:rFonts w:ascii="Calibri" w:hAnsi="Calibri" w:eastAsia="宋体" w:cs="Calibri"/>
      <w:sz w:val="18"/>
      <w:szCs w:val="18"/>
    </w:rPr>
  </w:style>
  <w:style w:type="paragraph" w:styleId="39">
    <w:name w:val="Date"/>
    <w:basedOn w:val="1"/>
    <w:next w:val="1"/>
    <w:link w:val="102"/>
    <w:unhideWhenUsed/>
    <w:qFormat/>
    <w:uiPriority w:val="99"/>
    <w:pPr>
      <w:ind w:left="2500" w:leftChars="2500"/>
    </w:pPr>
    <w:rPr>
      <w:rFonts w:ascii="Calibri" w:hAnsi="Calibri" w:eastAsia="楷体_GB2312" w:cs="Times New Roman"/>
      <w:kern w:val="0"/>
      <w:sz w:val="32"/>
    </w:rPr>
  </w:style>
  <w:style w:type="paragraph" w:styleId="40">
    <w:name w:val="Body Text Indent 2"/>
    <w:basedOn w:val="1"/>
    <w:link w:val="103"/>
    <w:unhideWhenUsed/>
    <w:qFormat/>
    <w:uiPriority w:val="0"/>
    <w:pPr>
      <w:snapToGrid w:val="0"/>
      <w:ind w:firstLine="542" w:firstLineChars="225"/>
    </w:pPr>
    <w:rPr>
      <w:rFonts w:ascii="仿宋_GB2312" w:hAnsi="宋体" w:eastAsia="宋体" w:cs="Times New Roman"/>
      <w:b/>
      <w:color w:val="000000"/>
      <w:kern w:val="0"/>
      <w:sz w:val="24"/>
    </w:rPr>
  </w:style>
  <w:style w:type="paragraph" w:styleId="41">
    <w:name w:val="endnote text"/>
    <w:basedOn w:val="1"/>
    <w:link w:val="363"/>
    <w:qFormat/>
    <w:uiPriority w:val="0"/>
    <w:pPr>
      <w:widowControl/>
      <w:adjustRightInd w:val="0"/>
      <w:spacing w:line="360" w:lineRule="atLeast"/>
      <w:jc w:val="left"/>
      <w:textAlignment w:val="baseline"/>
    </w:pPr>
    <w:rPr>
      <w:rFonts w:ascii="Times New Roman" w:hAnsi="Times New Roman" w:eastAsia="宋体" w:cs="Times New Roman"/>
      <w:kern w:val="0"/>
      <w:sz w:val="24"/>
      <w:szCs w:val="20"/>
    </w:rPr>
  </w:style>
  <w:style w:type="paragraph" w:styleId="42">
    <w:name w:val="Balloon Text"/>
    <w:basedOn w:val="1"/>
    <w:link w:val="104"/>
    <w:unhideWhenUsed/>
    <w:qFormat/>
    <w:uiPriority w:val="0"/>
    <w:rPr>
      <w:rFonts w:ascii="Calibri" w:hAnsi="Calibri" w:eastAsia="宋体" w:cs="Times New Roman"/>
      <w:sz w:val="18"/>
      <w:szCs w:val="18"/>
    </w:rPr>
  </w:style>
  <w:style w:type="paragraph" w:styleId="43">
    <w:name w:val="footer"/>
    <w:basedOn w:val="1"/>
    <w:link w:val="85"/>
    <w:unhideWhenUsed/>
    <w:qFormat/>
    <w:uiPriority w:val="99"/>
    <w:pPr>
      <w:tabs>
        <w:tab w:val="center" w:pos="4153"/>
        <w:tab w:val="right" w:pos="8306"/>
      </w:tabs>
      <w:snapToGrid w:val="0"/>
      <w:jc w:val="left"/>
    </w:pPr>
    <w:rPr>
      <w:sz w:val="18"/>
      <w:szCs w:val="18"/>
    </w:rPr>
  </w:style>
  <w:style w:type="paragraph" w:styleId="44">
    <w:name w:val="header"/>
    <w:basedOn w:val="1"/>
    <w:link w:val="84"/>
    <w:unhideWhenUsed/>
    <w:qFormat/>
    <w:uiPriority w:val="99"/>
    <w:pPr>
      <w:pBdr>
        <w:bottom w:val="single" w:color="auto" w:sz="6" w:space="1"/>
      </w:pBdr>
      <w:tabs>
        <w:tab w:val="center" w:pos="4153"/>
        <w:tab w:val="right" w:pos="8306"/>
      </w:tabs>
      <w:snapToGrid w:val="0"/>
      <w:jc w:val="center"/>
    </w:pPr>
    <w:rPr>
      <w:sz w:val="18"/>
      <w:szCs w:val="18"/>
    </w:rPr>
  </w:style>
  <w:style w:type="paragraph" w:styleId="45">
    <w:name w:val="toc 1"/>
    <w:basedOn w:val="1"/>
    <w:next w:val="1"/>
    <w:link w:val="370"/>
    <w:unhideWhenUsed/>
    <w:qFormat/>
    <w:uiPriority w:val="39"/>
    <w:rPr>
      <w:rFonts w:ascii="Times New Roman" w:hAnsi="Times New Roman" w:eastAsia="宋体" w:cs="Times New Roman"/>
    </w:rPr>
  </w:style>
  <w:style w:type="paragraph" w:styleId="46">
    <w:name w:val="toc 4"/>
    <w:basedOn w:val="1"/>
    <w:next w:val="1"/>
    <w:qFormat/>
    <w:uiPriority w:val="39"/>
    <w:pPr>
      <w:ind w:left="630"/>
      <w:jc w:val="left"/>
    </w:pPr>
    <w:rPr>
      <w:rFonts w:ascii="Calibri" w:hAnsi="Calibri" w:eastAsia="宋体" w:cs="Calibri"/>
      <w:sz w:val="18"/>
      <w:szCs w:val="18"/>
    </w:rPr>
  </w:style>
  <w:style w:type="paragraph" w:styleId="47">
    <w:name w:val="Subtitle"/>
    <w:basedOn w:val="1"/>
    <w:next w:val="1"/>
    <w:link w:val="364"/>
    <w:qFormat/>
    <w:uiPriority w:val="0"/>
    <w:pPr>
      <w:wordWrap w:val="0"/>
      <w:spacing w:before="240" w:after="60" w:line="312" w:lineRule="auto"/>
      <w:ind w:firstLine="200" w:firstLineChars="200"/>
      <w:jc w:val="center"/>
      <w:outlineLvl w:val="1"/>
    </w:pPr>
    <w:rPr>
      <w:rFonts w:ascii="Calibri" w:hAnsi="Calibri" w:eastAsia="宋体" w:cs="宋体"/>
      <w:b/>
      <w:bCs/>
      <w:kern w:val="28"/>
      <w:sz w:val="32"/>
      <w:szCs w:val="32"/>
    </w:rPr>
  </w:style>
  <w:style w:type="paragraph" w:styleId="48">
    <w:name w:val="List Number 5"/>
    <w:basedOn w:val="1"/>
    <w:qFormat/>
    <w:uiPriority w:val="0"/>
    <w:pPr>
      <w:widowControl/>
      <w:tabs>
        <w:tab w:val="left" w:pos="420"/>
      </w:tabs>
      <w:snapToGrid w:val="0"/>
      <w:ind w:left="420" w:right="709" w:hanging="420"/>
      <w:jc w:val="left"/>
    </w:pPr>
    <w:rPr>
      <w:rFonts w:ascii="Calibri" w:hAnsi="Calibri" w:eastAsia="2OcuAe" w:cs="Times New Roman"/>
      <w:spacing w:val="2"/>
      <w:kern w:val="0"/>
      <w:sz w:val="20"/>
      <w:szCs w:val="20"/>
      <w:lang w:eastAsia="zh-TW"/>
    </w:rPr>
  </w:style>
  <w:style w:type="paragraph" w:styleId="49">
    <w:name w:val="List"/>
    <w:basedOn w:val="1"/>
    <w:semiHidden/>
    <w:unhideWhenUsed/>
    <w:qFormat/>
    <w:uiPriority w:val="99"/>
    <w:pPr>
      <w:ind w:left="200" w:hanging="200" w:hangingChars="200"/>
    </w:pPr>
    <w:rPr>
      <w:rFonts w:ascii="Times New Roman" w:hAnsi="Times New Roman" w:eastAsia="宋体" w:cs="Times New Roman"/>
      <w:sz w:val="28"/>
    </w:rPr>
  </w:style>
  <w:style w:type="paragraph" w:styleId="50">
    <w:name w:val="footnote text"/>
    <w:basedOn w:val="1"/>
    <w:link w:val="365"/>
    <w:qFormat/>
    <w:uiPriority w:val="0"/>
    <w:pPr>
      <w:wordWrap w:val="0"/>
      <w:snapToGrid w:val="0"/>
      <w:spacing w:line="360" w:lineRule="auto"/>
      <w:ind w:firstLine="200" w:firstLineChars="200"/>
      <w:jc w:val="left"/>
    </w:pPr>
    <w:rPr>
      <w:rFonts w:ascii="宋体" w:hAnsi="Calibri" w:eastAsia="宋体" w:cs="宋体"/>
      <w:sz w:val="18"/>
      <w:szCs w:val="18"/>
    </w:rPr>
  </w:style>
  <w:style w:type="paragraph" w:styleId="51">
    <w:name w:val="toc 6"/>
    <w:basedOn w:val="1"/>
    <w:next w:val="1"/>
    <w:qFormat/>
    <w:uiPriority w:val="39"/>
    <w:pPr>
      <w:ind w:left="1050"/>
      <w:jc w:val="left"/>
    </w:pPr>
    <w:rPr>
      <w:rFonts w:ascii="Calibri" w:hAnsi="Calibri" w:eastAsia="宋体" w:cs="Calibri"/>
      <w:sz w:val="18"/>
      <w:szCs w:val="18"/>
    </w:rPr>
  </w:style>
  <w:style w:type="paragraph" w:styleId="52">
    <w:name w:val="Body Text Indent 3"/>
    <w:basedOn w:val="1"/>
    <w:link w:val="105"/>
    <w:unhideWhenUsed/>
    <w:qFormat/>
    <w:uiPriority w:val="0"/>
    <w:pPr>
      <w:snapToGrid w:val="0"/>
      <w:ind w:firstLine="480" w:firstLineChars="200"/>
      <w:jc w:val="left"/>
    </w:pPr>
    <w:rPr>
      <w:rFonts w:ascii="仿宋_GB2312" w:hAnsi="宋体" w:eastAsia="Times New Roman" w:cs="Times New Roman"/>
      <w:color w:val="000000"/>
      <w:kern w:val="0"/>
      <w:sz w:val="24"/>
    </w:rPr>
  </w:style>
  <w:style w:type="paragraph" w:styleId="53">
    <w:name w:val="toc 2"/>
    <w:basedOn w:val="1"/>
    <w:next w:val="1"/>
    <w:qFormat/>
    <w:uiPriority w:val="39"/>
    <w:pPr>
      <w:wordWrap w:val="0"/>
      <w:spacing w:line="360" w:lineRule="auto"/>
      <w:ind w:left="420" w:leftChars="200" w:firstLine="200" w:firstLineChars="200"/>
    </w:pPr>
    <w:rPr>
      <w:rFonts w:ascii="宋体" w:hAnsi="Calibri" w:eastAsia="宋体" w:cs="宋体"/>
    </w:rPr>
  </w:style>
  <w:style w:type="paragraph" w:styleId="54">
    <w:name w:val="toc 9"/>
    <w:basedOn w:val="1"/>
    <w:next w:val="1"/>
    <w:qFormat/>
    <w:uiPriority w:val="39"/>
    <w:pPr>
      <w:ind w:left="1680"/>
      <w:jc w:val="left"/>
    </w:pPr>
    <w:rPr>
      <w:rFonts w:ascii="Calibri" w:hAnsi="Calibri" w:eastAsia="宋体" w:cs="Calibri"/>
      <w:sz w:val="18"/>
      <w:szCs w:val="18"/>
    </w:rPr>
  </w:style>
  <w:style w:type="paragraph" w:styleId="55">
    <w:name w:val="Body Text 2"/>
    <w:basedOn w:val="1"/>
    <w:link w:val="106"/>
    <w:unhideWhenUsed/>
    <w:qFormat/>
    <w:uiPriority w:val="0"/>
    <w:pPr>
      <w:widowControl/>
      <w:overflowPunct w:val="0"/>
      <w:autoSpaceDE w:val="0"/>
      <w:autoSpaceDN w:val="0"/>
      <w:adjustRightInd w:val="0"/>
      <w:spacing w:line="280" w:lineRule="exact"/>
      <w:jc w:val="center"/>
    </w:pPr>
    <w:rPr>
      <w:rFonts w:ascii="宋体" w:hAnsi="宋体" w:eastAsia="宋体" w:cs="宋体"/>
      <w:bCs/>
    </w:rPr>
  </w:style>
  <w:style w:type="paragraph" w:styleId="56">
    <w:name w:val="HTML Preformatted"/>
    <w:basedOn w:val="1"/>
    <w:link w:val="10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宋体" w:cs="Times New Roman"/>
      <w:kern w:val="0"/>
      <w:sz w:val="20"/>
      <w:szCs w:val="20"/>
    </w:rPr>
  </w:style>
  <w:style w:type="paragraph" w:styleId="57">
    <w:name w:val="Normal (Web)"/>
    <w:basedOn w:val="1"/>
    <w:link w:val="723"/>
    <w:unhideWhenUsed/>
    <w:qFormat/>
    <w:uiPriority w:val="0"/>
    <w:pPr>
      <w:widowControl/>
      <w:spacing w:before="100" w:beforeAutospacing="1" w:after="100" w:afterAutospacing="1"/>
      <w:jc w:val="left"/>
    </w:pPr>
    <w:rPr>
      <w:rFonts w:ascii="(使用中文字体)" w:hAnsi="(使用中文字体)" w:eastAsia="宋体" w:cs="(使用中文字体)"/>
      <w:kern w:val="0"/>
      <w:sz w:val="24"/>
      <w:szCs w:val="24"/>
    </w:rPr>
  </w:style>
  <w:style w:type="paragraph" w:styleId="58">
    <w:name w:val="Title"/>
    <w:basedOn w:val="1"/>
    <w:next w:val="1"/>
    <w:link w:val="366"/>
    <w:qFormat/>
    <w:uiPriority w:val="0"/>
    <w:pPr>
      <w:wordWrap w:val="0"/>
      <w:spacing w:before="240" w:after="60" w:line="360" w:lineRule="auto"/>
      <w:ind w:firstLine="200" w:firstLineChars="200"/>
      <w:jc w:val="center"/>
      <w:outlineLvl w:val="0"/>
    </w:pPr>
    <w:rPr>
      <w:rFonts w:ascii="Cambria" w:hAnsi="Cambria" w:eastAsia="宋体" w:cs="宋体"/>
      <w:b/>
      <w:bCs/>
      <w:sz w:val="32"/>
      <w:szCs w:val="32"/>
    </w:rPr>
  </w:style>
  <w:style w:type="paragraph" w:styleId="59">
    <w:name w:val="annotation subject"/>
    <w:basedOn w:val="22"/>
    <w:next w:val="22"/>
    <w:link w:val="108"/>
    <w:unhideWhenUsed/>
    <w:qFormat/>
    <w:uiPriority w:val="0"/>
    <w:rPr>
      <w:rFonts w:cs="宋体"/>
      <w:b/>
      <w:bCs/>
    </w:rPr>
  </w:style>
  <w:style w:type="paragraph" w:styleId="60">
    <w:name w:val="Body Text First Indent 2"/>
    <w:basedOn w:val="26"/>
    <w:link w:val="109"/>
    <w:unhideWhenUsed/>
    <w:qFormat/>
    <w:uiPriority w:val="99"/>
    <w:pPr>
      <w:spacing w:after="120" w:line="240" w:lineRule="auto"/>
      <w:ind w:left="420" w:leftChars="200" w:firstLine="420" w:firstLineChars="200"/>
    </w:pPr>
    <w:rPr>
      <w:rFonts w:ascii="Calibri" w:hAnsi="Calibri"/>
      <w:spacing w:val="0"/>
      <w:kern w:val="2"/>
      <w:sz w:val="21"/>
      <w:szCs w:val="24"/>
    </w:rPr>
  </w:style>
  <w:style w:type="table" w:styleId="62">
    <w:name w:val="Table Grid"/>
    <w:basedOn w:val="6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3">
    <w:name w:val="Table Theme"/>
    <w:basedOn w:val="61"/>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Elegant"/>
    <w:basedOn w:val="61"/>
    <w:qFormat/>
    <w:uiPriority w:val="0"/>
    <w:pPr>
      <w:widowControl w:val="0"/>
      <w:jc w:val="both"/>
    </w:p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5">
    <w:name w:val="Medium Shading 2 Accent 2"/>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F81B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F81B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6">
    <w:name w:val="Medium Shading 2 Accent 3"/>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C0504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C0504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7">
    <w:name w:val="Medium Shading 2 Accent 4"/>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9BBB59"/>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9BBB59"/>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8">
    <w:name w:val="Medium Shading 2 Accent 5"/>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8064A2"/>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8064A2"/>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9">
    <w:name w:val="Medium Shading 2 Accent 6"/>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BACC6"/>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BACC6"/>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character" w:styleId="71">
    <w:name w:val="Strong"/>
    <w:basedOn w:val="70"/>
    <w:qFormat/>
    <w:uiPriority w:val="0"/>
    <w:rPr>
      <w:rFonts w:hint="default" w:ascii="Times New Roman" w:hAnsi="Times New Roman" w:cs="Times New Roman"/>
      <w:b/>
    </w:rPr>
  </w:style>
  <w:style w:type="character" w:styleId="72">
    <w:name w:val="page number"/>
    <w:basedOn w:val="70"/>
    <w:unhideWhenUsed/>
    <w:qFormat/>
    <w:uiPriority w:val="0"/>
    <w:rPr>
      <w:rFonts w:hint="default" w:ascii="Times New Roman" w:hAnsi="Times New Roman" w:cs="Times New Roman"/>
    </w:rPr>
  </w:style>
  <w:style w:type="character" w:styleId="73">
    <w:name w:val="FollowedHyperlink"/>
    <w:basedOn w:val="70"/>
    <w:unhideWhenUsed/>
    <w:qFormat/>
    <w:uiPriority w:val="0"/>
    <w:rPr>
      <w:rFonts w:hint="default" w:ascii="Times New Roman" w:hAnsi="Times New Roman" w:cs="Times New Roman"/>
      <w:color w:val="800080"/>
      <w:u w:val="single"/>
    </w:rPr>
  </w:style>
  <w:style w:type="character" w:styleId="74">
    <w:name w:val="Emphasis"/>
    <w:qFormat/>
    <w:uiPriority w:val="0"/>
    <w:rPr>
      <w:rFonts w:ascii="Calibri" w:hAnsi="Calibri" w:eastAsia="宋体" w:cs="Times New Roman"/>
    </w:rPr>
  </w:style>
  <w:style w:type="character" w:styleId="75">
    <w:name w:val="HTML Definition"/>
    <w:basedOn w:val="70"/>
    <w:semiHidden/>
    <w:unhideWhenUsed/>
    <w:qFormat/>
    <w:uiPriority w:val="0"/>
    <w:rPr>
      <w:rFonts w:hint="default" w:ascii="Times New Roman" w:hAnsi="Times New Roman" w:cs="Times New Roman"/>
      <w:i/>
    </w:rPr>
  </w:style>
  <w:style w:type="character" w:styleId="76">
    <w:name w:val="Hyperlink"/>
    <w:basedOn w:val="70"/>
    <w:unhideWhenUsed/>
    <w:qFormat/>
    <w:uiPriority w:val="99"/>
    <w:rPr>
      <w:rFonts w:hint="default" w:ascii="Times New Roman" w:hAnsi="Times New Roman" w:cs="Times New Roman"/>
      <w:color w:val="0000FF"/>
      <w:u w:val="single"/>
    </w:rPr>
  </w:style>
  <w:style w:type="character" w:styleId="77">
    <w:name w:val="HTML Code"/>
    <w:basedOn w:val="70"/>
    <w:semiHidden/>
    <w:unhideWhenUsed/>
    <w:qFormat/>
    <w:uiPriority w:val="0"/>
    <w:rPr>
      <w:rFonts w:hint="default" w:ascii="Marlett" w:hAnsi="Marlett" w:eastAsia="Times New Roman" w:cs="Times New Roman"/>
      <w:sz w:val="21"/>
      <w:szCs w:val="24"/>
    </w:rPr>
  </w:style>
  <w:style w:type="character" w:styleId="78">
    <w:name w:val="annotation reference"/>
    <w:basedOn w:val="70"/>
    <w:unhideWhenUsed/>
    <w:qFormat/>
    <w:uiPriority w:val="0"/>
    <w:rPr>
      <w:rFonts w:hint="default" w:ascii="Times New Roman" w:hAnsi="Times New Roman" w:cs="Times New Roman"/>
      <w:sz w:val="21"/>
    </w:rPr>
  </w:style>
  <w:style w:type="character" w:styleId="79">
    <w:name w:val="footnote reference"/>
    <w:basedOn w:val="70"/>
    <w:qFormat/>
    <w:uiPriority w:val="0"/>
    <w:rPr>
      <w:vertAlign w:val="superscript"/>
    </w:rPr>
  </w:style>
  <w:style w:type="character" w:styleId="80">
    <w:name w:val="HTML Keyboard"/>
    <w:basedOn w:val="70"/>
    <w:semiHidden/>
    <w:unhideWhenUsed/>
    <w:qFormat/>
    <w:uiPriority w:val="0"/>
    <w:rPr>
      <w:rFonts w:hint="default" w:ascii="Marlett" w:hAnsi="Marlett" w:eastAsia="Times New Roman" w:cs="Times New Roman"/>
      <w:sz w:val="21"/>
      <w:szCs w:val="24"/>
    </w:rPr>
  </w:style>
  <w:style w:type="character" w:styleId="81">
    <w:name w:val="HTML Sample"/>
    <w:basedOn w:val="70"/>
    <w:semiHidden/>
    <w:unhideWhenUsed/>
    <w:qFormat/>
    <w:uiPriority w:val="0"/>
    <w:rPr>
      <w:rFonts w:hint="default" w:ascii="Marlett" w:hAnsi="Marlett" w:eastAsia="Times New Roman" w:cs="Times New Roman"/>
      <w:sz w:val="21"/>
    </w:rPr>
  </w:style>
  <w:style w:type="paragraph" w:customStyle="1" w:styleId="82">
    <w:name w:val="首行缩进"/>
    <w:basedOn w:val="1"/>
    <w:qFormat/>
    <w:uiPriority w:val="0"/>
    <w:pPr>
      <w:spacing w:line="360" w:lineRule="auto"/>
      <w:ind w:firstLine="480" w:firstLineChars="200"/>
      <w:jc w:val="left"/>
    </w:pPr>
    <w:rPr>
      <w:rFonts w:ascii="宋体" w:hAnsi="宋体"/>
      <w:sz w:val="24"/>
    </w:rPr>
  </w:style>
  <w:style w:type="paragraph" w:customStyle="1" w:styleId="83">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84">
    <w:name w:val="页眉 字符"/>
    <w:basedOn w:val="70"/>
    <w:link w:val="44"/>
    <w:qFormat/>
    <w:uiPriority w:val="99"/>
    <w:rPr>
      <w:sz w:val="18"/>
      <w:szCs w:val="18"/>
    </w:rPr>
  </w:style>
  <w:style w:type="character" w:customStyle="1" w:styleId="85">
    <w:name w:val="页脚 字符"/>
    <w:basedOn w:val="70"/>
    <w:link w:val="43"/>
    <w:qFormat/>
    <w:uiPriority w:val="99"/>
    <w:rPr>
      <w:sz w:val="18"/>
      <w:szCs w:val="18"/>
    </w:rPr>
  </w:style>
  <w:style w:type="character" w:customStyle="1" w:styleId="86">
    <w:name w:val="标题 1 字符"/>
    <w:basedOn w:val="70"/>
    <w:link w:val="4"/>
    <w:qFormat/>
    <w:uiPriority w:val="0"/>
    <w:rPr>
      <w:rFonts w:ascii="Times New Roman" w:hAnsi="Times New Roman" w:eastAsia="黑体" w:cs="Times New Roman"/>
      <w:b/>
      <w:bCs/>
      <w:kern w:val="44"/>
      <w:sz w:val="52"/>
      <w:szCs w:val="20"/>
    </w:rPr>
  </w:style>
  <w:style w:type="character" w:customStyle="1" w:styleId="87">
    <w:name w:val="标题 2 字符"/>
    <w:basedOn w:val="70"/>
    <w:link w:val="5"/>
    <w:qFormat/>
    <w:uiPriority w:val="9"/>
    <w:rPr>
      <w:rFonts w:ascii="Arial" w:hAnsi="Arial" w:eastAsia="黑体" w:cs="Times New Roman"/>
      <w:b/>
      <w:kern w:val="0"/>
      <w:sz w:val="32"/>
      <w:szCs w:val="20"/>
    </w:rPr>
  </w:style>
  <w:style w:type="character" w:customStyle="1" w:styleId="88">
    <w:name w:val="标题 3 字符"/>
    <w:basedOn w:val="70"/>
    <w:link w:val="6"/>
    <w:qFormat/>
    <w:uiPriority w:val="0"/>
    <w:rPr>
      <w:rFonts w:ascii="Times New Roman" w:hAnsi="Times New Roman" w:eastAsia="黑体" w:cs="Times New Roman"/>
      <w:b/>
      <w:bCs/>
      <w:sz w:val="36"/>
      <w:szCs w:val="36"/>
    </w:rPr>
  </w:style>
  <w:style w:type="character" w:customStyle="1" w:styleId="89">
    <w:name w:val="标题 4 字符"/>
    <w:basedOn w:val="70"/>
    <w:link w:val="8"/>
    <w:qFormat/>
    <w:uiPriority w:val="0"/>
    <w:rPr>
      <w:rFonts w:ascii="Arial" w:hAnsi="Arial" w:eastAsia="黑体" w:cs="Times New Roman"/>
      <w:b/>
      <w:bCs/>
      <w:sz w:val="30"/>
      <w:szCs w:val="28"/>
    </w:rPr>
  </w:style>
  <w:style w:type="character" w:customStyle="1" w:styleId="90">
    <w:name w:val="标题 5 字符"/>
    <w:basedOn w:val="70"/>
    <w:link w:val="9"/>
    <w:qFormat/>
    <w:uiPriority w:val="0"/>
    <w:rPr>
      <w:rFonts w:ascii="Times New Roman" w:hAnsi="Times New Roman" w:eastAsia="宋体" w:cs="Times New Roman"/>
      <w:b/>
      <w:bCs/>
      <w:sz w:val="28"/>
      <w:szCs w:val="28"/>
    </w:rPr>
  </w:style>
  <w:style w:type="character" w:customStyle="1" w:styleId="91">
    <w:name w:val="标题 6 字符"/>
    <w:basedOn w:val="70"/>
    <w:link w:val="10"/>
    <w:qFormat/>
    <w:uiPriority w:val="9"/>
    <w:rPr>
      <w:rFonts w:ascii="Arial" w:hAnsi="Arial" w:eastAsia="黑体" w:cs="Times New Roman"/>
      <w:b/>
      <w:sz w:val="24"/>
      <w:szCs w:val="24"/>
    </w:rPr>
  </w:style>
  <w:style w:type="character" w:customStyle="1" w:styleId="92">
    <w:name w:val="标题 7 字符"/>
    <w:basedOn w:val="70"/>
    <w:link w:val="11"/>
    <w:qFormat/>
    <w:uiPriority w:val="9"/>
    <w:rPr>
      <w:rFonts w:ascii="Times New Roman" w:hAnsi="Times New Roman" w:eastAsia="黑体"/>
      <w:sz w:val="24"/>
      <w:szCs w:val="21"/>
    </w:rPr>
  </w:style>
  <w:style w:type="character" w:customStyle="1" w:styleId="93">
    <w:name w:val="标题 8 字符"/>
    <w:basedOn w:val="70"/>
    <w:link w:val="12"/>
    <w:qFormat/>
    <w:uiPriority w:val="9"/>
    <w:rPr>
      <w:rFonts w:ascii="Times New Roman" w:hAnsi="Times New Roman" w:eastAsia="黑体" w:cs="Times New Roman"/>
      <w:bCs/>
      <w:sz w:val="24"/>
      <w:szCs w:val="32"/>
    </w:rPr>
  </w:style>
  <w:style w:type="character" w:customStyle="1" w:styleId="94">
    <w:name w:val="标题 9 字符"/>
    <w:basedOn w:val="70"/>
    <w:link w:val="13"/>
    <w:qFormat/>
    <w:uiPriority w:val="9"/>
    <w:rPr>
      <w:rFonts w:ascii="Times New Roman" w:hAnsi="Times New Roman" w:eastAsia="黑体"/>
      <w:sz w:val="24"/>
      <w:szCs w:val="21"/>
    </w:rPr>
  </w:style>
  <w:style w:type="character" w:customStyle="1" w:styleId="95">
    <w:name w:val="文档结构图 字符"/>
    <w:basedOn w:val="70"/>
    <w:link w:val="21"/>
    <w:qFormat/>
    <w:uiPriority w:val="0"/>
    <w:rPr>
      <w:rFonts w:ascii="Times New Roman" w:hAnsi="Times New Roman" w:eastAsia="宋体" w:cs="宋体"/>
      <w:shd w:val="clear" w:color="auto" w:fill="000080"/>
    </w:rPr>
  </w:style>
  <w:style w:type="character" w:customStyle="1" w:styleId="96">
    <w:name w:val="批注文字 字符"/>
    <w:basedOn w:val="70"/>
    <w:link w:val="22"/>
    <w:qFormat/>
    <w:uiPriority w:val="0"/>
    <w:rPr>
      <w:rFonts w:ascii="Times New Roman" w:hAnsi="Times New Roman" w:eastAsia="宋体" w:cs="Times New Roman"/>
    </w:rPr>
  </w:style>
  <w:style w:type="character" w:customStyle="1" w:styleId="97">
    <w:name w:val="正文文本 3 字符"/>
    <w:basedOn w:val="70"/>
    <w:link w:val="24"/>
    <w:qFormat/>
    <w:uiPriority w:val="0"/>
    <w:rPr>
      <w:rFonts w:ascii="Times New Roman" w:hAnsi="宋体" w:eastAsia="Times New Roman" w:cs="Times New Roman"/>
      <w:b/>
      <w:sz w:val="24"/>
    </w:rPr>
  </w:style>
  <w:style w:type="character" w:customStyle="1" w:styleId="98">
    <w:name w:val="正文文本 字符"/>
    <w:basedOn w:val="70"/>
    <w:link w:val="2"/>
    <w:qFormat/>
    <w:uiPriority w:val="1"/>
    <w:rPr>
      <w:rFonts w:ascii="Times New Roman" w:hAnsi="Times New Roman" w:eastAsia="宋体" w:cs="Times New Roman"/>
    </w:rPr>
  </w:style>
  <w:style w:type="character" w:customStyle="1" w:styleId="99">
    <w:name w:val="正文文本首行缩进 字符"/>
    <w:basedOn w:val="98"/>
    <w:link w:val="3"/>
    <w:qFormat/>
    <w:uiPriority w:val="0"/>
    <w:rPr>
      <w:rFonts w:ascii="Times New Roman" w:hAnsi="Calibri" w:eastAsia="宋体" w:cs="Times New Roman"/>
      <w:kern w:val="0"/>
    </w:rPr>
  </w:style>
  <w:style w:type="character" w:customStyle="1" w:styleId="100">
    <w:name w:val="正文文本缩进 字符"/>
    <w:basedOn w:val="70"/>
    <w:qFormat/>
    <w:uiPriority w:val="99"/>
  </w:style>
  <w:style w:type="character" w:customStyle="1" w:styleId="101">
    <w:name w:val="纯文本 字符"/>
    <w:basedOn w:val="70"/>
    <w:qFormat/>
    <w:uiPriority w:val="0"/>
    <w:rPr>
      <w:rFonts w:hAnsi="Courier New" w:cs="Courier New" w:asciiTheme="minorEastAsia"/>
    </w:rPr>
  </w:style>
  <w:style w:type="character" w:customStyle="1" w:styleId="102">
    <w:name w:val="日期 字符"/>
    <w:basedOn w:val="70"/>
    <w:link w:val="39"/>
    <w:qFormat/>
    <w:uiPriority w:val="99"/>
    <w:rPr>
      <w:rFonts w:ascii="Calibri" w:hAnsi="Calibri" w:eastAsia="楷体_GB2312" w:cs="Times New Roman"/>
      <w:kern w:val="0"/>
      <w:sz w:val="32"/>
    </w:rPr>
  </w:style>
  <w:style w:type="character" w:customStyle="1" w:styleId="103">
    <w:name w:val="正文文本缩进 2 字符"/>
    <w:basedOn w:val="70"/>
    <w:link w:val="40"/>
    <w:qFormat/>
    <w:uiPriority w:val="0"/>
    <w:rPr>
      <w:rFonts w:ascii="仿宋_GB2312" w:hAnsi="宋体" w:eastAsia="宋体" w:cs="Times New Roman"/>
      <w:b/>
      <w:color w:val="000000"/>
      <w:kern w:val="0"/>
      <w:sz w:val="24"/>
    </w:rPr>
  </w:style>
  <w:style w:type="character" w:customStyle="1" w:styleId="104">
    <w:name w:val="批注框文本 字符"/>
    <w:basedOn w:val="70"/>
    <w:link w:val="42"/>
    <w:qFormat/>
    <w:uiPriority w:val="0"/>
    <w:rPr>
      <w:rFonts w:ascii="Calibri" w:hAnsi="Calibri" w:eastAsia="宋体" w:cs="Times New Roman"/>
      <w:sz w:val="18"/>
      <w:szCs w:val="18"/>
    </w:rPr>
  </w:style>
  <w:style w:type="character" w:customStyle="1" w:styleId="105">
    <w:name w:val="正文文本缩进 3 字符"/>
    <w:basedOn w:val="70"/>
    <w:link w:val="52"/>
    <w:qFormat/>
    <w:uiPriority w:val="0"/>
    <w:rPr>
      <w:rFonts w:ascii="仿宋_GB2312" w:hAnsi="宋体" w:eastAsia="Times New Roman" w:cs="Times New Roman"/>
      <w:color w:val="000000"/>
      <w:kern w:val="0"/>
      <w:sz w:val="24"/>
    </w:rPr>
  </w:style>
  <w:style w:type="character" w:customStyle="1" w:styleId="106">
    <w:name w:val="正文文本 2 字符"/>
    <w:basedOn w:val="70"/>
    <w:link w:val="55"/>
    <w:qFormat/>
    <w:uiPriority w:val="0"/>
    <w:rPr>
      <w:rFonts w:ascii="宋体" w:hAnsi="宋体" w:eastAsia="宋体" w:cs="宋体"/>
      <w:bCs/>
    </w:rPr>
  </w:style>
  <w:style w:type="character" w:customStyle="1" w:styleId="107">
    <w:name w:val="HTML 预设格式 字符"/>
    <w:basedOn w:val="70"/>
    <w:link w:val="56"/>
    <w:qFormat/>
    <w:uiPriority w:val="0"/>
    <w:rPr>
      <w:rFonts w:ascii="Courier New" w:hAnsi="Courier New" w:eastAsia="宋体" w:cs="Times New Roman"/>
      <w:kern w:val="0"/>
      <w:sz w:val="20"/>
      <w:szCs w:val="20"/>
    </w:rPr>
  </w:style>
  <w:style w:type="character" w:customStyle="1" w:styleId="108">
    <w:name w:val="批注主题 字符"/>
    <w:basedOn w:val="96"/>
    <w:link w:val="59"/>
    <w:qFormat/>
    <w:uiPriority w:val="0"/>
    <w:rPr>
      <w:rFonts w:ascii="Times New Roman" w:hAnsi="Times New Roman" w:eastAsia="宋体" w:cs="宋体"/>
      <w:b/>
      <w:bCs/>
    </w:rPr>
  </w:style>
  <w:style w:type="character" w:customStyle="1" w:styleId="109">
    <w:name w:val="正文文本首行缩进 2 字符"/>
    <w:basedOn w:val="100"/>
    <w:link w:val="60"/>
    <w:qFormat/>
    <w:uiPriority w:val="99"/>
    <w:rPr>
      <w:rFonts w:ascii="Calibri" w:hAnsi="Calibri" w:eastAsia="宋体" w:cs="Times New Roman"/>
      <w:szCs w:val="24"/>
    </w:rPr>
  </w:style>
  <w:style w:type="character" w:customStyle="1" w:styleId="110">
    <w:name w:val="正文缩进 字符"/>
    <w:link w:val="7"/>
    <w:qFormat/>
    <w:locked/>
    <w:uiPriority w:val="0"/>
    <w:rPr>
      <w:rFonts w:ascii="Times New Roman" w:hAnsi="Times New Roman" w:eastAsia="宋体" w:cs="Times New Roman"/>
      <w:kern w:val="0"/>
      <w:sz w:val="20"/>
      <w:szCs w:val="20"/>
    </w:rPr>
  </w:style>
  <w:style w:type="character" w:customStyle="1" w:styleId="111">
    <w:name w:val="题注 字符"/>
    <w:link w:val="19"/>
    <w:semiHidden/>
    <w:qFormat/>
    <w:locked/>
    <w:uiPriority w:val="0"/>
    <w:rPr>
      <w:rFonts w:ascii="Arial" w:hAnsi="Arial" w:eastAsia="黑体" w:cs="Times New Roman"/>
      <w:kern w:val="0"/>
      <w:sz w:val="20"/>
      <w:szCs w:val="20"/>
    </w:rPr>
  </w:style>
  <w:style w:type="character" w:customStyle="1" w:styleId="112">
    <w:name w:val="正文文本缩进 字符2"/>
    <w:basedOn w:val="70"/>
    <w:link w:val="26"/>
    <w:semiHidden/>
    <w:qFormat/>
    <w:uiPriority w:val="99"/>
    <w:rPr>
      <w:rFonts w:ascii="宋体" w:hAnsi="Courier New" w:eastAsia="宋体" w:cs="Times New Roman"/>
      <w:spacing w:val="-4"/>
      <w:kern w:val="0"/>
      <w:sz w:val="18"/>
    </w:rPr>
  </w:style>
  <w:style w:type="character" w:customStyle="1" w:styleId="113">
    <w:name w:val="纯文本 字符1"/>
    <w:basedOn w:val="70"/>
    <w:link w:val="35"/>
    <w:qFormat/>
    <w:uiPriority w:val="0"/>
    <w:rPr>
      <w:rFonts w:ascii="宋体" w:hAnsi="Courier New" w:eastAsia="宋体" w:cs="Times New Roman"/>
      <w:sz w:val="24"/>
    </w:rPr>
  </w:style>
  <w:style w:type="paragraph" w:styleId="114">
    <w:name w:val="List Paragraph"/>
    <w:basedOn w:val="1"/>
    <w:qFormat/>
    <w:uiPriority w:val="34"/>
    <w:pPr>
      <w:ind w:firstLine="420" w:firstLineChars="200"/>
    </w:pPr>
  </w:style>
  <w:style w:type="paragraph" w:customStyle="1" w:styleId="115">
    <w:name w:val="标题 71"/>
    <w:basedOn w:val="1"/>
    <w:next w:val="1"/>
    <w:qFormat/>
    <w:uiPriority w:val="9"/>
    <w:pPr>
      <w:keepNext/>
      <w:keepLines/>
      <w:spacing w:before="120" w:after="120"/>
      <w:outlineLvl w:val="6"/>
    </w:pPr>
    <w:rPr>
      <w:rFonts w:ascii="Times New Roman" w:hAnsi="Times New Roman" w:eastAsia="黑体"/>
      <w:sz w:val="24"/>
      <w:szCs w:val="21"/>
    </w:rPr>
  </w:style>
  <w:style w:type="paragraph" w:customStyle="1" w:styleId="116">
    <w:name w:val="标题 81"/>
    <w:basedOn w:val="1"/>
    <w:next w:val="1"/>
    <w:qFormat/>
    <w:uiPriority w:val="9"/>
    <w:pPr>
      <w:keepNext/>
      <w:keepLines/>
      <w:spacing w:before="120" w:after="120"/>
      <w:outlineLvl w:val="7"/>
    </w:pPr>
    <w:rPr>
      <w:rFonts w:ascii="Times New Roman" w:hAnsi="Times New Roman" w:eastAsia="黑体" w:cs="Times New Roman"/>
      <w:bCs/>
      <w:sz w:val="24"/>
      <w:szCs w:val="32"/>
    </w:rPr>
  </w:style>
  <w:style w:type="paragraph" w:customStyle="1" w:styleId="117">
    <w:name w:val="标题 91"/>
    <w:basedOn w:val="1"/>
    <w:next w:val="1"/>
    <w:qFormat/>
    <w:uiPriority w:val="9"/>
    <w:pPr>
      <w:keepNext/>
      <w:keepLines/>
      <w:spacing w:before="120" w:after="120"/>
      <w:outlineLvl w:val="8"/>
    </w:pPr>
    <w:rPr>
      <w:rFonts w:ascii="Times New Roman" w:hAnsi="Times New Roman" w:eastAsia="黑体"/>
      <w:sz w:val="24"/>
      <w:szCs w:val="21"/>
    </w:rPr>
  </w:style>
  <w:style w:type="paragraph" w:customStyle="1" w:styleId="118">
    <w:name w:val="表格文字"/>
    <w:basedOn w:val="1"/>
    <w:next w:val="2"/>
    <w:qFormat/>
    <w:uiPriority w:val="0"/>
    <w:rPr>
      <w:rFonts w:ascii="Times New Roman" w:hAnsi="Times New Roman" w:eastAsia="宋体" w:cs="Times New Roman"/>
      <w:sz w:val="18"/>
      <w:szCs w:val="24"/>
    </w:rPr>
  </w:style>
  <w:style w:type="paragraph" w:customStyle="1" w:styleId="119">
    <w:name w:val="Default Paragraph Font Para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20">
    <w:name w:val="默认段落字体 Para Char Char Char Char Char Char Char Char Char1 Char Char Char Char"/>
    <w:basedOn w:val="1"/>
    <w:qFormat/>
    <w:uiPriority w:val="0"/>
    <w:rPr>
      <w:rFonts w:ascii="Tahoma" w:hAnsi="Tahoma" w:eastAsia="宋体" w:cs="Times New Roman"/>
      <w:sz w:val="24"/>
    </w:rPr>
  </w:style>
  <w:style w:type="paragraph" w:customStyle="1" w:styleId="121">
    <w:name w:val="1"/>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2">
    <w:name w:val="章正文"/>
    <w:qFormat/>
    <w:uiPriority w:val="0"/>
    <w:pPr>
      <w:widowControl w:val="0"/>
      <w:spacing w:beforeLines="50" w:after="120" w:line="300" w:lineRule="auto"/>
      <w:ind w:firstLine="480"/>
      <w:jc w:val="both"/>
    </w:pPr>
    <w:rPr>
      <w:rFonts w:ascii="Algerian" w:hAnsi="Algerian" w:eastAsia="宋体" w:cs="宋体"/>
      <w:sz w:val="24"/>
      <w:szCs w:val="24"/>
      <w:lang w:val="en-US" w:eastAsia="zh-CN" w:bidi="ar-SA"/>
    </w:rPr>
  </w:style>
  <w:style w:type="paragraph" w:customStyle="1" w:styleId="123">
    <w:name w:val="列出段落5"/>
    <w:basedOn w:val="1"/>
    <w:qFormat/>
    <w:uiPriority w:val="99"/>
    <w:pPr>
      <w:ind w:firstLine="420" w:firstLineChars="200"/>
    </w:pPr>
    <w:rPr>
      <w:rFonts w:ascii="Calibri" w:hAnsi="Calibri" w:eastAsia="等线" w:cs="Times New Roman"/>
      <w:sz w:val="24"/>
      <w:szCs w:val="24"/>
    </w:rPr>
  </w:style>
  <w:style w:type="paragraph" w:customStyle="1" w:styleId="124">
    <w:name w:val="Char Char Char Char Char Char"/>
    <w:basedOn w:val="1"/>
    <w:qFormat/>
    <w:uiPriority w:val="0"/>
    <w:pPr>
      <w:widowControl/>
      <w:spacing w:after="160" w:line="240" w:lineRule="exact"/>
      <w:jc w:val="left"/>
    </w:pPr>
    <w:rPr>
      <w:rFonts w:ascii="(使用中文字体)" w:hAnsi="(使用中文字体)" w:eastAsia="宋体" w:cs="Times New Roman"/>
      <w:kern w:val="0"/>
      <w:sz w:val="20"/>
      <w:szCs w:val="20"/>
      <w:lang w:eastAsia="en-US"/>
    </w:rPr>
  </w:style>
  <w:style w:type="paragraph" w:customStyle="1" w:styleId="125">
    <w:name w:val="普通(网站)11"/>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26">
    <w:name w:val="图"/>
    <w:basedOn w:val="1"/>
    <w:qFormat/>
    <w:uiPriority w:val="99"/>
    <w:pPr>
      <w:keepNext/>
      <w:adjustRightInd w:val="0"/>
      <w:snapToGrid w:val="0"/>
      <w:spacing w:before="60" w:after="60" w:line="300" w:lineRule="auto"/>
      <w:jc w:val="center"/>
    </w:pPr>
    <w:rPr>
      <w:rFonts w:ascii="Times New Roman" w:hAnsi="Times New Roman" w:eastAsia="宋体" w:cs="Times New Roman"/>
      <w:spacing w:val="20"/>
      <w:kern w:val="0"/>
      <w:sz w:val="24"/>
    </w:rPr>
  </w:style>
  <w:style w:type="paragraph" w:customStyle="1" w:styleId="127">
    <w:name w:val="ÕýÎÄ"/>
    <w:qFormat/>
    <w:uiPriority w:val="99"/>
    <w:pPr>
      <w:widowControl w:val="0"/>
      <w:overflowPunct w:val="0"/>
      <w:autoSpaceDE w:val="0"/>
      <w:autoSpaceDN w:val="0"/>
      <w:adjustRightInd w:val="0"/>
      <w:spacing w:line="351" w:lineRule="atLeast"/>
      <w:ind w:firstLine="419"/>
      <w:jc w:val="both"/>
    </w:pPr>
    <w:rPr>
      <w:rFonts w:ascii="Times New Roman" w:hAnsi="Times New Roman" w:eastAsia="宋体" w:cs="Times New Roman"/>
      <w:color w:val="000000"/>
      <w:sz w:val="21"/>
      <w:lang w:val="en-US" w:eastAsia="zh-CN" w:bidi="ar-SA"/>
    </w:rPr>
  </w:style>
  <w:style w:type="paragraph" w:customStyle="1" w:styleId="128">
    <w:name w:val="标准有序列表（L1）"/>
    <w:basedOn w:val="7"/>
    <w:qFormat/>
    <w:uiPriority w:val="99"/>
    <w:pPr>
      <w:numPr>
        <w:ilvl w:val="0"/>
        <w:numId w:val="2"/>
      </w:numPr>
      <w:tabs>
        <w:tab w:val="left" w:pos="0"/>
        <w:tab w:val="left" w:pos="2280"/>
      </w:tabs>
      <w:spacing w:line="360" w:lineRule="auto"/>
      <w:ind w:left="0" w:firstLine="0"/>
    </w:pPr>
    <w:rPr>
      <w:rFonts w:ascii="黑体" w:eastAsia="黑体"/>
      <w:color w:val="000000"/>
      <w:sz w:val="24"/>
    </w:rPr>
  </w:style>
  <w:style w:type="paragraph" w:customStyle="1" w:styleId="129">
    <w:name w:val="f1"/>
    <w:basedOn w:val="1"/>
    <w:qFormat/>
    <w:uiPriority w:val="99"/>
    <w:pPr>
      <w:widowControl/>
      <w:spacing w:before="100" w:beforeAutospacing="1" w:after="100" w:afterAutospacing="1"/>
      <w:jc w:val="center"/>
    </w:pPr>
    <w:rPr>
      <w:rFonts w:ascii="Algerian" w:hAnsi="Algerian" w:eastAsia="宋体" w:cs="Algerian"/>
      <w:b/>
      <w:bCs/>
      <w:color w:val="FF8080"/>
      <w:spacing w:val="160"/>
      <w:kern w:val="0"/>
      <w:sz w:val="80"/>
      <w:szCs w:val="80"/>
    </w:rPr>
  </w:style>
  <w:style w:type="paragraph" w:customStyle="1" w:styleId="130">
    <w:name w:val="表格"/>
    <w:basedOn w:val="1"/>
    <w:qFormat/>
    <w:uiPriority w:val="99"/>
    <w:pPr>
      <w:snapToGrid w:val="0"/>
      <w:spacing w:after="120"/>
    </w:pPr>
    <w:rPr>
      <w:rFonts w:ascii="仿宋_GB2312" w:hAnsi="Tahoma" w:eastAsia="Times New Roman" w:cs="Tahoma"/>
      <w:color w:val="000000"/>
      <w:kern w:val="0"/>
      <w:sz w:val="24"/>
      <w:szCs w:val="24"/>
    </w:rPr>
  </w:style>
  <w:style w:type="character" w:customStyle="1" w:styleId="131">
    <w:name w:val="GW-正文 Char"/>
    <w:link w:val="132"/>
    <w:qFormat/>
    <w:locked/>
    <w:uiPriority w:val="0"/>
    <w:rPr>
      <w:rFonts w:ascii="Arial Narrow" w:hAnsi="Arial Narrow" w:eastAsia="宋体" w:cs="Times New Roman"/>
      <w:kern w:val="0"/>
      <w:sz w:val="24"/>
      <w:szCs w:val="20"/>
    </w:rPr>
  </w:style>
  <w:style w:type="paragraph" w:customStyle="1" w:styleId="132">
    <w:name w:val="GW-正文"/>
    <w:basedOn w:val="1"/>
    <w:link w:val="131"/>
    <w:qFormat/>
    <w:uiPriority w:val="0"/>
    <w:pPr>
      <w:spacing w:line="360" w:lineRule="auto"/>
      <w:ind w:firstLine="200" w:firstLineChars="200"/>
      <w:contextualSpacing/>
    </w:pPr>
    <w:rPr>
      <w:rFonts w:ascii="Arial Narrow" w:hAnsi="Arial Narrow" w:eastAsia="宋体" w:cs="Times New Roman"/>
      <w:kern w:val="0"/>
      <w:sz w:val="24"/>
      <w:szCs w:val="20"/>
    </w:rPr>
  </w:style>
  <w:style w:type="paragraph" w:customStyle="1" w:styleId="133">
    <w:name w:val="Char Char10"/>
    <w:basedOn w:val="1"/>
    <w:qFormat/>
    <w:uiPriority w:val="99"/>
    <w:pPr>
      <w:widowControl/>
      <w:spacing w:after="160" w:line="240" w:lineRule="exact"/>
      <w:jc w:val="left"/>
    </w:pPr>
    <w:rPr>
      <w:rFonts w:ascii="Times New Roman" w:hAnsi="Times New Roman" w:eastAsia="宋体" w:cs="Times New Roman"/>
      <w:kern w:val="0"/>
      <w:sz w:val="20"/>
      <w:szCs w:val="24"/>
    </w:rPr>
  </w:style>
  <w:style w:type="paragraph" w:customStyle="1" w:styleId="134">
    <w:name w:val="正文文本缩进11"/>
    <w:basedOn w:val="1"/>
    <w:qFormat/>
    <w:uiPriority w:val="99"/>
    <w:pPr>
      <w:spacing w:line="200" w:lineRule="exact"/>
      <w:ind w:firstLine="301"/>
    </w:pPr>
    <w:rPr>
      <w:rFonts w:ascii="Calibri" w:hAnsi="Calibri" w:eastAsia="宋体" w:cs="Times New Roman"/>
      <w:szCs w:val="20"/>
    </w:rPr>
  </w:style>
  <w:style w:type="paragraph" w:customStyle="1" w:styleId="135">
    <w:name w:val="Char Char Char Char"/>
    <w:basedOn w:val="1"/>
    <w:qFormat/>
    <w:uiPriority w:val="0"/>
    <w:pPr>
      <w:widowControl/>
      <w:spacing w:after="160" w:line="240" w:lineRule="exact"/>
      <w:jc w:val="left"/>
    </w:pPr>
    <w:rPr>
      <w:rFonts w:ascii="Arial" w:hAnsi="Arial" w:eastAsia="宋体" w:cs="Verdana"/>
      <w:b/>
      <w:kern w:val="0"/>
      <w:sz w:val="24"/>
      <w:szCs w:val="20"/>
      <w:lang w:eastAsia="en-US"/>
    </w:rPr>
  </w:style>
  <w:style w:type="paragraph" w:customStyle="1" w:styleId="136">
    <w:name w:val="首行缩进2字符"/>
    <w:basedOn w:val="1"/>
    <w:qFormat/>
    <w:uiPriority w:val="99"/>
    <w:pPr>
      <w:spacing w:line="360" w:lineRule="auto"/>
      <w:ind w:firstLine="200" w:firstLineChars="200"/>
    </w:pPr>
    <w:rPr>
      <w:rFonts w:ascii="Calibri" w:hAnsi="Calibri" w:eastAsia="宋体" w:cs="Times New Roman"/>
      <w:sz w:val="24"/>
      <w:szCs w:val="21"/>
    </w:rPr>
  </w:style>
  <w:style w:type="paragraph" w:customStyle="1" w:styleId="137">
    <w:name w:val="默认段落字体 Para Char"/>
    <w:basedOn w:val="1"/>
    <w:qFormat/>
    <w:uiPriority w:val="0"/>
    <w:rPr>
      <w:rFonts w:ascii="Times New Roman" w:hAnsi="Times New Roman" w:eastAsia="宋体" w:cs="Times New Roman"/>
      <w:szCs w:val="20"/>
    </w:rPr>
  </w:style>
  <w:style w:type="character" w:customStyle="1" w:styleId="138">
    <w:name w:val="Char Char3"/>
    <w:link w:val="139"/>
    <w:qFormat/>
    <w:locked/>
    <w:uiPriority w:val="0"/>
    <w:rPr>
      <w:rFonts w:ascii="Calibri" w:hAnsi="Calibri" w:eastAsia="宋体" w:cs="Times New Roman"/>
      <w:kern w:val="0"/>
      <w:sz w:val="24"/>
      <w:szCs w:val="20"/>
    </w:rPr>
  </w:style>
  <w:style w:type="paragraph" w:customStyle="1" w:styleId="139">
    <w:name w:val="Char"/>
    <w:basedOn w:val="1"/>
    <w:link w:val="138"/>
    <w:qFormat/>
    <w:uiPriority w:val="0"/>
    <w:rPr>
      <w:rFonts w:ascii="Calibri" w:hAnsi="Calibri" w:eastAsia="宋体" w:cs="Times New Roman"/>
      <w:kern w:val="0"/>
      <w:sz w:val="24"/>
      <w:szCs w:val="20"/>
    </w:rPr>
  </w:style>
  <w:style w:type="paragraph" w:customStyle="1" w:styleId="140">
    <w:name w:val="正文段"/>
    <w:basedOn w:val="1"/>
    <w:qFormat/>
    <w:uiPriority w:val="0"/>
    <w:pPr>
      <w:widowControl/>
      <w:snapToGrid w:val="0"/>
      <w:ind w:firstLine="200" w:firstLineChars="200"/>
    </w:pPr>
    <w:rPr>
      <w:rFonts w:ascii="Times New Roman" w:hAnsi="Times New Roman" w:eastAsia="宋体" w:cs="Times New Roman"/>
      <w:kern w:val="0"/>
      <w:sz w:val="24"/>
      <w:szCs w:val="20"/>
    </w:rPr>
  </w:style>
  <w:style w:type="paragraph" w:customStyle="1" w:styleId="141">
    <w:name w:val="自动更正"/>
    <w:qFormat/>
    <w:uiPriority w:val="0"/>
    <w:pPr>
      <w:widowControl w:val="0"/>
      <w:jc w:val="both"/>
    </w:pPr>
    <w:rPr>
      <w:rFonts w:ascii="Calibri" w:hAnsi="Calibri" w:eastAsia="宋体" w:cs="Times New Roman"/>
      <w:kern w:val="2"/>
      <w:sz w:val="21"/>
      <w:szCs w:val="24"/>
      <w:lang w:val="en-US" w:eastAsia="zh-CN" w:bidi="ar-SA"/>
    </w:rPr>
  </w:style>
  <w:style w:type="character" w:customStyle="1" w:styleId="142">
    <w:name w:val="列出段落 Char"/>
    <w:link w:val="143"/>
    <w:qFormat/>
    <w:locked/>
    <w:uiPriority w:val="0"/>
    <w:rPr>
      <w:rFonts w:ascii="Calibri" w:hAnsi="Calibri" w:eastAsia="宋体" w:cs="Times New Roman"/>
      <w:kern w:val="0"/>
      <w:sz w:val="24"/>
      <w:szCs w:val="20"/>
    </w:rPr>
  </w:style>
  <w:style w:type="paragraph" w:customStyle="1" w:styleId="143">
    <w:name w:val="列出段落1"/>
    <w:basedOn w:val="1"/>
    <w:link w:val="142"/>
    <w:qFormat/>
    <w:uiPriority w:val="0"/>
    <w:pPr>
      <w:ind w:firstLine="420" w:firstLineChars="200"/>
    </w:pPr>
    <w:rPr>
      <w:rFonts w:ascii="Calibri" w:hAnsi="Calibri" w:eastAsia="宋体" w:cs="Times New Roman"/>
      <w:kern w:val="0"/>
      <w:sz w:val="24"/>
      <w:szCs w:val="20"/>
    </w:rPr>
  </w:style>
  <w:style w:type="paragraph" w:customStyle="1" w:styleId="144">
    <w:name w:val="书籍标题1"/>
    <w:basedOn w:val="1"/>
    <w:next w:val="1"/>
    <w:qFormat/>
    <w:uiPriority w:val="99"/>
    <w:pPr>
      <w:pageBreakBefore/>
      <w:widowControl/>
      <w:numPr>
        <w:ilvl w:val="0"/>
        <w:numId w:val="3"/>
      </w:numPr>
      <w:spacing w:beforeLines="200"/>
      <w:ind w:left="2520"/>
      <w:jc w:val="center"/>
      <w:outlineLvl w:val="0"/>
    </w:pPr>
    <w:rPr>
      <w:rFonts w:ascii="Times New Roman" w:hAnsi="Times New Roman" w:eastAsia="黑体" w:cs="Times New Roman"/>
      <w:b/>
      <w:spacing w:val="20"/>
      <w:kern w:val="44"/>
      <w:sz w:val="44"/>
    </w:rPr>
  </w:style>
  <w:style w:type="paragraph" w:customStyle="1" w:styleId="145">
    <w:name w:val="正文_20"/>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146">
    <w:name w:val="Table Paragraph"/>
    <w:basedOn w:val="1"/>
    <w:qFormat/>
    <w:uiPriority w:val="1"/>
    <w:pPr>
      <w:spacing w:before="119"/>
    </w:pPr>
    <w:rPr>
      <w:rFonts w:ascii="宋体" w:hAnsi="宋体" w:eastAsia="宋体" w:cs="宋体"/>
      <w:szCs w:val="24"/>
      <w:lang w:val="zh-CN"/>
    </w:rPr>
  </w:style>
  <w:style w:type="paragraph" w:customStyle="1" w:styleId="147">
    <w:name w:val="表内文字"/>
    <w:basedOn w:val="1"/>
    <w:qFormat/>
    <w:uiPriority w:val="0"/>
    <w:pPr>
      <w:tabs>
        <w:tab w:val="left" w:pos="1418"/>
      </w:tabs>
      <w:spacing w:line="360" w:lineRule="auto"/>
      <w:jc w:val="center"/>
    </w:pPr>
    <w:rPr>
      <w:rFonts w:ascii="仿宋_GB2312" w:hAnsi="Times New Roman" w:eastAsia="Times New Roman" w:cs="Times New Roman"/>
      <w:spacing w:val="-20"/>
      <w:kern w:val="0"/>
      <w:sz w:val="24"/>
    </w:rPr>
  </w:style>
  <w:style w:type="paragraph" w:customStyle="1" w:styleId="148">
    <w:name w:val="样式2"/>
    <w:basedOn w:val="139"/>
    <w:qFormat/>
    <w:uiPriority w:val="99"/>
    <w:pPr>
      <w:tabs>
        <w:tab w:val="left" w:pos="432"/>
      </w:tabs>
      <w:spacing w:beforeLines="50"/>
      <w:ind w:left="432" w:hanging="432"/>
    </w:pPr>
    <w:rPr>
      <w:b/>
      <w:szCs w:val="21"/>
      <w:u w:val="thick"/>
    </w:rPr>
  </w:style>
  <w:style w:type="paragraph" w:customStyle="1" w:styleId="149">
    <w:name w:val="样式1"/>
    <w:basedOn w:val="139"/>
    <w:link w:val="416"/>
    <w:qFormat/>
    <w:uiPriority w:val="0"/>
    <w:pPr>
      <w:tabs>
        <w:tab w:val="left" w:pos="432"/>
      </w:tabs>
      <w:spacing w:beforeLines="50"/>
      <w:ind w:left="642" w:leftChars="100" w:right="100" w:rightChars="100" w:hanging="432"/>
      <w:jc w:val="right"/>
    </w:pPr>
    <w:rPr>
      <w:b/>
      <w:i/>
      <w:szCs w:val="21"/>
      <w:u w:val="thick"/>
    </w:rPr>
  </w:style>
  <w:style w:type="paragraph" w:customStyle="1" w:styleId="150">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正文首行缩进2字符 Char Char"/>
    <w:link w:val="152"/>
    <w:qFormat/>
    <w:locked/>
    <w:uiPriority w:val="0"/>
    <w:rPr>
      <w:rFonts w:ascii="Times New Roman" w:hAnsi="Times New Roman" w:eastAsia="宋体" w:cs="Times New Roman"/>
      <w:kern w:val="0"/>
      <w:sz w:val="24"/>
      <w:szCs w:val="20"/>
    </w:rPr>
  </w:style>
  <w:style w:type="paragraph" w:customStyle="1" w:styleId="152">
    <w:name w:val="正文首行缩进2字符"/>
    <w:basedOn w:val="1"/>
    <w:link w:val="151"/>
    <w:qFormat/>
    <w:uiPriority w:val="0"/>
    <w:pPr>
      <w:spacing w:line="360" w:lineRule="auto"/>
      <w:ind w:firstLine="200" w:firstLineChars="200"/>
    </w:pPr>
    <w:rPr>
      <w:rFonts w:ascii="Times New Roman" w:hAnsi="Times New Roman" w:eastAsia="宋体" w:cs="Times New Roman"/>
      <w:kern w:val="0"/>
      <w:sz w:val="24"/>
      <w:szCs w:val="20"/>
    </w:rPr>
  </w:style>
  <w:style w:type="paragraph" w:customStyle="1" w:styleId="153">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4">
    <w:name w:val="表格内容 字符"/>
    <w:link w:val="155"/>
    <w:qFormat/>
    <w:locked/>
    <w:uiPriority w:val="0"/>
    <w:rPr>
      <w:rFonts w:ascii="仿宋" w:hAnsi="仿宋" w:eastAsia="仿宋" w:cs="Times New Roman"/>
      <w:kern w:val="0"/>
      <w:sz w:val="24"/>
    </w:rPr>
  </w:style>
  <w:style w:type="paragraph" w:customStyle="1" w:styleId="155">
    <w:name w:val="表格内容"/>
    <w:next w:val="152"/>
    <w:link w:val="154"/>
    <w:qFormat/>
    <w:uiPriority w:val="0"/>
    <w:pPr>
      <w:jc w:val="center"/>
    </w:pPr>
    <w:rPr>
      <w:rFonts w:ascii="仿宋" w:hAnsi="仿宋" w:eastAsia="仿宋" w:cs="Times New Roman"/>
      <w:sz w:val="24"/>
      <w:szCs w:val="22"/>
      <w:lang w:val="en-US" w:eastAsia="zh-CN" w:bidi="ar-SA"/>
    </w:rPr>
  </w:style>
  <w:style w:type="paragraph" w:customStyle="1" w:styleId="156">
    <w:name w:val="Default"/>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157">
    <w:name w:val="列项中圆1"/>
    <w:basedOn w:val="1"/>
    <w:next w:val="1"/>
    <w:qFormat/>
    <w:uiPriority w:val="99"/>
    <w:pPr>
      <w:tabs>
        <w:tab w:val="left" w:pos="839"/>
      </w:tabs>
      <w:spacing w:line="300" w:lineRule="auto"/>
      <w:ind w:left="839" w:hanging="419"/>
    </w:pPr>
    <w:rPr>
      <w:rFonts w:ascii="Times New Roman" w:hAnsi="Times New Roman" w:eastAsia="宋体" w:cs="Times New Roman"/>
      <w:kern w:val="21"/>
      <w:szCs w:val="20"/>
    </w:rPr>
  </w:style>
  <w:style w:type="paragraph" w:customStyle="1" w:styleId="158">
    <w:name w:val="xl30"/>
    <w:basedOn w:val="1"/>
    <w:qFormat/>
    <w:uiPriority w:val="0"/>
    <w:pPr>
      <w:widowControl/>
      <w:spacing w:before="100" w:beforeAutospacing="1" w:after="100" w:afterAutospacing="1"/>
      <w:jc w:val="center"/>
    </w:pPr>
    <w:rPr>
      <w:rFonts w:ascii="楷体_GB2312" w:hAnsi="宋体" w:eastAsia="楷体_GB2312" w:cs="Times New Roman"/>
      <w:b/>
      <w:kern w:val="0"/>
      <w:sz w:val="32"/>
    </w:rPr>
  </w:style>
  <w:style w:type="paragraph" w:customStyle="1" w:styleId="159">
    <w:name w:val="文档正文"/>
    <w:basedOn w:val="1"/>
    <w:qFormat/>
    <w:uiPriority w:val="0"/>
    <w:rPr>
      <w:rFonts w:ascii="宋体" w:hAnsi="宋体" w:eastAsia="宋体" w:cs="Arial"/>
      <w:bCs/>
      <w:szCs w:val="21"/>
    </w:rPr>
  </w:style>
  <w:style w:type="paragraph" w:customStyle="1" w:styleId="160">
    <w:name w:val="p15"/>
    <w:basedOn w:val="1"/>
    <w:qFormat/>
    <w:uiPriority w:val="0"/>
    <w:pPr>
      <w:widowControl/>
      <w:spacing w:line="200" w:lineRule="atLeast"/>
      <w:ind w:firstLine="301"/>
    </w:pPr>
    <w:rPr>
      <w:rFonts w:ascii="宋体" w:hAnsi="宋体" w:eastAsia="宋体" w:cs="宋体"/>
      <w:spacing w:val="-4"/>
      <w:kern w:val="0"/>
      <w:sz w:val="18"/>
      <w:szCs w:val="18"/>
    </w:rPr>
  </w:style>
  <w:style w:type="character" w:customStyle="1" w:styleId="161">
    <w:name w:val="无间隔 Char"/>
    <w:link w:val="162"/>
    <w:qFormat/>
    <w:locked/>
    <w:uiPriority w:val="0"/>
    <w:rPr>
      <w:rFonts w:ascii="Calibri" w:hAnsi="Calibri" w:eastAsia="宋体" w:cs="Times New Roman"/>
      <w:kern w:val="0"/>
      <w:sz w:val="22"/>
    </w:rPr>
  </w:style>
  <w:style w:type="paragraph" w:customStyle="1" w:styleId="162">
    <w:name w:val="无间隔1"/>
    <w:link w:val="161"/>
    <w:qFormat/>
    <w:uiPriority w:val="0"/>
    <w:rPr>
      <w:rFonts w:ascii="Calibri" w:hAnsi="Calibri" w:eastAsia="宋体" w:cs="Times New Roman"/>
      <w:sz w:val="22"/>
      <w:szCs w:val="22"/>
      <w:lang w:val="en-US" w:eastAsia="zh-CN" w:bidi="ar-SA"/>
    </w:rPr>
  </w:style>
  <w:style w:type="paragraph" w:customStyle="1" w:styleId="163">
    <w:name w:val="纯文本1"/>
    <w:basedOn w:val="1"/>
    <w:link w:val="379"/>
    <w:qFormat/>
    <w:uiPriority w:val="0"/>
    <w:pPr>
      <w:spacing w:beforeLines="50" w:line="400" w:lineRule="exact"/>
    </w:pPr>
    <w:rPr>
      <w:rFonts w:ascii="宋体" w:hAnsi="Courier New" w:eastAsia="Times New Roman" w:cs="Times New Roman"/>
      <w:sz w:val="30"/>
      <w:szCs w:val="24"/>
    </w:rPr>
  </w:style>
  <w:style w:type="paragraph" w:customStyle="1" w:styleId="164">
    <w:name w:val="缩进4"/>
    <w:basedOn w:val="1"/>
    <w:qFormat/>
    <w:uiPriority w:val="99"/>
    <w:pPr>
      <w:autoSpaceDE w:val="0"/>
      <w:autoSpaceDN w:val="0"/>
      <w:adjustRightInd w:val="0"/>
      <w:spacing w:line="288" w:lineRule="auto"/>
      <w:ind w:left="227"/>
    </w:pPr>
    <w:rPr>
      <w:rFonts w:ascii="方正黑体简体" w:hAnsi="Calibri" w:eastAsia="方正黑体简体" w:cs="方正黑体简体"/>
      <w:color w:val="000000"/>
      <w:kern w:val="0"/>
      <w:sz w:val="18"/>
      <w:szCs w:val="18"/>
      <w:lang w:val="zh-CN"/>
    </w:rPr>
  </w:style>
  <w:style w:type="paragraph" w:customStyle="1" w:styleId="165">
    <w:name w:val="_Style 130"/>
    <w:basedOn w:val="1"/>
    <w:next w:val="143"/>
    <w:qFormat/>
    <w:uiPriority w:val="99"/>
    <w:pPr>
      <w:ind w:firstLine="420" w:firstLineChars="200"/>
    </w:pPr>
    <w:rPr>
      <w:rFonts w:ascii="Times New Roman" w:hAnsi="Times New Roman" w:eastAsia="宋体" w:cs="Times New Roman"/>
      <w:szCs w:val="20"/>
    </w:rPr>
  </w:style>
  <w:style w:type="paragraph" w:customStyle="1" w:styleId="166">
    <w:name w:val="0正文"/>
    <w:basedOn w:val="1"/>
    <w:qFormat/>
    <w:uiPriority w:val="99"/>
    <w:pPr>
      <w:spacing w:line="560" w:lineRule="exact"/>
      <w:ind w:firstLine="200" w:firstLineChars="200"/>
    </w:pPr>
    <w:rPr>
      <w:rFonts w:ascii="Tahoma" w:hAnsi="Tahoma" w:eastAsia="宋体" w:cs="Times New Roman"/>
    </w:rPr>
  </w:style>
  <w:style w:type="paragraph" w:customStyle="1" w:styleId="167">
    <w:name w:val="正文（本文）"/>
    <w:basedOn w:val="1"/>
    <w:qFormat/>
    <w:uiPriority w:val="99"/>
    <w:pPr>
      <w:snapToGrid w:val="0"/>
      <w:spacing w:line="360" w:lineRule="auto"/>
      <w:ind w:firstLine="480" w:firstLineChars="200"/>
    </w:pPr>
    <w:rPr>
      <w:rFonts w:ascii="Times New Roman" w:hAnsi="Times New Roman" w:eastAsia="宋体" w:cs="Times New Roman"/>
      <w:sz w:val="24"/>
      <w:szCs w:val="24"/>
    </w:rPr>
  </w:style>
  <w:style w:type="paragraph" w:customStyle="1" w:styleId="168">
    <w:name w:val="l正文"/>
    <w:basedOn w:val="1"/>
    <w:qFormat/>
    <w:uiPriority w:val="0"/>
    <w:pPr>
      <w:spacing w:line="300" w:lineRule="auto"/>
      <w:ind w:firstLine="200" w:firstLineChars="200"/>
      <w:jc w:val="left"/>
    </w:pPr>
    <w:rPr>
      <w:rFonts w:ascii="楷体_GB2312" w:hAnsi="Chiller" w:eastAsia="楷体_GB2312" w:cs="等线"/>
      <w:sz w:val="24"/>
      <w:szCs w:val="24"/>
    </w:rPr>
  </w:style>
  <w:style w:type="paragraph" w:customStyle="1" w:styleId="169">
    <w:name w:val="_Style 4"/>
    <w:basedOn w:val="1"/>
    <w:qFormat/>
    <w:uiPriority w:val="99"/>
    <w:pPr>
      <w:ind w:firstLine="420" w:firstLineChars="200"/>
      <w:jc w:val="left"/>
    </w:pPr>
    <w:rPr>
      <w:rFonts w:ascii="Calibri" w:hAnsi="Calibri" w:eastAsia="宋体" w:cs="Times New Roman"/>
      <w:kern w:val="0"/>
      <w:sz w:val="18"/>
      <w:szCs w:val="24"/>
      <w:lang w:eastAsia="zh-TW"/>
    </w:rPr>
  </w:style>
  <w:style w:type="paragraph" w:customStyle="1" w:styleId="170">
    <w:name w:val="列出段落2"/>
    <w:basedOn w:val="1"/>
    <w:qFormat/>
    <w:uiPriority w:val="0"/>
    <w:pPr>
      <w:ind w:firstLine="420" w:firstLineChars="200"/>
    </w:pPr>
    <w:rPr>
      <w:rFonts w:ascii="Calibri" w:hAnsi="Calibri" w:eastAsia="宋体" w:cs="Times New Roman"/>
      <w:szCs w:val="24"/>
    </w:rPr>
  </w:style>
  <w:style w:type="paragraph" w:customStyle="1" w:styleId="171">
    <w:name w:val="正文1"/>
    <w:link w:val="518"/>
    <w:qFormat/>
    <w:uiPriority w:val="0"/>
    <w:pPr>
      <w:widowControl w:val="0"/>
      <w:jc w:val="both"/>
    </w:pPr>
    <w:rPr>
      <w:rFonts w:ascii="Calibri" w:hAnsi="Calibri" w:eastAsia="宋体" w:cs="Calibri"/>
      <w:kern w:val="2"/>
      <w:sz w:val="21"/>
      <w:szCs w:val="21"/>
      <w:lang w:val="en-US" w:eastAsia="zh-CN" w:bidi="ar-SA"/>
    </w:rPr>
  </w:style>
  <w:style w:type="paragraph" w:customStyle="1" w:styleId="172">
    <w:name w:val="WPSOffice手动目录 1"/>
    <w:qFormat/>
    <w:uiPriority w:val="0"/>
    <w:rPr>
      <w:rFonts w:ascii="Times New Roman" w:hAnsi="Times New Roman" w:eastAsia="宋体" w:cs="Times New Roman"/>
      <w:lang w:val="en-US" w:eastAsia="zh-CN" w:bidi="ar-SA"/>
    </w:rPr>
  </w:style>
  <w:style w:type="paragraph" w:customStyle="1" w:styleId="173">
    <w:name w:val="正文2"/>
    <w:basedOn w:val="1"/>
    <w:link w:val="411"/>
    <w:qFormat/>
    <w:uiPriority w:val="0"/>
    <w:pPr>
      <w:spacing w:before="156" w:line="360" w:lineRule="auto"/>
      <w:ind w:firstLine="510" w:firstLineChars="200"/>
    </w:pPr>
    <w:rPr>
      <w:rFonts w:ascii="Times New Roman" w:hAnsi="Times New Roman" w:eastAsia="宋体" w:cs="Times New Roman"/>
      <w:sz w:val="24"/>
      <w:szCs w:val="20"/>
    </w:rPr>
  </w:style>
  <w:style w:type="character" w:customStyle="1" w:styleId="174">
    <w:name w:val="正文 首行缩进:  2 字符 Char Char Char"/>
    <w:link w:val="175"/>
    <w:qFormat/>
    <w:locked/>
    <w:uiPriority w:val="0"/>
    <w:rPr>
      <w:sz w:val="24"/>
    </w:rPr>
  </w:style>
  <w:style w:type="paragraph" w:customStyle="1" w:styleId="175">
    <w:name w:val="正文 首行缩进:  2 字符 Char"/>
    <w:basedOn w:val="1"/>
    <w:link w:val="174"/>
    <w:qFormat/>
    <w:uiPriority w:val="0"/>
    <w:pPr>
      <w:spacing w:line="360" w:lineRule="auto"/>
      <w:ind w:firstLine="480"/>
    </w:pPr>
    <w:rPr>
      <w:sz w:val="24"/>
    </w:rPr>
  </w:style>
  <w:style w:type="character" w:customStyle="1" w:styleId="176">
    <w:name w:val="样式 首行缩进:  0 字符 Char"/>
    <w:link w:val="177"/>
    <w:qFormat/>
    <w:locked/>
    <w:uiPriority w:val="0"/>
    <w:rPr>
      <w:rFonts w:ascii="Arial" w:hAnsi="Arial" w:eastAsia="宋体" w:cs="Times New Roman"/>
      <w:kern w:val="0"/>
      <w:sz w:val="20"/>
      <w:szCs w:val="20"/>
    </w:rPr>
  </w:style>
  <w:style w:type="paragraph" w:customStyle="1" w:styleId="177">
    <w:name w:val="样式 首行缩进:  0 字符"/>
    <w:basedOn w:val="1"/>
    <w:link w:val="176"/>
    <w:qFormat/>
    <w:uiPriority w:val="0"/>
    <w:pPr>
      <w:spacing w:line="360" w:lineRule="auto"/>
      <w:ind w:firstLine="200" w:firstLineChars="200"/>
    </w:pPr>
    <w:rPr>
      <w:rFonts w:ascii="Arial" w:hAnsi="Arial" w:eastAsia="宋体" w:cs="Times New Roman"/>
      <w:kern w:val="0"/>
      <w:sz w:val="20"/>
      <w:szCs w:val="20"/>
    </w:rPr>
  </w:style>
  <w:style w:type="paragraph" w:customStyle="1" w:styleId="178">
    <w:name w:val="正文 A"/>
    <w:qFormat/>
    <w:uiPriority w:val="99"/>
    <w:pPr>
      <w:widowControl w:val="0"/>
      <w:jc w:val="both"/>
    </w:pPr>
    <w:rPr>
      <w:rFonts w:ascii="Arial Unicode MS" w:hAnsi="Times New Roman" w:eastAsia="Arial Unicode MS" w:cs="Arial Unicode MS"/>
      <w:color w:val="000000"/>
      <w:kern w:val="2"/>
      <w:sz w:val="28"/>
      <w:szCs w:val="28"/>
      <w:u w:color="000000"/>
      <w:lang w:val="en-US" w:eastAsia="zh-CN" w:bidi="ar-SA"/>
    </w:rPr>
  </w:style>
  <w:style w:type="paragraph" w:customStyle="1" w:styleId="179">
    <w:name w:val="Proposals body"/>
    <w:basedOn w:val="1"/>
    <w:next w:val="1"/>
    <w:qFormat/>
    <w:uiPriority w:val="99"/>
    <w:pPr>
      <w:widowControl/>
      <w:spacing w:line="460" w:lineRule="exact"/>
      <w:jc w:val="left"/>
    </w:pPr>
    <w:rPr>
      <w:rFonts w:ascii="仿宋_GB2312" w:hAnsi="Times New Roman" w:eastAsia="Times New Roman" w:cs="Times New Roman"/>
      <w:kern w:val="0"/>
      <w:sz w:val="24"/>
      <w:szCs w:val="24"/>
    </w:rPr>
  </w:style>
  <w:style w:type="paragraph" w:customStyle="1" w:styleId="180">
    <w:name w:val="目录 71"/>
    <w:next w:val="1"/>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181">
    <w:name w:val="title11"/>
    <w:basedOn w:val="1"/>
    <w:qFormat/>
    <w:uiPriority w:val="99"/>
    <w:pPr>
      <w:spacing w:before="150"/>
      <w:jc w:val="left"/>
    </w:pPr>
    <w:rPr>
      <w:rFonts w:ascii="Times New Roman" w:hAnsi="Times New Roman" w:eastAsia="宋体" w:cs="Times New Roman"/>
      <w:b/>
      <w:kern w:val="0"/>
      <w:sz w:val="28"/>
      <w:szCs w:val="24"/>
    </w:rPr>
  </w:style>
  <w:style w:type="paragraph" w:customStyle="1" w:styleId="182">
    <w:name w:val="标题 10"/>
    <w:basedOn w:val="5"/>
    <w:qFormat/>
    <w:uiPriority w:val="99"/>
    <w:pPr>
      <w:spacing w:before="0" w:after="0" w:line="360" w:lineRule="auto"/>
      <w:jc w:val="center"/>
    </w:pPr>
    <w:rPr>
      <w:rFonts w:ascii="Cambria" w:hAnsi="Cambria" w:eastAsia="宋体"/>
      <w:bCs/>
      <w:sz w:val="21"/>
      <w:szCs w:val="32"/>
    </w:rPr>
  </w:style>
  <w:style w:type="paragraph" w:customStyle="1" w:styleId="18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84">
    <w:name w:val="TOC 71"/>
    <w:next w:val="1"/>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185">
    <w:name w:val="List Paragraph1"/>
    <w:basedOn w:val="1"/>
    <w:qFormat/>
    <w:uiPriority w:val="0"/>
    <w:pPr>
      <w:ind w:firstLine="420" w:firstLineChars="200"/>
    </w:pPr>
    <w:rPr>
      <w:rFonts w:ascii="Times New Roman" w:hAnsi="Times New Roman" w:eastAsia="宋体" w:cs="Times New Roman"/>
      <w:szCs w:val="24"/>
    </w:rPr>
  </w:style>
  <w:style w:type="paragraph" w:customStyle="1" w:styleId="186">
    <w:name w:val="Char Char Char Char1"/>
    <w:basedOn w:val="1"/>
    <w:qFormat/>
    <w:uiPriority w:val="99"/>
    <w:rPr>
      <w:rFonts w:ascii="Tahoma" w:hAnsi="Tahoma" w:eastAsia="宋体" w:cs="Times New Roman"/>
      <w:sz w:val="24"/>
      <w:szCs w:val="20"/>
    </w:rPr>
  </w:style>
  <w:style w:type="paragraph" w:customStyle="1" w:styleId="187">
    <w:name w:val="目录 711"/>
    <w:next w:val="1"/>
    <w:qFormat/>
    <w:uiPriority w:val="99"/>
    <w:pPr>
      <w:wordWrap w:val="0"/>
      <w:ind w:left="2550"/>
      <w:jc w:val="both"/>
    </w:pPr>
    <w:rPr>
      <w:rFonts w:ascii="Times New Roman" w:hAnsi="Times New Roman" w:eastAsia="宋体" w:cs="Times New Roman"/>
      <w:sz w:val="21"/>
      <w:szCs w:val="22"/>
      <w:lang w:val="en-US" w:eastAsia="zh-CN" w:bidi="ar-SA"/>
    </w:rPr>
  </w:style>
  <w:style w:type="character" w:customStyle="1" w:styleId="188">
    <w:name w:val="z-窗体顶端 Char"/>
    <w:link w:val="189"/>
    <w:qFormat/>
    <w:locked/>
    <w:uiPriority w:val="0"/>
    <w:rPr>
      <w:rFonts w:ascii="Arial" w:hAnsi="Arial" w:eastAsia="宋体" w:cs="Times New Roman"/>
      <w:vanish/>
      <w:kern w:val="0"/>
      <w:sz w:val="20"/>
      <w:szCs w:val="20"/>
    </w:rPr>
  </w:style>
  <w:style w:type="paragraph" w:customStyle="1" w:styleId="189">
    <w:name w:val="_Style 46"/>
    <w:basedOn w:val="1"/>
    <w:next w:val="1"/>
    <w:link w:val="188"/>
    <w:qFormat/>
    <w:uiPriority w:val="0"/>
    <w:pPr>
      <w:widowControl/>
      <w:pBdr>
        <w:bottom w:val="single" w:color="auto" w:sz="6" w:space="1"/>
      </w:pBdr>
      <w:jc w:val="center"/>
    </w:pPr>
    <w:rPr>
      <w:rFonts w:ascii="Arial" w:hAnsi="Arial" w:eastAsia="宋体" w:cs="Times New Roman"/>
      <w:vanish/>
      <w:kern w:val="0"/>
      <w:sz w:val="20"/>
      <w:szCs w:val="20"/>
    </w:rPr>
  </w:style>
  <w:style w:type="paragraph" w:customStyle="1" w:styleId="190">
    <w:name w:val="此正文"/>
    <w:basedOn w:val="1"/>
    <w:qFormat/>
    <w:uiPriority w:val="99"/>
    <w:pPr>
      <w:spacing w:line="360" w:lineRule="auto"/>
      <w:ind w:firstLine="200" w:firstLineChars="200"/>
    </w:pPr>
    <w:rPr>
      <w:rFonts w:ascii="Times New Roman" w:hAnsi="Times New Roman" w:eastAsia="宋体" w:cs="Times New Roman"/>
      <w:sz w:val="24"/>
      <w:szCs w:val="24"/>
    </w:rPr>
  </w:style>
  <w:style w:type="paragraph" w:customStyle="1" w:styleId="191">
    <w:name w:val="xl25"/>
    <w:basedOn w:val="1"/>
    <w:qFormat/>
    <w:uiPriority w:val="0"/>
    <w:pPr>
      <w:widowControl/>
      <w:spacing w:before="100" w:beforeAutospacing="1" w:after="100" w:afterAutospacing="1"/>
      <w:jc w:val="center"/>
    </w:pPr>
    <w:rPr>
      <w:rFonts w:ascii="楷体_GB2312" w:hAnsi="宋体" w:eastAsia="楷体_GB2312" w:cs="Times New Roman"/>
      <w:kern w:val="0"/>
      <w:sz w:val="24"/>
      <w:szCs w:val="24"/>
    </w:rPr>
  </w:style>
  <w:style w:type="paragraph" w:customStyle="1" w:styleId="192">
    <w:name w:val="彩色列表 - 强调文字颜色 11"/>
    <w:basedOn w:val="1"/>
    <w:link w:val="529"/>
    <w:qFormat/>
    <w:uiPriority w:val="0"/>
    <w:pPr>
      <w:ind w:firstLine="420" w:firstLineChars="200"/>
    </w:pPr>
    <w:rPr>
      <w:rFonts w:ascii="Calibri" w:hAnsi="Calibri" w:eastAsia="宋体" w:cs="Times New Roman"/>
    </w:rPr>
  </w:style>
  <w:style w:type="paragraph" w:customStyle="1" w:styleId="193">
    <w:name w:val="无间距"/>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94">
    <w:name w:val="z-窗体底端 Char"/>
    <w:link w:val="195"/>
    <w:qFormat/>
    <w:locked/>
    <w:uiPriority w:val="0"/>
    <w:rPr>
      <w:rFonts w:ascii="Arial" w:hAnsi="Arial" w:eastAsia="宋体" w:cs="Times New Roman"/>
      <w:vanish/>
      <w:kern w:val="0"/>
      <w:sz w:val="20"/>
      <w:szCs w:val="20"/>
    </w:rPr>
  </w:style>
  <w:style w:type="paragraph" w:customStyle="1" w:styleId="195">
    <w:name w:val="_Style 54"/>
    <w:basedOn w:val="1"/>
    <w:next w:val="1"/>
    <w:link w:val="194"/>
    <w:qFormat/>
    <w:uiPriority w:val="0"/>
    <w:pPr>
      <w:widowControl/>
      <w:pBdr>
        <w:top w:val="single" w:color="auto" w:sz="6" w:space="1"/>
      </w:pBdr>
      <w:jc w:val="center"/>
    </w:pPr>
    <w:rPr>
      <w:rFonts w:ascii="Arial" w:hAnsi="Arial" w:eastAsia="宋体" w:cs="Times New Roman"/>
      <w:vanish/>
      <w:kern w:val="0"/>
      <w:sz w:val="20"/>
      <w:szCs w:val="20"/>
    </w:rPr>
  </w:style>
  <w:style w:type="paragraph" w:customStyle="1" w:styleId="196">
    <w:name w:val="样式 标题 3 + (中文) 黑体 小四 非加粗 段前: 7.8 磅 段后: 0 磅 行距: 固定值 20 磅"/>
    <w:qFormat/>
    <w:uiPriority w:val="99"/>
    <w:pPr>
      <w:keepNext/>
      <w:keepLines/>
      <w:widowControl w:val="0"/>
      <w:spacing w:before="260" w:after="260" w:line="400" w:lineRule="exact"/>
      <w:jc w:val="both"/>
      <w:outlineLvl w:val="2"/>
    </w:pPr>
    <w:rPr>
      <w:rFonts w:ascii="Times New Roman" w:hAnsi="Times New Roman" w:eastAsia="黑体" w:cs="宋体"/>
      <w:kern w:val="2"/>
      <w:sz w:val="24"/>
      <w:lang w:val="en-US" w:eastAsia="zh-CN" w:bidi="ar-SA"/>
    </w:rPr>
  </w:style>
  <w:style w:type="paragraph" w:customStyle="1" w:styleId="197">
    <w:name w:val="样式 标题 2 + Times New Roman 四号 非加粗 段前: 5 磅 段后: 0 磅 行距: 固定值 20..."/>
    <w:qFormat/>
    <w:uiPriority w:val="99"/>
    <w:pPr>
      <w:keepNext/>
      <w:keepLines/>
      <w:widowControl w:val="0"/>
      <w:spacing w:before="100" w:after="260" w:line="400" w:lineRule="exact"/>
      <w:jc w:val="both"/>
      <w:outlineLvl w:val="1"/>
    </w:pPr>
    <w:rPr>
      <w:rFonts w:ascii="Times New Roman" w:hAnsi="Times New Roman" w:eastAsia="黑体" w:cs="宋体"/>
      <w:bCs/>
      <w:kern w:val="2"/>
      <w:sz w:val="28"/>
      <w:lang w:val="en-US" w:eastAsia="zh-CN" w:bidi="ar-SA"/>
    </w:rPr>
  </w:style>
  <w:style w:type="paragraph" w:customStyle="1" w:styleId="198">
    <w:name w:val="纯文本_0"/>
    <w:basedOn w:val="1"/>
    <w:qFormat/>
    <w:uiPriority w:val="99"/>
    <w:pPr>
      <w:spacing w:line="440" w:lineRule="exact"/>
      <w:ind w:firstLine="100" w:firstLineChars="100"/>
    </w:pPr>
    <w:rPr>
      <w:rFonts w:ascii="宋体" w:hAnsi="Courier New" w:eastAsia="宋体" w:cs="Times New Roman"/>
      <w:szCs w:val="21"/>
    </w:rPr>
  </w:style>
  <w:style w:type="paragraph" w:customStyle="1" w:styleId="199">
    <w:name w:val="msonormal"/>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00">
    <w:name w:val="font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1">
    <w:name w:val="font6"/>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202">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03">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4">
    <w:name w:val="xl106"/>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05">
    <w:name w:val="xl10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6">
    <w:name w:val="xl10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7">
    <w:name w:val="xl109"/>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208">
    <w:name w:val="xl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9">
    <w:name w:val="xl111"/>
    <w:basedOn w:val="1"/>
    <w:qFormat/>
    <w:uiPriority w:val="99"/>
    <w:pPr>
      <w:widowControl/>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12"/>
    <w:basedOn w:val="1"/>
    <w:qFormat/>
    <w:uiPriority w:val="99"/>
    <w:pPr>
      <w:widowControl/>
      <w:spacing w:before="100" w:beforeAutospacing="1" w:after="100" w:afterAutospacing="1"/>
      <w:jc w:val="left"/>
    </w:pPr>
    <w:rPr>
      <w:rFonts w:ascii="宋体" w:hAnsi="宋体" w:eastAsia="宋体" w:cs="宋体"/>
      <w:kern w:val="0"/>
      <w:sz w:val="20"/>
      <w:szCs w:val="20"/>
    </w:rPr>
  </w:style>
  <w:style w:type="paragraph" w:customStyle="1" w:styleId="211">
    <w:name w:val="xl113"/>
    <w:basedOn w:val="1"/>
    <w:qFormat/>
    <w:uiPriority w:val="99"/>
    <w:pPr>
      <w:widowControl/>
      <w:spacing w:before="100" w:beforeAutospacing="1" w:after="100" w:afterAutospacing="1"/>
      <w:jc w:val="center"/>
    </w:pPr>
    <w:rPr>
      <w:rFonts w:ascii="宋体" w:hAnsi="宋体" w:eastAsia="宋体" w:cs="宋体"/>
      <w:color w:val="000000"/>
      <w:kern w:val="0"/>
      <w:sz w:val="20"/>
      <w:szCs w:val="20"/>
    </w:rPr>
  </w:style>
  <w:style w:type="paragraph" w:customStyle="1" w:styleId="212">
    <w:name w:val="xl11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13">
    <w:name w:val="xl115"/>
    <w:basedOn w:val="1"/>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32"/>
      <w:szCs w:val="32"/>
    </w:rPr>
  </w:style>
  <w:style w:type="paragraph" w:customStyle="1" w:styleId="214">
    <w:name w:val="xl11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15">
    <w:name w:val="xl117"/>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16">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17">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18">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19">
    <w:name w:val="xl121"/>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20">
    <w:name w:val="xl122"/>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21">
    <w:name w:val="xl123"/>
    <w:basedOn w:val="1"/>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22">
    <w:name w:val="xl124"/>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23">
    <w:name w:val="xl125"/>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24">
    <w:name w:val="xl126"/>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5">
    <w:name w:val="xl127"/>
    <w:basedOn w:val="1"/>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26">
    <w:name w:val="xl128"/>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7">
    <w:name w:val="xl12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8">
    <w:name w:val="xl13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29">
    <w:name w:val="xl13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0">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31">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2">
    <w:name w:val="xl134"/>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3">
    <w:name w:val="xl1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34">
    <w:name w:val="xl136"/>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5">
    <w:name w:val="xl137"/>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36">
    <w:name w:val="xl138"/>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7">
    <w:name w:val="xl13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38">
    <w:name w:val="xl14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9">
    <w:name w:val="xl14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0">
    <w:name w:val="xl14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1">
    <w:name w:val="xl143"/>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2">
    <w:name w:val="xl1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3">
    <w:name w:val="xl14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4">
    <w:name w:val="xl146"/>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45">
    <w:name w:val="xl147"/>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46">
    <w:name w:val="xl14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7">
    <w:name w:val="xl14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8">
    <w:name w:val="xl150"/>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49">
    <w:name w:val="xl151"/>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50">
    <w:name w:val="xl152"/>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FF0000"/>
      <w:kern w:val="0"/>
      <w:sz w:val="20"/>
      <w:szCs w:val="20"/>
    </w:rPr>
  </w:style>
  <w:style w:type="paragraph" w:customStyle="1" w:styleId="251">
    <w:name w:val="xl15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52">
    <w:name w:val="xl154"/>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3">
    <w:name w:val="xl15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4">
    <w:name w:val="xl156"/>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5">
    <w:name w:val="xl15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character" w:customStyle="1" w:styleId="256">
    <w:name w:val="列表段落 字符"/>
    <w:link w:val="257"/>
    <w:qFormat/>
    <w:locked/>
    <w:uiPriority w:val="34"/>
    <w:rPr>
      <w:rFonts w:ascii="宋体" w:hAnsi="宋体" w:eastAsia="宋体" w:cs="宋体"/>
      <w:kern w:val="0"/>
      <w:sz w:val="24"/>
      <w:szCs w:val="24"/>
    </w:rPr>
  </w:style>
  <w:style w:type="paragraph" w:customStyle="1" w:styleId="257">
    <w:name w:val="列表段落1"/>
    <w:basedOn w:val="1"/>
    <w:next w:val="114"/>
    <w:link w:val="256"/>
    <w:qFormat/>
    <w:uiPriority w:val="34"/>
    <w:pPr>
      <w:widowControl/>
      <w:ind w:firstLine="420" w:firstLineChars="200"/>
      <w:jc w:val="left"/>
    </w:pPr>
    <w:rPr>
      <w:rFonts w:ascii="宋体" w:hAnsi="宋体" w:eastAsia="宋体" w:cs="宋体"/>
      <w:kern w:val="0"/>
      <w:sz w:val="24"/>
      <w:szCs w:val="24"/>
    </w:rPr>
  </w:style>
  <w:style w:type="paragraph" w:customStyle="1" w:styleId="258">
    <w:name w:val="项目1"/>
    <w:basedOn w:val="1"/>
    <w:qFormat/>
    <w:uiPriority w:val="99"/>
    <w:pPr>
      <w:widowControl/>
      <w:tabs>
        <w:tab w:val="left" w:pos="720"/>
      </w:tabs>
      <w:autoSpaceDE w:val="0"/>
      <w:autoSpaceDN w:val="0"/>
      <w:adjustRightInd w:val="0"/>
      <w:spacing w:before="120" w:after="120" w:line="300" w:lineRule="auto"/>
      <w:ind w:left="720" w:hanging="720"/>
      <w:jc w:val="left"/>
    </w:pPr>
    <w:rPr>
      <w:rFonts w:ascii="Times New Roman" w:hAnsi="Times New Roman" w:eastAsia="楷体_GB2312" w:cs="Times New Roman"/>
      <w:kern w:val="0"/>
      <w:sz w:val="24"/>
      <w:szCs w:val="24"/>
    </w:rPr>
  </w:style>
  <w:style w:type="paragraph" w:customStyle="1" w:styleId="259">
    <w:name w:val="图片居中"/>
    <w:basedOn w:val="1"/>
    <w:qFormat/>
    <w:uiPriority w:val="99"/>
    <w:pPr>
      <w:keepNext/>
      <w:jc w:val="center"/>
    </w:pPr>
    <w:rPr>
      <w:rFonts w:ascii="Times New Roman" w:hAnsi="Times New Roman" w:eastAsia="宋体" w:cs="Times New Roman"/>
    </w:rPr>
  </w:style>
  <w:style w:type="paragraph" w:customStyle="1" w:styleId="260">
    <w:name w:val="表格(五号)"/>
    <w:qFormat/>
    <w:uiPriority w:val="99"/>
    <w:pPr>
      <w:adjustRightInd w:val="0"/>
      <w:snapToGrid w:val="0"/>
      <w:jc w:val="both"/>
    </w:pPr>
    <w:rPr>
      <w:rFonts w:ascii="Times New Roman" w:hAnsi="Times New Roman" w:eastAsia="宋体" w:cs="Times New Roman"/>
      <w:sz w:val="21"/>
      <w:lang w:val="en-US" w:eastAsia="zh-CN" w:bidi="ar-SA"/>
    </w:rPr>
  </w:style>
  <w:style w:type="paragraph" w:customStyle="1" w:styleId="261">
    <w:name w:val="图片题注"/>
    <w:basedOn w:val="19"/>
    <w:qFormat/>
    <w:uiPriority w:val="99"/>
  </w:style>
  <w:style w:type="paragraph" w:customStyle="1" w:styleId="262">
    <w:name w:val="表格正文"/>
    <w:basedOn w:val="1"/>
    <w:qFormat/>
    <w:uiPriority w:val="99"/>
    <w:pPr>
      <w:widowControl/>
      <w:jc w:val="left"/>
    </w:pPr>
    <w:rPr>
      <w:rFonts w:ascii="宋体" w:hAnsi="宋体" w:eastAsia="宋体" w:cs="宋体"/>
      <w:szCs w:val="28"/>
    </w:rPr>
  </w:style>
  <w:style w:type="paragraph" w:customStyle="1" w:styleId="263">
    <w:name w:val="修订1"/>
    <w:qFormat/>
    <w:uiPriority w:val="99"/>
    <w:rPr>
      <w:rFonts w:ascii="Times New Roman" w:hAnsi="Times New Roman" w:eastAsia="宋体" w:cs="Times New Roman"/>
      <w:kern w:val="2"/>
      <w:sz w:val="21"/>
      <w:szCs w:val="22"/>
      <w:lang w:val="en-US" w:eastAsia="zh-CN" w:bidi="ar-SA"/>
    </w:rPr>
  </w:style>
  <w:style w:type="paragraph" w:customStyle="1" w:styleId="264">
    <w:name w:val="修订2"/>
    <w:qFormat/>
    <w:uiPriority w:val="99"/>
    <w:rPr>
      <w:rFonts w:ascii="Times New Roman" w:hAnsi="Times New Roman" w:eastAsia="宋体" w:cs="Times New Roman"/>
      <w:kern w:val="2"/>
      <w:sz w:val="21"/>
      <w:szCs w:val="22"/>
      <w:lang w:val="en-US" w:eastAsia="zh-CN" w:bidi="ar-SA"/>
    </w:rPr>
  </w:style>
  <w:style w:type="paragraph" w:customStyle="1" w:styleId="265">
    <w:name w:val="修订3"/>
    <w:semiHidden/>
    <w:qFormat/>
    <w:uiPriority w:val="99"/>
    <w:rPr>
      <w:rFonts w:ascii="Times New Roman" w:hAnsi="Times New Roman" w:eastAsia="宋体" w:cs="Times New Roman"/>
      <w:kern w:val="2"/>
      <w:sz w:val="21"/>
      <w:szCs w:val="22"/>
      <w:lang w:val="en-US" w:eastAsia="zh-CN" w:bidi="ar-SA"/>
    </w:rPr>
  </w:style>
  <w:style w:type="paragraph" w:customStyle="1" w:styleId="266">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67">
    <w:name w:val="xl6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8">
    <w:name w:val="xl6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6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7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7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7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75">
    <w:name w:val="xl7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76">
    <w:name w:val="xl7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7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78">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0">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1">
    <w:name w:val="xl82"/>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3">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4">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5">
    <w:name w:val="xl86"/>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86">
    <w:name w:val="xl8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87">
    <w:name w:val="xl8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8">
    <w:name w:val="xl89"/>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89">
    <w:name w:val="xl90"/>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0">
    <w:name w:val="xl91"/>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1">
    <w:name w:val="xl92"/>
    <w:basedOn w:val="1"/>
    <w:qFormat/>
    <w:uiPriority w:val="0"/>
    <w:pPr>
      <w:widowControl/>
      <w:pBdr>
        <w:lef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2">
    <w:name w:val="xl93"/>
    <w:basedOn w:val="1"/>
    <w:qFormat/>
    <w:uiPriority w:val="0"/>
    <w:pPr>
      <w:widowControl/>
      <w:pBdr>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3">
    <w:name w:val="xl94"/>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4">
    <w:name w:val="xl9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5">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6">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7">
    <w:name w:val="xl9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8">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9">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00">
    <w:name w:val="xl10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01">
    <w:name w:val="xl10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02">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3">
    <w:name w:val="xl10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4">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5">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306">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7">
    <w:name w:val="修订4"/>
    <w:qFormat/>
    <w:uiPriority w:val="99"/>
    <w:rPr>
      <w:rFonts w:ascii="Times New Roman" w:hAnsi="Times New Roman" w:eastAsia="宋体" w:cs="Times New Roman"/>
      <w:kern w:val="2"/>
      <w:sz w:val="21"/>
      <w:szCs w:val="22"/>
      <w:lang w:val="en-US" w:eastAsia="zh-CN" w:bidi="ar-SA"/>
    </w:rPr>
  </w:style>
  <w:style w:type="character" w:customStyle="1" w:styleId="308">
    <w:name w:val="font21"/>
    <w:basedOn w:val="70"/>
    <w:qFormat/>
    <w:uiPriority w:val="0"/>
    <w:rPr>
      <w:rFonts w:hint="eastAsia" w:ascii="等线" w:hAnsi="等线" w:eastAsia="等线" w:cs="等线"/>
      <w:color w:val="000000"/>
      <w:sz w:val="22"/>
      <w:szCs w:val="22"/>
      <w:u w:val="none"/>
    </w:rPr>
  </w:style>
  <w:style w:type="character" w:customStyle="1" w:styleId="309">
    <w:name w:val="apple-converted-space"/>
    <w:qFormat/>
    <w:uiPriority w:val="0"/>
    <w:rPr>
      <w:rFonts w:hint="default" w:ascii="Times New Roman" w:hAnsi="Times New Roman" w:cs="Times New Roman"/>
    </w:rPr>
  </w:style>
  <w:style w:type="character" w:customStyle="1" w:styleId="310">
    <w:name w:val="正文文本缩进 3 Char1"/>
    <w:basedOn w:val="70"/>
    <w:qFormat/>
    <w:uiPriority w:val="0"/>
    <w:rPr>
      <w:rFonts w:hint="default" w:ascii="Times New Roman" w:hAnsi="Times New Roman" w:eastAsia="宋体" w:cs="Times New Roman"/>
      <w:sz w:val="16"/>
      <w:szCs w:val="16"/>
    </w:rPr>
  </w:style>
  <w:style w:type="character" w:customStyle="1" w:styleId="311">
    <w:name w:val="批注文字 Char1"/>
    <w:basedOn w:val="70"/>
    <w:qFormat/>
    <w:uiPriority w:val="0"/>
    <w:rPr>
      <w:rFonts w:hint="default" w:ascii="Times New Roman" w:hAnsi="Times New Roman" w:eastAsia="宋体" w:cs="Times New Roman"/>
    </w:rPr>
  </w:style>
  <w:style w:type="character" w:customStyle="1" w:styleId="312">
    <w:name w:val="apple-tab-span"/>
    <w:qFormat/>
    <w:uiPriority w:val="0"/>
    <w:rPr>
      <w:rFonts w:hint="default" w:ascii="Times New Roman" w:hAnsi="Times New Roman" w:cs="Times New Roman"/>
    </w:rPr>
  </w:style>
  <w:style w:type="character" w:customStyle="1" w:styleId="313">
    <w:name w:val="font11"/>
    <w:basedOn w:val="70"/>
    <w:qFormat/>
    <w:uiPriority w:val="0"/>
    <w:rPr>
      <w:rFonts w:hint="default" w:ascii="Times New Roman" w:hAnsi="Times New Roman" w:cs="Times New Roman"/>
      <w:color w:val="000000"/>
      <w:sz w:val="20"/>
      <w:szCs w:val="20"/>
      <w:u w:val="none"/>
    </w:rPr>
  </w:style>
  <w:style w:type="character" w:customStyle="1" w:styleId="314">
    <w:name w:val="font31"/>
    <w:basedOn w:val="70"/>
    <w:qFormat/>
    <w:uiPriority w:val="0"/>
    <w:rPr>
      <w:rFonts w:hint="eastAsia" w:ascii="等线" w:hAnsi="等线" w:eastAsia="等线" w:cs="等线"/>
      <w:color w:val="000000"/>
      <w:sz w:val="22"/>
      <w:szCs w:val="22"/>
      <w:u w:val="none"/>
    </w:rPr>
  </w:style>
  <w:style w:type="character" w:customStyle="1" w:styleId="315">
    <w:name w:val="正文文本缩进 Char1"/>
    <w:basedOn w:val="70"/>
    <w:qFormat/>
    <w:uiPriority w:val="0"/>
    <w:rPr>
      <w:rFonts w:hint="default" w:ascii="Times New Roman" w:hAnsi="Times New Roman" w:eastAsia="宋体" w:cs="Times New Roman"/>
    </w:rPr>
  </w:style>
  <w:style w:type="character" w:customStyle="1" w:styleId="316">
    <w:name w:val="正文文本 3 Char1"/>
    <w:basedOn w:val="70"/>
    <w:qFormat/>
    <w:uiPriority w:val="0"/>
    <w:rPr>
      <w:rFonts w:hint="default" w:ascii="Times New Roman" w:hAnsi="Times New Roman" w:eastAsia="宋体" w:cs="Times New Roman"/>
      <w:sz w:val="16"/>
      <w:szCs w:val="16"/>
    </w:rPr>
  </w:style>
  <w:style w:type="character" w:customStyle="1" w:styleId="317">
    <w:name w:val="正文文本 Char1"/>
    <w:basedOn w:val="70"/>
    <w:qFormat/>
    <w:uiPriority w:val="0"/>
    <w:rPr>
      <w:rFonts w:hint="default" w:ascii="Times New Roman" w:hAnsi="Times New Roman" w:eastAsia="宋体" w:cs="Times New Roman"/>
    </w:rPr>
  </w:style>
  <w:style w:type="character" w:customStyle="1" w:styleId="318">
    <w:name w:val="font01"/>
    <w:basedOn w:val="70"/>
    <w:qFormat/>
    <w:uiPriority w:val="0"/>
    <w:rPr>
      <w:rFonts w:hint="eastAsia" w:ascii="宋体" w:hAnsi="宋体" w:eastAsia="宋体" w:cs="宋体"/>
      <w:color w:val="000000"/>
      <w:sz w:val="20"/>
      <w:szCs w:val="20"/>
      <w:u w:val="none"/>
    </w:rPr>
  </w:style>
  <w:style w:type="character" w:customStyle="1" w:styleId="319">
    <w:name w:val="纯文本 Char2"/>
    <w:basedOn w:val="70"/>
    <w:qFormat/>
    <w:uiPriority w:val="0"/>
    <w:rPr>
      <w:rFonts w:hint="eastAsia" w:ascii="宋体" w:hAnsi="Courier New" w:eastAsia="宋体" w:cs="Courier New"/>
      <w:sz w:val="21"/>
      <w:szCs w:val="21"/>
    </w:rPr>
  </w:style>
  <w:style w:type="character" w:customStyle="1" w:styleId="320">
    <w:name w:val="文档结构图 Char1"/>
    <w:basedOn w:val="70"/>
    <w:qFormat/>
    <w:uiPriority w:val="0"/>
    <w:rPr>
      <w:rFonts w:hint="eastAsia" w:ascii="宋体" w:hAnsi="Times New Roman" w:eastAsia="宋体" w:cs="Times New Roman"/>
      <w:sz w:val="18"/>
      <w:szCs w:val="18"/>
    </w:rPr>
  </w:style>
  <w:style w:type="character" w:customStyle="1" w:styleId="321">
    <w:name w:val="纯文本 Char1"/>
    <w:qFormat/>
    <w:uiPriority w:val="0"/>
    <w:rPr>
      <w:rFonts w:hint="eastAsia" w:ascii="宋体" w:hAnsi="Courier New" w:eastAsia="宋体"/>
      <w:sz w:val="21"/>
    </w:rPr>
  </w:style>
  <w:style w:type="character" w:customStyle="1" w:styleId="322">
    <w:name w:val="日期 Char1"/>
    <w:basedOn w:val="70"/>
    <w:qFormat/>
    <w:uiPriority w:val="0"/>
    <w:rPr>
      <w:rFonts w:hint="default" w:ascii="Times New Roman" w:hAnsi="Times New Roman" w:eastAsia="宋体" w:cs="Times New Roman"/>
    </w:rPr>
  </w:style>
  <w:style w:type="character" w:customStyle="1" w:styleId="323">
    <w:name w:val="正文文本缩进 2 Char1"/>
    <w:basedOn w:val="70"/>
    <w:qFormat/>
    <w:uiPriority w:val="0"/>
    <w:rPr>
      <w:rFonts w:hint="default" w:ascii="Times New Roman" w:hAnsi="Times New Roman" w:eastAsia="宋体" w:cs="Times New Roman"/>
    </w:rPr>
  </w:style>
  <w:style w:type="character" w:customStyle="1" w:styleId="324">
    <w:name w:val="批注框文本 Char1"/>
    <w:basedOn w:val="70"/>
    <w:qFormat/>
    <w:uiPriority w:val="0"/>
    <w:rPr>
      <w:rFonts w:hint="default" w:ascii="Times New Roman" w:hAnsi="Times New Roman" w:eastAsia="宋体" w:cs="Times New Roman"/>
      <w:sz w:val="18"/>
      <w:szCs w:val="18"/>
    </w:rPr>
  </w:style>
  <w:style w:type="character" w:customStyle="1" w:styleId="325">
    <w:name w:val="正文文本 2 Char1"/>
    <w:basedOn w:val="70"/>
    <w:qFormat/>
    <w:uiPriority w:val="0"/>
    <w:rPr>
      <w:rFonts w:hint="default" w:ascii="Times New Roman" w:hAnsi="Times New Roman" w:eastAsia="宋体" w:cs="Times New Roman"/>
    </w:rPr>
  </w:style>
  <w:style w:type="character" w:customStyle="1" w:styleId="326">
    <w:name w:val="大黑10.5px"/>
    <w:qFormat/>
    <w:uiPriority w:val="0"/>
    <w:rPr>
      <w:rFonts w:hint="eastAsia" w:ascii="方正大黑简体" w:eastAsia="方正大黑简体"/>
      <w:sz w:val="21"/>
    </w:rPr>
  </w:style>
  <w:style w:type="character" w:customStyle="1" w:styleId="327">
    <w:name w:val="黑简10.5px"/>
    <w:qFormat/>
    <w:uiPriority w:val="0"/>
    <w:rPr>
      <w:rFonts w:hint="eastAsia" w:ascii="方正黑体简体" w:hAnsi="方正黑体简体" w:eastAsia="方正黑体简体"/>
      <w:sz w:val="21"/>
    </w:rPr>
  </w:style>
  <w:style w:type="character" w:customStyle="1" w:styleId="328">
    <w:name w:val="jbox-icon-warning"/>
    <w:basedOn w:val="70"/>
    <w:qFormat/>
    <w:uiPriority w:val="0"/>
    <w:rPr>
      <w:rFonts w:hint="default" w:ascii="Times New Roman" w:hAnsi="Times New Roman" w:cs="Times New Roman"/>
    </w:rPr>
  </w:style>
  <w:style w:type="character" w:customStyle="1" w:styleId="329">
    <w:name w:val="hover9"/>
    <w:qFormat/>
    <w:uiPriority w:val="0"/>
    <w:rPr>
      <w:shd w:val="clear" w:color="auto" w:fill="EEEEEE"/>
    </w:rPr>
  </w:style>
  <w:style w:type="character" w:customStyle="1" w:styleId="330">
    <w:name w:val="hour_pm"/>
    <w:basedOn w:val="70"/>
    <w:qFormat/>
    <w:uiPriority w:val="0"/>
    <w:rPr>
      <w:rFonts w:hint="default" w:ascii="Times New Roman" w:hAnsi="Times New Roman" w:cs="Times New Roman"/>
    </w:rPr>
  </w:style>
  <w:style w:type="character" w:customStyle="1" w:styleId="331">
    <w:name w:val="jbox-icon-info"/>
    <w:basedOn w:val="70"/>
    <w:qFormat/>
    <w:uiPriority w:val="0"/>
    <w:rPr>
      <w:rFonts w:hint="default" w:ascii="Times New Roman" w:hAnsi="Times New Roman" w:cs="Times New Roman"/>
    </w:rPr>
  </w:style>
  <w:style w:type="character" w:customStyle="1" w:styleId="332">
    <w:name w:val="black601"/>
    <w:qFormat/>
    <w:uiPriority w:val="0"/>
    <w:rPr>
      <w:color w:val="666666"/>
    </w:rPr>
  </w:style>
  <w:style w:type="character" w:customStyle="1" w:styleId="333">
    <w:name w:val="hour_am"/>
    <w:basedOn w:val="70"/>
    <w:qFormat/>
    <w:uiPriority w:val="0"/>
    <w:rPr>
      <w:rFonts w:hint="default" w:ascii="Times New Roman" w:hAnsi="Times New Roman" w:cs="Times New Roman"/>
    </w:rPr>
  </w:style>
  <w:style w:type="character" w:customStyle="1" w:styleId="334">
    <w:name w:val="jbox-icon-error"/>
    <w:basedOn w:val="70"/>
    <w:qFormat/>
    <w:uiPriority w:val="0"/>
    <w:rPr>
      <w:rFonts w:hint="default" w:ascii="Times New Roman" w:hAnsi="Times New Roman" w:cs="Times New Roman"/>
    </w:rPr>
  </w:style>
  <w:style w:type="character" w:customStyle="1" w:styleId="335">
    <w:name w:val="jbox-icon-success"/>
    <w:basedOn w:val="70"/>
    <w:qFormat/>
    <w:uiPriority w:val="0"/>
    <w:rPr>
      <w:rFonts w:hint="default" w:ascii="Times New Roman" w:hAnsi="Times New Roman" w:cs="Times New Roman"/>
    </w:rPr>
  </w:style>
  <w:style w:type="character" w:customStyle="1" w:styleId="336">
    <w:name w:val="maywed421"/>
    <w:qFormat/>
    <w:uiPriority w:val="0"/>
    <w:rPr>
      <w:color w:val="366FB6"/>
      <w:u w:val="none"/>
    </w:rPr>
  </w:style>
  <w:style w:type="character" w:customStyle="1" w:styleId="337">
    <w:name w:val="正文文本缩进 字符1"/>
    <w:qFormat/>
    <w:uiPriority w:val="0"/>
    <w:rPr>
      <w:rFonts w:hint="eastAsia" w:ascii="宋体" w:hAnsi="Courier New" w:eastAsia="宋体"/>
      <w:spacing w:val="-4"/>
      <w:kern w:val="2"/>
      <w:sz w:val="18"/>
    </w:rPr>
  </w:style>
  <w:style w:type="character" w:customStyle="1" w:styleId="338">
    <w:name w:val="jbox-icon-question"/>
    <w:basedOn w:val="70"/>
    <w:qFormat/>
    <w:uiPriority w:val="0"/>
    <w:rPr>
      <w:rFonts w:hint="default" w:ascii="Times New Roman" w:hAnsi="Times New Roman" w:cs="Times New Roman"/>
    </w:rPr>
  </w:style>
  <w:style w:type="character" w:customStyle="1" w:styleId="339">
    <w:name w:val="jbox-icon-loading"/>
    <w:basedOn w:val="70"/>
    <w:qFormat/>
    <w:uiPriority w:val="0"/>
    <w:rPr>
      <w:rFonts w:hint="default" w:ascii="Times New Roman" w:hAnsi="Times New Roman" w:cs="Times New Roman"/>
    </w:rPr>
  </w:style>
  <w:style w:type="character" w:customStyle="1" w:styleId="340">
    <w:name w:val="标题 1 Char Char"/>
    <w:qFormat/>
    <w:uiPriority w:val="0"/>
    <w:rPr>
      <w:rFonts w:hint="eastAsia" w:ascii="宋体" w:hAnsi="宋体" w:eastAsia="宋体"/>
      <w:b/>
      <w:spacing w:val="-2"/>
      <w:sz w:val="24"/>
      <w:lang w:val="en-US" w:eastAsia="zh-CN"/>
    </w:rPr>
  </w:style>
  <w:style w:type="character" w:customStyle="1" w:styleId="341">
    <w:name w:val="jbox-icon-none"/>
    <w:qFormat/>
    <w:uiPriority w:val="0"/>
    <w:rPr>
      <w:vanish/>
    </w:rPr>
  </w:style>
  <w:style w:type="character" w:customStyle="1" w:styleId="342">
    <w:name w:val="sub_title s0"/>
    <w:basedOn w:val="70"/>
    <w:qFormat/>
    <w:uiPriority w:val="0"/>
    <w:rPr>
      <w:rFonts w:hint="default" w:ascii="Times New Roman" w:hAnsi="Times New Roman" w:cs="Times New Roman"/>
    </w:rPr>
  </w:style>
  <w:style w:type="character" w:customStyle="1" w:styleId="343">
    <w:name w:val="纯文本 字符2"/>
    <w:qFormat/>
    <w:uiPriority w:val="0"/>
    <w:rPr>
      <w:rFonts w:hint="eastAsia" w:ascii="宋体" w:hAnsi="Courier New" w:eastAsia="宋体"/>
      <w:kern w:val="2"/>
      <w:sz w:val="24"/>
    </w:rPr>
  </w:style>
  <w:style w:type="character" w:customStyle="1" w:styleId="344">
    <w:name w:val="jbox-icon"/>
    <w:basedOn w:val="70"/>
    <w:qFormat/>
    <w:uiPriority w:val="0"/>
    <w:rPr>
      <w:rFonts w:hint="default" w:ascii="Times New Roman" w:hAnsi="Times New Roman" w:cs="Times New Roman"/>
    </w:rPr>
  </w:style>
  <w:style w:type="character" w:customStyle="1" w:styleId="345">
    <w:name w:val="old"/>
    <w:qFormat/>
    <w:uiPriority w:val="0"/>
    <w:rPr>
      <w:color w:val="999999"/>
    </w:rPr>
  </w:style>
  <w:style w:type="character" w:customStyle="1" w:styleId="346">
    <w:name w:val="font41"/>
    <w:basedOn w:val="70"/>
    <w:qFormat/>
    <w:uiPriority w:val="0"/>
    <w:rPr>
      <w:rFonts w:hint="eastAsia" w:ascii="宋体" w:hAnsi="宋体" w:eastAsia="宋体" w:cs="宋体"/>
      <w:b/>
      <w:bCs/>
      <w:color w:val="000000"/>
      <w:sz w:val="24"/>
      <w:szCs w:val="24"/>
      <w:u w:val="none"/>
    </w:rPr>
  </w:style>
  <w:style w:type="character" w:customStyle="1" w:styleId="347">
    <w:name w:val="font12"/>
    <w:basedOn w:val="70"/>
    <w:qFormat/>
    <w:uiPriority w:val="0"/>
    <w:rPr>
      <w:rFonts w:hint="default" w:ascii="Times New Roman" w:hAnsi="Times New Roman" w:cs="Times New Roman"/>
      <w:color w:val="000000"/>
      <w:sz w:val="24"/>
      <w:szCs w:val="24"/>
      <w:u w:val="none"/>
    </w:rPr>
  </w:style>
  <w:style w:type="character" w:customStyle="1" w:styleId="348">
    <w:name w:val="font111"/>
    <w:basedOn w:val="70"/>
    <w:qFormat/>
    <w:uiPriority w:val="0"/>
    <w:rPr>
      <w:rFonts w:hint="eastAsia" w:ascii="宋体" w:hAnsi="宋体" w:eastAsia="宋体" w:cs="宋体"/>
      <w:color w:val="000000"/>
      <w:sz w:val="22"/>
      <w:szCs w:val="22"/>
      <w:u w:val="none"/>
    </w:rPr>
  </w:style>
  <w:style w:type="character" w:customStyle="1" w:styleId="349">
    <w:name w:val="标题 7 字符1"/>
    <w:basedOn w:val="70"/>
    <w:semiHidden/>
    <w:qFormat/>
    <w:uiPriority w:val="9"/>
    <w:rPr>
      <w:b/>
      <w:bCs/>
      <w:sz w:val="24"/>
      <w:szCs w:val="24"/>
    </w:rPr>
  </w:style>
  <w:style w:type="character" w:customStyle="1" w:styleId="350">
    <w:name w:val="标题 8 字符1"/>
    <w:basedOn w:val="70"/>
    <w:semiHidden/>
    <w:qFormat/>
    <w:uiPriority w:val="9"/>
    <w:rPr>
      <w:rFonts w:hint="default" w:ascii="Cambria" w:hAnsi="Cambria" w:eastAsia="宋体" w:cs="Times New Roman"/>
      <w:sz w:val="24"/>
      <w:szCs w:val="24"/>
    </w:rPr>
  </w:style>
  <w:style w:type="character" w:customStyle="1" w:styleId="351">
    <w:name w:val="标题 9 字符1"/>
    <w:basedOn w:val="70"/>
    <w:semiHidden/>
    <w:qFormat/>
    <w:uiPriority w:val="9"/>
    <w:rPr>
      <w:rFonts w:hint="default" w:ascii="Cambria" w:hAnsi="Cambria" w:eastAsia="宋体" w:cs="Times New Roman"/>
      <w:szCs w:val="21"/>
    </w:rPr>
  </w:style>
  <w:style w:type="table" w:customStyle="1" w:styleId="352">
    <w:name w:val="Table Normal"/>
    <w:qFormat/>
    <w:uiPriority w:val="59"/>
    <w:tblPr>
      <w:tblCellMar>
        <w:top w:w="0" w:type="dxa"/>
        <w:left w:w="108" w:type="dxa"/>
        <w:bottom w:w="0" w:type="dxa"/>
        <w:right w:w="108" w:type="dxa"/>
      </w:tblCellMar>
    </w:tblPr>
  </w:style>
  <w:style w:type="table" w:customStyle="1" w:styleId="353">
    <w:name w:val="华信表格(五号)"/>
    <w:basedOn w:val="63"/>
    <w:qFormat/>
    <w:uiPriority w:val="99"/>
    <w:pPr>
      <w:adjustRightInd w:val="0"/>
      <w:jc w:val="center"/>
    </w:pPr>
    <w:rPr>
      <w:rFonts w:cs="宋体"/>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cPr>
      <w:vAlign w:val="center"/>
    </w:tcPr>
  </w:style>
  <w:style w:type="character" w:customStyle="1" w:styleId="354">
    <w:name w:val="批注主题 Char1"/>
    <w:basedOn w:val="311"/>
    <w:qFormat/>
    <w:uiPriority w:val="0"/>
    <w:rPr>
      <w:rFonts w:hint="default" w:ascii="Times New Roman" w:hAnsi="Times New Roman" w:eastAsia="宋体" w:cs="Times New Roman"/>
      <w:b/>
      <w:bCs/>
    </w:rPr>
  </w:style>
  <w:style w:type="paragraph" w:customStyle="1" w:styleId="355">
    <w:name w:val="Body text|1"/>
    <w:basedOn w:val="1"/>
    <w:qFormat/>
    <w:uiPriority w:val="0"/>
    <w:rPr>
      <w:sz w:val="10"/>
      <w:szCs w:val="10"/>
    </w:rPr>
  </w:style>
  <w:style w:type="paragraph" w:customStyle="1" w:styleId="356">
    <w:name w:val="Picture caption|2"/>
    <w:basedOn w:val="1"/>
    <w:qFormat/>
    <w:uiPriority w:val="0"/>
    <w:rPr>
      <w:sz w:val="10"/>
      <w:szCs w:val="10"/>
      <w:lang w:val="zh-TW" w:eastAsia="zh-TW" w:bidi="zh-TW"/>
    </w:rPr>
  </w:style>
  <w:style w:type="paragraph" w:customStyle="1" w:styleId="357">
    <w:name w:val="Picture caption|1"/>
    <w:basedOn w:val="1"/>
    <w:qFormat/>
    <w:uiPriority w:val="0"/>
    <w:rPr>
      <w:rFonts w:ascii="宋体" w:hAnsi="宋体" w:eastAsia="宋体" w:cs="宋体"/>
      <w:sz w:val="9"/>
      <w:szCs w:val="9"/>
    </w:rPr>
  </w:style>
  <w:style w:type="paragraph" w:customStyle="1" w:styleId="358">
    <w:name w:val="Other|2"/>
    <w:basedOn w:val="1"/>
    <w:qFormat/>
    <w:uiPriority w:val="0"/>
    <w:rPr>
      <w:rFonts w:ascii="宋体" w:hAnsi="宋体" w:eastAsia="宋体" w:cs="宋体"/>
      <w:sz w:val="11"/>
      <w:szCs w:val="11"/>
      <w:lang w:val="zh-TW" w:eastAsia="zh-TW" w:bidi="zh-TW"/>
    </w:rPr>
  </w:style>
  <w:style w:type="paragraph" w:customStyle="1" w:styleId="359">
    <w:name w:val="Other|1"/>
    <w:basedOn w:val="1"/>
    <w:qFormat/>
    <w:uiPriority w:val="0"/>
    <w:rPr>
      <w:b/>
      <w:bCs/>
      <w:sz w:val="9"/>
      <w:szCs w:val="9"/>
      <w:lang w:val="zh-TW" w:eastAsia="zh-TW" w:bidi="zh-TW"/>
    </w:rPr>
  </w:style>
  <w:style w:type="character" w:customStyle="1" w:styleId="360">
    <w:name w:val="font51"/>
    <w:basedOn w:val="70"/>
    <w:qFormat/>
    <w:uiPriority w:val="0"/>
    <w:rPr>
      <w:rFonts w:hint="eastAsia" w:ascii="宋体" w:hAnsi="宋体" w:eastAsia="宋体" w:cs="宋体"/>
      <w:color w:val="000000"/>
      <w:sz w:val="20"/>
      <w:szCs w:val="20"/>
      <w:u w:val="none"/>
      <w:vertAlign w:val="superscript"/>
    </w:rPr>
  </w:style>
  <w:style w:type="paragraph" w:customStyle="1" w:styleId="361">
    <w:name w:val="cover"/>
    <w:link w:val="368"/>
    <w:qFormat/>
    <w:uiPriority w:val="0"/>
    <w:rPr>
      <w:rFonts w:ascii="宋体" w:hAnsi="Cambria" w:eastAsia="宋体" w:cs="宋体"/>
      <w:b/>
      <w:kern w:val="2"/>
      <w:sz w:val="52"/>
      <w:szCs w:val="22"/>
      <w:lang w:val="en-US" w:eastAsia="zh-CN" w:bidi="ar-SA"/>
    </w:rPr>
  </w:style>
  <w:style w:type="character" w:customStyle="1" w:styleId="362">
    <w:name w:val="称呼 字符"/>
    <w:basedOn w:val="70"/>
    <w:link w:val="23"/>
    <w:qFormat/>
    <w:uiPriority w:val="0"/>
    <w:rPr>
      <w:szCs w:val="24"/>
    </w:rPr>
  </w:style>
  <w:style w:type="character" w:customStyle="1" w:styleId="363">
    <w:name w:val="尾注文本 字符"/>
    <w:basedOn w:val="70"/>
    <w:link w:val="41"/>
    <w:qFormat/>
    <w:uiPriority w:val="0"/>
    <w:rPr>
      <w:sz w:val="24"/>
    </w:rPr>
  </w:style>
  <w:style w:type="character" w:customStyle="1" w:styleId="364">
    <w:name w:val="副标题 字符"/>
    <w:basedOn w:val="70"/>
    <w:link w:val="47"/>
    <w:qFormat/>
    <w:uiPriority w:val="0"/>
    <w:rPr>
      <w:rFonts w:ascii="Calibri" w:hAnsi="Calibri" w:cs="宋体"/>
      <w:b/>
      <w:bCs/>
      <w:kern w:val="28"/>
      <w:sz w:val="32"/>
      <w:szCs w:val="32"/>
    </w:rPr>
  </w:style>
  <w:style w:type="character" w:customStyle="1" w:styleId="365">
    <w:name w:val="脚注文本 字符"/>
    <w:basedOn w:val="70"/>
    <w:link w:val="50"/>
    <w:qFormat/>
    <w:uiPriority w:val="0"/>
    <w:rPr>
      <w:rFonts w:ascii="宋体" w:hAnsi="Calibri" w:cs="宋体"/>
      <w:kern w:val="2"/>
      <w:sz w:val="18"/>
      <w:szCs w:val="18"/>
    </w:rPr>
  </w:style>
  <w:style w:type="character" w:customStyle="1" w:styleId="366">
    <w:name w:val="标题 字符"/>
    <w:basedOn w:val="70"/>
    <w:link w:val="58"/>
    <w:qFormat/>
    <w:uiPriority w:val="0"/>
    <w:rPr>
      <w:rFonts w:ascii="Cambria" w:hAnsi="Cambria" w:cs="宋体"/>
      <w:b/>
      <w:bCs/>
      <w:kern w:val="2"/>
      <w:sz w:val="32"/>
      <w:szCs w:val="32"/>
    </w:rPr>
  </w:style>
  <w:style w:type="paragraph" w:customStyle="1" w:styleId="367">
    <w:name w:val="Normal Indent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character" w:customStyle="1" w:styleId="368">
    <w:name w:val="cover 字符"/>
    <w:basedOn w:val="70"/>
    <w:link w:val="361"/>
    <w:qFormat/>
    <w:uiPriority w:val="0"/>
    <w:rPr>
      <w:rFonts w:ascii="宋体" w:hAnsi="Cambria" w:cs="宋体"/>
      <w:b/>
      <w:kern w:val="2"/>
      <w:sz w:val="52"/>
      <w:szCs w:val="22"/>
    </w:rPr>
  </w:style>
  <w:style w:type="paragraph" w:customStyle="1" w:styleId="369">
    <w:name w:val="index"/>
    <w:basedOn w:val="45"/>
    <w:link w:val="371"/>
    <w:qFormat/>
    <w:uiPriority w:val="0"/>
    <w:pPr>
      <w:tabs>
        <w:tab w:val="left" w:pos="1050"/>
        <w:tab w:val="left" w:pos="1190"/>
        <w:tab w:val="left" w:pos="1470"/>
        <w:tab w:val="right" w:leader="dot" w:pos="8296"/>
      </w:tabs>
      <w:wordWrap w:val="0"/>
      <w:spacing w:line="360" w:lineRule="auto"/>
    </w:pPr>
    <w:rPr>
      <w:rFonts w:hAnsi="Calibri" w:cs="宋体"/>
      <w:szCs w:val="32"/>
    </w:rPr>
  </w:style>
  <w:style w:type="character" w:customStyle="1" w:styleId="370">
    <w:name w:val="TOC 1 字符"/>
    <w:basedOn w:val="70"/>
    <w:link w:val="45"/>
    <w:qFormat/>
    <w:uiPriority w:val="39"/>
    <w:rPr>
      <w:kern w:val="2"/>
      <w:sz w:val="21"/>
      <w:szCs w:val="22"/>
    </w:rPr>
  </w:style>
  <w:style w:type="character" w:customStyle="1" w:styleId="371">
    <w:name w:val="index 字符"/>
    <w:basedOn w:val="370"/>
    <w:link w:val="369"/>
    <w:qFormat/>
    <w:uiPriority w:val="0"/>
    <w:rPr>
      <w:rFonts w:hAnsi="Calibri" w:cs="宋体"/>
      <w:kern w:val="2"/>
      <w:sz w:val="21"/>
      <w:szCs w:val="32"/>
    </w:rPr>
  </w:style>
  <w:style w:type="paragraph" w:customStyle="1" w:styleId="372">
    <w:name w:val="form"/>
    <w:basedOn w:val="1"/>
    <w:link w:val="373"/>
    <w:qFormat/>
    <w:uiPriority w:val="0"/>
    <w:pPr>
      <w:wordWrap w:val="0"/>
      <w:snapToGrid w:val="0"/>
      <w:jc w:val="center"/>
    </w:pPr>
    <w:rPr>
      <w:rFonts w:ascii="宋体" w:hAnsi="Calibri" w:eastAsia="宋体" w:cs="宋体"/>
      <w:szCs w:val="21"/>
    </w:rPr>
  </w:style>
  <w:style w:type="character" w:customStyle="1" w:styleId="373">
    <w:name w:val="form 字符"/>
    <w:basedOn w:val="70"/>
    <w:link w:val="372"/>
    <w:qFormat/>
    <w:uiPriority w:val="0"/>
    <w:rPr>
      <w:rFonts w:ascii="宋体" w:hAnsi="Calibri" w:cs="宋体"/>
      <w:kern w:val="2"/>
      <w:sz w:val="21"/>
      <w:szCs w:val="21"/>
    </w:rPr>
  </w:style>
  <w:style w:type="paragraph" w:customStyle="1" w:styleId="374">
    <w:name w:val="序号列"/>
    <w:basedOn w:val="114"/>
    <w:link w:val="375"/>
    <w:qFormat/>
    <w:uiPriority w:val="0"/>
    <w:pPr>
      <w:wordWrap w:val="0"/>
      <w:spacing w:line="360" w:lineRule="auto"/>
      <w:ind w:firstLine="0" w:firstLineChars="0"/>
    </w:pPr>
    <w:rPr>
      <w:rFonts w:ascii="宋体" w:hAnsi="Calibri" w:eastAsia="宋体" w:cs="宋体"/>
    </w:rPr>
  </w:style>
  <w:style w:type="character" w:customStyle="1" w:styleId="375">
    <w:name w:val="序号列 字符"/>
    <w:basedOn w:val="256"/>
    <w:link w:val="374"/>
    <w:qFormat/>
    <w:uiPriority w:val="0"/>
    <w:rPr>
      <w:rFonts w:ascii="宋体" w:hAnsi="Calibri" w:eastAsia="宋体" w:cs="宋体"/>
      <w:kern w:val="2"/>
      <w:sz w:val="21"/>
      <w:szCs w:val="22"/>
    </w:rPr>
  </w:style>
  <w:style w:type="paragraph" w:customStyle="1" w:styleId="376">
    <w:name w:val="加粗子列表"/>
    <w:basedOn w:val="114"/>
    <w:link w:val="378"/>
    <w:qFormat/>
    <w:uiPriority w:val="0"/>
    <w:pPr>
      <w:numPr>
        <w:ilvl w:val="0"/>
        <w:numId w:val="4"/>
      </w:numPr>
      <w:wordWrap w:val="0"/>
      <w:spacing w:line="360" w:lineRule="auto"/>
      <w:ind w:firstLine="0" w:firstLineChars="0"/>
    </w:pPr>
    <w:rPr>
      <w:rFonts w:ascii="宋体" w:hAnsi="Calibri" w:eastAsia="宋体" w:cs="宋体"/>
      <w:b/>
      <w:bCs/>
    </w:rPr>
  </w:style>
  <w:style w:type="paragraph" w:customStyle="1" w:styleId="377">
    <w:name w:val="子列2"/>
    <w:basedOn w:val="376"/>
    <w:link w:val="380"/>
    <w:qFormat/>
    <w:uiPriority w:val="0"/>
    <w:pPr>
      <w:numPr>
        <w:ilvl w:val="1"/>
        <w:numId w:val="0"/>
      </w:numPr>
    </w:pPr>
    <w:rPr>
      <w:b w:val="0"/>
      <w:bCs w:val="0"/>
    </w:rPr>
  </w:style>
  <w:style w:type="character" w:customStyle="1" w:styleId="378">
    <w:name w:val="加粗子列表 字符"/>
    <w:basedOn w:val="256"/>
    <w:link w:val="376"/>
    <w:qFormat/>
    <w:uiPriority w:val="0"/>
    <w:rPr>
      <w:rFonts w:ascii="宋体" w:hAnsi="Calibri" w:eastAsia="宋体" w:cs="宋体"/>
      <w:b/>
      <w:bCs/>
      <w:kern w:val="2"/>
      <w:sz w:val="21"/>
      <w:szCs w:val="22"/>
    </w:rPr>
  </w:style>
  <w:style w:type="character" w:customStyle="1" w:styleId="379">
    <w:name w:val="纯文本 Char"/>
    <w:link w:val="163"/>
    <w:qFormat/>
    <w:uiPriority w:val="0"/>
    <w:rPr>
      <w:rFonts w:ascii="宋体" w:hAnsi="Courier New" w:eastAsia="Times New Roman"/>
      <w:kern w:val="2"/>
      <w:sz w:val="30"/>
      <w:szCs w:val="24"/>
    </w:rPr>
  </w:style>
  <w:style w:type="character" w:customStyle="1" w:styleId="380">
    <w:name w:val="子列2 字符"/>
    <w:basedOn w:val="378"/>
    <w:link w:val="377"/>
    <w:qFormat/>
    <w:uiPriority w:val="0"/>
    <w:rPr>
      <w:rFonts w:ascii="宋体" w:hAnsi="Calibri" w:eastAsia="宋体" w:cs="宋体"/>
      <w:b w:val="0"/>
      <w:bCs w:val="0"/>
      <w:kern w:val="2"/>
      <w:sz w:val="21"/>
      <w:szCs w:val="22"/>
    </w:rPr>
  </w:style>
  <w:style w:type="paragraph" w:customStyle="1" w:styleId="381">
    <w:name w:val="文本块2"/>
    <w:basedOn w:val="1"/>
    <w:qFormat/>
    <w:uiPriority w:val="0"/>
    <w:pPr>
      <w:adjustRightInd w:val="0"/>
      <w:snapToGrid w:val="0"/>
      <w:spacing w:line="300" w:lineRule="auto"/>
      <w:ind w:left="958" w:right="-120" w:rightChars="-120"/>
      <w:jc w:val="left"/>
    </w:pPr>
    <w:rPr>
      <w:rFonts w:hint="eastAsia" w:ascii="Century Gothic" w:hAnsi="Century Gothic" w:eastAsia="宋体" w:cs="Times New Roman"/>
      <w:sz w:val="28"/>
      <w:szCs w:val="20"/>
    </w:rPr>
  </w:style>
  <w:style w:type="paragraph" w:customStyle="1" w:styleId="382">
    <w:name w:val="纯文本3"/>
    <w:basedOn w:val="1"/>
    <w:qFormat/>
    <w:uiPriority w:val="99"/>
    <w:pPr>
      <w:adjustRightInd w:val="0"/>
      <w:textAlignment w:val="baseline"/>
    </w:pPr>
    <w:rPr>
      <w:rFonts w:ascii="宋体" w:hAnsi="Courier New" w:eastAsia="楷体_GB2312" w:cs="Times New Roman"/>
      <w:sz w:val="26"/>
      <w:szCs w:val="20"/>
    </w:rPr>
  </w:style>
  <w:style w:type="paragraph" w:customStyle="1" w:styleId="383">
    <w:name w:val="纯文本2"/>
    <w:basedOn w:val="1"/>
    <w:qFormat/>
    <w:uiPriority w:val="0"/>
    <w:rPr>
      <w:rFonts w:ascii="宋体" w:hAnsi="Courier New" w:eastAsia="仿宋_GB2312" w:cs="Times New Roman"/>
      <w:sz w:val="30"/>
      <w:szCs w:val="24"/>
    </w:rPr>
  </w:style>
  <w:style w:type="paragraph" w:customStyle="1" w:styleId="384">
    <w:name w:val="Body Text Indent1"/>
    <w:basedOn w:val="1"/>
    <w:qFormat/>
    <w:uiPriority w:val="99"/>
    <w:pPr>
      <w:spacing w:line="200" w:lineRule="exact"/>
      <w:ind w:firstLine="301"/>
    </w:pPr>
    <w:rPr>
      <w:rFonts w:ascii="宋体" w:hAnsi="Courier New" w:eastAsia="宋体" w:cs="Times New Roman"/>
      <w:spacing w:val="-4"/>
      <w:kern w:val="0"/>
      <w:sz w:val="18"/>
      <w:szCs w:val="24"/>
    </w:rPr>
  </w:style>
  <w:style w:type="character" w:customStyle="1" w:styleId="385">
    <w:name w:val="批注框文本 Char"/>
    <w:basedOn w:val="70"/>
    <w:link w:val="386"/>
    <w:qFormat/>
    <w:uiPriority w:val="0"/>
    <w:rPr>
      <w:rFonts w:ascii="Calibri" w:hAnsi="Calibri"/>
      <w:sz w:val="18"/>
      <w:szCs w:val="18"/>
    </w:rPr>
  </w:style>
  <w:style w:type="paragraph" w:customStyle="1" w:styleId="386">
    <w:name w:val="批注框文本1"/>
    <w:basedOn w:val="1"/>
    <w:link w:val="385"/>
    <w:qFormat/>
    <w:uiPriority w:val="0"/>
    <w:rPr>
      <w:rFonts w:ascii="Calibri" w:hAnsi="Calibri" w:eastAsia="宋体" w:cs="Times New Roman"/>
      <w:kern w:val="0"/>
      <w:sz w:val="18"/>
      <w:szCs w:val="18"/>
    </w:rPr>
  </w:style>
  <w:style w:type="paragraph" w:customStyle="1" w:styleId="387">
    <w:name w:val="纯文本5"/>
    <w:basedOn w:val="1"/>
    <w:qFormat/>
    <w:uiPriority w:val="0"/>
    <w:rPr>
      <w:rFonts w:ascii="宋体" w:hAnsi="Courier New" w:eastAsia="仿宋_GB2312" w:cs="Times New Roman"/>
      <w:sz w:val="30"/>
      <w:szCs w:val="24"/>
    </w:rPr>
  </w:style>
  <w:style w:type="paragraph" w:customStyle="1" w:styleId="388">
    <w:name w:val="附件格式"/>
    <w:basedOn w:val="1"/>
    <w:link w:val="389"/>
    <w:qFormat/>
    <w:uiPriority w:val="0"/>
    <w:pPr>
      <w:wordWrap w:val="0"/>
      <w:spacing w:line="360" w:lineRule="auto"/>
      <w:ind w:firstLine="200" w:firstLineChars="200"/>
    </w:pPr>
    <w:rPr>
      <w:rFonts w:ascii="宋体" w:hAnsi="Calibri" w:eastAsia="宋体" w:cs="宋体"/>
      <w:sz w:val="28"/>
    </w:rPr>
  </w:style>
  <w:style w:type="character" w:customStyle="1" w:styleId="389">
    <w:name w:val="附件格式 字符"/>
    <w:basedOn w:val="70"/>
    <w:link w:val="388"/>
    <w:qFormat/>
    <w:uiPriority w:val="0"/>
    <w:rPr>
      <w:rFonts w:ascii="宋体" w:hAnsi="Calibri" w:cs="宋体"/>
      <w:kern w:val="2"/>
      <w:sz w:val="28"/>
      <w:szCs w:val="22"/>
    </w:rPr>
  </w:style>
  <w:style w:type="paragraph" w:customStyle="1" w:styleId="390">
    <w:name w:val="大纲"/>
    <w:next w:val="1"/>
    <w:link w:val="391"/>
    <w:qFormat/>
    <w:uiPriority w:val="0"/>
    <w:pPr>
      <w:spacing w:line="360" w:lineRule="auto"/>
      <w:outlineLvl w:val="1"/>
    </w:pPr>
    <w:rPr>
      <w:rFonts w:ascii="宋体" w:hAnsi="Calibri" w:eastAsia="宋体" w:cs="宋体"/>
      <w:b/>
      <w:bCs/>
      <w:kern w:val="2"/>
      <w:sz w:val="24"/>
      <w:szCs w:val="22"/>
      <w:lang w:val="en-US" w:eastAsia="zh-CN" w:bidi="ar-SA"/>
    </w:rPr>
  </w:style>
  <w:style w:type="character" w:customStyle="1" w:styleId="391">
    <w:name w:val="大纲 字符"/>
    <w:basedOn w:val="70"/>
    <w:link w:val="390"/>
    <w:qFormat/>
    <w:uiPriority w:val="0"/>
    <w:rPr>
      <w:rFonts w:ascii="宋体" w:hAnsi="Calibri" w:cs="宋体"/>
      <w:b/>
      <w:bCs/>
      <w:kern w:val="2"/>
      <w:sz w:val="24"/>
      <w:szCs w:val="22"/>
    </w:rPr>
  </w:style>
  <w:style w:type="character" w:customStyle="1" w:styleId="392">
    <w:name w:val="fontstyle01"/>
    <w:qFormat/>
    <w:uiPriority w:val="0"/>
    <w:rPr>
      <w:rFonts w:hint="eastAsia" w:ascii="宋体" w:hAnsi="宋体" w:eastAsia="宋体"/>
      <w:color w:val="000000"/>
      <w:sz w:val="44"/>
      <w:szCs w:val="44"/>
    </w:rPr>
  </w:style>
  <w:style w:type="character" w:customStyle="1" w:styleId="393">
    <w:name w:val="bookmark-item"/>
    <w:basedOn w:val="70"/>
    <w:qFormat/>
    <w:uiPriority w:val="0"/>
  </w:style>
  <w:style w:type="character" w:customStyle="1" w:styleId="394">
    <w:name w:val="Body Text Indent Char Char"/>
    <w:basedOn w:val="70"/>
    <w:link w:val="395"/>
    <w:qFormat/>
    <w:uiPriority w:val="0"/>
  </w:style>
  <w:style w:type="paragraph" w:customStyle="1" w:styleId="395">
    <w:name w:val="正文文本缩进1"/>
    <w:basedOn w:val="1"/>
    <w:link w:val="394"/>
    <w:qFormat/>
    <w:uiPriority w:val="0"/>
    <w:pPr>
      <w:spacing w:line="200" w:lineRule="exact"/>
      <w:ind w:firstLine="301"/>
    </w:pPr>
    <w:rPr>
      <w:rFonts w:ascii="Times New Roman" w:hAnsi="Times New Roman" w:eastAsia="宋体" w:cs="Times New Roman"/>
      <w:kern w:val="0"/>
      <w:sz w:val="20"/>
      <w:szCs w:val="20"/>
    </w:rPr>
  </w:style>
  <w:style w:type="paragraph" w:customStyle="1" w:styleId="396">
    <w:name w:val="段"/>
    <w:link w:val="41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styleId="397">
    <w:name w:val="Placeholder Text"/>
    <w:basedOn w:val="70"/>
    <w:qFormat/>
    <w:uiPriority w:val="99"/>
    <w:rPr>
      <w:color w:val="808080"/>
    </w:rPr>
  </w:style>
  <w:style w:type="paragraph" w:customStyle="1" w:styleId="398">
    <w:name w:val="Char Char1"/>
    <w:basedOn w:val="1"/>
    <w:qFormat/>
    <w:uiPriority w:val="0"/>
    <w:pPr>
      <w:spacing w:line="360" w:lineRule="auto"/>
      <w:ind w:firstLine="200" w:firstLineChars="200"/>
    </w:pPr>
    <w:rPr>
      <w:rFonts w:ascii="宋体" w:hAnsi="宋体" w:eastAsia="宋体" w:cs="宋体"/>
      <w:sz w:val="24"/>
      <w:szCs w:val="24"/>
    </w:rPr>
  </w:style>
  <w:style w:type="paragraph" w:customStyle="1" w:styleId="399">
    <w:name w:val="4需求"/>
    <w:next w:val="1"/>
    <w:link w:val="401"/>
    <w:qFormat/>
    <w:uiPriority w:val="0"/>
    <w:pPr>
      <w:numPr>
        <w:ilvl w:val="3"/>
        <w:numId w:val="5"/>
      </w:numPr>
    </w:pPr>
    <w:rPr>
      <w:rFonts w:ascii="宋体" w:hAnsi="Calibri" w:eastAsia="宋体" w:cs="宋体"/>
      <w:b/>
      <w:bCs/>
      <w:kern w:val="2"/>
      <w:sz w:val="21"/>
      <w:szCs w:val="22"/>
      <w:lang w:val="en-US" w:eastAsia="zh-CN" w:bidi="ar-SA"/>
    </w:rPr>
  </w:style>
  <w:style w:type="paragraph" w:customStyle="1" w:styleId="400">
    <w:name w:val="3需求"/>
    <w:next w:val="399"/>
    <w:link w:val="403"/>
    <w:qFormat/>
    <w:uiPriority w:val="0"/>
    <w:pPr>
      <w:numPr>
        <w:ilvl w:val="2"/>
        <w:numId w:val="5"/>
      </w:numPr>
      <w:snapToGrid w:val="0"/>
      <w:spacing w:beforeLines="50"/>
    </w:pPr>
    <w:rPr>
      <w:rFonts w:ascii="宋体" w:hAnsi="Calibri" w:eastAsia="宋体" w:cs="宋体"/>
      <w:b/>
      <w:bCs/>
      <w:kern w:val="2"/>
      <w:sz w:val="24"/>
      <w:szCs w:val="22"/>
      <w:lang w:val="en-US" w:eastAsia="zh-CN" w:bidi="ar-SA"/>
    </w:rPr>
  </w:style>
  <w:style w:type="character" w:customStyle="1" w:styleId="401">
    <w:name w:val="4需求 字符"/>
    <w:basedOn w:val="70"/>
    <w:link w:val="399"/>
    <w:qFormat/>
    <w:uiPriority w:val="0"/>
    <w:rPr>
      <w:rFonts w:ascii="宋体" w:hAnsi="Calibri" w:cs="宋体"/>
      <w:b/>
      <w:bCs/>
      <w:kern w:val="2"/>
      <w:sz w:val="21"/>
      <w:szCs w:val="22"/>
    </w:rPr>
  </w:style>
  <w:style w:type="paragraph" w:customStyle="1" w:styleId="402">
    <w:name w:val="2需求"/>
    <w:next w:val="1"/>
    <w:link w:val="405"/>
    <w:qFormat/>
    <w:uiPriority w:val="0"/>
    <w:pPr>
      <w:numPr>
        <w:ilvl w:val="1"/>
        <w:numId w:val="5"/>
      </w:numPr>
      <w:snapToGrid w:val="0"/>
      <w:spacing w:beforeLines="50"/>
    </w:pPr>
    <w:rPr>
      <w:rFonts w:ascii="宋体" w:hAnsi="Calibri" w:eastAsia="宋体" w:cs="宋体"/>
      <w:b/>
      <w:bCs/>
      <w:kern w:val="2"/>
      <w:sz w:val="24"/>
      <w:szCs w:val="22"/>
      <w:lang w:val="en-US" w:eastAsia="zh-CN" w:bidi="ar-SA"/>
    </w:rPr>
  </w:style>
  <w:style w:type="character" w:customStyle="1" w:styleId="403">
    <w:name w:val="3需求 字符"/>
    <w:basedOn w:val="70"/>
    <w:link w:val="400"/>
    <w:qFormat/>
    <w:uiPriority w:val="0"/>
    <w:rPr>
      <w:rFonts w:ascii="宋体" w:hAnsi="Calibri" w:cs="宋体"/>
      <w:b/>
      <w:bCs/>
      <w:kern w:val="2"/>
      <w:sz w:val="24"/>
      <w:szCs w:val="22"/>
    </w:rPr>
  </w:style>
  <w:style w:type="paragraph" w:customStyle="1" w:styleId="404">
    <w:name w:val="1需求"/>
    <w:next w:val="1"/>
    <w:link w:val="406"/>
    <w:qFormat/>
    <w:uiPriority w:val="0"/>
    <w:pPr>
      <w:numPr>
        <w:ilvl w:val="0"/>
        <w:numId w:val="5"/>
      </w:numPr>
      <w:snapToGrid w:val="0"/>
      <w:spacing w:beforeLines="50"/>
    </w:pPr>
    <w:rPr>
      <w:rFonts w:ascii="宋体" w:hAnsi="Calibri" w:eastAsia="宋体" w:cs="宋体"/>
      <w:b/>
      <w:bCs/>
      <w:kern w:val="2"/>
      <w:sz w:val="28"/>
      <w:szCs w:val="22"/>
      <w:lang w:val="en-US" w:eastAsia="zh-CN" w:bidi="ar-SA"/>
    </w:rPr>
  </w:style>
  <w:style w:type="character" w:customStyle="1" w:styleId="405">
    <w:name w:val="2需求 字符"/>
    <w:basedOn w:val="70"/>
    <w:link w:val="402"/>
    <w:qFormat/>
    <w:uiPriority w:val="0"/>
    <w:rPr>
      <w:rFonts w:ascii="宋体" w:hAnsi="Calibri" w:cs="宋体"/>
      <w:b/>
      <w:bCs/>
      <w:kern w:val="2"/>
      <w:sz w:val="24"/>
      <w:szCs w:val="22"/>
    </w:rPr>
  </w:style>
  <w:style w:type="character" w:customStyle="1" w:styleId="406">
    <w:name w:val="1需求 字符"/>
    <w:basedOn w:val="70"/>
    <w:link w:val="404"/>
    <w:qFormat/>
    <w:uiPriority w:val="0"/>
    <w:rPr>
      <w:rFonts w:ascii="宋体" w:hAnsi="Calibri" w:cs="宋体"/>
      <w:b/>
      <w:bCs/>
      <w:kern w:val="2"/>
      <w:sz w:val="28"/>
      <w:szCs w:val="22"/>
    </w:rPr>
  </w:style>
  <w:style w:type="paragraph" w:customStyle="1" w:styleId="407">
    <w:name w:val="国普正文"/>
    <w:basedOn w:val="1"/>
    <w:qFormat/>
    <w:uiPriority w:val="0"/>
    <w:pPr>
      <w:spacing w:line="360" w:lineRule="auto"/>
      <w:ind w:firstLine="600" w:firstLineChars="200"/>
    </w:pPr>
    <w:rPr>
      <w:rFonts w:ascii="仿宋_GB2312" w:hAnsi="Calibri" w:eastAsia="仿宋_GB2312" w:cs="Times New Roman"/>
      <w:sz w:val="30"/>
      <w:szCs w:val="30"/>
    </w:rPr>
  </w:style>
  <w:style w:type="character" w:customStyle="1" w:styleId="408">
    <w:name w:val="批注框文本 字符1"/>
    <w:qFormat/>
    <w:uiPriority w:val="0"/>
    <w:rPr>
      <w:rFonts w:ascii="Times New Roman" w:hAnsi="Times New Roman" w:eastAsia="宋体" w:cs="Times New Roman"/>
      <w:sz w:val="18"/>
      <w:szCs w:val="18"/>
    </w:rPr>
  </w:style>
  <w:style w:type="character" w:customStyle="1" w:styleId="409">
    <w:name w:val="页眉 字符1"/>
    <w:qFormat/>
    <w:uiPriority w:val="99"/>
    <w:rPr>
      <w:rFonts w:ascii="Times New Roman" w:hAnsi="Times New Roman" w:eastAsia="宋体" w:cs="Times New Roman"/>
      <w:sz w:val="18"/>
      <w:szCs w:val="18"/>
    </w:rPr>
  </w:style>
  <w:style w:type="character" w:customStyle="1" w:styleId="410">
    <w:name w:val="v0066991"/>
    <w:qFormat/>
    <w:uiPriority w:val="0"/>
    <w:rPr>
      <w:rFonts w:ascii="Arial" w:hAnsi="Arial" w:eastAsia="宋体" w:cs="Times New Roman"/>
      <w:color w:val="000000"/>
      <w:sz w:val="26"/>
      <w:u w:val="none"/>
    </w:rPr>
  </w:style>
  <w:style w:type="character" w:customStyle="1" w:styleId="411">
    <w:name w:val="正文2 Char"/>
    <w:link w:val="173"/>
    <w:qFormat/>
    <w:uiPriority w:val="0"/>
    <w:rPr>
      <w:kern w:val="2"/>
      <w:sz w:val="24"/>
    </w:rPr>
  </w:style>
  <w:style w:type="character" w:customStyle="1" w:styleId="412">
    <w:name w:val="Char Char7"/>
    <w:qFormat/>
    <w:uiPriority w:val="0"/>
    <w:rPr>
      <w:rFonts w:ascii="Cambria" w:hAnsi="Cambria" w:eastAsia="仿宋_GB2312" w:cs="Times New Roman"/>
      <w:b/>
      <w:kern w:val="2"/>
      <w:sz w:val="28"/>
    </w:rPr>
  </w:style>
  <w:style w:type="character" w:customStyle="1" w:styleId="413">
    <w:name w:val="Subtle Reference1"/>
    <w:qFormat/>
    <w:uiPriority w:val="0"/>
    <w:rPr>
      <w:rFonts w:ascii="Calibri" w:hAnsi="Calibri" w:eastAsia="宋体" w:cs="Times New Roman"/>
      <w:smallCaps/>
      <w:color w:val="C0504D"/>
      <w:u w:val="single"/>
    </w:rPr>
  </w:style>
  <w:style w:type="character" w:customStyle="1" w:styleId="414">
    <w:name w:val="正文首行缩进 Char"/>
    <w:qFormat/>
    <w:uiPriority w:val="0"/>
    <w:rPr>
      <w:rFonts w:ascii="Times New Roman" w:hAnsi="Times New Roman" w:eastAsia="仿宋_GB2312" w:cs="Times New Roman"/>
      <w:kern w:val="2"/>
      <w:sz w:val="21"/>
      <w:szCs w:val="24"/>
    </w:rPr>
  </w:style>
  <w:style w:type="character" w:customStyle="1" w:styleId="415">
    <w:name w:val="段 Char"/>
    <w:link w:val="396"/>
    <w:qFormat/>
    <w:uiPriority w:val="0"/>
    <w:rPr>
      <w:rFonts w:ascii="宋体"/>
      <w:sz w:val="21"/>
    </w:rPr>
  </w:style>
  <w:style w:type="character" w:customStyle="1" w:styleId="416">
    <w:name w:val="样式1 Char Char"/>
    <w:link w:val="149"/>
    <w:qFormat/>
    <w:uiPriority w:val="0"/>
    <w:rPr>
      <w:rFonts w:ascii="Calibri" w:hAnsi="Calibri"/>
      <w:b/>
      <w:i/>
      <w:sz w:val="24"/>
      <w:szCs w:val="21"/>
      <w:u w:val="thick"/>
    </w:rPr>
  </w:style>
  <w:style w:type="character" w:customStyle="1" w:styleId="417">
    <w:name w:val="17"/>
    <w:qFormat/>
    <w:uiPriority w:val="0"/>
    <w:rPr>
      <w:rFonts w:hint="default" w:ascii="Calibri" w:hAnsi="Calibri" w:eastAsia="宋体" w:cs="Times New Roman"/>
      <w:sz w:val="21"/>
      <w:szCs w:val="21"/>
    </w:rPr>
  </w:style>
  <w:style w:type="character" w:customStyle="1" w:styleId="418">
    <w:name w:val="标题 6 Char1"/>
    <w:qFormat/>
    <w:uiPriority w:val="0"/>
    <w:rPr>
      <w:rFonts w:ascii="Arial" w:hAnsi="Arial" w:eastAsia="黑体" w:cs="Times New Roman"/>
      <w:b/>
      <w:kern w:val="2"/>
      <w:sz w:val="24"/>
    </w:rPr>
  </w:style>
  <w:style w:type="character" w:customStyle="1" w:styleId="419">
    <w:name w:val="自定义正文 Char Char"/>
    <w:qFormat/>
    <w:uiPriority w:val="0"/>
    <w:rPr>
      <w:rFonts w:ascii="Calibri" w:hAnsi="Calibri" w:eastAsia="宋体" w:cs="Times New Roman"/>
      <w:sz w:val="24"/>
    </w:rPr>
  </w:style>
  <w:style w:type="character" w:customStyle="1" w:styleId="420">
    <w:name w:val="正文文本 Char3"/>
    <w:qFormat/>
    <w:uiPriority w:val="0"/>
    <w:rPr>
      <w:rFonts w:ascii="Times New Roman" w:hAnsi="Times New Roman" w:eastAsia="宋体" w:cs="Times New Roman"/>
      <w:sz w:val="20"/>
      <w:szCs w:val="20"/>
    </w:rPr>
  </w:style>
  <w:style w:type="character" w:customStyle="1" w:styleId="421">
    <w:name w:val="标题 2 Char1"/>
    <w:qFormat/>
    <w:uiPriority w:val="0"/>
    <w:rPr>
      <w:rFonts w:ascii="仿宋_GB2312" w:hAnsi="Calibri" w:eastAsia="仿宋_GB2312" w:cs="Times New Roman"/>
      <w:sz w:val="28"/>
    </w:rPr>
  </w:style>
  <w:style w:type="character" w:customStyle="1" w:styleId="422">
    <w:name w:val="批注引用111"/>
    <w:qFormat/>
    <w:uiPriority w:val="0"/>
    <w:rPr>
      <w:rFonts w:ascii="Calibri" w:hAnsi="Calibri" w:eastAsia="宋体" w:cs="Times New Roman"/>
      <w:sz w:val="21"/>
      <w:szCs w:val="21"/>
    </w:rPr>
  </w:style>
  <w:style w:type="character" w:customStyle="1" w:styleId="423">
    <w:name w:val="blue"/>
    <w:qFormat/>
    <w:uiPriority w:val="0"/>
    <w:rPr>
      <w:rFonts w:ascii="Calibri" w:hAnsi="Calibri" w:eastAsia="宋体" w:cs="Times New Roman"/>
    </w:rPr>
  </w:style>
  <w:style w:type="character" w:customStyle="1" w:styleId="424">
    <w:name w:val="段 Char Char"/>
    <w:qFormat/>
    <w:uiPriority w:val="0"/>
    <w:rPr>
      <w:rFonts w:ascii="宋体" w:hAnsi="Calibri" w:eastAsia="宋体" w:cs="Times New Roman"/>
      <w:lang w:val="en-US" w:eastAsia="zh-CN"/>
    </w:rPr>
  </w:style>
  <w:style w:type="character" w:customStyle="1" w:styleId="425">
    <w:name w:val="标题3 Char"/>
    <w:link w:val="426"/>
    <w:qFormat/>
    <w:uiPriority w:val="0"/>
    <w:rPr>
      <w:rFonts w:ascii="宋体" w:hAnsi="宋体" w:eastAsia="华文中宋" w:cs="Arial"/>
      <w:b/>
      <w:sz w:val="24"/>
      <w:szCs w:val="24"/>
    </w:rPr>
  </w:style>
  <w:style w:type="paragraph" w:customStyle="1" w:styleId="426">
    <w:name w:val="标题3"/>
    <w:basedOn w:val="1"/>
    <w:next w:val="1"/>
    <w:link w:val="425"/>
    <w:qFormat/>
    <w:uiPriority w:val="0"/>
    <w:pPr>
      <w:widowControl/>
      <w:jc w:val="left"/>
    </w:pPr>
    <w:rPr>
      <w:rFonts w:ascii="宋体" w:hAnsi="宋体" w:eastAsia="华文中宋" w:cs="Arial"/>
      <w:b/>
      <w:kern w:val="0"/>
      <w:sz w:val="24"/>
      <w:szCs w:val="24"/>
    </w:rPr>
  </w:style>
  <w:style w:type="character" w:customStyle="1" w:styleId="427">
    <w:name w:val="style17"/>
    <w:qFormat/>
    <w:uiPriority w:val="0"/>
    <w:rPr>
      <w:rFonts w:ascii="Calibri" w:hAnsi="Calibri" w:eastAsia="宋体" w:cs="Times New Roman"/>
    </w:rPr>
  </w:style>
  <w:style w:type="character" w:customStyle="1" w:styleId="428">
    <w:name w:val="g1"/>
    <w:qFormat/>
    <w:uiPriority w:val="0"/>
    <w:rPr>
      <w:rFonts w:ascii="Calibri" w:hAnsi="Calibri" w:eastAsia="宋体" w:cs="Times New Roman"/>
      <w:color w:val="008000"/>
    </w:rPr>
  </w:style>
  <w:style w:type="character" w:customStyle="1" w:styleId="429">
    <w:name w:val="Char Char9"/>
    <w:qFormat/>
    <w:uiPriority w:val="0"/>
    <w:rPr>
      <w:rFonts w:ascii="Calibri" w:hAnsi="Calibri" w:eastAsia="宋体" w:cs="Times New Roman"/>
      <w:b/>
      <w:kern w:val="44"/>
      <w:sz w:val="44"/>
    </w:rPr>
  </w:style>
  <w:style w:type="character" w:customStyle="1" w:styleId="430">
    <w:name w:val="页脚 Char3"/>
    <w:qFormat/>
    <w:uiPriority w:val="0"/>
    <w:rPr>
      <w:rFonts w:ascii="Times New Roman" w:hAnsi="Times New Roman" w:eastAsia="宋体" w:cs="Times New Roman"/>
      <w:sz w:val="20"/>
      <w:szCs w:val="20"/>
    </w:rPr>
  </w:style>
  <w:style w:type="character" w:customStyle="1" w:styleId="431">
    <w:name w:val="称呼 Char"/>
    <w:qFormat/>
    <w:uiPriority w:val="0"/>
    <w:rPr>
      <w:rFonts w:ascii="Times New Roman" w:hAnsi="Times New Roman" w:eastAsia="宋体" w:cs="Times New Roman"/>
      <w:kern w:val="2"/>
      <w:sz w:val="21"/>
      <w:szCs w:val="24"/>
    </w:rPr>
  </w:style>
  <w:style w:type="character" w:customStyle="1" w:styleId="432">
    <w:name w:val="●一级符号home Char Char1"/>
    <w:link w:val="433"/>
    <w:qFormat/>
    <w:uiPriority w:val="0"/>
    <w:rPr>
      <w:rFonts w:ascii="Verdana" w:hAnsi="Verdana"/>
      <w:sz w:val="21"/>
      <w:lang w:val="zh-CN"/>
    </w:rPr>
  </w:style>
  <w:style w:type="paragraph" w:customStyle="1" w:styleId="433">
    <w:name w:val="●一级符号home"/>
    <w:basedOn w:val="1"/>
    <w:link w:val="432"/>
    <w:qFormat/>
    <w:uiPriority w:val="0"/>
    <w:pPr>
      <w:tabs>
        <w:tab w:val="left" w:pos="901"/>
      </w:tabs>
      <w:spacing w:line="360" w:lineRule="auto"/>
    </w:pPr>
    <w:rPr>
      <w:rFonts w:ascii="Verdana" w:hAnsi="Verdana" w:eastAsia="宋体" w:cs="Times New Roman"/>
      <w:kern w:val="0"/>
      <w:szCs w:val="20"/>
      <w:lang w:val="zh-CN"/>
    </w:rPr>
  </w:style>
  <w:style w:type="character" w:customStyle="1" w:styleId="434">
    <w:name w:val="15"/>
    <w:qFormat/>
    <w:uiPriority w:val="0"/>
    <w:rPr>
      <w:rFonts w:hint="default" w:ascii="Calibri" w:hAnsi="Calibri" w:eastAsia="宋体" w:cs="Times New Roman"/>
      <w:sz w:val="18"/>
      <w:szCs w:val="18"/>
    </w:rPr>
  </w:style>
  <w:style w:type="character" w:customStyle="1" w:styleId="435">
    <w:name w:val="font81"/>
    <w:qFormat/>
    <w:uiPriority w:val="0"/>
    <w:rPr>
      <w:rFonts w:hint="default" w:ascii="Times New Roman" w:hAnsi="Times New Roman" w:eastAsia="宋体" w:cs="Times New Roman"/>
      <w:color w:val="000000"/>
      <w:sz w:val="18"/>
      <w:szCs w:val="18"/>
      <w:u w:val="none"/>
    </w:rPr>
  </w:style>
  <w:style w:type="character" w:customStyle="1" w:styleId="436">
    <w:name w:val="16"/>
    <w:qFormat/>
    <w:uiPriority w:val="0"/>
    <w:rPr>
      <w:rFonts w:hint="default" w:ascii="Calibri" w:hAnsi="Calibri" w:eastAsia="宋体" w:cs="Times New Roman"/>
      <w:sz w:val="21"/>
      <w:szCs w:val="21"/>
    </w:rPr>
  </w:style>
  <w:style w:type="character" w:customStyle="1" w:styleId="437">
    <w:name w:val="lf3"/>
    <w:qFormat/>
    <w:uiPriority w:val="0"/>
    <w:rPr>
      <w:rFonts w:ascii="Calibri" w:hAnsi="Calibri" w:eastAsia="宋体" w:cs="Times New Roman"/>
    </w:rPr>
  </w:style>
  <w:style w:type="character" w:customStyle="1" w:styleId="438">
    <w:name w:val="正文文本缩进 Char2"/>
    <w:qFormat/>
    <w:uiPriority w:val="0"/>
    <w:rPr>
      <w:rFonts w:ascii="Calibri" w:hAnsi="Calibri" w:eastAsia="宋体" w:cs="Times New Roman"/>
      <w:kern w:val="2"/>
      <w:sz w:val="21"/>
    </w:rPr>
  </w:style>
  <w:style w:type="character" w:customStyle="1" w:styleId="439">
    <w:name w:val="自定义正文 Char"/>
    <w:link w:val="440"/>
    <w:qFormat/>
    <w:uiPriority w:val="0"/>
    <w:rPr>
      <w:kern w:val="2"/>
      <w:sz w:val="24"/>
    </w:rPr>
  </w:style>
  <w:style w:type="paragraph" w:customStyle="1" w:styleId="440">
    <w:name w:val="自定义正文"/>
    <w:basedOn w:val="1"/>
    <w:link w:val="439"/>
    <w:qFormat/>
    <w:uiPriority w:val="0"/>
    <w:pPr>
      <w:spacing w:afterLines="50" w:line="360" w:lineRule="auto"/>
      <w:ind w:firstLine="200" w:firstLineChars="200"/>
      <w:jc w:val="left"/>
    </w:pPr>
    <w:rPr>
      <w:rFonts w:ascii="Times New Roman" w:hAnsi="Times New Roman" w:eastAsia="宋体" w:cs="Times New Roman"/>
      <w:sz w:val="24"/>
      <w:szCs w:val="20"/>
    </w:rPr>
  </w:style>
  <w:style w:type="character" w:customStyle="1" w:styleId="441">
    <w:name w:val="样式 黑体 二号"/>
    <w:qFormat/>
    <w:uiPriority w:val="0"/>
    <w:rPr>
      <w:rFonts w:ascii="Arial" w:hAnsi="Arial" w:eastAsia="黑体" w:cs="Times New Roman"/>
      <w:sz w:val="44"/>
    </w:rPr>
  </w:style>
  <w:style w:type="character" w:customStyle="1" w:styleId="442">
    <w:name w:val="标题 Char1"/>
    <w:qFormat/>
    <w:uiPriority w:val="0"/>
    <w:rPr>
      <w:rFonts w:ascii="Calibri" w:hAnsi="Calibri" w:eastAsia="黑体" w:cs="Times New Roman"/>
      <w:b/>
      <w:sz w:val="28"/>
    </w:rPr>
  </w:style>
  <w:style w:type="character" w:customStyle="1" w:styleId="443">
    <w:name w:val="textfont"/>
    <w:qFormat/>
    <w:uiPriority w:val="0"/>
    <w:rPr>
      <w:rFonts w:ascii="Calibri" w:hAnsi="Calibri" w:eastAsia="宋体" w:cs="Times New Roman"/>
    </w:rPr>
  </w:style>
  <w:style w:type="character" w:customStyle="1" w:styleId="444">
    <w:name w:val="r13"/>
    <w:qFormat/>
    <w:uiPriority w:val="0"/>
    <w:rPr>
      <w:rFonts w:ascii="Calibri" w:hAnsi="Calibri" w:eastAsia="宋体" w:cs="Times New Roman"/>
    </w:rPr>
  </w:style>
  <w:style w:type="character" w:customStyle="1" w:styleId="445">
    <w:name w:val="副标题 Char"/>
    <w:qFormat/>
    <w:uiPriority w:val="0"/>
    <w:rPr>
      <w:rFonts w:ascii="Cambria" w:hAnsi="Cambria" w:eastAsia="宋体" w:cs="Times New Roman"/>
      <w:b/>
      <w:bCs/>
      <w:kern w:val="28"/>
      <w:sz w:val="32"/>
      <w:szCs w:val="32"/>
    </w:rPr>
  </w:style>
  <w:style w:type="character" w:customStyle="1" w:styleId="446">
    <w:name w:val="style15"/>
    <w:qFormat/>
    <w:uiPriority w:val="0"/>
    <w:rPr>
      <w:rFonts w:ascii="Calibri" w:hAnsi="Calibri" w:eastAsia="宋体" w:cs="Times New Roman"/>
    </w:rPr>
  </w:style>
  <w:style w:type="character" w:customStyle="1" w:styleId="447">
    <w:name w:val="页眉 Char2"/>
    <w:qFormat/>
    <w:uiPriority w:val="0"/>
    <w:rPr>
      <w:rFonts w:ascii="Calibri" w:hAnsi="Calibri" w:eastAsia="宋体" w:cs="Times New Roman"/>
      <w:kern w:val="2"/>
      <w:sz w:val="18"/>
    </w:rPr>
  </w:style>
  <w:style w:type="character" w:customStyle="1" w:styleId="448">
    <w:name w:val="headline-content2"/>
    <w:qFormat/>
    <w:uiPriority w:val="0"/>
    <w:rPr>
      <w:rFonts w:ascii="Calibri" w:hAnsi="Calibri" w:eastAsia="宋体" w:cs="Times New Roman"/>
    </w:rPr>
  </w:style>
  <w:style w:type="character" w:customStyle="1" w:styleId="449">
    <w:name w:val="paramname"/>
    <w:qFormat/>
    <w:uiPriority w:val="0"/>
    <w:rPr>
      <w:rFonts w:ascii="Calibri" w:hAnsi="Calibri" w:eastAsia="宋体" w:cs="Times New Roman"/>
    </w:rPr>
  </w:style>
  <w:style w:type="character" w:customStyle="1" w:styleId="450">
    <w:name w:val="页眉 Char Char"/>
    <w:qFormat/>
    <w:uiPriority w:val="0"/>
    <w:rPr>
      <w:rFonts w:ascii="Calibri" w:hAnsi="Calibri" w:eastAsia="宋体" w:cs="Times New Roman"/>
      <w:kern w:val="2"/>
      <w:sz w:val="18"/>
      <w:lang w:val="en-US" w:eastAsia="zh-CN"/>
    </w:rPr>
  </w:style>
  <w:style w:type="character" w:customStyle="1" w:styleId="451">
    <w:name w:val="正文2 Char Char"/>
    <w:qFormat/>
    <w:uiPriority w:val="0"/>
    <w:rPr>
      <w:rFonts w:ascii="Calibri" w:hAnsi="Calibri" w:eastAsia="宋体" w:cs="Times New Roman"/>
      <w:sz w:val="24"/>
    </w:rPr>
  </w:style>
  <w:style w:type="character" w:customStyle="1" w:styleId="452">
    <w:name w:val="正文首行缩进 Char2"/>
    <w:qFormat/>
    <w:uiPriority w:val="0"/>
    <w:rPr>
      <w:rFonts w:ascii="Calibri" w:hAnsi="Calibri" w:eastAsia="宋体" w:cs="Times New Roman"/>
    </w:rPr>
  </w:style>
  <w:style w:type="paragraph" w:customStyle="1" w:styleId="453">
    <w:name w:val="z-Bottom of Form1"/>
    <w:basedOn w:val="1"/>
    <w:next w:val="1"/>
    <w:qFormat/>
    <w:uiPriority w:val="0"/>
    <w:pPr>
      <w:widowControl/>
      <w:pBdr>
        <w:top w:val="single" w:color="auto" w:sz="6" w:space="1"/>
      </w:pBdr>
      <w:jc w:val="center"/>
    </w:pPr>
    <w:rPr>
      <w:rFonts w:ascii="Arial" w:hAnsi="Arial" w:eastAsia="宋体" w:cs="Times New Roman"/>
      <w:vanish/>
      <w:kern w:val="0"/>
      <w:sz w:val="16"/>
      <w:szCs w:val="16"/>
    </w:rPr>
  </w:style>
  <w:style w:type="character" w:customStyle="1" w:styleId="454">
    <w:name w:val="批注引用10"/>
    <w:qFormat/>
    <w:uiPriority w:val="0"/>
    <w:rPr>
      <w:rFonts w:ascii="Calibri" w:hAnsi="Calibri" w:eastAsia="宋体" w:cs="Times New Roman"/>
      <w:sz w:val="21"/>
    </w:rPr>
  </w:style>
  <w:style w:type="character" w:customStyle="1" w:styleId="455">
    <w:name w:val="EmailStyle30"/>
    <w:qFormat/>
    <w:uiPriority w:val="0"/>
    <w:rPr>
      <w:rFonts w:ascii="Calibri" w:hAnsi="Calibri" w:eastAsia="宋体" w:cs="Times New Roman"/>
      <w:color w:val="000000"/>
    </w:rPr>
  </w:style>
  <w:style w:type="character" w:customStyle="1" w:styleId="456">
    <w:name w:val="批注引用5"/>
    <w:qFormat/>
    <w:uiPriority w:val="0"/>
    <w:rPr>
      <w:rFonts w:ascii="Calibri" w:hAnsi="Calibri" w:eastAsia="宋体" w:cs="Times New Roman"/>
      <w:sz w:val="21"/>
    </w:rPr>
  </w:style>
  <w:style w:type="character" w:customStyle="1" w:styleId="457">
    <w:name w:val="apple-style-span"/>
    <w:qFormat/>
    <w:uiPriority w:val="0"/>
    <w:rPr>
      <w:rFonts w:ascii="Calibri" w:hAnsi="Calibri" w:eastAsia="宋体" w:cs="Times New Roman"/>
    </w:rPr>
  </w:style>
  <w:style w:type="character" w:customStyle="1" w:styleId="458">
    <w:name w:val="无 A"/>
    <w:qFormat/>
    <w:uiPriority w:val="0"/>
    <w:rPr>
      <w:rFonts w:ascii="Calibri" w:hAnsi="Calibri" w:eastAsia="宋体" w:cs="Times New Roman"/>
      <w:lang w:val="en-US"/>
    </w:rPr>
  </w:style>
  <w:style w:type="character" w:customStyle="1" w:styleId="459">
    <w:name w:val="custbt1"/>
    <w:qFormat/>
    <w:uiPriority w:val="0"/>
    <w:rPr>
      <w:rFonts w:ascii="Calibri" w:hAnsi="Calibri" w:eastAsia="宋体" w:cs="Times New Roman"/>
      <w:color w:val="0066CC"/>
      <w:sz w:val="20"/>
    </w:rPr>
  </w:style>
  <w:style w:type="character" w:customStyle="1" w:styleId="460">
    <w:name w:val="日期 Char2"/>
    <w:qFormat/>
    <w:uiPriority w:val="0"/>
    <w:rPr>
      <w:rFonts w:ascii="Calibri" w:hAnsi="Calibri" w:eastAsia="宋体" w:cs="Times New Roman"/>
      <w:kern w:val="2"/>
      <w:sz w:val="21"/>
    </w:rPr>
  </w:style>
  <w:style w:type="character" w:customStyle="1" w:styleId="461">
    <w:name w:val="批注引用6"/>
    <w:qFormat/>
    <w:uiPriority w:val="0"/>
    <w:rPr>
      <w:rFonts w:ascii="Calibri" w:hAnsi="Calibri" w:eastAsia="宋体" w:cs="Times New Roman"/>
      <w:sz w:val="21"/>
    </w:rPr>
  </w:style>
  <w:style w:type="character" w:customStyle="1" w:styleId="462">
    <w:name w:val="font71"/>
    <w:qFormat/>
    <w:uiPriority w:val="0"/>
    <w:rPr>
      <w:rFonts w:hint="default" w:ascii="Times New Roman" w:hAnsi="Times New Roman" w:eastAsia="楷体_GB2312" w:cs="Times New Roman"/>
      <w:sz w:val="28"/>
      <w:szCs w:val="24"/>
    </w:rPr>
  </w:style>
  <w:style w:type="character" w:customStyle="1" w:styleId="463">
    <w:name w:val="正文首缩两字 Char1"/>
    <w:link w:val="464"/>
    <w:qFormat/>
    <w:uiPriority w:val="0"/>
    <w:rPr>
      <w:rFonts w:ascii="Verdana" w:hAnsi="Verdana"/>
      <w:sz w:val="24"/>
    </w:rPr>
  </w:style>
  <w:style w:type="paragraph" w:customStyle="1" w:styleId="464">
    <w:name w:val="正文首缩两字"/>
    <w:basedOn w:val="1"/>
    <w:link w:val="463"/>
    <w:qFormat/>
    <w:uiPriority w:val="0"/>
    <w:pPr>
      <w:spacing w:line="360" w:lineRule="auto"/>
      <w:ind w:firstLine="200" w:firstLineChars="200"/>
    </w:pPr>
    <w:rPr>
      <w:rFonts w:ascii="Verdana" w:hAnsi="Verdana" w:eastAsia="宋体" w:cs="Times New Roman"/>
      <w:kern w:val="0"/>
      <w:sz w:val="24"/>
      <w:szCs w:val="20"/>
    </w:rPr>
  </w:style>
  <w:style w:type="character" w:customStyle="1" w:styleId="465">
    <w:name w:val="ss"/>
    <w:qFormat/>
    <w:uiPriority w:val="0"/>
    <w:rPr>
      <w:rFonts w:ascii="Calibri" w:hAnsi="Calibri" w:eastAsia="宋体" w:cs="Times New Roman"/>
    </w:rPr>
  </w:style>
  <w:style w:type="character" w:customStyle="1" w:styleId="466">
    <w:name w:val="Char Char6"/>
    <w:qFormat/>
    <w:uiPriority w:val="0"/>
    <w:rPr>
      <w:rFonts w:ascii="Calibri" w:hAnsi="Calibri" w:eastAsia="宋体" w:cs="Times New Roman"/>
      <w:sz w:val="24"/>
    </w:rPr>
  </w:style>
  <w:style w:type="character" w:customStyle="1" w:styleId="467">
    <w:name w:val="批注文字 Char2"/>
    <w:qFormat/>
    <w:uiPriority w:val="0"/>
    <w:rPr>
      <w:rFonts w:ascii="Calibri" w:hAnsi="Calibri" w:eastAsia="宋体" w:cs="Times New Roman"/>
      <w:kern w:val="2"/>
      <w:sz w:val="21"/>
    </w:rPr>
  </w:style>
  <w:style w:type="character" w:customStyle="1" w:styleId="468">
    <w:name w:val="font_8"/>
    <w:qFormat/>
    <w:uiPriority w:val="0"/>
    <w:rPr>
      <w:rFonts w:ascii="Calibri" w:hAnsi="Calibri" w:eastAsia="宋体" w:cs="Times New Roman"/>
    </w:rPr>
  </w:style>
  <w:style w:type="character" w:customStyle="1" w:styleId="469">
    <w:name w:val="批注主题 Char2"/>
    <w:qFormat/>
    <w:uiPriority w:val="0"/>
    <w:rPr>
      <w:rFonts w:ascii="Calibri" w:hAnsi="Calibri" w:eastAsia="宋体" w:cs="Times New Roman"/>
      <w:b/>
      <w:kern w:val="2"/>
      <w:sz w:val="21"/>
    </w:rPr>
  </w:style>
  <w:style w:type="character" w:customStyle="1" w:styleId="470">
    <w:name w:val="Char Char Char Char Char"/>
    <w:qFormat/>
    <w:uiPriority w:val="0"/>
    <w:rPr>
      <w:rFonts w:ascii="宋体" w:hAnsi="Courier New" w:cs="Times New Roman"/>
    </w:rPr>
  </w:style>
  <w:style w:type="character" w:customStyle="1" w:styleId="471">
    <w:name w:val="一级条标题 Char"/>
    <w:link w:val="472"/>
    <w:qFormat/>
    <w:uiPriority w:val="0"/>
    <w:rPr>
      <w:rFonts w:ascii="黑体" w:eastAsia="黑体"/>
      <w:sz w:val="21"/>
    </w:rPr>
  </w:style>
  <w:style w:type="paragraph" w:customStyle="1" w:styleId="472">
    <w:name w:val="一级条标题"/>
    <w:basedOn w:val="1"/>
    <w:next w:val="396"/>
    <w:link w:val="471"/>
    <w:qFormat/>
    <w:uiPriority w:val="0"/>
    <w:pPr>
      <w:widowControl/>
      <w:tabs>
        <w:tab w:val="left" w:pos="1200"/>
      </w:tabs>
      <w:ind w:left="1200" w:hanging="420"/>
      <w:outlineLvl w:val="2"/>
    </w:pPr>
    <w:rPr>
      <w:rFonts w:ascii="黑体" w:hAnsi="Times New Roman" w:eastAsia="黑体" w:cs="Times New Roman"/>
      <w:kern w:val="0"/>
      <w:szCs w:val="20"/>
    </w:rPr>
  </w:style>
  <w:style w:type="character" w:customStyle="1" w:styleId="473">
    <w:name w:val="标题 Char3"/>
    <w:qFormat/>
    <w:uiPriority w:val="0"/>
    <w:rPr>
      <w:rFonts w:ascii="Cambria" w:hAnsi="Cambria" w:eastAsia="宋体" w:cs="黑体"/>
      <w:b/>
      <w:bCs/>
      <w:sz w:val="32"/>
      <w:szCs w:val="32"/>
    </w:rPr>
  </w:style>
  <w:style w:type="character" w:customStyle="1" w:styleId="474">
    <w:name w:val="List Paragraph Char Char"/>
    <w:qFormat/>
    <w:locked/>
    <w:uiPriority w:val="0"/>
    <w:rPr>
      <w:rFonts w:ascii="宋体" w:hAnsi="宋体" w:cs="Times New Roman"/>
      <w:kern w:val="2"/>
      <w:sz w:val="21"/>
      <w:szCs w:val="24"/>
    </w:rPr>
  </w:style>
  <w:style w:type="character" w:customStyle="1" w:styleId="475">
    <w:name w:val="wz1"/>
    <w:qFormat/>
    <w:uiPriority w:val="0"/>
    <w:rPr>
      <w:rFonts w:ascii="Calibri" w:hAnsi="Calibri" w:eastAsia="宋体" w:cs="Times New Roman"/>
      <w:color w:val="5A5A5A"/>
      <w:sz w:val="18"/>
      <w:u w:val="none"/>
    </w:rPr>
  </w:style>
  <w:style w:type="character" w:customStyle="1" w:styleId="476">
    <w:name w:val="aa1"/>
    <w:qFormat/>
    <w:uiPriority w:val="0"/>
    <w:rPr>
      <w:rFonts w:ascii="Calibri" w:hAnsi="Calibri" w:eastAsia="宋体" w:cs="Times New Roman"/>
      <w:sz w:val="20"/>
      <w:u w:val="none"/>
    </w:rPr>
  </w:style>
  <w:style w:type="character" w:customStyle="1" w:styleId="477">
    <w:name w:val="style14"/>
    <w:qFormat/>
    <w:uiPriority w:val="0"/>
    <w:rPr>
      <w:rFonts w:ascii="Calibri" w:hAnsi="Calibri" w:eastAsia="宋体" w:cs="Times New Roman"/>
    </w:rPr>
  </w:style>
  <w:style w:type="character" w:customStyle="1" w:styleId="478">
    <w:name w:val="正文首行缩进 Char1"/>
    <w:qFormat/>
    <w:uiPriority w:val="0"/>
    <w:rPr>
      <w:rFonts w:ascii="Calibri" w:hAnsi="Calibri" w:eastAsia="宋体" w:cs="Times New Roman"/>
      <w:kern w:val="2"/>
      <w:sz w:val="22"/>
      <w:lang w:val="en-US" w:eastAsia="zh-CN"/>
    </w:rPr>
  </w:style>
  <w:style w:type="character" w:customStyle="1" w:styleId="479">
    <w:name w:val="正文文本 2 Char2"/>
    <w:qFormat/>
    <w:uiPriority w:val="0"/>
    <w:rPr>
      <w:rFonts w:ascii="Calibri" w:hAnsi="Calibri" w:eastAsia="宋体" w:cs="Times New Roman"/>
      <w:kern w:val="2"/>
      <w:sz w:val="21"/>
    </w:rPr>
  </w:style>
  <w:style w:type="paragraph" w:customStyle="1" w:styleId="480">
    <w:name w:val="z-Top of Form1"/>
    <w:basedOn w:val="1"/>
    <w:next w:val="1"/>
    <w:qFormat/>
    <w:uiPriority w:val="0"/>
    <w:pPr>
      <w:widowControl/>
      <w:pBdr>
        <w:bottom w:val="single" w:color="auto" w:sz="6" w:space="1"/>
      </w:pBdr>
      <w:jc w:val="center"/>
    </w:pPr>
    <w:rPr>
      <w:rFonts w:ascii="Arial" w:hAnsi="Arial" w:eastAsia="宋体" w:cs="Times New Roman"/>
      <w:vanish/>
      <w:kern w:val="0"/>
      <w:sz w:val="16"/>
      <w:szCs w:val="16"/>
    </w:rPr>
  </w:style>
  <w:style w:type="character" w:customStyle="1" w:styleId="481">
    <w:name w:val="Char Char5"/>
    <w:qFormat/>
    <w:uiPriority w:val="0"/>
    <w:rPr>
      <w:rFonts w:ascii="Calibri" w:hAnsi="Calibri" w:eastAsia="宋体" w:cs="Times New Roman"/>
      <w:sz w:val="18"/>
    </w:rPr>
  </w:style>
  <w:style w:type="character" w:customStyle="1" w:styleId="482">
    <w:name w:val="正文2 Char Char Char"/>
    <w:qFormat/>
    <w:uiPriority w:val="0"/>
    <w:rPr>
      <w:rFonts w:ascii="Calibri" w:hAnsi="Calibri" w:eastAsia="宋体" w:cs="Times New Roman"/>
      <w:kern w:val="2"/>
      <w:sz w:val="24"/>
      <w:lang w:val="en-US" w:eastAsia="zh-CN"/>
    </w:rPr>
  </w:style>
  <w:style w:type="character" w:customStyle="1" w:styleId="483">
    <w:name w:val="标题 1 Char1"/>
    <w:qFormat/>
    <w:uiPriority w:val="0"/>
    <w:rPr>
      <w:rFonts w:ascii="仿宋_GB2312" w:hAnsi="Calibri" w:eastAsia="仿宋_GB2312" w:cs="Times New Roman"/>
      <w:b/>
      <w:color w:val="000000"/>
      <w:kern w:val="2"/>
      <w:sz w:val="36"/>
    </w:rPr>
  </w:style>
  <w:style w:type="character" w:customStyle="1" w:styleId="484">
    <w:name w:val="批注引用4"/>
    <w:qFormat/>
    <w:uiPriority w:val="0"/>
    <w:rPr>
      <w:rFonts w:ascii="Calibri" w:hAnsi="Calibri" w:eastAsia="宋体" w:cs="Times New Roman"/>
      <w:sz w:val="21"/>
    </w:rPr>
  </w:style>
  <w:style w:type="character" w:customStyle="1" w:styleId="485">
    <w:name w:val="style141"/>
    <w:qFormat/>
    <w:uiPriority w:val="0"/>
    <w:rPr>
      <w:rFonts w:ascii="Calibri" w:hAnsi="Calibri" w:eastAsia="宋体" w:cs="Times New Roman"/>
    </w:rPr>
  </w:style>
  <w:style w:type="character" w:customStyle="1" w:styleId="486">
    <w:name w:val="文档结构图 Char2"/>
    <w:qFormat/>
    <w:uiPriority w:val="0"/>
    <w:rPr>
      <w:rFonts w:ascii="宋体" w:hAnsi="Calibri" w:eastAsia="宋体" w:cs="Times New Roman"/>
      <w:kern w:val="2"/>
      <w:sz w:val="18"/>
    </w:rPr>
  </w:style>
  <w:style w:type="character" w:customStyle="1" w:styleId="487">
    <w:name w:val="批注框文本 Char2"/>
    <w:qFormat/>
    <w:uiPriority w:val="0"/>
    <w:rPr>
      <w:rFonts w:ascii="Calibri" w:hAnsi="Calibri" w:eastAsia="宋体" w:cs="Times New Roman"/>
      <w:kern w:val="2"/>
      <w:sz w:val="18"/>
    </w:rPr>
  </w:style>
  <w:style w:type="character" w:customStyle="1" w:styleId="488">
    <w:name w:val="font61"/>
    <w:basedOn w:val="70"/>
    <w:qFormat/>
    <w:uiPriority w:val="0"/>
    <w:rPr>
      <w:rFonts w:ascii="Arial" w:hAnsi="Arial" w:eastAsia="宋体" w:cs="Arial"/>
      <w:color w:val="000000"/>
      <w:sz w:val="20"/>
      <w:szCs w:val="20"/>
      <w:u w:val="none"/>
    </w:rPr>
  </w:style>
  <w:style w:type="character" w:customStyle="1" w:styleId="489">
    <w:name w:val="fontblank12"/>
    <w:qFormat/>
    <w:uiPriority w:val="0"/>
    <w:rPr>
      <w:rFonts w:ascii="Calibri" w:hAnsi="Calibri" w:eastAsia="宋体" w:cs="Times New Roman"/>
    </w:rPr>
  </w:style>
  <w:style w:type="character" w:customStyle="1" w:styleId="490">
    <w:name w:val="标题 9 Char1"/>
    <w:qFormat/>
    <w:uiPriority w:val="0"/>
    <w:rPr>
      <w:rFonts w:ascii="Arial" w:hAnsi="Arial" w:eastAsia="黑体" w:cs="Times New Roman"/>
      <w:kern w:val="2"/>
      <w:sz w:val="21"/>
    </w:rPr>
  </w:style>
  <w:style w:type="character" w:customStyle="1" w:styleId="491">
    <w:name w:val="high-light-bg4"/>
    <w:qFormat/>
    <w:uiPriority w:val="0"/>
    <w:rPr>
      <w:rFonts w:ascii="Calibri" w:hAnsi="Calibri" w:eastAsia="宋体" w:cs="Times New Roman"/>
    </w:rPr>
  </w:style>
  <w:style w:type="character" w:customStyle="1" w:styleId="492">
    <w:name w:val="正文文本 3 Char2"/>
    <w:qFormat/>
    <w:uiPriority w:val="0"/>
    <w:rPr>
      <w:rFonts w:ascii="Calibri" w:hAnsi="Calibri" w:eastAsia="宋体" w:cs="Times New Roman"/>
      <w:kern w:val="2"/>
      <w:sz w:val="16"/>
    </w:rPr>
  </w:style>
  <w:style w:type="character" w:customStyle="1" w:styleId="493">
    <w:name w:val="正文缩进 Char1"/>
    <w:qFormat/>
    <w:uiPriority w:val="0"/>
    <w:rPr>
      <w:rFonts w:ascii="Calibri" w:hAnsi="Calibri" w:eastAsia="宋体" w:cs="Times New Roman"/>
      <w:kern w:val="2"/>
      <w:sz w:val="21"/>
    </w:rPr>
  </w:style>
  <w:style w:type="character" w:customStyle="1" w:styleId="494">
    <w:name w:val="批注引用1"/>
    <w:qFormat/>
    <w:uiPriority w:val="0"/>
    <w:rPr>
      <w:rFonts w:ascii="Calibri" w:hAnsi="Calibri" w:eastAsia="宋体" w:cs="Times New Roman"/>
      <w:sz w:val="21"/>
      <w:szCs w:val="21"/>
    </w:rPr>
  </w:style>
  <w:style w:type="character" w:customStyle="1" w:styleId="495">
    <w:name w:val="正文文本 2 Char"/>
    <w:qFormat/>
    <w:uiPriority w:val="0"/>
    <w:rPr>
      <w:rFonts w:ascii="Times New Roman" w:hAnsi="Times New Roman" w:eastAsia="宋体" w:cs="Times New Roman"/>
      <w:kern w:val="2"/>
      <w:sz w:val="21"/>
      <w:szCs w:val="24"/>
    </w:rPr>
  </w:style>
  <w:style w:type="character" w:customStyle="1" w:styleId="496">
    <w:name w:val="Table Text Char Char"/>
    <w:link w:val="497"/>
    <w:qFormat/>
    <w:uiPriority w:val="0"/>
    <w:rPr>
      <w:rFonts w:ascii="Arial" w:hAnsi="Arial"/>
      <w:sz w:val="18"/>
    </w:rPr>
  </w:style>
  <w:style w:type="paragraph" w:customStyle="1" w:styleId="497">
    <w:name w:val="Table Text"/>
    <w:link w:val="496"/>
    <w:qFormat/>
    <w:uiPriority w:val="0"/>
    <w:pPr>
      <w:snapToGrid w:val="0"/>
      <w:spacing w:before="80" w:after="80"/>
    </w:pPr>
    <w:rPr>
      <w:rFonts w:ascii="Arial" w:hAnsi="Arial" w:eastAsia="宋体" w:cs="Times New Roman"/>
      <w:sz w:val="18"/>
      <w:lang w:val="en-US" w:eastAsia="zh-CN" w:bidi="ar-SA"/>
    </w:rPr>
  </w:style>
  <w:style w:type="character" w:customStyle="1" w:styleId="498">
    <w:name w:val="批注文字 Char3"/>
    <w:qFormat/>
    <w:uiPriority w:val="0"/>
    <w:rPr>
      <w:rFonts w:ascii="Times New Roman" w:hAnsi="Times New Roman" w:eastAsia="宋体" w:cs="Times New Roman"/>
      <w:sz w:val="20"/>
      <w:szCs w:val="20"/>
    </w:rPr>
  </w:style>
  <w:style w:type="character" w:customStyle="1" w:styleId="499">
    <w:name w:val="普通文字 Char2"/>
    <w:qFormat/>
    <w:uiPriority w:val="0"/>
    <w:rPr>
      <w:rFonts w:ascii="宋体" w:hAnsi="Courier New" w:eastAsia="宋体" w:cs="Times New Roman"/>
      <w:kern w:val="2"/>
      <w:sz w:val="21"/>
      <w:lang w:val="en-US" w:eastAsia="zh-CN"/>
    </w:rPr>
  </w:style>
  <w:style w:type="character" w:customStyle="1" w:styleId="500">
    <w:name w:val="正文文本 3 Char"/>
    <w:qFormat/>
    <w:uiPriority w:val="0"/>
    <w:rPr>
      <w:rFonts w:ascii="Times New Roman" w:hAnsi="Times New Roman" w:eastAsia="宋体" w:cs="Times New Roman"/>
      <w:kern w:val="2"/>
      <w:sz w:val="16"/>
      <w:szCs w:val="16"/>
    </w:rPr>
  </w:style>
  <w:style w:type="character" w:customStyle="1" w:styleId="501">
    <w:name w:val="HTML 预设格式 Char"/>
    <w:qFormat/>
    <w:uiPriority w:val="0"/>
    <w:rPr>
      <w:rFonts w:ascii="Courier New" w:hAnsi="Courier New" w:eastAsia="宋体" w:cs="Courier New"/>
      <w:kern w:val="2"/>
    </w:rPr>
  </w:style>
  <w:style w:type="character" w:customStyle="1" w:styleId="502">
    <w:name w:val="页眉 Char1"/>
    <w:qFormat/>
    <w:uiPriority w:val="0"/>
    <w:rPr>
      <w:rFonts w:ascii="Calibri" w:hAnsi="Calibri" w:eastAsia="宋体" w:cs="Times New Roman"/>
      <w:kern w:val="2"/>
      <w:sz w:val="18"/>
    </w:rPr>
  </w:style>
  <w:style w:type="character" w:customStyle="1" w:styleId="503">
    <w:name w:val="标题 8 Char1"/>
    <w:qFormat/>
    <w:uiPriority w:val="0"/>
    <w:rPr>
      <w:rFonts w:ascii="Arial" w:hAnsi="Arial" w:eastAsia="黑体" w:cs="Times New Roman"/>
      <w:kern w:val="2"/>
      <w:sz w:val="24"/>
    </w:rPr>
  </w:style>
  <w:style w:type="character" w:customStyle="1" w:styleId="504">
    <w:name w:val="Char Char8"/>
    <w:qFormat/>
    <w:uiPriority w:val="0"/>
    <w:rPr>
      <w:rFonts w:ascii="Calibri" w:hAnsi="Calibri" w:eastAsia="仿宋_GB2312" w:cs="Times New Roman"/>
      <w:b/>
      <w:kern w:val="2"/>
      <w:sz w:val="32"/>
    </w:rPr>
  </w:style>
  <w:style w:type="character" w:customStyle="1" w:styleId="505">
    <w:name w:val="正文文本缩进 3 Char2"/>
    <w:qFormat/>
    <w:uiPriority w:val="0"/>
    <w:rPr>
      <w:rFonts w:ascii="Calibri" w:hAnsi="Calibri" w:eastAsia="宋体" w:cs="Times New Roman"/>
      <w:kern w:val="2"/>
      <w:sz w:val="16"/>
    </w:rPr>
  </w:style>
  <w:style w:type="character" w:customStyle="1" w:styleId="506">
    <w:name w:val="◆ 二级符号end Char Char"/>
    <w:link w:val="507"/>
    <w:qFormat/>
    <w:uiPriority w:val="0"/>
    <w:rPr>
      <w:rFonts w:ascii="Verdana" w:hAnsi="Verdana"/>
      <w:sz w:val="24"/>
    </w:rPr>
  </w:style>
  <w:style w:type="paragraph" w:customStyle="1" w:styleId="507">
    <w:name w:val="◆ 二级符号end"/>
    <w:basedOn w:val="1"/>
    <w:link w:val="506"/>
    <w:qFormat/>
    <w:uiPriority w:val="0"/>
    <w:pPr>
      <w:tabs>
        <w:tab w:val="left" w:pos="1320"/>
      </w:tabs>
      <w:spacing w:line="360" w:lineRule="auto"/>
      <w:ind w:left="1320" w:hanging="420"/>
    </w:pPr>
    <w:rPr>
      <w:rFonts w:ascii="Verdana" w:hAnsi="Verdana" w:eastAsia="宋体" w:cs="Times New Roman"/>
      <w:kern w:val="0"/>
      <w:sz w:val="24"/>
      <w:szCs w:val="20"/>
    </w:rPr>
  </w:style>
  <w:style w:type="character" w:customStyle="1" w:styleId="508">
    <w:name w:val="正文文本 Char2"/>
    <w:qFormat/>
    <w:uiPriority w:val="0"/>
    <w:rPr>
      <w:rFonts w:ascii="Calibri" w:hAnsi="Calibri" w:eastAsia="宋体" w:cs="Times New Roman"/>
      <w:kern w:val="2"/>
      <w:sz w:val="21"/>
    </w:rPr>
  </w:style>
  <w:style w:type="character" w:customStyle="1" w:styleId="509">
    <w:name w:val="批注引用11"/>
    <w:qFormat/>
    <w:uiPriority w:val="0"/>
    <w:rPr>
      <w:rFonts w:ascii="Calibri" w:hAnsi="Calibri" w:eastAsia="宋体" w:cs="Times New Roman"/>
      <w:sz w:val="21"/>
    </w:rPr>
  </w:style>
  <w:style w:type="character" w:customStyle="1" w:styleId="510">
    <w:name w:val="标题 5 Char1"/>
    <w:qFormat/>
    <w:uiPriority w:val="0"/>
    <w:rPr>
      <w:rFonts w:ascii="Calibri" w:hAnsi="Calibri" w:eastAsia="宋体" w:cs="Times New Roman"/>
      <w:b/>
      <w:kern w:val="2"/>
      <w:sz w:val="28"/>
    </w:rPr>
  </w:style>
  <w:style w:type="character" w:customStyle="1" w:styleId="511">
    <w:name w:val="批注引用9"/>
    <w:qFormat/>
    <w:uiPriority w:val="0"/>
    <w:rPr>
      <w:rFonts w:ascii="Calibri" w:hAnsi="Calibri" w:eastAsia="宋体" w:cs="Times New Roman"/>
      <w:sz w:val="21"/>
    </w:rPr>
  </w:style>
  <w:style w:type="character" w:customStyle="1" w:styleId="512">
    <w:name w:val="标题 7 Char1"/>
    <w:qFormat/>
    <w:uiPriority w:val="0"/>
    <w:rPr>
      <w:rFonts w:ascii="Calibri" w:hAnsi="Calibri" w:eastAsia="宋体" w:cs="Times New Roman"/>
      <w:b/>
      <w:kern w:val="2"/>
      <w:sz w:val="24"/>
    </w:rPr>
  </w:style>
  <w:style w:type="character" w:customStyle="1" w:styleId="513">
    <w:name w:val="SANGFOR_6_正文 Char"/>
    <w:link w:val="514"/>
    <w:qFormat/>
    <w:uiPriority w:val="0"/>
    <w:rPr>
      <w:rFonts w:ascii="宋体" w:hAnsi="宋体"/>
      <w:sz w:val="28"/>
      <w:szCs w:val="28"/>
    </w:rPr>
  </w:style>
  <w:style w:type="paragraph" w:customStyle="1" w:styleId="514">
    <w:name w:val="SANGFOR_6_正文"/>
    <w:basedOn w:val="1"/>
    <w:link w:val="513"/>
    <w:qFormat/>
    <w:uiPriority w:val="0"/>
    <w:pPr>
      <w:spacing w:line="360" w:lineRule="auto"/>
      <w:ind w:left="420"/>
      <w:jc w:val="left"/>
    </w:pPr>
    <w:rPr>
      <w:rFonts w:ascii="宋体" w:hAnsi="宋体" w:eastAsia="宋体" w:cs="Times New Roman"/>
      <w:kern w:val="0"/>
      <w:sz w:val="28"/>
      <w:szCs w:val="28"/>
    </w:rPr>
  </w:style>
  <w:style w:type="character" w:customStyle="1" w:styleId="515">
    <w:name w:val="标题 3 Char1"/>
    <w:qFormat/>
    <w:uiPriority w:val="0"/>
    <w:rPr>
      <w:rFonts w:ascii="Calibri" w:hAnsi="Calibri" w:eastAsia="宋体" w:cs="Times New Roman"/>
      <w:b/>
      <w:kern w:val="2"/>
      <w:sz w:val="32"/>
    </w:rPr>
  </w:style>
  <w:style w:type="character" w:customStyle="1" w:styleId="516">
    <w:name w:val="页脚 Char1"/>
    <w:qFormat/>
    <w:uiPriority w:val="0"/>
    <w:rPr>
      <w:rFonts w:ascii="Calibri" w:hAnsi="Calibri" w:eastAsia="宋体" w:cs="Times New Roman"/>
      <w:kern w:val="2"/>
      <w:sz w:val="18"/>
    </w:rPr>
  </w:style>
  <w:style w:type="character" w:customStyle="1" w:styleId="517">
    <w:name w:val="页脚 Char2"/>
    <w:qFormat/>
    <w:uiPriority w:val="0"/>
    <w:rPr>
      <w:rFonts w:ascii="Calibri" w:hAnsi="Calibri" w:eastAsia="宋体" w:cs="Times New Roman"/>
      <w:kern w:val="2"/>
      <w:sz w:val="18"/>
    </w:rPr>
  </w:style>
  <w:style w:type="character" w:customStyle="1" w:styleId="518">
    <w:name w:val="正文1 Char"/>
    <w:link w:val="171"/>
    <w:qFormat/>
    <w:uiPriority w:val="0"/>
    <w:rPr>
      <w:rFonts w:ascii="Calibri" w:hAnsi="Calibri" w:cs="Calibri"/>
      <w:kern w:val="2"/>
      <w:sz w:val="21"/>
      <w:szCs w:val="21"/>
    </w:rPr>
  </w:style>
  <w:style w:type="character" w:customStyle="1" w:styleId="519">
    <w:name w:val="批注引用2"/>
    <w:qFormat/>
    <w:uiPriority w:val="0"/>
    <w:rPr>
      <w:rFonts w:ascii="Calibri" w:hAnsi="Calibri" w:eastAsia="宋体" w:cs="Times New Roman"/>
      <w:sz w:val="21"/>
    </w:rPr>
  </w:style>
  <w:style w:type="character" w:customStyle="1" w:styleId="520">
    <w:name w:val="标题 Char2"/>
    <w:qFormat/>
    <w:uiPriority w:val="0"/>
    <w:rPr>
      <w:rFonts w:ascii="Cambria" w:hAnsi="Cambria" w:eastAsia="宋体" w:cs="Times New Roman"/>
      <w:b/>
      <w:kern w:val="2"/>
      <w:sz w:val="32"/>
    </w:rPr>
  </w:style>
  <w:style w:type="character" w:customStyle="1" w:styleId="521">
    <w:name w:val="c1"/>
    <w:qFormat/>
    <w:uiPriority w:val="0"/>
    <w:rPr>
      <w:rFonts w:ascii="Calibri" w:hAnsi="Calibri" w:eastAsia="宋体" w:cs="Times New Roman"/>
      <w:sz w:val="24"/>
    </w:rPr>
  </w:style>
  <w:style w:type="character" w:customStyle="1" w:styleId="522">
    <w:name w:val="font121"/>
    <w:qFormat/>
    <w:uiPriority w:val="0"/>
    <w:rPr>
      <w:rFonts w:hint="default" w:ascii="???" w:hAnsi="???" w:eastAsia="宋体" w:cs="Times New Roman"/>
      <w:color w:val="333333"/>
      <w:sz w:val="18"/>
      <w:szCs w:val="18"/>
      <w:u w:val="none"/>
    </w:rPr>
  </w:style>
  <w:style w:type="character" w:customStyle="1" w:styleId="523">
    <w:name w:val="标准文本 Char Char"/>
    <w:link w:val="524"/>
    <w:qFormat/>
    <w:uiPriority w:val="0"/>
  </w:style>
  <w:style w:type="paragraph" w:customStyle="1" w:styleId="524">
    <w:name w:val="标准文本"/>
    <w:basedOn w:val="1"/>
    <w:link w:val="523"/>
    <w:qFormat/>
    <w:uiPriority w:val="0"/>
    <w:pPr>
      <w:spacing w:line="360" w:lineRule="auto"/>
      <w:ind w:firstLine="480" w:firstLineChars="200"/>
    </w:pPr>
    <w:rPr>
      <w:rFonts w:ascii="Times New Roman" w:hAnsi="Times New Roman" w:eastAsia="宋体" w:cs="Times New Roman"/>
      <w:kern w:val="0"/>
      <w:sz w:val="20"/>
      <w:szCs w:val="20"/>
    </w:rPr>
  </w:style>
  <w:style w:type="character" w:customStyle="1" w:styleId="525">
    <w:name w:val="尾注文本 Char"/>
    <w:qFormat/>
    <w:uiPriority w:val="0"/>
    <w:rPr>
      <w:rFonts w:ascii="Times New Roman" w:hAnsi="Times New Roman" w:eastAsia="宋体" w:cs="Times New Roman"/>
      <w:kern w:val="2"/>
      <w:sz w:val="21"/>
      <w:szCs w:val="24"/>
    </w:rPr>
  </w:style>
  <w:style w:type="character" w:customStyle="1" w:styleId="526">
    <w:name w:val="标题 4 Char1"/>
    <w:qFormat/>
    <w:uiPriority w:val="0"/>
    <w:rPr>
      <w:rFonts w:ascii="Arial" w:hAnsi="Arial" w:eastAsia="黑体" w:cs="Times New Roman"/>
      <w:b/>
      <w:kern w:val="2"/>
      <w:sz w:val="28"/>
    </w:rPr>
  </w:style>
  <w:style w:type="character" w:customStyle="1" w:styleId="527">
    <w:name w:val="批注文字 Char4"/>
    <w:qFormat/>
    <w:uiPriority w:val="0"/>
    <w:rPr>
      <w:rFonts w:ascii="Times New Roman" w:hAnsi="Times New Roman" w:eastAsia="宋体" w:cs="Times New Roman"/>
      <w:szCs w:val="20"/>
    </w:rPr>
  </w:style>
  <w:style w:type="character" w:customStyle="1" w:styleId="528">
    <w:name w:val="批注引用8"/>
    <w:qFormat/>
    <w:uiPriority w:val="0"/>
    <w:rPr>
      <w:rFonts w:ascii="Calibri" w:hAnsi="Calibri" w:eastAsia="宋体" w:cs="Times New Roman"/>
      <w:sz w:val="21"/>
    </w:rPr>
  </w:style>
  <w:style w:type="character" w:customStyle="1" w:styleId="529">
    <w:name w:val="彩色列表 - 强调文字颜色 1 Char"/>
    <w:link w:val="192"/>
    <w:qFormat/>
    <w:uiPriority w:val="0"/>
    <w:rPr>
      <w:rFonts w:ascii="Calibri" w:hAnsi="Calibri"/>
      <w:kern w:val="2"/>
      <w:sz w:val="21"/>
      <w:szCs w:val="22"/>
    </w:rPr>
  </w:style>
  <w:style w:type="character" w:customStyle="1" w:styleId="530">
    <w:name w:val="DH 正文 Char"/>
    <w:link w:val="531"/>
    <w:qFormat/>
    <w:uiPriority w:val="0"/>
    <w:rPr>
      <w:rFonts w:ascii="宋体"/>
      <w:kern w:val="2"/>
      <w:sz w:val="24"/>
      <w:szCs w:val="24"/>
    </w:rPr>
  </w:style>
  <w:style w:type="paragraph" w:customStyle="1" w:styleId="531">
    <w:name w:val="DH 正文"/>
    <w:basedOn w:val="1"/>
    <w:link w:val="530"/>
    <w:qFormat/>
    <w:uiPriority w:val="0"/>
    <w:pPr>
      <w:spacing w:line="360" w:lineRule="auto"/>
      <w:ind w:firstLine="200" w:firstLineChars="200"/>
    </w:pPr>
    <w:rPr>
      <w:rFonts w:ascii="宋体" w:hAnsi="Times New Roman" w:eastAsia="宋体" w:cs="Times New Roman"/>
      <w:sz w:val="24"/>
      <w:szCs w:val="24"/>
    </w:rPr>
  </w:style>
  <w:style w:type="character" w:customStyle="1" w:styleId="532">
    <w:name w:val="unnamed21"/>
    <w:qFormat/>
    <w:uiPriority w:val="0"/>
    <w:rPr>
      <w:rFonts w:ascii="Calibri" w:hAnsi="Calibri" w:eastAsia="宋体" w:cs="Times New Roman"/>
      <w:color w:val="000000"/>
      <w:sz w:val="20"/>
    </w:rPr>
  </w:style>
  <w:style w:type="character" w:customStyle="1" w:styleId="533">
    <w:name w:val="news1"/>
    <w:qFormat/>
    <w:uiPriority w:val="0"/>
    <w:rPr>
      <w:rFonts w:ascii="Calibri" w:hAnsi="Calibri" w:eastAsia="宋体" w:cs="Times New Roman"/>
      <w:color w:val="4D4D4D"/>
      <w:sz w:val="18"/>
    </w:rPr>
  </w:style>
  <w:style w:type="character" w:customStyle="1" w:styleId="534">
    <w:name w:val="批注引用7"/>
    <w:qFormat/>
    <w:uiPriority w:val="0"/>
    <w:rPr>
      <w:rFonts w:ascii="Calibri" w:hAnsi="Calibri" w:eastAsia="宋体" w:cs="Times New Roman"/>
      <w:sz w:val="21"/>
    </w:rPr>
  </w:style>
  <w:style w:type="character" w:customStyle="1" w:styleId="535">
    <w:name w:val="line1"/>
    <w:qFormat/>
    <w:uiPriority w:val="0"/>
    <w:rPr>
      <w:rFonts w:ascii="Calibri" w:hAnsi="Calibri" w:eastAsia="宋体" w:cs="Times New Roman"/>
    </w:rPr>
  </w:style>
  <w:style w:type="character" w:customStyle="1" w:styleId="536">
    <w:name w:val="Char Char4"/>
    <w:qFormat/>
    <w:uiPriority w:val="0"/>
    <w:rPr>
      <w:rFonts w:ascii="Calibri" w:hAnsi="Calibri" w:eastAsia="宋体" w:cs="Times New Roman"/>
      <w:sz w:val="18"/>
    </w:rPr>
  </w:style>
  <w:style w:type="character" w:customStyle="1" w:styleId="537">
    <w:name w:val="批注引用3"/>
    <w:qFormat/>
    <w:uiPriority w:val="0"/>
    <w:rPr>
      <w:rFonts w:ascii="Calibri" w:hAnsi="Calibri" w:eastAsia="宋体" w:cs="Times New Roman"/>
      <w:sz w:val="21"/>
      <w:szCs w:val="21"/>
    </w:rPr>
  </w:style>
  <w:style w:type="character" w:customStyle="1" w:styleId="538">
    <w:name w:val="样式 8 磅"/>
    <w:qFormat/>
    <w:uiPriority w:val="0"/>
    <w:rPr>
      <w:rFonts w:ascii="Calibri" w:hAnsi="Calibri" w:eastAsia="宋体" w:cs="Times New Roman"/>
      <w:sz w:val="18"/>
    </w:rPr>
  </w:style>
  <w:style w:type="paragraph" w:customStyle="1" w:styleId="539">
    <w:name w:val="Char Char1 Char Char Char Char Char Char Char"/>
    <w:basedOn w:val="1"/>
    <w:qFormat/>
    <w:uiPriority w:val="0"/>
    <w:rPr>
      <w:rFonts w:ascii="Calibri" w:hAnsi="Calibri" w:eastAsia="宋体" w:cs="Times New Roman"/>
      <w:szCs w:val="24"/>
    </w:rPr>
  </w:style>
  <w:style w:type="paragraph" w:customStyle="1" w:styleId="540">
    <w:name w:val="默认段落字体 Para Char Char Char Char"/>
    <w:basedOn w:val="1"/>
    <w:qFormat/>
    <w:uiPriority w:val="0"/>
    <w:pPr>
      <w:widowControl/>
      <w:jc w:val="left"/>
    </w:pPr>
    <w:rPr>
      <w:rFonts w:ascii="Calibri" w:hAnsi="Calibri" w:eastAsia="宋体" w:cs="Times New Roman"/>
      <w:szCs w:val="24"/>
    </w:rPr>
  </w:style>
  <w:style w:type="paragraph" w:customStyle="1" w:styleId="541">
    <w:name w:val="xl60"/>
    <w:basedOn w:val="1"/>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542">
    <w:name w:val="Char Char Char Char Char Char Char Char Char1 Char"/>
    <w:basedOn w:val="1"/>
    <w:qFormat/>
    <w:uiPriority w:val="0"/>
    <w:pPr>
      <w:widowControl/>
      <w:jc w:val="left"/>
    </w:pPr>
    <w:rPr>
      <w:rFonts w:ascii="仿宋_GB2312" w:hAnsi="Calibri" w:eastAsia="仿宋_GB2312" w:cs="Times New Roman"/>
      <w:b/>
      <w:sz w:val="32"/>
      <w:szCs w:val="32"/>
    </w:rPr>
  </w:style>
  <w:style w:type="paragraph" w:customStyle="1" w:styleId="543">
    <w:name w:val="普通(网站)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44">
    <w:name w:val="L正文"/>
    <w:basedOn w:val="1"/>
    <w:qFormat/>
    <w:uiPriority w:val="0"/>
    <w:pPr>
      <w:spacing w:afterLines="50"/>
      <w:ind w:left="160" w:leftChars="160" w:firstLine="200" w:firstLineChars="200"/>
    </w:pPr>
    <w:rPr>
      <w:rFonts w:ascii="Calibri" w:hAnsi="Calibri" w:eastAsia="宋体" w:cs="Times New Roman"/>
      <w:b/>
      <w:szCs w:val="24"/>
    </w:rPr>
  </w:style>
  <w:style w:type="paragraph" w:customStyle="1" w:styleId="545">
    <w:name w:val="xl3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546">
    <w:name w:val="需求正文"/>
    <w:basedOn w:val="1"/>
    <w:qFormat/>
    <w:uiPriority w:val="0"/>
    <w:pPr>
      <w:widowControl/>
      <w:spacing w:line="300" w:lineRule="auto"/>
      <w:ind w:firstLine="560" w:firstLineChars="200"/>
      <w:jc w:val="left"/>
    </w:pPr>
    <w:rPr>
      <w:rFonts w:ascii="Arial" w:hAnsi="Arial" w:eastAsia="仿宋_GB2312" w:cs="Times New Roman"/>
      <w:sz w:val="28"/>
      <w:szCs w:val="20"/>
    </w:rPr>
  </w:style>
  <w:style w:type="paragraph" w:customStyle="1" w:styleId="547">
    <w:name w:val="列出段落3"/>
    <w:basedOn w:val="1"/>
    <w:qFormat/>
    <w:uiPriority w:val="0"/>
    <w:pPr>
      <w:ind w:firstLine="420" w:firstLineChars="200"/>
    </w:pPr>
    <w:rPr>
      <w:rFonts w:ascii="Cambria" w:hAnsi="Cambria" w:eastAsia="宋体" w:cs="Times New Roman"/>
      <w:sz w:val="24"/>
      <w:szCs w:val="24"/>
    </w:rPr>
  </w:style>
  <w:style w:type="paragraph" w:customStyle="1" w:styleId="548">
    <w:name w:val="Char1"/>
    <w:basedOn w:val="1"/>
    <w:qFormat/>
    <w:uiPriority w:val="0"/>
    <w:pPr>
      <w:widowControl/>
      <w:jc w:val="left"/>
    </w:pPr>
    <w:rPr>
      <w:rFonts w:ascii="仿宋_GB2312" w:hAnsi="Calibri" w:eastAsia="仿宋_GB2312" w:cs="Times New Roman"/>
      <w:b/>
      <w:sz w:val="32"/>
      <w:szCs w:val="20"/>
    </w:rPr>
  </w:style>
  <w:style w:type="paragraph" w:customStyle="1" w:styleId="549">
    <w:name w:val="样式 宋体 小四 黑色 行距: 1.5 倍行距1"/>
    <w:basedOn w:val="1"/>
    <w:qFormat/>
    <w:uiPriority w:val="0"/>
    <w:pPr>
      <w:spacing w:line="360" w:lineRule="auto"/>
      <w:ind w:firstLine="480" w:firstLineChars="200"/>
    </w:pPr>
    <w:rPr>
      <w:rFonts w:ascii="宋体" w:hAnsi="宋体" w:eastAsia="宋体" w:cs="宋体"/>
      <w:color w:val="000000"/>
      <w:kern w:val="0"/>
      <w:szCs w:val="20"/>
    </w:rPr>
  </w:style>
  <w:style w:type="paragraph" w:customStyle="1" w:styleId="550">
    <w:name w:val="p1"/>
    <w:basedOn w:val="1"/>
    <w:qFormat/>
    <w:uiPriority w:val="0"/>
    <w:pPr>
      <w:widowControl/>
      <w:jc w:val="left"/>
    </w:pPr>
    <w:rPr>
      <w:rFonts w:ascii="Helvetica" w:hAnsi="Helvetica" w:eastAsia="等线" w:cs="Times New Roman"/>
      <w:kern w:val="0"/>
      <w:sz w:val="16"/>
      <w:szCs w:val="16"/>
    </w:rPr>
  </w:style>
  <w:style w:type="paragraph" w:customStyle="1" w:styleId="551">
    <w:name w:val="方案正文"/>
    <w:basedOn w:val="1"/>
    <w:qFormat/>
    <w:uiPriority w:val="0"/>
    <w:pPr>
      <w:widowControl/>
      <w:autoSpaceDE w:val="0"/>
      <w:autoSpaceDN w:val="0"/>
      <w:adjustRightInd w:val="0"/>
      <w:snapToGrid w:val="0"/>
      <w:spacing w:line="500" w:lineRule="atLeast"/>
      <w:ind w:firstLine="561"/>
      <w:jc w:val="left"/>
    </w:pPr>
    <w:rPr>
      <w:rFonts w:ascii="仿宋_GB2312" w:hAnsi="Calibri" w:eastAsia="仿宋_GB2312" w:cs="Times New Roman"/>
      <w:kern w:val="0"/>
      <w:sz w:val="28"/>
      <w:szCs w:val="20"/>
    </w:rPr>
  </w:style>
  <w:style w:type="paragraph" w:customStyle="1" w:styleId="55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53">
    <w:name w:val="正文缩进2格"/>
    <w:basedOn w:val="1"/>
    <w:qFormat/>
    <w:uiPriority w:val="0"/>
    <w:pPr>
      <w:autoSpaceDE w:val="0"/>
      <w:autoSpaceDN w:val="0"/>
      <w:adjustRightInd w:val="0"/>
      <w:spacing w:line="600" w:lineRule="exact"/>
      <w:ind w:firstLine="639" w:firstLineChars="206"/>
    </w:pPr>
    <w:rPr>
      <w:rFonts w:ascii="仿宋_GB2312" w:hAnsi="宋体" w:eastAsia="仿宋_GB2312" w:cs="Times New Roman"/>
      <w:color w:val="000000"/>
      <w:sz w:val="31"/>
      <w:szCs w:val="28"/>
    </w:rPr>
  </w:style>
  <w:style w:type="paragraph" w:customStyle="1" w:styleId="55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55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kern w:val="0"/>
      <w:sz w:val="24"/>
      <w:szCs w:val="24"/>
    </w:rPr>
  </w:style>
  <w:style w:type="paragraph" w:customStyle="1" w:styleId="556">
    <w:name w:val="TOC 标题1"/>
    <w:basedOn w:val="4"/>
    <w:next w:val="1"/>
    <w:qFormat/>
    <w:uiPriority w:val="0"/>
    <w:pPr>
      <w:tabs>
        <w:tab w:val="clear" w:pos="1440"/>
      </w:tabs>
      <w:spacing w:beforeLines="0" w:line="276" w:lineRule="auto"/>
      <w:jc w:val="left"/>
      <w:outlineLvl w:val="9"/>
    </w:pPr>
    <w:rPr>
      <w:rFonts w:ascii="Cambria" w:hAnsi="Cambria" w:eastAsia="宋体"/>
      <w:color w:val="365F90"/>
      <w:kern w:val="0"/>
      <w:sz w:val="28"/>
      <w:szCs w:val="28"/>
    </w:rPr>
  </w:style>
  <w:style w:type="paragraph" w:customStyle="1" w:styleId="557">
    <w:name w:val="标准段落"/>
    <w:basedOn w:val="1"/>
    <w:qFormat/>
    <w:uiPriority w:val="0"/>
    <w:pPr>
      <w:widowControl/>
      <w:topLinePunct/>
      <w:autoSpaceDE w:val="0"/>
      <w:autoSpaceDN w:val="0"/>
      <w:spacing w:line="360" w:lineRule="auto"/>
      <w:ind w:firstLine="560" w:firstLineChars="200"/>
      <w:jc w:val="left"/>
    </w:pPr>
    <w:rPr>
      <w:rFonts w:ascii="Calibri" w:hAnsi="宋体" w:eastAsia="宋体" w:cs="Times New Roman"/>
      <w:color w:val="FF0000"/>
      <w:sz w:val="28"/>
      <w:szCs w:val="24"/>
    </w:rPr>
  </w:style>
  <w:style w:type="paragraph" w:customStyle="1" w:styleId="558">
    <w:name w:val="正文缩进1"/>
    <w:basedOn w:val="1"/>
    <w:next w:val="26"/>
    <w:qFormat/>
    <w:uiPriority w:val="0"/>
    <w:pPr>
      <w:widowControl/>
      <w:autoSpaceDE w:val="0"/>
      <w:autoSpaceDN w:val="0"/>
      <w:adjustRightInd w:val="0"/>
      <w:snapToGrid w:val="0"/>
      <w:spacing w:after="120" w:line="360" w:lineRule="auto"/>
      <w:ind w:left="420" w:leftChars="200" w:firstLine="480" w:firstLineChars="200"/>
      <w:jc w:val="left"/>
    </w:pPr>
    <w:rPr>
      <w:rFonts w:ascii="Calibri" w:hAnsi="Calibri" w:eastAsia="宋体" w:cs="Times New Roman"/>
      <w:sz w:val="24"/>
      <w:szCs w:val="20"/>
    </w:rPr>
  </w:style>
  <w:style w:type="paragraph" w:customStyle="1" w:styleId="559">
    <w:name w:val="标书正文格式"/>
    <w:qFormat/>
    <w:uiPriority w:val="0"/>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paragraph" w:customStyle="1" w:styleId="560">
    <w:name w:val="表文1"/>
    <w:basedOn w:val="1"/>
    <w:qFormat/>
    <w:uiPriority w:val="0"/>
    <w:pPr>
      <w:widowControl/>
      <w:spacing w:line="360" w:lineRule="auto"/>
      <w:ind w:left="-158" w:leftChars="-75" w:firstLine="471" w:firstLineChars="157"/>
      <w:jc w:val="left"/>
    </w:pPr>
    <w:rPr>
      <w:rFonts w:ascii="宋体" w:hAnsi="宋体" w:eastAsia="宋体" w:cs="Times New Roman"/>
      <w:color w:val="000000"/>
      <w:spacing w:val="10"/>
      <w:kern w:val="0"/>
      <w:sz w:val="28"/>
      <w:szCs w:val="18"/>
    </w:rPr>
  </w:style>
  <w:style w:type="paragraph" w:customStyle="1" w:styleId="561">
    <w:name w:val="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62">
    <w:name w:val="List Paragraph2"/>
    <w:basedOn w:val="1"/>
    <w:qFormat/>
    <w:uiPriority w:val="0"/>
    <w:pPr>
      <w:widowControl/>
      <w:ind w:firstLine="420" w:firstLineChars="200"/>
      <w:jc w:val="left"/>
    </w:pPr>
    <w:rPr>
      <w:rFonts w:ascii="Calibri" w:hAnsi="Calibri" w:eastAsia="宋体" w:cs="Times New Roman"/>
      <w:kern w:val="0"/>
      <w:sz w:val="20"/>
      <w:szCs w:val="20"/>
    </w:rPr>
  </w:style>
  <w:style w:type="paragraph" w:customStyle="1" w:styleId="563">
    <w:name w:val="Item Step in Table"/>
    <w:qFormat/>
    <w:uiPriority w:val="0"/>
    <w:pPr>
      <w:tabs>
        <w:tab w:val="left" w:pos="397"/>
      </w:tabs>
      <w:spacing w:before="40" w:after="40"/>
      <w:ind w:firstLine="403"/>
      <w:jc w:val="both"/>
    </w:pPr>
    <w:rPr>
      <w:rFonts w:ascii="Arial" w:hAnsi="Arial" w:eastAsia="宋体" w:cs="Arial"/>
      <w:sz w:val="18"/>
      <w:szCs w:val="18"/>
      <w:lang w:val="en-US" w:eastAsia="zh-CN" w:bidi="ar-SA"/>
    </w:rPr>
  </w:style>
  <w:style w:type="paragraph" w:customStyle="1" w:styleId="564">
    <w:name w:val="Pa9"/>
    <w:basedOn w:val="1"/>
    <w:next w:val="1"/>
    <w:qFormat/>
    <w:uiPriority w:val="0"/>
    <w:pPr>
      <w:widowControl/>
      <w:autoSpaceDE w:val="0"/>
      <w:autoSpaceDN w:val="0"/>
      <w:adjustRightInd w:val="0"/>
      <w:spacing w:before="40" w:line="146" w:lineRule="atLeast"/>
      <w:jc w:val="left"/>
    </w:pPr>
    <w:rPr>
      <w:rFonts w:ascii="Stone Sans" w:hAnsi="Stone Sans" w:eastAsia="宋体" w:cs="Times New Roman"/>
      <w:kern w:val="0"/>
      <w:sz w:val="24"/>
      <w:szCs w:val="24"/>
    </w:rPr>
  </w:style>
  <w:style w:type="paragraph" w:customStyle="1" w:styleId="565">
    <w:name w:val="文档正文 Char"/>
    <w:basedOn w:val="1"/>
    <w:qFormat/>
    <w:uiPriority w:val="0"/>
    <w:pPr>
      <w:widowControl/>
      <w:adjustRightInd w:val="0"/>
      <w:spacing w:line="480" w:lineRule="atLeast"/>
      <w:ind w:firstLine="567"/>
      <w:jc w:val="left"/>
      <w:textAlignment w:val="baseline"/>
    </w:pPr>
    <w:rPr>
      <w:rFonts w:ascii="仿宋_GB2312" w:hAnsi="Calibri" w:eastAsia="仿宋_GB2312" w:cs="仿宋_GB2312"/>
      <w:kern w:val="0"/>
      <w:sz w:val="28"/>
      <w:szCs w:val="28"/>
    </w:rPr>
  </w:style>
  <w:style w:type="paragraph" w:customStyle="1" w:styleId="566">
    <w:name w:val="xl35"/>
    <w:basedOn w:val="1"/>
    <w:qFormat/>
    <w:uiPriority w:val="0"/>
    <w:pPr>
      <w:widowControl/>
      <w:spacing w:before="100" w:beforeAutospacing="1" w:after="100" w:afterAutospacing="1"/>
      <w:jc w:val="center"/>
      <w:textAlignment w:val="center"/>
    </w:pPr>
    <w:rPr>
      <w:rFonts w:ascii="宋体" w:hAnsi="宋体" w:eastAsia="宋体" w:cs="Times New Roman"/>
      <w:b/>
      <w:bCs/>
      <w:kern w:val="0"/>
      <w:sz w:val="36"/>
      <w:szCs w:val="36"/>
    </w:rPr>
  </w:style>
  <w:style w:type="paragraph" w:customStyle="1" w:styleId="567">
    <w:name w:val="xl29"/>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568">
    <w:name w:val="Char Char Char 字元 字元"/>
    <w:basedOn w:val="1"/>
    <w:qFormat/>
    <w:uiPriority w:val="0"/>
    <w:pPr>
      <w:widowControl/>
      <w:spacing w:line="360" w:lineRule="auto"/>
      <w:ind w:firstLine="200" w:firstLineChars="200"/>
      <w:jc w:val="left"/>
    </w:pPr>
    <w:rPr>
      <w:rFonts w:ascii="Calibri" w:hAnsi="Calibri" w:eastAsia="宋体" w:cs="Times New Roman"/>
      <w:szCs w:val="20"/>
    </w:rPr>
  </w:style>
  <w:style w:type="paragraph" w:customStyle="1" w:styleId="569">
    <w:name w:val="xl2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Calibri" w:hAnsi="Calibri" w:eastAsia="宋体" w:cs="Times New Roman"/>
      <w:kern w:val="0"/>
      <w:sz w:val="24"/>
      <w:szCs w:val="24"/>
    </w:rPr>
  </w:style>
  <w:style w:type="paragraph" w:customStyle="1" w:styleId="570">
    <w:name w:val="p16"/>
    <w:basedOn w:val="1"/>
    <w:qFormat/>
    <w:uiPriority w:val="0"/>
    <w:pPr>
      <w:widowControl/>
      <w:spacing w:before="80" w:after="80"/>
      <w:jc w:val="left"/>
    </w:pPr>
    <w:rPr>
      <w:rFonts w:ascii="Arial" w:hAnsi="Arial" w:eastAsia="宋体" w:cs="Arial"/>
      <w:kern w:val="0"/>
      <w:sz w:val="18"/>
      <w:szCs w:val="18"/>
    </w:rPr>
  </w:style>
  <w:style w:type="paragraph" w:customStyle="1" w:styleId="571">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eastAsia="宋体" w:cs="Times New Roman"/>
      <w:kern w:val="0"/>
      <w:sz w:val="52"/>
      <w:szCs w:val="52"/>
    </w:rPr>
  </w:style>
  <w:style w:type="paragraph" w:customStyle="1" w:styleId="572">
    <w:name w:val="列出段落11"/>
    <w:basedOn w:val="1"/>
    <w:qFormat/>
    <w:uiPriority w:val="0"/>
    <w:pPr>
      <w:widowControl/>
      <w:ind w:firstLine="420" w:firstLineChars="200"/>
      <w:jc w:val="left"/>
    </w:pPr>
    <w:rPr>
      <w:rFonts w:ascii="Calibri" w:hAnsi="Calibri" w:eastAsia="宋体" w:cs="Times New Roman"/>
      <w:kern w:val="0"/>
      <w:sz w:val="24"/>
      <w:szCs w:val="20"/>
    </w:rPr>
  </w:style>
  <w:style w:type="paragraph" w:customStyle="1" w:styleId="573">
    <w:name w:val="正文段落"/>
    <w:basedOn w:val="1"/>
    <w:qFormat/>
    <w:uiPriority w:val="0"/>
    <w:pPr>
      <w:spacing w:line="360" w:lineRule="auto"/>
      <w:ind w:firstLine="440" w:firstLineChars="200"/>
    </w:pPr>
    <w:rPr>
      <w:rFonts w:ascii="宋体" w:hAnsi="宋体" w:eastAsia="宋体" w:cs="宋体"/>
      <w:kern w:val="0"/>
      <w:szCs w:val="20"/>
    </w:rPr>
  </w:style>
  <w:style w:type="paragraph" w:customStyle="1" w:styleId="574">
    <w:name w:val="C11"/>
    <w:basedOn w:val="1"/>
    <w:qFormat/>
    <w:uiPriority w:val="0"/>
    <w:pPr>
      <w:widowControl/>
      <w:tabs>
        <w:tab w:val="left" w:pos="360"/>
      </w:tabs>
      <w:autoSpaceDE w:val="0"/>
      <w:autoSpaceDN w:val="0"/>
      <w:adjustRightInd w:val="0"/>
      <w:spacing w:before="60" w:line="288" w:lineRule="auto"/>
      <w:jc w:val="left"/>
      <w:textAlignment w:val="bottom"/>
    </w:pPr>
    <w:rPr>
      <w:rFonts w:ascii="Calibri" w:hAnsi="Calibri" w:eastAsia="華康細圓體" w:cs="Times New Roman"/>
      <w:kern w:val="0"/>
      <w:sz w:val="22"/>
      <w:szCs w:val="20"/>
      <w:lang w:eastAsia="zh-TW"/>
    </w:rPr>
  </w:style>
  <w:style w:type="paragraph" w:customStyle="1" w:styleId="575">
    <w:name w:val="Char Char Char Char Char Char Char Char Char Char"/>
    <w:basedOn w:val="21"/>
    <w:qFormat/>
    <w:uiPriority w:val="0"/>
    <w:rPr>
      <w:rFonts w:ascii="Tahoma" w:hAnsi="Tahoma" w:cs="Times New Roman"/>
      <w:kern w:val="0"/>
      <w:sz w:val="24"/>
      <w:szCs w:val="24"/>
    </w:rPr>
  </w:style>
  <w:style w:type="paragraph" w:customStyle="1" w:styleId="576">
    <w:name w:val="4"/>
    <w:basedOn w:val="1"/>
    <w:next w:val="57"/>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577">
    <w:name w:val="项目"/>
    <w:basedOn w:val="14"/>
    <w:qFormat/>
    <w:uiPriority w:val="0"/>
    <w:pPr>
      <w:tabs>
        <w:tab w:val="left" w:pos="1140"/>
        <w:tab w:val="left" w:pos="1389"/>
      </w:tabs>
      <w:spacing w:after="120"/>
      <w:ind w:left="1140" w:leftChars="0" w:hanging="420" w:firstLineChars="0"/>
    </w:pPr>
    <w:rPr>
      <w:rFonts w:ascii="华文中宋" w:hAnsi="Verdana" w:eastAsia="华文中宋"/>
      <w:color w:val="000066"/>
      <w:szCs w:val="21"/>
    </w:rPr>
  </w:style>
  <w:style w:type="paragraph" w:customStyle="1" w:styleId="578">
    <w:name w:val="xl32"/>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579">
    <w:name w:val="5"/>
    <w:basedOn w:val="1"/>
    <w:next w:val="2"/>
    <w:qFormat/>
    <w:uiPriority w:val="0"/>
    <w:pPr>
      <w:widowControl/>
      <w:ind w:right="26"/>
      <w:jc w:val="left"/>
    </w:pPr>
    <w:rPr>
      <w:rFonts w:ascii="楷体_GB2312" w:hAnsi="Calibri" w:eastAsia="楷体_GB2312" w:cs="Times New Roman"/>
      <w:spacing w:val="4"/>
      <w:kern w:val="0"/>
      <w:sz w:val="28"/>
      <w:szCs w:val="20"/>
    </w:rPr>
  </w:style>
  <w:style w:type="paragraph" w:customStyle="1" w:styleId="580">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kern w:val="0"/>
      <w:sz w:val="52"/>
      <w:szCs w:val="52"/>
    </w:rPr>
  </w:style>
  <w:style w:type="paragraph" w:customStyle="1" w:styleId="581">
    <w:name w:val="表格内文"/>
    <w:basedOn w:val="1"/>
    <w:qFormat/>
    <w:uiPriority w:val="0"/>
    <w:pPr>
      <w:widowControl/>
      <w:spacing w:line="360" w:lineRule="auto"/>
      <w:jc w:val="left"/>
    </w:pPr>
    <w:rPr>
      <w:rFonts w:ascii="宋体" w:hAnsi="宋体" w:eastAsia="宋体" w:cs="宋体"/>
      <w:color w:val="000000"/>
      <w:szCs w:val="21"/>
    </w:rPr>
  </w:style>
  <w:style w:type="paragraph" w:customStyle="1" w:styleId="582">
    <w:name w:val="Retrait 2"/>
    <w:basedOn w:val="1"/>
    <w:qFormat/>
    <w:uiPriority w:val="0"/>
    <w:pPr>
      <w:widowControl/>
      <w:spacing w:line="360" w:lineRule="auto"/>
      <w:ind w:left="1417" w:hanging="283"/>
      <w:jc w:val="left"/>
    </w:pPr>
    <w:rPr>
      <w:rFonts w:ascii="Calibri" w:hAnsi="Calibri" w:eastAsia="楷体_GB2312" w:cs="Times New Roman"/>
      <w:bCs/>
      <w:sz w:val="28"/>
      <w:szCs w:val="20"/>
    </w:rPr>
  </w:style>
  <w:style w:type="paragraph" w:customStyle="1" w:styleId="583">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宋体" w:cs="Times New Roman"/>
      <w:kern w:val="0"/>
      <w:sz w:val="52"/>
      <w:szCs w:val="52"/>
    </w:rPr>
  </w:style>
  <w:style w:type="paragraph" w:customStyle="1" w:styleId="584">
    <w:name w:val="默认段落字体 Para Char Char Char Char Char Char Char Char Char1"/>
    <w:basedOn w:val="1"/>
    <w:qFormat/>
    <w:uiPriority w:val="0"/>
    <w:pPr>
      <w:widowControl/>
      <w:jc w:val="left"/>
    </w:pPr>
    <w:rPr>
      <w:rFonts w:ascii="Calibri" w:hAnsi="Calibri" w:eastAsia="宋体" w:cs="Times New Roman"/>
      <w:szCs w:val="21"/>
    </w:rPr>
  </w:style>
  <w:style w:type="paragraph" w:customStyle="1" w:styleId="585">
    <w:name w:val="table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6">
    <w:name w:val="正文3"/>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87">
    <w:name w:val="xl5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588">
    <w:name w:val="_Style 76"/>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9">
    <w:name w:val="小标题 1"/>
    <w:basedOn w:val="1"/>
    <w:qFormat/>
    <w:uiPriority w:val="0"/>
    <w:pPr>
      <w:widowControl/>
      <w:autoSpaceDE w:val="0"/>
      <w:autoSpaceDN w:val="0"/>
      <w:adjustRightInd w:val="0"/>
      <w:spacing w:line="360" w:lineRule="atLeast"/>
      <w:jc w:val="left"/>
    </w:pPr>
    <w:rPr>
      <w:rFonts w:ascii="文鼎粗黑" w:hAnsi="Calibri" w:eastAsia="文鼎粗黑" w:cs="Times New Roman"/>
      <w:kern w:val="0"/>
      <w:sz w:val="22"/>
      <w:szCs w:val="20"/>
    </w:rPr>
  </w:style>
  <w:style w:type="paragraph" w:customStyle="1" w:styleId="590">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1">
    <w:name w:val="xl23"/>
    <w:basedOn w:val="1"/>
    <w:qFormat/>
    <w:uiPriority w:val="0"/>
    <w:pPr>
      <w:widowControl/>
      <w:pBdr>
        <w:top w:val="single" w:color="auto" w:sz="8" w:space="0"/>
      </w:pBdr>
      <w:shd w:val="clear" w:color="auto" w:fill="FFFFFF"/>
      <w:spacing w:before="100" w:beforeAutospacing="1" w:after="100" w:afterAutospacing="1"/>
      <w:jc w:val="center"/>
      <w:textAlignment w:val="bottom"/>
    </w:pPr>
    <w:rPr>
      <w:rFonts w:ascii="Arial" w:hAnsi="Arial" w:eastAsia="宋体" w:cs="Arial"/>
      <w:b/>
      <w:bCs/>
      <w:kern w:val="0"/>
      <w:sz w:val="44"/>
      <w:szCs w:val="44"/>
    </w:rPr>
  </w:style>
  <w:style w:type="paragraph" w:customStyle="1" w:styleId="592">
    <w:name w:val="E 正文"/>
    <w:basedOn w:val="1"/>
    <w:qFormat/>
    <w:uiPriority w:val="0"/>
    <w:pPr>
      <w:widowControl/>
      <w:spacing w:line="360" w:lineRule="auto"/>
      <w:jc w:val="left"/>
    </w:pPr>
    <w:rPr>
      <w:rFonts w:ascii="Times New Roman" w:hAnsi="Times New Roman" w:eastAsia="宋体" w:cs="黑体"/>
      <w:color w:val="000000"/>
      <w:kern w:val="0"/>
      <w:sz w:val="24"/>
      <w:szCs w:val="24"/>
    </w:rPr>
  </w:style>
  <w:style w:type="paragraph" w:customStyle="1" w:styleId="593">
    <w:name w:val="xl3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594">
    <w:name w:val="xl59"/>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595">
    <w:name w:val="Char1 Char Char Char"/>
    <w:basedOn w:val="1"/>
    <w:qFormat/>
    <w:uiPriority w:val="0"/>
    <w:pPr>
      <w:widowControl/>
      <w:jc w:val="left"/>
    </w:pPr>
    <w:rPr>
      <w:rFonts w:ascii="仿宋_GB2312" w:hAnsi="Calibri" w:eastAsia="仿宋_GB2312" w:cs="Times New Roman"/>
      <w:b/>
      <w:sz w:val="32"/>
      <w:szCs w:val="32"/>
    </w:rPr>
  </w:style>
  <w:style w:type="paragraph" w:customStyle="1" w:styleId="596">
    <w:name w:val="C标书正文（加粗后加）"/>
    <w:basedOn w:val="1"/>
    <w:qFormat/>
    <w:uiPriority w:val="0"/>
    <w:pPr>
      <w:widowControl/>
      <w:spacing w:after="240" w:line="360" w:lineRule="auto"/>
      <w:ind w:firstLine="426"/>
    </w:pPr>
    <w:rPr>
      <w:rFonts w:ascii="仿宋" w:hAnsi="仿宋" w:eastAsia="仿宋" w:cs="黑体"/>
      <w:b/>
      <w:color w:val="000000"/>
      <w:kern w:val="0"/>
      <w:sz w:val="24"/>
      <w:szCs w:val="24"/>
    </w:rPr>
  </w:style>
  <w:style w:type="paragraph" w:customStyle="1" w:styleId="597">
    <w:name w:val="straightmatter"/>
    <w:basedOn w:val="1"/>
    <w:qFormat/>
    <w:uiPriority w:val="0"/>
    <w:pPr>
      <w:widowControl/>
      <w:spacing w:before="120" w:after="120" w:line="288" w:lineRule="atLeast"/>
      <w:ind w:left="120" w:right="120"/>
      <w:jc w:val="left"/>
    </w:pPr>
    <w:rPr>
      <w:rFonts w:ascii="宋体" w:hAnsi="宋体" w:eastAsia="宋体" w:cs="Times New Roman"/>
      <w:color w:val="52987C"/>
      <w:kern w:val="0"/>
      <w:sz w:val="24"/>
      <w:szCs w:val="24"/>
    </w:rPr>
  </w:style>
  <w:style w:type="paragraph" w:customStyle="1" w:styleId="598">
    <w:name w:val="F11-1"/>
    <w:basedOn w:val="1"/>
    <w:qFormat/>
    <w:uiPriority w:val="0"/>
    <w:pPr>
      <w:widowControl/>
      <w:tabs>
        <w:tab w:val="left" w:pos="240"/>
        <w:tab w:val="left" w:pos="4680"/>
      </w:tabs>
      <w:adjustRightInd w:val="0"/>
      <w:spacing w:after="120"/>
      <w:jc w:val="left"/>
      <w:textAlignment w:val="baseline"/>
    </w:pPr>
    <w:rPr>
      <w:rFonts w:ascii="Calibri" w:hAnsi="Calibri" w:eastAsia="華康細圓體" w:cs="Times New Roman"/>
      <w:kern w:val="0"/>
      <w:sz w:val="24"/>
      <w:szCs w:val="20"/>
      <w:lang w:eastAsia="zh-TW"/>
    </w:rPr>
  </w:style>
  <w:style w:type="paragraph" w:customStyle="1" w:styleId="599">
    <w:name w:val="前言、引言标题"/>
    <w:next w:val="1"/>
    <w:qFormat/>
    <w:uiPriority w:val="0"/>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600">
    <w:name w:val="xl53"/>
    <w:basedOn w:val="1"/>
    <w:qFormat/>
    <w:uiPriority w:val="0"/>
    <w:pPr>
      <w:widowControl/>
      <w:pBdr>
        <w:bottom w:val="single" w:color="auto" w:sz="8" w:space="0"/>
        <w:right w:val="single" w:color="auto" w:sz="4" w:space="0"/>
      </w:pBdr>
      <w:spacing w:before="100" w:beforeAutospacing="1" w:after="100" w:afterAutospacing="1"/>
      <w:jc w:val="left"/>
    </w:pPr>
    <w:rPr>
      <w:rFonts w:ascii="Arial Unicode MS" w:hAnsi="Arial Unicode MS" w:eastAsia="宋体" w:cs="Times New Roman"/>
      <w:kern w:val="0"/>
      <w:sz w:val="24"/>
      <w:szCs w:val="24"/>
    </w:rPr>
  </w:style>
  <w:style w:type="paragraph" w:customStyle="1" w:styleId="601">
    <w:name w:val="默认段落字体 Para Char Char Char Char Char Char Char Char Char"/>
    <w:basedOn w:val="1"/>
    <w:qFormat/>
    <w:uiPriority w:val="0"/>
    <w:pPr>
      <w:widowControl/>
      <w:jc w:val="left"/>
    </w:pPr>
    <w:rPr>
      <w:rFonts w:ascii="Tahoma" w:hAnsi="Tahoma" w:eastAsia="宋体" w:cs="Tahoma"/>
      <w:sz w:val="24"/>
      <w:szCs w:val="24"/>
    </w:rPr>
  </w:style>
  <w:style w:type="paragraph" w:customStyle="1" w:styleId="602">
    <w:name w:val="msolistparagraph"/>
    <w:basedOn w:val="1"/>
    <w:qFormat/>
    <w:uiPriority w:val="0"/>
    <w:pPr>
      <w:ind w:firstLine="420" w:firstLineChars="200"/>
    </w:pPr>
    <w:rPr>
      <w:rFonts w:ascii="Calibri" w:hAnsi="Calibri" w:eastAsia="宋体" w:cs="Times New Roman"/>
      <w:szCs w:val="20"/>
    </w:rPr>
  </w:style>
  <w:style w:type="paragraph" w:customStyle="1" w:styleId="603">
    <w:name w:val="txt"/>
    <w:basedOn w:val="1"/>
    <w:qFormat/>
    <w:uiPriority w:val="0"/>
    <w:pPr>
      <w:widowControl/>
      <w:spacing w:before="100" w:beforeAutospacing="1" w:after="100" w:afterAutospacing="1" w:line="500" w:lineRule="atLeast"/>
      <w:jc w:val="left"/>
    </w:pPr>
    <w:rPr>
      <w:rFonts w:ascii="宋体" w:hAnsi="宋体" w:eastAsia="宋体" w:cs="Times New Roman"/>
      <w:kern w:val="0"/>
      <w:sz w:val="24"/>
      <w:szCs w:val="24"/>
    </w:rPr>
  </w:style>
  <w:style w:type="paragraph" w:customStyle="1" w:styleId="604">
    <w:name w:val="xl54"/>
    <w:basedOn w:val="1"/>
    <w:qFormat/>
    <w:uiPriority w:val="0"/>
    <w:pPr>
      <w:widowControl/>
      <w:pBdr>
        <w:bottom w:val="single" w:color="auto" w:sz="8" w:space="0"/>
        <w:right w:val="single" w:color="auto" w:sz="4" w:space="0"/>
      </w:pBdr>
      <w:spacing w:before="100" w:beforeAutospacing="1" w:after="100" w:afterAutospacing="1"/>
      <w:jc w:val="left"/>
    </w:pPr>
    <w:rPr>
      <w:rFonts w:ascii="Arial" w:hAnsi="Arial" w:eastAsia="宋体" w:cs="Arial"/>
      <w:b/>
      <w:bCs/>
      <w:kern w:val="0"/>
      <w:sz w:val="24"/>
      <w:szCs w:val="24"/>
    </w:rPr>
  </w:style>
  <w:style w:type="paragraph" w:customStyle="1" w:styleId="605">
    <w:name w:val="a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6">
    <w:name w:val="a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7">
    <w:name w:val="五级条标题"/>
    <w:basedOn w:val="608"/>
    <w:next w:val="396"/>
    <w:qFormat/>
    <w:uiPriority w:val="0"/>
    <w:pPr>
      <w:tabs>
        <w:tab w:val="left" w:pos="1200"/>
      </w:tabs>
      <w:outlineLvl w:val="6"/>
    </w:pPr>
  </w:style>
  <w:style w:type="paragraph" w:customStyle="1" w:styleId="608">
    <w:name w:val="四级条标题"/>
    <w:basedOn w:val="609"/>
    <w:next w:val="396"/>
    <w:qFormat/>
    <w:uiPriority w:val="0"/>
    <w:pPr>
      <w:tabs>
        <w:tab w:val="left" w:pos="1200"/>
      </w:tabs>
      <w:outlineLvl w:val="5"/>
    </w:pPr>
  </w:style>
  <w:style w:type="paragraph" w:customStyle="1" w:styleId="609">
    <w:name w:val="三级条标题"/>
    <w:basedOn w:val="610"/>
    <w:next w:val="396"/>
    <w:qFormat/>
    <w:uiPriority w:val="0"/>
    <w:pPr>
      <w:tabs>
        <w:tab w:val="left" w:pos="1200"/>
      </w:tabs>
      <w:outlineLvl w:val="4"/>
    </w:pPr>
  </w:style>
  <w:style w:type="paragraph" w:customStyle="1" w:styleId="610">
    <w:name w:val="二级条标题"/>
    <w:basedOn w:val="472"/>
    <w:next w:val="396"/>
    <w:qFormat/>
    <w:uiPriority w:val="0"/>
    <w:pPr>
      <w:outlineLvl w:val="3"/>
    </w:pPr>
    <w:rPr>
      <w:rFonts w:ascii="Calibri" w:hAnsi="Calibri" w:eastAsia="宋体"/>
    </w:rPr>
  </w:style>
  <w:style w:type="paragraph" w:customStyle="1" w:styleId="611">
    <w:name w:val="xl48"/>
    <w:basedOn w:val="1"/>
    <w:qFormat/>
    <w:uiPriority w:val="0"/>
    <w:pPr>
      <w:widowControl/>
      <w:pBdr>
        <w:top w:val="single" w:color="auto" w:sz="4" w:space="0"/>
        <w:bottom w:val="single" w:color="auto" w:sz="8"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12">
    <w:name w:val="正文3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613">
    <w:name w:val="标书表格字体格式"/>
    <w:next w:val="1"/>
    <w:qFormat/>
    <w:uiPriority w:val="0"/>
    <w:rPr>
      <w:rFonts w:ascii="Times New Roman" w:hAnsi="Times New Roman" w:eastAsia="宋体" w:cs="Times New Roman"/>
      <w:kern w:val="2"/>
      <w:sz w:val="21"/>
      <w:szCs w:val="24"/>
      <w:lang w:val="en-US" w:eastAsia="zh-CN" w:bidi="ar-SA"/>
    </w:rPr>
  </w:style>
  <w:style w:type="paragraph" w:customStyle="1" w:styleId="614">
    <w:name w:val="默认段落字体 Para Char Char Char Char Char Char Char Char Char Char Char Char Char Char Char Char Char Char Char"/>
    <w:basedOn w:val="1"/>
    <w:qFormat/>
    <w:uiPriority w:val="0"/>
    <w:pPr>
      <w:widowControl/>
      <w:jc w:val="left"/>
    </w:pPr>
    <w:rPr>
      <w:rFonts w:ascii="Tahoma" w:hAnsi="Tahoma" w:eastAsia="宋体" w:cs="Times New Roman"/>
      <w:sz w:val="24"/>
      <w:szCs w:val="20"/>
    </w:rPr>
  </w:style>
  <w:style w:type="paragraph" w:customStyle="1" w:styleId="615">
    <w:name w:val="默认段落字体 Para Char Char Char Char111"/>
    <w:basedOn w:val="1"/>
    <w:qFormat/>
    <w:uiPriority w:val="0"/>
    <w:pPr>
      <w:widowControl/>
      <w:jc w:val="left"/>
    </w:pPr>
    <w:rPr>
      <w:rFonts w:ascii="Calibri" w:hAnsi="Calibri" w:eastAsia="宋体" w:cs="Calibri"/>
      <w:kern w:val="0"/>
      <w:sz w:val="24"/>
      <w:szCs w:val="24"/>
      <w:lang w:eastAsia="en-US"/>
    </w:rPr>
  </w:style>
  <w:style w:type="paragraph" w:customStyle="1" w:styleId="616">
    <w:name w:val="Revision1"/>
    <w:qFormat/>
    <w:uiPriority w:val="0"/>
    <w:rPr>
      <w:rFonts w:ascii="Times New Roman" w:hAnsi="Times New Roman" w:eastAsia="宋体" w:cs="Times New Roman"/>
      <w:kern w:val="2"/>
      <w:sz w:val="21"/>
      <w:lang w:val="en-US" w:eastAsia="zh-CN" w:bidi="ar-SA"/>
    </w:rPr>
  </w:style>
  <w:style w:type="paragraph" w:customStyle="1" w:styleId="617">
    <w:name w:val="xl52"/>
    <w:basedOn w:val="1"/>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w:hAnsi="Arial" w:eastAsia="宋体" w:cs="Arial"/>
      <w:kern w:val="0"/>
      <w:sz w:val="20"/>
      <w:szCs w:val="20"/>
    </w:rPr>
  </w:style>
  <w:style w:type="paragraph" w:customStyle="1" w:styleId="618">
    <w:name w:val="Char Char Char Char Char Char Char Char"/>
    <w:basedOn w:val="1"/>
    <w:qFormat/>
    <w:uiPriority w:val="0"/>
    <w:pPr>
      <w:widowControl/>
      <w:tabs>
        <w:tab w:val="left" w:pos="360"/>
      </w:tabs>
      <w:jc w:val="left"/>
    </w:pPr>
    <w:rPr>
      <w:rFonts w:ascii="Calibri" w:hAnsi="Calibri" w:eastAsia="宋体" w:cs="Times New Roman"/>
      <w:sz w:val="24"/>
      <w:szCs w:val="24"/>
    </w:rPr>
  </w:style>
  <w:style w:type="paragraph" w:customStyle="1" w:styleId="619">
    <w:name w:val="outdent"/>
    <w:basedOn w:val="1"/>
    <w:qFormat/>
    <w:uiPriority w:val="0"/>
    <w:pPr>
      <w:widowControl/>
      <w:tabs>
        <w:tab w:val="left" w:pos="420"/>
        <w:tab w:val="left" w:pos="2552"/>
      </w:tabs>
      <w:snapToGrid w:val="0"/>
      <w:spacing w:before="60" w:after="60"/>
      <w:ind w:left="420" w:right="709" w:hanging="420"/>
      <w:jc w:val="left"/>
    </w:pPr>
    <w:rPr>
      <w:rFonts w:ascii="Calibri" w:hAnsi="Calibri" w:eastAsia="2OcuAe" w:cs="Times New Roman"/>
      <w:spacing w:val="2"/>
      <w:kern w:val="0"/>
      <w:sz w:val="20"/>
      <w:szCs w:val="20"/>
      <w:lang w:eastAsia="zh-TW"/>
    </w:rPr>
  </w:style>
  <w:style w:type="paragraph" w:customStyle="1" w:styleId="620">
    <w:name w:val="默认段落字体 Para Char Char Char Char Char Char Char"/>
    <w:basedOn w:val="1"/>
    <w:qFormat/>
    <w:uiPriority w:val="0"/>
    <w:pPr>
      <w:widowControl/>
      <w:jc w:val="left"/>
    </w:pPr>
    <w:rPr>
      <w:rFonts w:ascii="Tahoma" w:hAnsi="Tahoma" w:eastAsia="宋体" w:cs="Times New Roman"/>
      <w:sz w:val="24"/>
      <w:szCs w:val="20"/>
    </w:rPr>
  </w:style>
  <w:style w:type="paragraph" w:customStyle="1" w:styleId="621">
    <w:name w:val="Char Char Char Char Char Char Char Char Char Char Char Char Char"/>
    <w:basedOn w:val="1"/>
    <w:qFormat/>
    <w:uiPriority w:val="0"/>
    <w:pPr>
      <w:tabs>
        <w:tab w:val="left" w:pos="432"/>
      </w:tabs>
      <w:ind w:left="432" w:hanging="432"/>
    </w:pPr>
    <w:rPr>
      <w:rFonts w:ascii="Calibri" w:hAnsi="Calibri" w:eastAsia="宋体" w:cs="Times New Roman"/>
    </w:rPr>
  </w:style>
  <w:style w:type="paragraph" w:customStyle="1" w:styleId="622">
    <w:name w:val="无间隔11"/>
    <w:basedOn w:val="1"/>
    <w:qFormat/>
    <w:uiPriority w:val="0"/>
    <w:pPr>
      <w:widowControl/>
    </w:pPr>
    <w:rPr>
      <w:rFonts w:ascii="Calibri" w:hAnsi="Calibri" w:eastAsia="宋体" w:cs="Calibri"/>
      <w:kern w:val="0"/>
      <w:szCs w:val="24"/>
      <w:lang w:eastAsia="en-US"/>
    </w:rPr>
  </w:style>
  <w:style w:type="paragraph" w:customStyle="1" w:styleId="623">
    <w:name w:val="xl61"/>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624">
    <w:name w:val="p21"/>
    <w:basedOn w:val="1"/>
    <w:qFormat/>
    <w:uiPriority w:val="0"/>
    <w:pPr>
      <w:widowControl/>
      <w:ind w:firstLine="420"/>
    </w:pPr>
    <w:rPr>
      <w:rFonts w:ascii="Calibri" w:hAnsi="Calibri" w:eastAsia="宋体" w:cs="宋体"/>
      <w:kern w:val="0"/>
      <w:szCs w:val="21"/>
    </w:rPr>
  </w:style>
  <w:style w:type="paragraph" w:customStyle="1" w:styleId="625">
    <w:name w:val="Pa0"/>
    <w:basedOn w:val="1"/>
    <w:next w:val="1"/>
    <w:qFormat/>
    <w:uiPriority w:val="0"/>
    <w:pPr>
      <w:widowControl/>
      <w:autoSpaceDE w:val="0"/>
      <w:autoSpaceDN w:val="0"/>
      <w:adjustRightInd w:val="0"/>
      <w:spacing w:line="241" w:lineRule="atLeast"/>
      <w:jc w:val="left"/>
    </w:pPr>
    <w:rPr>
      <w:rFonts w:ascii="H Yg 2gj" w:hAnsi="Calibri" w:eastAsia="H Yg 2gj" w:cs="Times New Roman"/>
      <w:kern w:val="0"/>
      <w:sz w:val="24"/>
      <w:szCs w:val="24"/>
    </w:rPr>
  </w:style>
  <w:style w:type="paragraph" w:customStyle="1" w:styleId="626">
    <w:name w:val="xl50"/>
    <w:basedOn w:val="1"/>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Unicode MS" w:hAnsi="Arial Unicode MS" w:eastAsia="宋体" w:cs="Times New Roman"/>
      <w:kern w:val="0"/>
      <w:sz w:val="20"/>
      <w:szCs w:val="20"/>
    </w:rPr>
  </w:style>
  <w:style w:type="paragraph" w:customStyle="1" w:styleId="627">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Calibri" w:hAnsi="Calibri" w:eastAsia="宋体" w:cs="Times New Roman"/>
      <w:b/>
      <w:bCs/>
      <w:kern w:val="0"/>
      <w:sz w:val="52"/>
      <w:szCs w:val="52"/>
    </w:rPr>
  </w:style>
  <w:style w:type="paragraph" w:customStyle="1" w:styleId="628">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kern w:val="0"/>
      <w:sz w:val="32"/>
      <w:szCs w:val="32"/>
    </w:rPr>
  </w:style>
  <w:style w:type="paragraph" w:customStyle="1" w:styleId="629">
    <w:name w:val="標題 1-1"/>
    <w:qFormat/>
    <w:uiPriority w:val="0"/>
    <w:pPr>
      <w:pBdr>
        <w:bottom w:val="threeDEngrave" w:color="auto" w:sz="36" w:space="1"/>
      </w:pBdr>
      <w:tabs>
        <w:tab w:val="left" w:pos="420"/>
      </w:tabs>
      <w:spacing w:after="480"/>
      <w:ind w:left="420" w:right="709" w:hanging="420"/>
    </w:pPr>
    <w:rPr>
      <w:rFonts w:ascii="Arial" w:hAnsi="Arial" w:eastAsia="PMingLiU" w:cs="Times New Roman"/>
      <w:b/>
      <w:sz w:val="40"/>
      <w:lang w:val="en-US" w:eastAsia="zh-CN" w:bidi="ar-SA"/>
    </w:rPr>
  </w:style>
  <w:style w:type="paragraph" w:customStyle="1" w:styleId="630">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631">
    <w:name w:val="xl2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632">
    <w:name w:val="xl3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633">
    <w:name w:val="缺省文本"/>
    <w:basedOn w:val="1"/>
    <w:qFormat/>
    <w:uiPriority w:val="0"/>
    <w:pPr>
      <w:autoSpaceDE w:val="0"/>
      <w:autoSpaceDN w:val="0"/>
      <w:adjustRightInd w:val="0"/>
      <w:jc w:val="left"/>
    </w:pPr>
    <w:rPr>
      <w:rFonts w:ascii="Calibri" w:hAnsi="Calibri" w:eastAsia="宋体" w:cs="Times New Roman"/>
      <w:kern w:val="0"/>
      <w:sz w:val="24"/>
      <w:szCs w:val="24"/>
    </w:rPr>
  </w:style>
  <w:style w:type="paragraph" w:customStyle="1" w:styleId="634">
    <w:name w:val="Char Char1 Char"/>
    <w:basedOn w:val="1"/>
    <w:qFormat/>
    <w:uiPriority w:val="0"/>
    <w:pPr>
      <w:widowControl/>
      <w:jc w:val="left"/>
    </w:pPr>
    <w:rPr>
      <w:rFonts w:ascii="仿宋_GB2312" w:hAnsi="Calibri" w:eastAsia="仿宋_GB2312" w:cs="Times New Roman"/>
      <w:b/>
      <w:sz w:val="32"/>
      <w:szCs w:val="20"/>
    </w:rPr>
  </w:style>
  <w:style w:type="paragraph" w:customStyle="1" w:styleId="635">
    <w:name w:val="章标题"/>
    <w:next w:val="396"/>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636">
    <w:name w:val="xl49"/>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37">
    <w:name w:val="List Paragraph3"/>
    <w:basedOn w:val="1"/>
    <w:qFormat/>
    <w:uiPriority w:val="0"/>
    <w:pPr>
      <w:ind w:firstLine="420" w:firstLineChars="200"/>
    </w:pPr>
    <w:rPr>
      <w:rFonts w:ascii="Calibri" w:hAnsi="Calibri" w:eastAsia="宋体" w:cs="Times New Roman"/>
    </w:rPr>
  </w:style>
  <w:style w:type="paragraph" w:customStyle="1" w:styleId="638">
    <w:name w:val="a2"/>
    <w:basedOn w:val="1"/>
    <w:qFormat/>
    <w:uiPriority w:val="0"/>
    <w:pPr>
      <w:widowControl/>
      <w:spacing w:before="100" w:beforeAutospacing="1" w:after="100" w:afterAutospacing="1"/>
      <w:jc w:val="left"/>
    </w:pPr>
    <w:rPr>
      <w:rFonts w:ascii="Arial Unicode MS" w:hAnsi="Arial Unicode MS" w:eastAsia="宋体" w:cs="Times New Roman"/>
      <w:kern w:val="0"/>
      <w:sz w:val="24"/>
      <w:szCs w:val="24"/>
    </w:rPr>
  </w:style>
  <w:style w:type="paragraph" w:customStyle="1" w:styleId="639">
    <w:name w:val="樣式1"/>
    <w:basedOn w:val="640"/>
    <w:qFormat/>
    <w:uiPriority w:val="0"/>
    <w:pPr>
      <w:tabs>
        <w:tab w:val="left" w:pos="420"/>
        <w:tab w:val="left" w:pos="567"/>
        <w:tab w:val="left" w:pos="840"/>
        <w:tab w:val="left" w:pos="966"/>
        <w:tab w:val="left" w:pos="1800"/>
        <w:tab w:val="left" w:pos="2552"/>
      </w:tabs>
      <w:spacing w:before="40" w:after="40"/>
      <w:ind w:left="1276" w:hanging="284"/>
    </w:pPr>
    <w:rPr>
      <w:rFonts w:eastAsia="宋体"/>
    </w:rPr>
  </w:style>
  <w:style w:type="paragraph" w:customStyle="1" w:styleId="640">
    <w:name w:val="Bullet"/>
    <w:basedOn w:val="1"/>
    <w:qFormat/>
    <w:uiPriority w:val="0"/>
    <w:pPr>
      <w:widowControl/>
      <w:tabs>
        <w:tab w:val="left" w:pos="420"/>
        <w:tab w:val="left" w:pos="2552"/>
      </w:tabs>
      <w:snapToGrid w:val="0"/>
      <w:spacing w:before="60" w:after="60"/>
      <w:ind w:left="420" w:right="709" w:hanging="420"/>
      <w:jc w:val="left"/>
    </w:pPr>
    <w:rPr>
      <w:rFonts w:ascii="Calibri" w:hAnsi="Calibri" w:eastAsia="2OcuAe" w:cs="Times New Roman"/>
      <w:spacing w:val="2"/>
      <w:kern w:val="0"/>
      <w:sz w:val="20"/>
      <w:szCs w:val="20"/>
      <w:lang w:eastAsia="zh-TW"/>
    </w:rPr>
  </w:style>
  <w:style w:type="paragraph" w:customStyle="1" w:styleId="641">
    <w:name w:val="Char Char Char Char Char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642">
    <w:name w:val="Char Char2 Char"/>
    <w:basedOn w:val="1"/>
    <w:qFormat/>
    <w:uiPriority w:val="0"/>
    <w:pPr>
      <w:keepNext/>
      <w:keepLines/>
      <w:pageBreakBefore/>
      <w:widowControl/>
      <w:tabs>
        <w:tab w:val="left" w:pos="845"/>
      </w:tabs>
      <w:ind w:left="845" w:hanging="420"/>
      <w:jc w:val="left"/>
    </w:pPr>
    <w:rPr>
      <w:rFonts w:ascii="Tahoma" w:hAnsi="Tahoma" w:eastAsia="宋体" w:cs="Times New Roman"/>
      <w:sz w:val="24"/>
      <w:szCs w:val="20"/>
    </w:rPr>
  </w:style>
  <w:style w:type="paragraph" w:customStyle="1" w:styleId="643">
    <w:name w:val="部分1"/>
    <w:basedOn w:val="1"/>
    <w:qFormat/>
    <w:uiPriority w:val="0"/>
    <w:pPr>
      <w:keepNext/>
      <w:pageBreakBefore/>
      <w:tabs>
        <w:tab w:val="left" w:pos="720"/>
      </w:tabs>
      <w:spacing w:line="360" w:lineRule="auto"/>
      <w:jc w:val="center"/>
      <w:outlineLvl w:val="0"/>
    </w:pPr>
    <w:rPr>
      <w:rFonts w:ascii="Calibri" w:hAnsi="Calibri" w:eastAsia="黑体" w:cs="Times New Roman"/>
      <w:b/>
      <w:kern w:val="44"/>
      <w:sz w:val="36"/>
      <w:szCs w:val="20"/>
    </w:rPr>
  </w:style>
  <w:style w:type="paragraph" w:customStyle="1" w:styleId="644">
    <w:name w:val="标书正文格式 Char Char"/>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645">
    <w:name w:val="Char2"/>
    <w:basedOn w:val="1"/>
    <w:qFormat/>
    <w:uiPriority w:val="0"/>
    <w:pPr>
      <w:widowControl/>
      <w:jc w:val="left"/>
    </w:pPr>
    <w:rPr>
      <w:rFonts w:ascii="Calibri" w:hAnsi="Calibri" w:eastAsia="仿宋_GB2312" w:cs="Times New Roman"/>
      <w:sz w:val="28"/>
      <w:szCs w:val="20"/>
    </w:rPr>
  </w:style>
  <w:style w:type="paragraph" w:customStyle="1" w:styleId="646">
    <w:name w:val="b"/>
    <w:basedOn w:val="1"/>
    <w:qFormat/>
    <w:uiPriority w:val="0"/>
    <w:pPr>
      <w:widowControl/>
      <w:adjustRightInd w:val="0"/>
      <w:snapToGrid w:val="0"/>
      <w:jc w:val="center"/>
    </w:pPr>
    <w:rPr>
      <w:rFonts w:ascii="仿宋_GB2312" w:hAnsi="Calibri" w:eastAsia="仿宋_GB2312" w:cs="Times New Roman"/>
      <w:sz w:val="24"/>
      <w:szCs w:val="24"/>
    </w:rPr>
  </w:style>
  <w:style w:type="paragraph" w:customStyle="1" w:styleId="647">
    <w:name w:val="正文文本缩进2"/>
    <w:basedOn w:val="1"/>
    <w:qFormat/>
    <w:uiPriority w:val="0"/>
    <w:pPr>
      <w:widowControl/>
      <w:spacing w:line="200" w:lineRule="atLeast"/>
      <w:ind w:firstLine="301"/>
      <w:jc w:val="left"/>
    </w:pPr>
    <w:rPr>
      <w:rFonts w:ascii="宋体" w:hAnsi="Courier New" w:eastAsia="宋体" w:cs="Times New Roman"/>
      <w:spacing w:val="-4"/>
      <w:sz w:val="18"/>
      <w:szCs w:val="20"/>
    </w:rPr>
  </w:style>
  <w:style w:type="paragraph" w:customStyle="1" w:styleId="648">
    <w:name w:val="content"/>
    <w:basedOn w:val="1"/>
    <w:qFormat/>
    <w:uiPriority w:val="0"/>
    <w:pPr>
      <w:widowControl/>
      <w:spacing w:before="100" w:beforeAutospacing="1" w:after="100" w:afterAutospacing="1" w:line="360" w:lineRule="atLeast"/>
      <w:jc w:val="left"/>
    </w:pPr>
    <w:rPr>
      <w:rFonts w:ascii="宋体" w:hAnsi="宋体" w:eastAsia="宋体" w:cs="Times New Roman"/>
      <w:color w:val="333333"/>
      <w:kern w:val="0"/>
      <w:szCs w:val="21"/>
    </w:rPr>
  </w:style>
  <w:style w:type="paragraph" w:customStyle="1" w:styleId="649">
    <w:name w:val="xl3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b/>
      <w:bCs/>
      <w:kern w:val="0"/>
      <w:sz w:val="24"/>
      <w:szCs w:val="24"/>
    </w:rPr>
  </w:style>
  <w:style w:type="paragraph" w:customStyle="1" w:styleId="650">
    <w:name w:val="xl4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kern w:val="0"/>
      <w:sz w:val="52"/>
      <w:szCs w:val="52"/>
    </w:rPr>
  </w:style>
  <w:style w:type="paragraph" w:customStyle="1" w:styleId="651">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kern w:val="0"/>
      <w:sz w:val="32"/>
      <w:szCs w:val="32"/>
    </w:rPr>
  </w:style>
  <w:style w:type="paragraph" w:customStyle="1" w:styleId="652">
    <w:name w:val="中等深浅网格 1 - 强调文字颜色 21"/>
    <w:basedOn w:val="1"/>
    <w:qFormat/>
    <w:uiPriority w:val="0"/>
    <w:pPr>
      <w:widowControl/>
      <w:spacing w:after="200" w:line="276" w:lineRule="auto"/>
      <w:ind w:left="720"/>
      <w:contextualSpacing/>
      <w:jc w:val="left"/>
    </w:pPr>
    <w:rPr>
      <w:rFonts w:ascii="Calibri" w:hAnsi="Calibri" w:eastAsia="宋体" w:cs="Times New Roman"/>
      <w:kern w:val="0"/>
      <w:sz w:val="22"/>
      <w:lang w:eastAsia="en-US"/>
    </w:rPr>
  </w:style>
  <w:style w:type="paragraph" w:customStyle="1" w:styleId="653">
    <w:name w:val="表身"/>
    <w:basedOn w:val="1"/>
    <w:qFormat/>
    <w:uiPriority w:val="0"/>
    <w:pPr>
      <w:autoSpaceDE w:val="0"/>
      <w:autoSpaceDN w:val="0"/>
      <w:adjustRightInd w:val="0"/>
      <w:jc w:val="left"/>
    </w:pPr>
    <w:rPr>
      <w:rFonts w:ascii="Calibri" w:hAnsi="Calibri" w:eastAsia="宋体" w:cs="Times New Roman"/>
      <w:kern w:val="0"/>
      <w:sz w:val="18"/>
      <w:szCs w:val="20"/>
    </w:rPr>
  </w:style>
  <w:style w:type="paragraph" w:customStyle="1" w:styleId="654">
    <w:name w:val="font10"/>
    <w:basedOn w:val="1"/>
    <w:qFormat/>
    <w:uiPriority w:val="0"/>
    <w:pPr>
      <w:widowControl/>
      <w:spacing w:before="100" w:beforeAutospacing="1" w:after="100" w:afterAutospacing="1"/>
      <w:jc w:val="left"/>
    </w:pPr>
    <w:rPr>
      <w:rFonts w:ascii="Calibri" w:hAnsi="Calibri" w:eastAsia="宋体" w:cs="Times New Roman"/>
      <w:color w:val="FF0000"/>
      <w:kern w:val="0"/>
      <w:sz w:val="16"/>
      <w:szCs w:val="16"/>
    </w:rPr>
  </w:style>
  <w:style w:type="paragraph" w:customStyle="1" w:styleId="655">
    <w:name w:val="说明书3级标题"/>
    <w:basedOn w:val="1"/>
    <w:next w:val="1"/>
    <w:qFormat/>
    <w:uiPriority w:val="0"/>
    <w:pPr>
      <w:tabs>
        <w:tab w:val="left" w:pos="1572"/>
      </w:tabs>
      <w:spacing w:line="360" w:lineRule="auto"/>
      <w:ind w:left="1572" w:hanging="720"/>
    </w:pPr>
    <w:rPr>
      <w:rFonts w:ascii="Calibri" w:hAnsi="Calibri" w:eastAsia="黑体" w:cs="Times New Roman"/>
      <w:sz w:val="24"/>
      <w:szCs w:val="24"/>
    </w:rPr>
  </w:style>
  <w:style w:type="paragraph" w:customStyle="1" w:styleId="656">
    <w:name w:val="pchart_bodycm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7">
    <w:name w:val="xl6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宋体" w:cs="Times New Roman"/>
      <w:kern w:val="0"/>
      <w:sz w:val="32"/>
      <w:szCs w:val="32"/>
    </w:rPr>
  </w:style>
  <w:style w:type="paragraph" w:customStyle="1" w:styleId="658">
    <w:name w:val="tableheadin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9">
    <w:name w:val="xl47"/>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60">
    <w:name w:val="B标书正文（后加）"/>
    <w:qFormat/>
    <w:uiPriority w:val="0"/>
    <w:pPr>
      <w:spacing w:after="240" w:line="360" w:lineRule="auto"/>
      <w:ind w:firstLine="425" w:firstLineChars="177"/>
      <w:jc w:val="both"/>
    </w:pPr>
    <w:rPr>
      <w:rFonts w:ascii="仿宋" w:hAnsi="仿宋" w:eastAsia="仿宋" w:cs="Times New Roman"/>
      <w:color w:val="000000"/>
      <w:kern w:val="2"/>
      <w:sz w:val="24"/>
      <w:szCs w:val="24"/>
      <w:lang w:val="en-US" w:eastAsia="zh-CN" w:bidi="ar-SA"/>
    </w:rPr>
  </w:style>
  <w:style w:type="paragraph" w:customStyle="1" w:styleId="661">
    <w:name w:val="Pa10"/>
    <w:basedOn w:val="1"/>
    <w:next w:val="1"/>
    <w:qFormat/>
    <w:uiPriority w:val="0"/>
    <w:pPr>
      <w:widowControl/>
      <w:autoSpaceDE w:val="0"/>
      <w:autoSpaceDN w:val="0"/>
      <w:adjustRightInd w:val="0"/>
      <w:spacing w:before="20" w:line="136" w:lineRule="atLeast"/>
      <w:jc w:val="left"/>
    </w:pPr>
    <w:rPr>
      <w:rFonts w:ascii="Stone Sans" w:hAnsi="Stone Sans" w:eastAsia="宋体" w:cs="Times New Roman"/>
      <w:kern w:val="0"/>
      <w:sz w:val="24"/>
      <w:szCs w:val="24"/>
    </w:rPr>
  </w:style>
  <w:style w:type="paragraph" w:customStyle="1" w:styleId="662">
    <w:name w:val="标题3级"/>
    <w:basedOn w:val="6"/>
    <w:qFormat/>
    <w:uiPriority w:val="0"/>
    <w:pPr>
      <w:numPr>
        <w:ilvl w:val="2"/>
        <w:numId w:val="4"/>
      </w:numPr>
      <w:tabs>
        <w:tab w:val="left" w:pos="425"/>
        <w:tab w:val="left" w:pos="851"/>
        <w:tab w:val="left" w:pos="902"/>
        <w:tab w:val="clear" w:pos="567"/>
      </w:tabs>
      <w:spacing w:beforeLines="0"/>
      <w:ind w:firstLine="100" w:firstLineChars="100"/>
    </w:pPr>
    <w:rPr>
      <w:rFonts w:eastAsia="宋体"/>
      <w:bCs w:val="0"/>
      <w:color w:val="000000"/>
      <w:sz w:val="32"/>
      <w:szCs w:val="20"/>
    </w:rPr>
  </w:style>
  <w:style w:type="paragraph" w:customStyle="1" w:styleId="663">
    <w:name w:val="Pa11"/>
    <w:basedOn w:val="1"/>
    <w:next w:val="1"/>
    <w:qFormat/>
    <w:uiPriority w:val="0"/>
    <w:pPr>
      <w:autoSpaceDE w:val="0"/>
      <w:autoSpaceDN w:val="0"/>
      <w:adjustRightInd w:val="0"/>
      <w:spacing w:line="161" w:lineRule="atLeast"/>
      <w:jc w:val="left"/>
    </w:pPr>
    <w:rPr>
      <w:rFonts w:ascii="HP Simplified Hans Light" w:hAnsi="Calibri" w:eastAsia="HP Simplified Hans Light" w:cs="Times New Roman"/>
      <w:kern w:val="0"/>
      <w:sz w:val="24"/>
      <w:szCs w:val="24"/>
    </w:rPr>
  </w:style>
  <w:style w:type="paragraph" w:customStyle="1" w:styleId="664">
    <w:name w:val="TOC Heading1"/>
    <w:basedOn w:val="4"/>
    <w:next w:val="1"/>
    <w:qFormat/>
    <w:uiPriority w:val="0"/>
    <w:pPr>
      <w:tabs>
        <w:tab w:val="clear" w:pos="1440"/>
      </w:tabs>
      <w:spacing w:beforeLines="0" w:line="276" w:lineRule="auto"/>
      <w:jc w:val="left"/>
      <w:outlineLvl w:val="9"/>
    </w:pPr>
    <w:rPr>
      <w:rFonts w:ascii="Cambria" w:hAnsi="Cambria" w:eastAsia="宋体"/>
      <w:color w:val="365F91"/>
      <w:kern w:val="0"/>
      <w:sz w:val="28"/>
      <w:szCs w:val="28"/>
    </w:rPr>
  </w:style>
  <w:style w:type="paragraph" w:customStyle="1" w:styleId="665">
    <w:name w:val="xl39"/>
    <w:basedOn w:val="1"/>
    <w:qFormat/>
    <w:uiPriority w:val="0"/>
    <w:pPr>
      <w:widowControl/>
      <w:spacing w:before="100" w:beforeAutospacing="1" w:after="100" w:afterAutospacing="1"/>
      <w:jc w:val="left"/>
    </w:pPr>
    <w:rPr>
      <w:rFonts w:ascii="宋体" w:hAnsi="宋体" w:eastAsia="宋体" w:cs="Times New Roman"/>
      <w:b/>
      <w:bCs/>
      <w:kern w:val="0"/>
      <w:sz w:val="24"/>
      <w:szCs w:val="24"/>
    </w:rPr>
  </w:style>
  <w:style w:type="paragraph" w:customStyle="1" w:styleId="666">
    <w:name w:val="表项"/>
    <w:basedOn w:val="1"/>
    <w:qFormat/>
    <w:uiPriority w:val="0"/>
    <w:pPr>
      <w:autoSpaceDE w:val="0"/>
      <w:autoSpaceDN w:val="0"/>
      <w:adjustRightInd w:val="0"/>
      <w:spacing w:line="300" w:lineRule="auto"/>
      <w:jc w:val="center"/>
    </w:pPr>
    <w:rPr>
      <w:rFonts w:ascii="Arial" w:hAnsi="Arial" w:eastAsia="黑体" w:cs="Times New Roman"/>
      <w:kern w:val="0"/>
      <w:sz w:val="18"/>
      <w:szCs w:val="20"/>
    </w:rPr>
  </w:style>
  <w:style w:type="paragraph" w:customStyle="1" w:styleId="667">
    <w:name w:val="No Spacing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68">
    <w:name w:val="b13"/>
    <w:basedOn w:val="1"/>
    <w:qFormat/>
    <w:uiPriority w:val="0"/>
    <w:pPr>
      <w:widowControl/>
      <w:autoSpaceDE w:val="0"/>
      <w:autoSpaceDN w:val="0"/>
      <w:adjustRightInd w:val="0"/>
      <w:spacing w:after="120"/>
      <w:jc w:val="left"/>
      <w:textAlignment w:val="bottom"/>
    </w:pPr>
    <w:rPr>
      <w:rFonts w:ascii="Calibri" w:hAnsi="Calibri" w:eastAsia="華康粗圓體" w:cs="Times New Roman"/>
      <w:kern w:val="0"/>
      <w:sz w:val="26"/>
      <w:szCs w:val="20"/>
      <w:lang w:eastAsia="zh-TW"/>
    </w:rPr>
  </w:style>
  <w:style w:type="paragraph" w:customStyle="1" w:styleId="669">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Calibri" w:hAnsi="Calibri" w:eastAsia="宋体" w:cs="Times New Roman"/>
      <w:kern w:val="0"/>
      <w:sz w:val="52"/>
      <w:szCs w:val="52"/>
    </w:rPr>
  </w:style>
  <w:style w:type="paragraph" w:customStyle="1" w:styleId="670">
    <w:name w:val="xl3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671">
    <w:name w:val="itemlis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2">
    <w:name w:val="Char Char Char"/>
    <w:basedOn w:val="1"/>
    <w:qFormat/>
    <w:uiPriority w:val="0"/>
    <w:pPr>
      <w:widowControl/>
      <w:jc w:val="left"/>
    </w:pPr>
    <w:rPr>
      <w:rFonts w:ascii="Tahoma" w:hAnsi="Tahoma" w:eastAsia="宋体" w:cs="Times New Roman"/>
      <w:sz w:val="24"/>
      <w:szCs w:val="20"/>
    </w:rPr>
  </w:style>
  <w:style w:type="paragraph" w:customStyle="1" w:styleId="673">
    <w:name w:val="小四 段落 宋体 Char Char Char"/>
    <w:basedOn w:val="18"/>
    <w:qFormat/>
    <w:uiPriority w:val="0"/>
    <w:pPr>
      <w:tabs>
        <w:tab w:val="left" w:pos="1320"/>
      </w:tabs>
      <w:spacing w:line="360" w:lineRule="auto"/>
      <w:ind w:left="0" w:right="-33" w:firstLine="480" w:firstLineChars="200"/>
      <w:jc w:val="left"/>
    </w:pPr>
    <w:rPr>
      <w:sz w:val="24"/>
      <w:szCs w:val="24"/>
    </w:rPr>
  </w:style>
  <w:style w:type="paragraph" w:customStyle="1" w:styleId="674">
    <w:name w:val="xl55"/>
    <w:basedOn w:val="1"/>
    <w:qFormat/>
    <w:uiPriority w:val="0"/>
    <w:pPr>
      <w:widowControl/>
      <w:pBdr>
        <w:bottom w:val="single" w:color="auto" w:sz="8" w:space="0"/>
        <w:right w:val="single" w:color="auto" w:sz="8" w:space="0"/>
      </w:pBdr>
      <w:spacing w:before="100" w:beforeAutospacing="1" w:after="100" w:afterAutospacing="1"/>
      <w:jc w:val="left"/>
    </w:pPr>
    <w:rPr>
      <w:rFonts w:ascii="Arial Unicode MS" w:hAnsi="Arial Unicode MS" w:eastAsia="宋体" w:cs="Times New Roman"/>
      <w:kern w:val="0"/>
      <w:sz w:val="24"/>
      <w:szCs w:val="24"/>
    </w:rPr>
  </w:style>
  <w:style w:type="paragraph" w:customStyle="1" w:styleId="675">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6">
    <w:name w:val="ordinary-output"/>
    <w:basedOn w:val="1"/>
    <w:qFormat/>
    <w:uiPriority w:val="0"/>
    <w:pPr>
      <w:widowControl/>
      <w:spacing w:before="100" w:beforeAutospacing="1" w:after="75" w:line="330" w:lineRule="atLeast"/>
      <w:jc w:val="left"/>
    </w:pPr>
    <w:rPr>
      <w:rFonts w:ascii="宋体" w:hAnsi="宋体" w:eastAsia="宋体" w:cs="宋体"/>
      <w:color w:val="333333"/>
      <w:kern w:val="0"/>
      <w:sz w:val="27"/>
      <w:szCs w:val="27"/>
    </w:rPr>
  </w:style>
  <w:style w:type="paragraph" w:customStyle="1" w:styleId="677">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678">
    <w:name w:val="xl56"/>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679">
    <w:name w:val="Char1 Char Char Char Char Char Char"/>
    <w:basedOn w:val="1"/>
    <w:qFormat/>
    <w:uiPriority w:val="0"/>
    <w:rPr>
      <w:rFonts w:ascii="Calibri" w:hAnsi="Calibri" w:eastAsia="宋体" w:cs="Times New Roman"/>
      <w:szCs w:val="20"/>
    </w:rPr>
  </w:style>
  <w:style w:type="paragraph" w:customStyle="1" w:styleId="680">
    <w:name w:val="正文文本1"/>
    <w:basedOn w:val="1"/>
    <w:qFormat/>
    <w:uiPriority w:val="0"/>
    <w:pPr>
      <w:spacing w:after="120"/>
    </w:pPr>
    <w:rPr>
      <w:rFonts w:ascii="Calibri" w:hAnsi="Calibri" w:eastAsia="宋体" w:cs="Times New Roman"/>
      <w:kern w:val="0"/>
      <w:sz w:val="20"/>
      <w:szCs w:val="24"/>
    </w:rPr>
  </w:style>
  <w:style w:type="paragraph" w:customStyle="1" w:styleId="681">
    <w:name w:val="pied de page r閒.2"/>
    <w:qFormat/>
    <w:uiPriority w:val="0"/>
    <w:pPr>
      <w:spacing w:before="140"/>
      <w:jc w:val="center"/>
    </w:pPr>
    <w:rPr>
      <w:rFonts w:ascii="Helvetica" w:hAnsi="Helvetica" w:eastAsia="宋体" w:cs="Times New Roman"/>
      <w:caps/>
      <w:lang w:val="en-US" w:eastAsia="en-US" w:bidi="ar-SA"/>
    </w:rPr>
  </w:style>
  <w:style w:type="paragraph" w:customStyle="1" w:styleId="682">
    <w:name w:val="List 1"/>
    <w:basedOn w:val="1"/>
    <w:qFormat/>
    <w:uiPriority w:val="0"/>
    <w:pPr>
      <w:widowControl/>
      <w:overflowPunct w:val="0"/>
      <w:autoSpaceDE w:val="0"/>
      <w:autoSpaceDN w:val="0"/>
      <w:adjustRightInd w:val="0"/>
      <w:spacing w:line="360" w:lineRule="auto"/>
      <w:ind w:left="2520" w:hanging="360"/>
      <w:jc w:val="left"/>
      <w:textAlignment w:val="baseline"/>
    </w:pPr>
    <w:rPr>
      <w:rFonts w:ascii="宋体" w:hAnsi="Calibri" w:eastAsia="宋体" w:cs="Times New Roman"/>
      <w:kern w:val="0"/>
      <w:sz w:val="24"/>
      <w:szCs w:val="20"/>
    </w:rPr>
  </w:style>
  <w:style w:type="paragraph" w:customStyle="1" w:styleId="683">
    <w:name w:val="xl22"/>
    <w:basedOn w:val="1"/>
    <w:qFormat/>
    <w:uiPriority w:val="0"/>
    <w:pPr>
      <w:widowControl/>
      <w:pBdr>
        <w:top w:val="single" w:color="auto" w:sz="8" w:space="0"/>
        <w:left w:val="single" w:color="auto" w:sz="8" w:space="0"/>
      </w:pBdr>
      <w:shd w:val="clear" w:color="auto" w:fill="FFFFFF"/>
      <w:spacing w:before="100" w:beforeAutospacing="1" w:after="100" w:afterAutospacing="1"/>
      <w:jc w:val="left"/>
      <w:textAlignment w:val="bottom"/>
    </w:pPr>
    <w:rPr>
      <w:rFonts w:ascii="宋体" w:hAnsi="宋体" w:eastAsia="宋体" w:cs="Times New Roman"/>
      <w:b/>
      <w:bCs/>
      <w:kern w:val="0"/>
      <w:sz w:val="44"/>
      <w:szCs w:val="44"/>
    </w:rPr>
  </w:style>
  <w:style w:type="paragraph" w:customStyle="1" w:styleId="684">
    <w:name w:val="样式 样式 标题 4H4PIM 4h4bulletblbb标题 4 Charsect 1.2.3.4Ref Head... + ..."/>
    <w:basedOn w:val="1"/>
    <w:qFormat/>
    <w:uiPriority w:val="0"/>
    <w:pPr>
      <w:keepNext/>
      <w:keepLines/>
      <w:spacing w:beforeLines="50" w:afterLines="50" w:line="360" w:lineRule="auto"/>
      <w:ind w:left="3011" w:hanging="851"/>
      <w:jc w:val="left"/>
      <w:outlineLvl w:val="3"/>
    </w:pPr>
    <w:rPr>
      <w:rFonts w:ascii="黑体" w:hAnsi="宋体" w:eastAsia="黑体" w:cs="Times New Roman"/>
      <w:b/>
      <w:spacing w:val="-5"/>
      <w:sz w:val="28"/>
      <w:szCs w:val="20"/>
    </w:rPr>
  </w:style>
  <w:style w:type="paragraph" w:customStyle="1" w:styleId="685">
    <w:name w:val="Char Char19"/>
    <w:basedOn w:val="1"/>
    <w:qFormat/>
    <w:uiPriority w:val="0"/>
    <w:pPr>
      <w:widowControl/>
      <w:jc w:val="left"/>
    </w:pPr>
    <w:rPr>
      <w:rFonts w:ascii="Tahoma" w:hAnsi="Tahoma" w:eastAsia="宋体" w:cs="Times New Roman"/>
      <w:sz w:val="24"/>
      <w:szCs w:val="20"/>
    </w:rPr>
  </w:style>
  <w:style w:type="paragraph" w:customStyle="1" w:styleId="686">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687">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paragraph" w:customStyle="1" w:styleId="688">
    <w:name w:val="10号线正文"/>
    <w:basedOn w:val="1"/>
    <w:qFormat/>
    <w:uiPriority w:val="0"/>
    <w:pPr>
      <w:widowControl/>
      <w:spacing w:line="360" w:lineRule="auto"/>
      <w:ind w:firstLine="482" w:firstLineChars="200"/>
      <w:jc w:val="left"/>
    </w:pPr>
    <w:rPr>
      <w:rFonts w:ascii="宋体" w:hAnsi="Calibri" w:eastAsia="宋体" w:cs="宋体"/>
      <w:sz w:val="24"/>
      <w:szCs w:val="24"/>
    </w:rPr>
  </w:style>
  <w:style w:type="paragraph" w:customStyle="1" w:styleId="689">
    <w:name w:val="TOC 标题2"/>
    <w:basedOn w:val="4"/>
    <w:next w:val="1"/>
    <w:qFormat/>
    <w:uiPriority w:val="0"/>
    <w:pPr>
      <w:tabs>
        <w:tab w:val="clear" w:pos="1440"/>
      </w:tabs>
      <w:spacing w:beforeLines="0" w:line="276" w:lineRule="auto"/>
      <w:jc w:val="left"/>
      <w:outlineLvl w:val="9"/>
    </w:pPr>
    <w:rPr>
      <w:rFonts w:ascii="Cambria" w:hAnsi="Cambria" w:eastAsia="宋体"/>
      <w:color w:val="365F90"/>
      <w:kern w:val="0"/>
      <w:sz w:val="28"/>
      <w:szCs w:val="28"/>
    </w:rPr>
  </w:style>
  <w:style w:type="paragraph" w:customStyle="1" w:styleId="690">
    <w:name w:val="xl51"/>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691">
    <w:name w:val="样式 Verdana 首行缩进:  0.74 厘米"/>
    <w:basedOn w:val="1"/>
    <w:qFormat/>
    <w:uiPriority w:val="0"/>
    <w:pPr>
      <w:widowControl/>
      <w:jc w:val="left"/>
    </w:pPr>
    <w:rPr>
      <w:rFonts w:ascii="Verdana" w:hAnsi="Verdana" w:eastAsia="宋体" w:cs="Times New Roman"/>
      <w:szCs w:val="20"/>
    </w:rPr>
  </w:style>
  <w:style w:type="paragraph" w:customStyle="1" w:styleId="692">
    <w:name w:val="集群正文"/>
    <w:basedOn w:val="1"/>
    <w:qFormat/>
    <w:uiPriority w:val="0"/>
    <w:pPr>
      <w:spacing w:beforeLines="50" w:line="312" w:lineRule="auto"/>
      <w:ind w:firstLine="480" w:firstLineChars="200"/>
    </w:pPr>
    <w:rPr>
      <w:rFonts w:ascii="Calibri" w:hAnsi="Calibri" w:eastAsia="宋体" w:cs="Times New Roman"/>
      <w:sz w:val="28"/>
      <w:szCs w:val="20"/>
    </w:rPr>
  </w:style>
  <w:style w:type="paragraph" w:customStyle="1" w:styleId="693">
    <w:name w:val="引用1"/>
    <w:qFormat/>
    <w:uiPriority w:val="0"/>
    <w:pPr>
      <w:spacing w:after="160" w:line="240" w:lineRule="atLeast"/>
    </w:pPr>
    <w:rPr>
      <w:rFonts w:ascii="Arial" w:hAnsi="Arial" w:eastAsia="宋体" w:cs="Times New Roman"/>
      <w:i/>
      <w:color w:val="808080"/>
      <w:lang w:val="en-US" w:eastAsia="en-US" w:bidi="ar-SA"/>
    </w:rPr>
  </w:style>
  <w:style w:type="paragraph" w:customStyle="1" w:styleId="694">
    <w:name w:val="xl3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695">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96">
    <w:name w:val="font9"/>
    <w:basedOn w:val="1"/>
    <w:qFormat/>
    <w:uiPriority w:val="0"/>
    <w:pPr>
      <w:widowControl/>
      <w:spacing w:before="100" w:beforeAutospacing="1" w:after="100" w:afterAutospacing="1"/>
      <w:jc w:val="left"/>
    </w:pPr>
    <w:rPr>
      <w:rFonts w:ascii="Arial" w:hAnsi="Arial" w:eastAsia="宋体" w:cs="Arial"/>
      <w:color w:val="000000"/>
      <w:kern w:val="0"/>
      <w:sz w:val="20"/>
      <w:szCs w:val="20"/>
    </w:rPr>
  </w:style>
  <w:style w:type="paragraph" w:customStyle="1" w:styleId="697">
    <w:name w:val="技术方案正文样式"/>
    <w:basedOn w:val="1"/>
    <w:qFormat/>
    <w:uiPriority w:val="0"/>
    <w:pPr>
      <w:autoSpaceDE w:val="0"/>
      <w:autoSpaceDN w:val="0"/>
      <w:adjustRightInd w:val="0"/>
      <w:spacing w:line="400" w:lineRule="exact"/>
      <w:ind w:firstLine="480" w:firstLineChars="200"/>
    </w:pPr>
    <w:rPr>
      <w:rFonts w:ascii="宋体" w:hAnsi="宋体" w:eastAsia="宋体" w:cs="宋体"/>
      <w:sz w:val="24"/>
      <w:szCs w:val="21"/>
    </w:rPr>
  </w:style>
  <w:style w:type="paragraph" w:customStyle="1" w:styleId="698">
    <w:name w:val="Char Char Char Char Char Char Char"/>
    <w:basedOn w:val="1"/>
    <w:qFormat/>
    <w:uiPriority w:val="0"/>
    <w:pPr>
      <w:widowControl/>
      <w:tabs>
        <w:tab w:val="left" w:pos="432"/>
      </w:tabs>
      <w:ind w:left="432" w:hanging="432"/>
      <w:jc w:val="left"/>
    </w:pPr>
    <w:rPr>
      <w:rFonts w:ascii="Tahoma" w:hAnsi="Tahoma" w:eastAsia="宋体" w:cs="Times New Roman"/>
      <w:sz w:val="24"/>
      <w:szCs w:val="20"/>
    </w:rPr>
  </w:style>
  <w:style w:type="paragraph" w:customStyle="1" w:styleId="699">
    <w:name w:val="Char Char1 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00">
    <w:name w:val="Char11"/>
    <w:basedOn w:val="1"/>
    <w:qFormat/>
    <w:uiPriority w:val="0"/>
    <w:pPr>
      <w:widowControl/>
      <w:jc w:val="left"/>
    </w:pPr>
    <w:rPr>
      <w:rFonts w:ascii="仿宋_GB2312" w:hAnsi="Calibri" w:eastAsia="仿宋_GB2312" w:cs="Times New Roman"/>
      <w:b/>
      <w:sz w:val="32"/>
      <w:szCs w:val="20"/>
    </w:rPr>
  </w:style>
  <w:style w:type="paragraph" w:customStyle="1" w:styleId="701">
    <w:name w:val="无间隔3"/>
    <w:basedOn w:val="1"/>
    <w:qFormat/>
    <w:uiPriority w:val="0"/>
    <w:pPr>
      <w:snapToGrid w:val="0"/>
    </w:pPr>
    <w:rPr>
      <w:rFonts w:ascii="仿宋_GB2312" w:hAnsi="Calibri" w:eastAsia="仿宋_GB2312" w:cs="Times New Roman"/>
      <w:b/>
      <w:kern w:val="0"/>
      <w:sz w:val="30"/>
      <w:szCs w:val="24"/>
    </w:rPr>
  </w:style>
  <w:style w:type="paragraph" w:customStyle="1" w:styleId="702">
    <w:name w:val="彩色列表 - 强调文字颜色 111"/>
    <w:basedOn w:val="1"/>
    <w:qFormat/>
    <w:uiPriority w:val="34"/>
    <w:pPr>
      <w:ind w:firstLine="420" w:firstLineChars="200"/>
    </w:pPr>
    <w:rPr>
      <w:rFonts w:ascii="Calibri" w:hAnsi="Calibri" w:eastAsia="宋体" w:cs="Times New Roman"/>
    </w:rPr>
  </w:style>
  <w:style w:type="paragraph" w:customStyle="1" w:styleId="703">
    <w:name w:val="小四 段落 宋体 Char Char"/>
    <w:basedOn w:val="1"/>
    <w:qFormat/>
    <w:uiPriority w:val="0"/>
    <w:pPr>
      <w:widowControl/>
      <w:spacing w:line="360" w:lineRule="auto"/>
      <w:ind w:firstLine="480" w:firstLineChars="200"/>
      <w:jc w:val="left"/>
    </w:pPr>
    <w:rPr>
      <w:rFonts w:ascii="宋体" w:hAnsi="宋体" w:eastAsia="宋体" w:cs="Times New Roman"/>
      <w:sz w:val="24"/>
      <w:szCs w:val="24"/>
    </w:rPr>
  </w:style>
  <w:style w:type="table" w:customStyle="1" w:styleId="704">
    <w:name w:val="中等深浅网格 31"/>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000000"/>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tcPr>
        <w:tcBorders>
          <w:top w:val="nil"/>
          <w:left w:val="single" w:color="CCE8CF" w:sz="8" w:space="0"/>
          <w:bottom w:val="nil"/>
          <w:right w:val="single" w:color="CCE8CF" w:sz="24" w:space="0"/>
          <w:insideH w:val="nil"/>
          <w:insideV w:val="nil"/>
          <w:tl2br w:val="nil"/>
          <w:tr2bl w:val="nil"/>
        </w:tcBorders>
        <w:shd w:val="clear" w:color="auto" w:fill="000000"/>
      </w:tcPr>
    </w:tblStylePr>
    <w:tblStylePr w:type="lastCol">
      <w:tcPr>
        <w:tcBorders>
          <w:top w:val="nil"/>
          <w:left w:val="single" w:color="CCE8CF" w:sz="24" w:space="0"/>
          <w:bottom w:val="nil"/>
          <w:right w:val="nil"/>
          <w:insideH w:val="nil"/>
          <w:insideV w:val="nil"/>
          <w:tl2br w:val="nil"/>
          <w:tr2bl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paragraph" w:customStyle="1" w:styleId="705">
    <w:name w:val="题注1"/>
    <w:basedOn w:val="1"/>
    <w:next w:val="1"/>
    <w:unhideWhenUsed/>
    <w:qFormat/>
    <w:uiPriority w:val="99"/>
    <w:rPr>
      <w:rFonts w:ascii="Calibri Light" w:hAnsi="Calibri Light" w:eastAsia="黑体" w:cs="Times New Roman"/>
      <w:sz w:val="20"/>
      <w:szCs w:val="20"/>
    </w:rPr>
  </w:style>
  <w:style w:type="table" w:customStyle="1" w:styleId="706">
    <w:name w:val="网格型1"/>
    <w:basedOn w:val="6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07">
    <w:name w:val="批注文字 Char"/>
    <w:basedOn w:val="70"/>
    <w:qFormat/>
    <w:uiPriority w:val="99"/>
    <w:rPr>
      <w:rFonts w:ascii="Calibri" w:hAnsi="Calibri" w:eastAsia="宋体" w:cs="Times New Roman"/>
    </w:rPr>
  </w:style>
  <w:style w:type="paragraph" w:customStyle="1" w:styleId="708">
    <w:name w:val="ZJGIS-五级标题"/>
    <w:basedOn w:val="1"/>
    <w:qFormat/>
    <w:uiPriority w:val="0"/>
    <w:pPr>
      <w:numPr>
        <w:ilvl w:val="4"/>
        <w:numId w:val="5"/>
      </w:numPr>
      <w:spacing w:line="360" w:lineRule="auto"/>
      <w:ind w:firstLine="482" w:firstLineChars="200"/>
    </w:pPr>
    <w:rPr>
      <w:rFonts w:ascii="仿宋" w:hAnsi="仿宋" w:eastAsia="仿宋" w:cs="Times New Roman"/>
      <w:b/>
      <w:sz w:val="24"/>
      <w:szCs w:val="24"/>
    </w:rPr>
  </w:style>
  <w:style w:type="paragraph" w:customStyle="1" w:styleId="709">
    <w:name w:val="标题2"/>
    <w:basedOn w:val="5"/>
    <w:qFormat/>
    <w:uiPriority w:val="0"/>
    <w:pPr>
      <w:tabs>
        <w:tab w:val="left" w:pos="840"/>
      </w:tabs>
      <w:spacing w:line="416" w:lineRule="auto"/>
      <w:ind w:left="567" w:hanging="420"/>
    </w:pPr>
    <w:rPr>
      <w:rFonts w:ascii="Cambria" w:hAnsi="Cambria" w:eastAsia="宋体"/>
      <w:bCs/>
      <w:color w:val="000000"/>
      <w:szCs w:val="32"/>
    </w:rPr>
  </w:style>
  <w:style w:type="paragraph" w:customStyle="1" w:styleId="710">
    <w:name w:val="z-窗体底端1"/>
    <w:basedOn w:val="1"/>
    <w:next w:val="1"/>
    <w:qFormat/>
    <w:uiPriority w:val="0"/>
    <w:pPr>
      <w:pBdr>
        <w:top w:val="single" w:color="auto" w:sz="6" w:space="1"/>
      </w:pBdr>
      <w:jc w:val="center"/>
    </w:pPr>
    <w:rPr>
      <w:rFonts w:ascii="Arial" w:hAnsi="Arial" w:eastAsia="宋体" w:cs="Times New Roman"/>
      <w:vanish/>
      <w:sz w:val="16"/>
      <w:szCs w:val="16"/>
      <w:lang w:val="zh-CN"/>
    </w:rPr>
  </w:style>
  <w:style w:type="paragraph" w:customStyle="1" w:styleId="711">
    <w:name w:val="文章正文"/>
    <w:basedOn w:val="122"/>
    <w:qFormat/>
    <w:uiPriority w:val="0"/>
    <w:pPr>
      <w:widowControl/>
      <w:adjustRightInd w:val="0"/>
      <w:spacing w:beforeLines="0" w:afterLines="50" w:line="360" w:lineRule="auto"/>
      <w:ind w:firstLine="200" w:firstLineChars="200"/>
      <w:jc w:val="left"/>
      <w:textAlignment w:val="baseline"/>
    </w:pPr>
    <w:rPr>
      <w:rFonts w:ascii="Calibri" w:hAnsi="Calibri" w:eastAsia="仿宋_GB2312" w:cs="Times New Roman"/>
      <w:sz w:val="28"/>
      <w:szCs w:val="20"/>
    </w:rPr>
  </w:style>
  <w:style w:type="paragraph" w:customStyle="1" w:styleId="712">
    <w:name w:val="_Style 31"/>
    <w:basedOn w:val="1"/>
    <w:next w:val="114"/>
    <w:qFormat/>
    <w:uiPriority w:val="34"/>
    <w:pPr>
      <w:widowControl/>
      <w:adjustRightInd w:val="0"/>
      <w:spacing w:afterLines="50" w:line="360" w:lineRule="auto"/>
      <w:ind w:firstLine="420" w:firstLineChars="200"/>
      <w:jc w:val="left"/>
      <w:textAlignment w:val="baseline"/>
    </w:pPr>
    <w:rPr>
      <w:rFonts w:ascii="等线" w:hAnsi="等线" w:eastAsia="等线" w:cs="Times New Roman"/>
      <w:kern w:val="0"/>
      <w:sz w:val="28"/>
      <w:szCs w:val="20"/>
    </w:rPr>
  </w:style>
  <w:style w:type="paragraph" w:customStyle="1" w:styleId="713">
    <w:name w:val="列表段落11"/>
    <w:basedOn w:val="1"/>
    <w:qFormat/>
    <w:uiPriority w:val="34"/>
    <w:pPr>
      <w:ind w:firstLine="420" w:firstLineChars="200"/>
    </w:pPr>
    <w:rPr>
      <w:rFonts w:ascii="Calibri" w:hAnsi="Calibri" w:eastAsia="宋体" w:cs="Times New Roman"/>
    </w:rPr>
  </w:style>
  <w:style w:type="paragraph" w:customStyle="1" w:styleId="714">
    <w:name w:val="_Style 45"/>
    <w:basedOn w:val="1"/>
    <w:next w:val="114"/>
    <w:qFormat/>
    <w:uiPriority w:val="34"/>
    <w:pPr>
      <w:ind w:firstLine="420" w:firstLineChars="200"/>
    </w:pPr>
    <w:rPr>
      <w:rFonts w:ascii="Times New Roman" w:hAnsi="Times New Roman" w:eastAsia="宋体" w:cs="Times New Roman"/>
    </w:rPr>
  </w:style>
  <w:style w:type="paragraph" w:customStyle="1" w:styleId="71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1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717">
    <w:name w:val="无间隔4"/>
    <w:next w:val="718"/>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718">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19">
    <w:name w:val="A_表格头"/>
    <w:basedOn w:val="1"/>
    <w:qFormat/>
    <w:uiPriority w:val="0"/>
    <w:pPr>
      <w:jc w:val="center"/>
    </w:pPr>
    <w:rPr>
      <w:rFonts w:ascii="Times New Roman" w:hAnsi="Times New Roman" w:eastAsia="黑体" w:cs="Times New Roman"/>
      <w:bCs/>
      <w:kern w:val="0"/>
      <w:szCs w:val="20"/>
    </w:rPr>
  </w:style>
  <w:style w:type="paragraph" w:customStyle="1" w:styleId="720">
    <w:name w:val="A_表格正文（居中）"/>
    <w:basedOn w:val="1"/>
    <w:qFormat/>
    <w:uiPriority w:val="0"/>
    <w:pPr>
      <w:jc w:val="center"/>
    </w:pPr>
    <w:rPr>
      <w:rFonts w:ascii="Times New Roman" w:hAnsi="Times New Roman" w:eastAsia="仿宋" w:cs="Times New Roman"/>
      <w:kern w:val="0"/>
      <w:szCs w:val="20"/>
    </w:rPr>
  </w:style>
  <w:style w:type="paragraph" w:customStyle="1" w:styleId="721">
    <w:name w:val="A_表格正文（加黑）"/>
    <w:basedOn w:val="720"/>
    <w:qFormat/>
    <w:uiPriority w:val="0"/>
    <w:rPr>
      <w:b/>
      <w:color w:val="000000"/>
    </w:rPr>
  </w:style>
  <w:style w:type="character" w:customStyle="1" w:styleId="722">
    <w:name w:val="标题 Char"/>
    <w:qFormat/>
    <w:uiPriority w:val="0"/>
    <w:rPr>
      <w:rFonts w:ascii="宋体" w:hAnsi="Courier New" w:eastAsia="宋体" w:cs="Courier New"/>
      <w:kern w:val="2"/>
      <w:sz w:val="21"/>
      <w:szCs w:val="21"/>
      <w:lang w:val="en-US" w:eastAsia="zh-CN" w:bidi="ar-SA"/>
    </w:rPr>
  </w:style>
  <w:style w:type="character" w:customStyle="1" w:styleId="723">
    <w:name w:val="普通(网站) 字符"/>
    <w:link w:val="57"/>
    <w:qFormat/>
    <w:locked/>
    <w:uiPriority w:val="0"/>
    <w:rPr>
      <w:rFonts w:ascii="(使用中文字体)" w:hAnsi="(使用中文字体)" w:cs="(使用中文字体)"/>
      <w:sz w:val="24"/>
      <w:szCs w:val="24"/>
    </w:rPr>
  </w:style>
  <w:style w:type="paragraph" w:customStyle="1" w:styleId="724">
    <w:name w:val="目录 54"/>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25">
    <w:name w:val="正文（首行缩进2字符）"/>
    <w:basedOn w:val="1"/>
    <w:qFormat/>
    <w:uiPriority w:val="0"/>
    <w:pPr>
      <w:wordWrap w:val="0"/>
      <w:spacing w:line="360" w:lineRule="auto"/>
      <w:ind w:firstLine="420" w:firstLineChars="200"/>
    </w:pPr>
    <w:rPr>
      <w:rFonts w:ascii="宋体" w:hAnsi="Calibri" w:eastAsia="宋体" w:cs="宋体"/>
      <w:szCs w:val="21"/>
    </w:rPr>
  </w:style>
  <w:style w:type="paragraph" w:customStyle="1" w:styleId="726">
    <w:name w:val="正文缩进2"/>
    <w:next w:val="1"/>
    <w:qFormat/>
    <w:uiPriority w:val="0"/>
    <w:pPr>
      <w:wordWrap w:val="0"/>
      <w:ind w:left="3400"/>
      <w:jc w:val="both"/>
    </w:pPr>
    <w:rPr>
      <w:rFonts w:ascii="Times New Roman" w:hAnsi="Times New Roman" w:eastAsia="宋体" w:cs="Times New Roman"/>
      <w:sz w:val="21"/>
      <w:lang w:val="en-US" w:eastAsia="zh-CN" w:bidi="ar-SA"/>
    </w:rPr>
  </w:style>
  <w:style w:type="paragraph" w:customStyle="1" w:styleId="727">
    <w:name w:val="[Normal]"/>
    <w:qFormat/>
    <w:uiPriority w:val="0"/>
    <w:rPr>
      <w:rFonts w:ascii="宋体" w:hAnsi="宋体" w:eastAsia="宋体" w:cs="Times New Roman"/>
      <w:sz w:val="24"/>
      <w:szCs w:val="22"/>
      <w:lang w:val="zh-CN" w:eastAsia="zh-CN" w:bidi="ar-SA"/>
    </w:rPr>
  </w:style>
  <w:style w:type="paragraph" w:customStyle="1" w:styleId="728">
    <w:name w:val="正文首行缩进 21"/>
    <w:basedOn w:val="395"/>
    <w:qFormat/>
    <w:uiPriority w:val="0"/>
    <w:pPr>
      <w:ind w:firstLine="420"/>
    </w:pPr>
  </w:style>
  <w:style w:type="paragraph" w:customStyle="1" w:styleId="729">
    <w:name w:val="_Style 3"/>
    <w:basedOn w:val="1"/>
    <w:qFormat/>
    <w:uiPriority w:val="34"/>
    <w:pPr>
      <w:widowControl/>
      <w:spacing w:after="200" w:line="276" w:lineRule="auto"/>
      <w:ind w:left="720"/>
      <w:contextualSpacing/>
      <w:jc w:val="left"/>
    </w:pPr>
    <w:rPr>
      <w:rFonts w:ascii="Calibri" w:hAnsi="Calibri"/>
      <w:kern w:val="0"/>
      <w:sz w:val="22"/>
    </w:rPr>
  </w:style>
  <w:style w:type="table" w:customStyle="1" w:styleId="730">
    <w:name w:val="网格型2"/>
    <w:basedOn w:val="6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1">
    <w:name w:val="网格型3"/>
    <w:basedOn w:val="6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58</Pages>
  <Words>39053</Words>
  <Characters>40748</Characters>
  <Lines>309</Lines>
  <Paragraphs>87</Paragraphs>
  <TotalTime>1</TotalTime>
  <ScaleCrop>false</ScaleCrop>
  <LinksUpToDate>false</LinksUpToDate>
  <CharactersWithSpaces>41199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2022-09-11T18:24:00Z</dcterms:created>
  <dc:creator>黄 晓</dc:creator>
  <cp:lastModifiedBy>浅笑</cp:lastModifiedBy>
  <cp:lastPrinted>2024-11-21T16:33:00Z</cp:lastPrinted>
  <dcterms:modified xsi:type="dcterms:W3CDTF">2024-11-22T03:32:14Z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3E13E378D28C484F9F528C10D7CDEE1D</vt:lpwstr>
  </property>
</Properties>
</file>